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1400" w:lineRule="exact"/>
        <w:rPr>
          <w:rFonts w:eastAsia="仿宋_GB2312"/>
        </w:rPr>
      </w:pPr>
    </w:p>
    <w:tbl>
      <w:tblPr>
        <w:tblStyle w:val="8"/>
        <w:tblW w:w="9180" w:type="dxa"/>
        <w:tblInd w:w="0" w:type="dxa"/>
        <w:tblLayout w:type="autofit"/>
        <w:tblCellMar>
          <w:top w:w="0" w:type="dxa"/>
          <w:left w:w="108" w:type="dxa"/>
          <w:bottom w:w="0" w:type="dxa"/>
          <w:right w:w="108" w:type="dxa"/>
        </w:tblCellMar>
      </w:tblPr>
      <w:tblGrid>
        <w:gridCol w:w="7479"/>
        <w:gridCol w:w="1701"/>
      </w:tblGrid>
      <w:tr>
        <w:tblPrEx>
          <w:tblCellMar>
            <w:top w:w="0" w:type="dxa"/>
            <w:left w:w="108" w:type="dxa"/>
            <w:bottom w:w="0" w:type="dxa"/>
            <w:right w:w="108" w:type="dxa"/>
          </w:tblCellMar>
        </w:tblPrEx>
        <w:tc>
          <w:tcPr>
            <w:tcW w:w="7479" w:type="dxa"/>
            <w:vAlign w:val="center"/>
          </w:tcPr>
          <w:p>
            <w:pPr>
              <w:pStyle w:val="2"/>
              <w:spacing w:line="1200" w:lineRule="exact"/>
              <w:jc w:val="distribute"/>
              <w:rPr>
                <w:rFonts w:eastAsia="方正小标宋简体"/>
                <w:color w:val="auto"/>
                <w:spacing w:val="-20"/>
                <w:w w:val="62"/>
                <w:sz w:val="96"/>
                <w:szCs w:val="96"/>
              </w:rPr>
            </w:pPr>
            <w:r>
              <w:rPr>
                <w:rFonts w:eastAsia="方正小标宋简体"/>
                <w:color w:val="auto"/>
                <w:spacing w:val="-20"/>
                <w:w w:val="62"/>
                <w:sz w:val="96"/>
                <w:szCs w:val="96"/>
              </w:rPr>
              <w:t>四川省人力资源和社会保障厅</w:t>
            </w:r>
          </w:p>
        </w:tc>
        <w:tc>
          <w:tcPr>
            <w:tcW w:w="1701" w:type="dxa"/>
            <w:vMerge w:val="restart"/>
            <w:vAlign w:val="center"/>
          </w:tcPr>
          <w:p>
            <w:pPr>
              <w:pStyle w:val="2"/>
              <w:spacing w:line="1200" w:lineRule="exact"/>
              <w:ind w:left="-160" w:leftChars="-50"/>
              <w:jc w:val="center"/>
              <w:rPr>
                <w:rFonts w:eastAsia="方正小标宋简体"/>
                <w:color w:val="auto"/>
                <w:spacing w:val="-40"/>
                <w:w w:val="62"/>
                <w:sz w:val="92"/>
                <w:szCs w:val="92"/>
              </w:rPr>
            </w:pPr>
            <w:r>
              <w:rPr>
                <w:rFonts w:eastAsia="方正小标宋简体"/>
                <w:color w:val="auto"/>
                <w:spacing w:val="-40"/>
                <w:w w:val="90"/>
                <w:sz w:val="92"/>
                <w:szCs w:val="92"/>
              </w:rPr>
              <w:t>文件</w:t>
            </w:r>
          </w:p>
        </w:tc>
      </w:tr>
      <w:tr>
        <w:tblPrEx>
          <w:tblCellMar>
            <w:top w:w="0" w:type="dxa"/>
            <w:left w:w="108" w:type="dxa"/>
            <w:bottom w:w="0" w:type="dxa"/>
            <w:right w:w="108" w:type="dxa"/>
          </w:tblCellMar>
        </w:tblPrEx>
        <w:tc>
          <w:tcPr>
            <w:tcW w:w="7479" w:type="dxa"/>
            <w:vAlign w:val="center"/>
          </w:tcPr>
          <w:p>
            <w:pPr>
              <w:pStyle w:val="2"/>
              <w:spacing w:line="1200" w:lineRule="exact"/>
              <w:jc w:val="distribute"/>
              <w:rPr>
                <w:rFonts w:eastAsia="方正小标宋简体"/>
                <w:color w:val="auto"/>
                <w:w w:val="62"/>
                <w:sz w:val="96"/>
                <w:szCs w:val="96"/>
              </w:rPr>
            </w:pPr>
            <w:r>
              <w:rPr>
                <w:rFonts w:eastAsia="方正小标宋简体"/>
                <w:color w:val="auto"/>
                <w:w w:val="62"/>
                <w:sz w:val="96"/>
                <w:szCs w:val="96"/>
              </w:rPr>
              <w:t>四川省财政厅</w:t>
            </w:r>
          </w:p>
        </w:tc>
        <w:tc>
          <w:tcPr>
            <w:tcW w:w="1701" w:type="dxa"/>
            <w:vMerge w:val="continue"/>
            <w:vAlign w:val="center"/>
          </w:tcPr>
          <w:p>
            <w:pPr>
              <w:pStyle w:val="2"/>
              <w:spacing w:line="1200" w:lineRule="exact"/>
              <w:jc w:val="center"/>
              <w:rPr>
                <w:rFonts w:eastAsia="方正小标宋简体"/>
                <w:color w:val="auto"/>
                <w:w w:val="74"/>
                <w:sz w:val="96"/>
                <w:szCs w:val="96"/>
              </w:rPr>
            </w:pPr>
          </w:p>
        </w:tc>
      </w:tr>
    </w:tbl>
    <w:p>
      <w:pPr>
        <w:pStyle w:val="14"/>
        <w:spacing w:line="1000" w:lineRule="exact"/>
        <w:rPr>
          <w:rFonts w:eastAsia="仿宋_GB2312"/>
        </w:rPr>
      </w:pPr>
    </w:p>
    <w:p>
      <w:pPr>
        <w:spacing w:line="540" w:lineRule="exact"/>
        <w:ind w:firstLine="0"/>
        <w:jc w:val="center"/>
        <w:outlineLvl w:val="0"/>
        <w:rPr>
          <w:sz w:val="28"/>
        </w:rPr>
      </w:pPr>
      <w:r>
        <w:t>川人社办发〔2020〕68号</w:t>
      </w:r>
    </w:p>
    <w:p>
      <w:pPr>
        <w:pStyle w:val="2"/>
        <w:spacing w:line="400" w:lineRule="exact"/>
        <w:ind w:left="102" w:right="102"/>
      </w:pPr>
      <w:r>
        <w:rPr>
          <w:sz w:val="2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47625</wp:posOffset>
                </wp:positionV>
                <wp:extent cx="5728970" cy="0"/>
                <wp:effectExtent l="0" t="0" r="0" b="0"/>
                <wp:wrapNone/>
                <wp:docPr id="3" name="Line 2"/>
                <wp:cNvGraphicFramePr/>
                <a:graphic xmlns:a="http://schemas.openxmlformats.org/drawingml/2006/main">
                  <a:graphicData uri="http://schemas.microsoft.com/office/word/2010/wordprocessingShape">
                    <wps:wsp>
                      <wps:cNvCnPr>
                        <a:cxnSpLocks noChangeShapeType="true"/>
                      </wps:cNvCnPr>
                      <wps:spPr bwMode="auto">
                        <a:xfrm>
                          <a:off x="0" y="0"/>
                          <a:ext cx="5728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Line 2" o:spid="_x0000_s1026" o:spt="20" style="position:absolute;left:0pt;margin-left:1.5pt;margin-top:3.75pt;height:0pt;width:451.1pt;z-index:251659264;mso-width-relative:page;mso-height-relative:page;" filled="f" stroked="t" coordsize="21600,21600" o:gfxdata="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kd1BQ0wAAAAUBAAAPAAAAAAAAAAEAIAAAADgAAABkcnMvZG93bnJldi54bWxQSwECFAAU&#10;AAAACACHTuJALCkzN+ABAAC9AwAADgAAAAAAAAABACAAAAA4AQAAZHJzL2Uyb0RvYy54bWxQSwUG&#10;AAAAAAYABgBZAQAAigUAAAAA&#10;">
                <v:fill on="f" focussize="0,0"/>
                <v:stroke color="#000000 [3200]" joinstyle="round"/>
                <v:imagedata o:title=""/>
                <o:lock v:ext="edit" aspectratio="f"/>
              </v:line>
            </w:pict>
          </mc:Fallback>
        </mc:AlternateContent>
      </w:r>
    </w:p>
    <w:p>
      <w:pPr>
        <w:tabs>
          <w:tab w:val="left" w:pos="2808"/>
          <w:tab w:val="left" w:pos="3465"/>
        </w:tabs>
        <w:spacing w:line="700" w:lineRule="exact"/>
        <w:ind w:left="102" w:right="102" w:firstLine="0"/>
        <w:rPr>
          <w:rFonts w:eastAsia="黑体"/>
        </w:rPr>
      </w:pPr>
    </w:p>
    <w:tbl>
      <w:tblPr>
        <w:tblStyle w:val="8"/>
        <w:tblW w:w="0" w:type="auto"/>
        <w:jc w:val="center"/>
        <w:tblLayout w:type="autofit"/>
        <w:tblCellMar>
          <w:top w:w="0" w:type="dxa"/>
          <w:left w:w="108" w:type="dxa"/>
          <w:bottom w:w="0" w:type="dxa"/>
          <w:right w:w="108" w:type="dxa"/>
        </w:tblCellMar>
      </w:tblPr>
      <w:tblGrid>
        <w:gridCol w:w="6004"/>
      </w:tblGrid>
      <w:tr>
        <w:tblPrEx>
          <w:tblCellMar>
            <w:top w:w="0" w:type="dxa"/>
            <w:left w:w="108" w:type="dxa"/>
            <w:bottom w:w="0" w:type="dxa"/>
            <w:right w:w="108" w:type="dxa"/>
          </w:tblCellMar>
        </w:tblPrEx>
        <w:trPr>
          <w:trHeight w:val="717" w:hRule="atLeast"/>
          <w:jc w:val="center"/>
        </w:trPr>
        <w:tc>
          <w:tcPr>
            <w:tcW w:w="6004" w:type="dxa"/>
          </w:tcPr>
          <w:p>
            <w:pPr>
              <w:adjustRightInd w:val="0"/>
              <w:snapToGrid w:val="0"/>
              <w:spacing w:line="640" w:lineRule="exact"/>
              <w:ind w:firstLine="0"/>
              <w:jc w:val="distribute"/>
              <w:rPr>
                <w:rFonts w:eastAsia="方正小标宋简体"/>
                <w:sz w:val="44"/>
                <w:szCs w:val="44"/>
              </w:rPr>
            </w:pPr>
            <w:r>
              <w:rPr>
                <w:rFonts w:eastAsia="方正小标宋简体"/>
                <w:sz w:val="44"/>
                <w:szCs w:val="44"/>
              </w:rPr>
              <w:t>四川省人力资源和社会保障厅</w:t>
            </w:r>
          </w:p>
        </w:tc>
      </w:tr>
      <w:tr>
        <w:tblPrEx>
          <w:tblCellMar>
            <w:top w:w="0" w:type="dxa"/>
            <w:left w:w="108" w:type="dxa"/>
            <w:bottom w:w="0" w:type="dxa"/>
            <w:right w:w="108" w:type="dxa"/>
          </w:tblCellMar>
        </w:tblPrEx>
        <w:trPr>
          <w:jc w:val="center"/>
        </w:trPr>
        <w:tc>
          <w:tcPr>
            <w:tcW w:w="6004" w:type="dxa"/>
          </w:tcPr>
          <w:p>
            <w:pPr>
              <w:adjustRightInd w:val="0"/>
              <w:snapToGrid w:val="0"/>
              <w:spacing w:line="640" w:lineRule="exact"/>
              <w:ind w:firstLine="0"/>
              <w:jc w:val="distribute"/>
              <w:rPr>
                <w:rFonts w:eastAsia="方正小标宋简体"/>
                <w:sz w:val="44"/>
                <w:szCs w:val="44"/>
              </w:rPr>
            </w:pPr>
            <w:r>
              <w:rPr>
                <w:rFonts w:eastAsia="方正小标宋简体"/>
                <w:sz w:val="44"/>
                <w:szCs w:val="44"/>
              </w:rPr>
              <w:t>四川省财政厅</w:t>
            </w:r>
          </w:p>
        </w:tc>
      </w:tr>
    </w:tbl>
    <w:p>
      <w:pPr>
        <w:spacing w:line="640" w:lineRule="exact"/>
        <w:ind w:firstLine="0"/>
        <w:jc w:val="center"/>
        <w:rPr>
          <w:rFonts w:eastAsia="方正小标宋简体"/>
          <w:bCs/>
          <w:spacing w:val="-14"/>
          <w:sz w:val="44"/>
          <w:szCs w:val="44"/>
        </w:rPr>
      </w:pPr>
      <w:r>
        <w:rPr>
          <w:rFonts w:eastAsia="方正小标宋简体"/>
          <w:bCs/>
          <w:spacing w:val="-14"/>
          <w:sz w:val="44"/>
          <w:szCs w:val="44"/>
        </w:rPr>
        <w:t>关于印发《四川省就业创业培训管理办法》的通知</w:t>
      </w:r>
    </w:p>
    <w:p>
      <w:pPr>
        <w:tabs>
          <w:tab w:val="center" w:pos="4153"/>
        </w:tabs>
        <w:spacing w:line="640" w:lineRule="exact"/>
        <w:ind w:firstLine="0"/>
        <w:rPr>
          <w:bCs/>
          <w:szCs w:val="32"/>
        </w:rPr>
      </w:pPr>
    </w:p>
    <w:p>
      <w:pPr>
        <w:tabs>
          <w:tab w:val="center" w:pos="4153"/>
        </w:tabs>
        <w:spacing w:line="600" w:lineRule="exact"/>
        <w:ind w:firstLine="0"/>
        <w:rPr>
          <w:bCs/>
          <w:szCs w:val="32"/>
        </w:rPr>
      </w:pPr>
      <w:r>
        <w:rPr>
          <w:bCs/>
          <w:szCs w:val="32"/>
        </w:rPr>
        <w:t>各市（州）人力资源和社会保障局、财政局：</w:t>
      </w:r>
    </w:p>
    <w:p>
      <w:pPr>
        <w:spacing w:line="600" w:lineRule="exact"/>
        <w:ind w:firstLine="640" w:firstLineChars="200"/>
        <w:rPr>
          <w:szCs w:val="32"/>
        </w:rPr>
      </w:pPr>
      <w:r>
        <w:rPr>
          <w:bCs/>
          <w:szCs w:val="32"/>
        </w:rPr>
        <w:t>为贯彻落实</w:t>
      </w:r>
      <w:r>
        <w:rPr>
          <w:szCs w:val="32"/>
        </w:rPr>
        <w:t>《四川省人民政府关于做好当前和今后一段时期就业创业工作的实施意见》（川府发〔2017〕53号）、《四川省人民政府办公厅关于印发四川省职业技能提升行动实施方案（2019—2021年）的通知》（川办发〔2019〕55号）精神，按照中央和省级就业创业补助资金管理办法、职业技能提升行动专账资金管理办法等有关规定，进一步规范我省就业创业培训工作，现将《四川省就业创业培训管理办法》印发你们，请遵照执行。</w:t>
      </w:r>
    </w:p>
    <w:p>
      <w:pPr>
        <w:ind w:firstLine="640" w:firstLineChars="200"/>
        <w:rPr>
          <w:szCs w:val="32"/>
        </w:rPr>
      </w:pPr>
    </w:p>
    <w:p>
      <w:pPr>
        <w:tabs>
          <w:tab w:val="left" w:pos="7440"/>
        </w:tabs>
        <w:ind w:firstLine="640" w:firstLineChars="200"/>
        <w:rPr>
          <w:szCs w:val="32"/>
        </w:rPr>
      </w:pPr>
      <w:r>
        <w:rPr>
          <w:szCs w:val="32"/>
        </w:rPr>
        <w:tab/>
      </w:r>
    </w:p>
    <w:p>
      <w:pPr>
        <w:ind w:firstLine="640" w:firstLineChars="200"/>
        <w:rPr>
          <w:szCs w:val="32"/>
        </w:rPr>
      </w:pPr>
      <w:r>
        <w:rPr>
          <w:szCs w:val="32"/>
        </w:rPr>
        <w:t>四川省人力资源和社会保障厅        四 川 省 财 政 厅</w:t>
      </w:r>
    </w:p>
    <w:p>
      <w:pPr>
        <w:spacing w:line="320" w:lineRule="exact"/>
        <w:ind w:firstLine="640" w:firstLineChars="200"/>
        <w:rPr>
          <w:szCs w:val="32"/>
        </w:rPr>
      </w:pPr>
    </w:p>
    <w:p>
      <w:pPr>
        <w:ind w:firstLine="640" w:firstLineChars="200"/>
        <w:rPr>
          <w:szCs w:val="32"/>
        </w:rPr>
      </w:pPr>
      <w:r>
        <w:rPr>
          <w:szCs w:val="32"/>
        </w:rPr>
        <w:t xml:space="preserve">                                   2020年6月16日</w:t>
      </w:r>
    </w:p>
    <w:p>
      <w:pPr>
        <w:tabs>
          <w:tab w:val="center" w:pos="4153"/>
        </w:tabs>
        <w:ind w:firstLine="0"/>
        <w:rPr>
          <w:rFonts w:eastAsia="方正小标宋简体"/>
          <w:bCs/>
          <w:sz w:val="36"/>
          <w:szCs w:val="36"/>
        </w:rPr>
      </w:pPr>
    </w:p>
    <w:p>
      <w:pPr>
        <w:widowControl/>
        <w:spacing w:line="240" w:lineRule="auto"/>
        <w:ind w:firstLine="0"/>
        <w:jc w:val="left"/>
        <w:rPr>
          <w:rFonts w:eastAsia="方正小标宋简体"/>
          <w:bCs/>
          <w:sz w:val="36"/>
          <w:szCs w:val="36"/>
        </w:rPr>
      </w:pPr>
      <w:r>
        <w:rPr>
          <w:rFonts w:eastAsia="方正小标宋简体"/>
          <w:bCs/>
          <w:sz w:val="36"/>
          <w:szCs w:val="36"/>
        </w:rPr>
        <w:br w:type="page"/>
      </w:r>
    </w:p>
    <w:p>
      <w:pPr>
        <w:spacing w:line="600" w:lineRule="exact"/>
        <w:ind w:firstLine="0"/>
        <w:jc w:val="center"/>
        <w:rPr>
          <w:rFonts w:eastAsia="方正小标宋简体"/>
          <w:bCs/>
          <w:sz w:val="36"/>
          <w:szCs w:val="36"/>
        </w:rPr>
      </w:pPr>
    </w:p>
    <w:p>
      <w:pPr>
        <w:spacing w:line="600" w:lineRule="exact"/>
        <w:ind w:firstLine="0"/>
        <w:jc w:val="center"/>
        <w:rPr>
          <w:rFonts w:eastAsia="方正小标宋简体"/>
          <w:sz w:val="44"/>
          <w:szCs w:val="44"/>
        </w:rPr>
      </w:pPr>
      <w:r>
        <w:rPr>
          <w:rFonts w:eastAsia="方正小标宋简体"/>
          <w:sz w:val="44"/>
          <w:szCs w:val="44"/>
        </w:rPr>
        <w:t>四川省就业创业培训管理办法</w:t>
      </w:r>
    </w:p>
    <w:p>
      <w:pPr>
        <w:spacing w:line="600" w:lineRule="exact"/>
        <w:ind w:firstLine="0"/>
        <w:jc w:val="center"/>
        <w:rPr>
          <w:rFonts w:eastAsia="黑体"/>
          <w:szCs w:val="32"/>
        </w:rPr>
      </w:pPr>
    </w:p>
    <w:p>
      <w:pPr>
        <w:spacing w:line="600" w:lineRule="exact"/>
        <w:ind w:firstLine="0"/>
        <w:jc w:val="center"/>
        <w:rPr>
          <w:rFonts w:eastAsia="黑体"/>
          <w:szCs w:val="32"/>
        </w:rPr>
      </w:pPr>
      <w:r>
        <w:rPr>
          <w:rFonts w:eastAsia="黑体"/>
          <w:szCs w:val="32"/>
        </w:rPr>
        <w:t>第一章  总  则</w:t>
      </w:r>
    </w:p>
    <w:p>
      <w:pPr>
        <w:spacing w:line="600" w:lineRule="exact"/>
        <w:ind w:firstLine="642" w:firstLineChars="200"/>
        <w:rPr>
          <w:b/>
          <w:szCs w:val="32"/>
        </w:rPr>
      </w:pPr>
    </w:p>
    <w:p>
      <w:pPr>
        <w:spacing w:line="600" w:lineRule="exact"/>
        <w:ind w:firstLine="642" w:firstLineChars="200"/>
        <w:rPr>
          <w:szCs w:val="32"/>
        </w:rPr>
      </w:pPr>
      <w:r>
        <w:rPr>
          <w:b/>
          <w:szCs w:val="32"/>
        </w:rPr>
        <w:t>第一条</w:t>
      </w:r>
      <w:r>
        <w:rPr>
          <w:szCs w:val="32"/>
        </w:rPr>
        <w:t xml:space="preserve">  为大力推行终身职业技能培训制度和大规模开展职业技能培训，加强和规范就业创业培训，确保培训补贴资金安全，进一步提高资金使用效益，根据《国务院关于推行终身职业技能培训制度的意见》（国发〔2018〕11号）、《四川省人民政府关于做好当前和今后一段时期就业创业工作的实施意见》（川府发〔2017〕53号）、《四川省人民政府办公厅关于印发四川省职业技能提升行动实施方案（2019—2021年）的通知》（川办发〔2019〕55号）以及中央和省级就业创业补助资金管理办法、职业技能提升行动专账资金管理办法等有关规定，结合工作实际，制定本办法。</w:t>
      </w:r>
    </w:p>
    <w:p>
      <w:pPr>
        <w:spacing w:line="600" w:lineRule="exact"/>
        <w:rPr>
          <w:color w:val="000000"/>
          <w:kern w:val="0"/>
          <w:szCs w:val="32"/>
        </w:rPr>
      </w:pPr>
      <w:r>
        <w:rPr>
          <w:b/>
          <w:szCs w:val="32"/>
        </w:rPr>
        <w:t>第二条</w:t>
      </w:r>
      <w:r>
        <w:rPr>
          <w:szCs w:val="32"/>
        </w:rPr>
        <w:t xml:space="preserve">  本办法所称就业创业培训是指由人力资源社会保障部门（以下简称“人社部门”）组织、实施和管理，从就业创业补助资金、职业技能提升行动专账资金中给予补贴的就业技能培训和创业培训。</w:t>
      </w:r>
      <w:r>
        <w:rPr>
          <w:color w:val="000000"/>
          <w:kern w:val="0"/>
          <w:szCs w:val="32"/>
        </w:rPr>
        <w:t>各地要根据当地就业状况和就业工作任务，合理制订年度职业培训计划，统筹安排各项培训补贴资金，提高职业培训补贴资金保障能力。</w:t>
      </w:r>
    </w:p>
    <w:p>
      <w:pPr>
        <w:spacing w:line="600" w:lineRule="exact"/>
        <w:ind w:firstLine="640" w:firstLineChars="200"/>
        <w:rPr>
          <w:szCs w:val="32"/>
        </w:rPr>
      </w:pPr>
      <w:r>
        <w:rPr>
          <w:szCs w:val="32"/>
        </w:rPr>
        <w:t>就业技能培训要以提升城乡劳动者就业能力、促进和稳定就业为目标，坚持理论与实践结合，强化实际操作技能训练和职业素质培养。</w:t>
      </w:r>
    </w:p>
    <w:p>
      <w:pPr>
        <w:spacing w:line="600" w:lineRule="exact"/>
        <w:ind w:firstLine="640" w:firstLineChars="200"/>
        <w:rPr>
          <w:szCs w:val="32"/>
        </w:rPr>
      </w:pPr>
      <w:r>
        <w:rPr>
          <w:szCs w:val="32"/>
        </w:rPr>
        <w:t>创业培训要以提升创业能力、促进成功创业、推进创业带动就业为目标，开展创业意识教育、创新素质培养、创业项目指导、企业经营管理等培训。创业培训包含SIYB培训（产生你的企业想法GYB、创办你的企业SYB、改善你的企业IYB、扩大你的企业EYB）、网络（电商）创业培训和创业模拟实训等相关课程。</w:t>
      </w:r>
    </w:p>
    <w:p>
      <w:pPr>
        <w:spacing w:line="600" w:lineRule="exact"/>
        <w:rPr>
          <w:szCs w:val="32"/>
        </w:rPr>
      </w:pPr>
    </w:p>
    <w:p>
      <w:pPr>
        <w:spacing w:line="600" w:lineRule="exact"/>
        <w:ind w:firstLine="0"/>
        <w:jc w:val="center"/>
        <w:rPr>
          <w:rFonts w:eastAsia="黑体"/>
          <w:szCs w:val="32"/>
        </w:rPr>
      </w:pPr>
      <w:r>
        <w:rPr>
          <w:rFonts w:eastAsia="黑体"/>
          <w:szCs w:val="32"/>
        </w:rPr>
        <w:t>第二章  培训组织</w:t>
      </w:r>
    </w:p>
    <w:p>
      <w:pPr>
        <w:spacing w:line="600" w:lineRule="exact"/>
        <w:rPr>
          <w:b/>
          <w:szCs w:val="32"/>
        </w:rPr>
      </w:pPr>
    </w:p>
    <w:p>
      <w:pPr>
        <w:spacing w:line="600" w:lineRule="exact"/>
        <w:ind w:firstLine="642" w:firstLineChars="200"/>
        <w:rPr>
          <w:szCs w:val="32"/>
        </w:rPr>
      </w:pPr>
      <w:r>
        <w:rPr>
          <w:b/>
          <w:szCs w:val="32"/>
        </w:rPr>
        <w:t>第三条</w:t>
      </w:r>
      <w:r>
        <w:rPr>
          <w:szCs w:val="32"/>
        </w:rPr>
        <w:t xml:space="preserve">  就业创业培训主体包括经公共就业创业服务机构（或相关行政主管部门）备案认可的各类企业设立的职工培训中心（部门、实训中心、教学工厂等），以及具备条件的职业院校（含技工院校）、就业训练中心和民办职业培训学校等机构（以下统称“培训机构”），政府补贴性就业创业培训项目原则上全部向以上培训主体开放。</w:t>
      </w:r>
    </w:p>
    <w:p>
      <w:pPr>
        <w:spacing w:line="600" w:lineRule="exact"/>
        <w:ind w:firstLine="642" w:firstLineChars="200"/>
        <w:rPr>
          <w:szCs w:val="32"/>
        </w:rPr>
      </w:pPr>
      <w:r>
        <w:rPr>
          <w:b/>
          <w:szCs w:val="32"/>
        </w:rPr>
        <w:t>第四条</w:t>
      </w:r>
      <w:r>
        <w:rPr>
          <w:szCs w:val="32"/>
        </w:rPr>
        <w:t xml:space="preserve">  培训主体实行定点管理或备案审核管理。按照属地管理权限，各地人社部门依据当地就业创业培训工作实际，坚持“公开规范、自愿申报、择优选择、动态管理”的原则，对各类具备条件的培训机构实行定点管理或备案审核管理。培训机构经所在地县级以上人社部门认定或备案审核同意后在办学许可核定的专业（项目）范围内组织开展就业创业培训。</w:t>
      </w:r>
    </w:p>
    <w:p>
      <w:pPr>
        <w:spacing w:line="600" w:lineRule="exact"/>
        <w:ind w:firstLine="640"/>
        <w:rPr>
          <w:szCs w:val="32"/>
        </w:rPr>
      </w:pPr>
      <w:r>
        <w:rPr>
          <w:b/>
          <w:szCs w:val="32"/>
        </w:rPr>
        <w:t>第五条</w:t>
      </w:r>
      <w:r>
        <w:rPr>
          <w:szCs w:val="32"/>
        </w:rPr>
        <w:t xml:space="preserve">  培训主体应在审批机关核定的办学区域（教学场所）开展就业创业培训。确需跨地域开展培训的，需由相应机构备案同意：</w:t>
      </w:r>
    </w:p>
    <w:p>
      <w:pPr>
        <w:spacing w:line="600" w:lineRule="exact"/>
        <w:ind w:firstLine="640"/>
        <w:rPr>
          <w:szCs w:val="32"/>
        </w:rPr>
      </w:pPr>
      <w:r>
        <w:rPr>
          <w:szCs w:val="32"/>
        </w:rPr>
        <w:t>（一）同一市（州）跨县（区）开展培训，由所在市（州）人社部门备案同意；</w:t>
      </w:r>
    </w:p>
    <w:p>
      <w:pPr>
        <w:spacing w:line="600" w:lineRule="exact"/>
        <w:ind w:firstLine="640"/>
        <w:rPr>
          <w:szCs w:val="32"/>
        </w:rPr>
      </w:pPr>
      <w:r>
        <w:rPr>
          <w:szCs w:val="32"/>
        </w:rPr>
        <w:t>（二）跨市（州）开展培训，由培训实际开展地的市（州）人社部门备案同意。</w:t>
      </w:r>
    </w:p>
    <w:p>
      <w:pPr>
        <w:spacing w:line="600" w:lineRule="exact"/>
        <w:ind w:firstLine="640"/>
        <w:rPr>
          <w:szCs w:val="32"/>
        </w:rPr>
      </w:pPr>
      <w:r>
        <w:rPr>
          <w:b/>
          <w:szCs w:val="32"/>
        </w:rPr>
        <w:t>第六条</w:t>
      </w:r>
      <w:r>
        <w:rPr>
          <w:szCs w:val="32"/>
        </w:rPr>
        <w:t xml:space="preserve">  各级人社部门应在部门官方网站或采取其它有效方式，及时将当地就业创业定点培训机构或备案培训机构的名称、办学地址、培训项目、培训专业（工种）及等级、培训期限、收费标准、联系方式等信息予以公告，并及时录入四川公共就业创业服务管理信息系统（以下简称“管理信息系统”）。</w:t>
      </w:r>
    </w:p>
    <w:p>
      <w:pPr>
        <w:spacing w:line="600" w:lineRule="exact"/>
        <w:ind w:firstLine="640"/>
        <w:rPr>
          <w:szCs w:val="32"/>
        </w:rPr>
      </w:pPr>
      <w:r>
        <w:rPr>
          <w:b/>
          <w:szCs w:val="32"/>
        </w:rPr>
        <w:t>第七条</w:t>
      </w:r>
      <w:r>
        <w:rPr>
          <w:szCs w:val="32"/>
        </w:rPr>
        <w:t xml:space="preserve">  各级人社部门应建立和完善培训机构绩效考评和退出机制，将培训机构纳入管理信息系统进行动态管理，定期组织开展综合评估，根据评估结果进行调整，并及时向社会公布。</w:t>
      </w:r>
    </w:p>
    <w:p>
      <w:pPr>
        <w:spacing w:line="600" w:lineRule="exact"/>
        <w:rPr>
          <w:szCs w:val="32"/>
        </w:rPr>
      </w:pPr>
    </w:p>
    <w:p>
      <w:pPr>
        <w:spacing w:line="600" w:lineRule="exact"/>
        <w:ind w:firstLine="0"/>
        <w:jc w:val="center"/>
        <w:rPr>
          <w:rFonts w:eastAsia="黑体"/>
          <w:szCs w:val="32"/>
        </w:rPr>
      </w:pPr>
      <w:r>
        <w:rPr>
          <w:rFonts w:eastAsia="黑体"/>
          <w:szCs w:val="32"/>
        </w:rPr>
        <w:t>第三章  培训实施</w:t>
      </w:r>
    </w:p>
    <w:p>
      <w:pPr>
        <w:spacing w:line="600" w:lineRule="exact"/>
        <w:rPr>
          <w:b/>
          <w:szCs w:val="32"/>
        </w:rPr>
      </w:pPr>
    </w:p>
    <w:p>
      <w:pPr>
        <w:spacing w:line="600" w:lineRule="exact"/>
        <w:ind w:firstLine="642" w:firstLineChars="200"/>
        <w:rPr>
          <w:szCs w:val="32"/>
        </w:rPr>
      </w:pPr>
      <w:r>
        <w:rPr>
          <w:b/>
          <w:szCs w:val="32"/>
        </w:rPr>
        <w:t>第八条</w:t>
      </w:r>
      <w:r>
        <w:rPr>
          <w:szCs w:val="32"/>
        </w:rPr>
        <w:t xml:space="preserve">  就业创业培训由县级以上公共就业创业服务机构（或人社部门）组织实施，坚持“开班申请、过程检查、结业审核”的基本制度。</w:t>
      </w:r>
    </w:p>
    <w:p>
      <w:pPr>
        <w:spacing w:line="600" w:lineRule="exact"/>
        <w:ind w:firstLine="640"/>
        <w:rPr>
          <w:szCs w:val="32"/>
        </w:rPr>
      </w:pPr>
      <w:r>
        <w:rPr>
          <w:b/>
          <w:szCs w:val="32"/>
        </w:rPr>
        <w:t>第九条</w:t>
      </w:r>
      <w:r>
        <w:rPr>
          <w:szCs w:val="32"/>
        </w:rPr>
        <w:t xml:space="preserve">  公</w:t>
      </w:r>
      <w:r>
        <w:rPr>
          <w:spacing w:val="-2"/>
          <w:szCs w:val="32"/>
        </w:rPr>
        <w:t>共就业创业服务机构（或人社部门）、培训机构和企业应及时发布培训信息，参训对象可就近在基层公共就业服务平台、培训机构等线下平台或通过“四川e就业”、四川职业技能提升网络培训平台、网上服务大厅等线上平台，根据需求自主选择培训项目报名参训。参训对象须对所填报信息真实性负责并作出承诺。</w:t>
      </w:r>
    </w:p>
    <w:p>
      <w:pPr>
        <w:spacing w:line="600" w:lineRule="exact"/>
        <w:ind w:firstLine="641"/>
        <w:rPr>
          <w:color w:val="FF0000"/>
          <w:szCs w:val="32"/>
        </w:rPr>
      </w:pPr>
      <w:r>
        <w:rPr>
          <w:b/>
          <w:szCs w:val="32"/>
        </w:rPr>
        <w:t>第十条</w:t>
      </w:r>
      <w:r>
        <w:rPr>
          <w:szCs w:val="32"/>
        </w:rPr>
        <w:t xml:space="preserve">  参训对象报名达到一定规模后（就业技能培训原则上不超过60人/班，创业培训不超过30人/班，网络创业培训不超过35人/班，企业组织职工参训原则上不超过200人/班），培训机构或企业提前5个工作日向当地公共就业创业服务机构（或人社部门）提出开班申请，并提供《就业创业培训开班申请表（样表）》（附件1）、《就业创业培训学员花名册（样表）》（附件2）、培训教学计划及课程安排、授课教师、教材清单、考试考核安排等资料，经批准同意后方可开班。线上培训需同时向当地公共就业创业服务机构（或人社部门）报送培训方案，经批准同意后方可开班。</w:t>
      </w:r>
    </w:p>
    <w:p>
      <w:pPr>
        <w:spacing w:line="600" w:lineRule="exact"/>
        <w:ind w:firstLine="641"/>
        <w:rPr>
          <w:szCs w:val="32"/>
        </w:rPr>
      </w:pPr>
      <w:r>
        <w:rPr>
          <w:b/>
          <w:szCs w:val="32"/>
        </w:rPr>
        <w:t>第十一条</w:t>
      </w:r>
      <w:r>
        <w:rPr>
          <w:szCs w:val="32"/>
        </w:rPr>
        <w:t xml:space="preserve">  就业创业培训依托管理信息系统实行实名制管理，经核实不符合相关条件的，不予补贴。条件成熟的地区，实行指纹或人脸识别考勤，推广使用全程视频实时监控系统。不具备信息化管理条件的地区，建立实名签到考勤制度，公共就业创业服务机构（或人社部门）应对每个培训班进行巡查、抽查或专查，并填写《就业创业培训现场（线上)检查确认表（样表）》（附件3）。公共就业创业服务机构（或人社部门）应加强对培训实施过程的业务指导。</w:t>
      </w:r>
    </w:p>
    <w:p>
      <w:pPr>
        <w:spacing w:line="600" w:lineRule="exact"/>
        <w:ind w:firstLine="641"/>
        <w:rPr>
          <w:szCs w:val="32"/>
        </w:rPr>
      </w:pPr>
      <w:r>
        <w:rPr>
          <w:b/>
          <w:szCs w:val="32"/>
        </w:rPr>
        <w:t>第十二条</w:t>
      </w:r>
      <w:r>
        <w:rPr>
          <w:szCs w:val="32"/>
        </w:rPr>
        <w:t xml:space="preserve">  按规定学时完成培训后，培训机构或企业须及时组织参训人员申报职业技能鉴定、职业技能等级认定、专项职业能力考核或组织结业考试考核。各地可将学员出勤率设置为考核合格、申领职业培训补贴及职业技能鉴定的必要条件。</w:t>
      </w:r>
    </w:p>
    <w:p>
      <w:pPr>
        <w:spacing w:line="600" w:lineRule="exact"/>
        <w:jc w:val="center"/>
        <w:rPr>
          <w:color w:val="FF0000"/>
          <w:szCs w:val="32"/>
        </w:rPr>
      </w:pPr>
    </w:p>
    <w:p>
      <w:pPr>
        <w:spacing w:line="600" w:lineRule="exact"/>
        <w:ind w:firstLine="0"/>
        <w:jc w:val="center"/>
        <w:rPr>
          <w:rFonts w:eastAsia="黑体"/>
          <w:szCs w:val="32"/>
        </w:rPr>
      </w:pPr>
      <w:r>
        <w:rPr>
          <w:rFonts w:eastAsia="黑体"/>
          <w:szCs w:val="32"/>
        </w:rPr>
        <w:t>第四章  培训补贴</w:t>
      </w:r>
    </w:p>
    <w:p>
      <w:pPr>
        <w:spacing w:line="600" w:lineRule="exact"/>
        <w:ind w:firstLine="640"/>
        <w:rPr>
          <w:b/>
          <w:szCs w:val="32"/>
        </w:rPr>
      </w:pPr>
    </w:p>
    <w:p>
      <w:pPr>
        <w:spacing w:line="600" w:lineRule="exact"/>
        <w:ind w:firstLine="642" w:firstLineChars="200"/>
        <w:rPr>
          <w:szCs w:val="32"/>
        </w:rPr>
      </w:pPr>
      <w:r>
        <w:rPr>
          <w:b/>
          <w:szCs w:val="32"/>
        </w:rPr>
        <w:t>第十三条</w:t>
      </w:r>
      <w:r>
        <w:rPr>
          <w:szCs w:val="32"/>
        </w:rPr>
        <w:t xml:space="preserve">  符合条件的劳动者在户籍地、常住地、培训地、求职就业地参加培训后取得相应证书的，按规定给予职业培训补贴。每人每自然年度可享受不超过3次职业培训补贴，但同一职业（工种）同一等级不可重复享受（同一教学模块的创业培训课程，每人只可享受一次培训补贴）。劳动者已取得同一职业（工种）较高等级证书的不再享受同一职业（工种）较低等级的培训补贴。</w:t>
      </w:r>
    </w:p>
    <w:p>
      <w:pPr>
        <w:spacing w:line="600" w:lineRule="exact"/>
        <w:ind w:firstLine="640"/>
        <w:rPr>
          <w:szCs w:val="32"/>
        </w:rPr>
      </w:pPr>
      <w:r>
        <w:rPr>
          <w:b/>
          <w:szCs w:val="32"/>
        </w:rPr>
        <w:t>第十四条</w:t>
      </w:r>
      <w:r>
        <w:rPr>
          <w:szCs w:val="32"/>
        </w:rPr>
        <w:t xml:space="preserve">  就业创业培训采取“先垫后补”“信用支付”“先期预拨，据实结算”和项目制培训等方式实施补贴。</w:t>
      </w:r>
    </w:p>
    <w:p>
      <w:pPr>
        <w:spacing w:line="600" w:lineRule="exact"/>
        <w:ind w:firstLine="640"/>
        <w:rPr>
          <w:szCs w:val="32"/>
        </w:rPr>
      </w:pPr>
      <w:r>
        <w:rPr>
          <w:szCs w:val="32"/>
        </w:rPr>
        <w:t>（一）参训人员自行缴纳培训费用的，培训补贴由个人申请并拨付个人，同时需提供培训机构组织开展培训的相关资料；培训费用由培训机构垫付的，由培训机构申请并拨付给培训机构；企业组织职工参加就业技能培训的，由企业申请补贴并拨付给企业，同时需提供企业委托培训机构组织开展培训的相关协议。补贴标准、申请补贴所需申报材料应符合中央和省级就业创业补助资金管理办法、职业技能提升行动专账资金管理办法的相关规定，由各级人社部门、财政部门结合实际自行确定。</w:t>
      </w:r>
    </w:p>
    <w:p>
      <w:pPr>
        <w:spacing w:line="600" w:lineRule="exact"/>
        <w:ind w:firstLine="640"/>
        <w:rPr>
          <w:szCs w:val="32"/>
        </w:rPr>
      </w:pPr>
      <w:r>
        <w:rPr>
          <w:szCs w:val="32"/>
        </w:rPr>
        <w:t>（二）有条件的地区可为劳动者建立职业培训个人信用账户，鼓励劳动者自主选择培训机构和课程，并通过信用账户支付培训费用。</w:t>
      </w:r>
    </w:p>
    <w:p>
      <w:pPr>
        <w:spacing w:line="600" w:lineRule="exact"/>
        <w:ind w:firstLine="640"/>
        <w:rPr>
          <w:szCs w:val="32"/>
        </w:rPr>
      </w:pPr>
      <w:r>
        <w:rPr>
          <w:szCs w:val="32"/>
        </w:rPr>
        <w:t>（三）各地可通过项目制方式向培训机构或企业整建制购买培训项目。</w:t>
      </w:r>
    </w:p>
    <w:p>
      <w:pPr>
        <w:spacing w:line="600" w:lineRule="exact"/>
        <w:ind w:firstLine="640"/>
        <w:rPr>
          <w:szCs w:val="32"/>
        </w:rPr>
      </w:pPr>
      <w:r>
        <w:rPr>
          <w:szCs w:val="32"/>
        </w:rPr>
        <w:t>（四）对培训机构为符合条件人员提供免费就业创业培训的，按照相关规定给予职业培训补贴。</w:t>
      </w:r>
    </w:p>
    <w:p>
      <w:pPr>
        <w:spacing w:line="600" w:lineRule="exact"/>
        <w:ind w:firstLine="642" w:firstLineChars="200"/>
        <w:rPr>
          <w:szCs w:val="32"/>
        </w:rPr>
      </w:pPr>
      <w:r>
        <w:rPr>
          <w:b/>
          <w:szCs w:val="32"/>
        </w:rPr>
        <w:t>第十五条</w:t>
      </w:r>
      <w:r>
        <w:rPr>
          <w:szCs w:val="32"/>
        </w:rPr>
        <w:t xml:space="preserve">  公共就业创业服务机构收到职业培训补贴申请后，按规定审核资料，重点对培训的真实性和申报资料的完整性进行审核，采取电话等方式对参训学员进行回访。</w:t>
      </w:r>
    </w:p>
    <w:p>
      <w:pPr>
        <w:spacing w:line="600" w:lineRule="exact"/>
        <w:ind w:firstLine="642" w:firstLineChars="200"/>
        <w:rPr>
          <w:szCs w:val="32"/>
        </w:rPr>
      </w:pPr>
      <w:r>
        <w:rPr>
          <w:b/>
          <w:szCs w:val="32"/>
        </w:rPr>
        <w:t>第十六条</w:t>
      </w:r>
      <w:r>
        <w:rPr>
          <w:szCs w:val="32"/>
        </w:rPr>
        <w:t xml:space="preserve">  公共就业创业服务机构应在30个工作日内完成初审，并将审核结果在部门官方网站或采取其它有效方式进行公示，公示期不少于5个工作日。</w:t>
      </w:r>
    </w:p>
    <w:p>
      <w:pPr>
        <w:spacing w:line="600" w:lineRule="exact"/>
        <w:ind w:firstLine="640"/>
        <w:rPr>
          <w:szCs w:val="32"/>
        </w:rPr>
      </w:pPr>
      <w:r>
        <w:rPr>
          <w:b/>
          <w:szCs w:val="32"/>
        </w:rPr>
        <w:t>第十七条</w:t>
      </w:r>
      <w:r>
        <w:rPr>
          <w:szCs w:val="32"/>
        </w:rPr>
        <w:t xml:space="preserve">  公示无异议后，按照规定组织复核。公共就业创业服务机构（或人社部门、财政部门）根据复核结果，将核定后的补贴拨付到参训人员本人社保卡（银行卡）或培训机构、企业的银行基本帐户，并将补贴拨付情况录入管理信息系统。以上培训补贴资金拨付到位后，由申领补贴的企业、培训机构提供银行进账单作为付款凭证入账。个人申请培训补贴的，需提供培训机构出具的行政事业性收费票据或税务发票。</w:t>
      </w:r>
    </w:p>
    <w:p>
      <w:pPr>
        <w:spacing w:line="600" w:lineRule="exact"/>
        <w:ind w:firstLine="642" w:firstLineChars="200"/>
        <w:rPr>
          <w:color w:val="FF0000"/>
          <w:szCs w:val="32"/>
        </w:rPr>
      </w:pPr>
      <w:r>
        <w:rPr>
          <w:b/>
          <w:szCs w:val="32"/>
        </w:rPr>
        <w:t>第十八条</w:t>
      </w:r>
      <w:r>
        <w:rPr>
          <w:szCs w:val="32"/>
        </w:rPr>
        <w:t xml:space="preserve">  各地要切实提高补贴性培训参训人员就业创业能力，结合实际开展训后就业创业指导，增强就业创业意识，积极促进参训人员就业创业。</w:t>
      </w:r>
    </w:p>
    <w:p>
      <w:pPr>
        <w:spacing w:line="600" w:lineRule="exact"/>
        <w:ind w:firstLine="640" w:firstLineChars="200"/>
        <w:rPr>
          <w:szCs w:val="32"/>
        </w:rPr>
      </w:pPr>
    </w:p>
    <w:p>
      <w:pPr>
        <w:spacing w:line="600" w:lineRule="exact"/>
        <w:ind w:firstLine="0"/>
        <w:jc w:val="center"/>
        <w:rPr>
          <w:rFonts w:eastAsia="黑体"/>
          <w:szCs w:val="32"/>
        </w:rPr>
      </w:pPr>
      <w:r>
        <w:rPr>
          <w:rFonts w:eastAsia="黑体"/>
          <w:szCs w:val="32"/>
        </w:rPr>
        <w:t>第五章  监督管理</w:t>
      </w:r>
    </w:p>
    <w:p>
      <w:pPr>
        <w:spacing w:line="600" w:lineRule="exact"/>
        <w:rPr>
          <w:b/>
          <w:szCs w:val="32"/>
        </w:rPr>
      </w:pPr>
    </w:p>
    <w:p>
      <w:pPr>
        <w:spacing w:line="600" w:lineRule="exact"/>
        <w:ind w:firstLine="640"/>
        <w:rPr>
          <w:szCs w:val="32"/>
        </w:rPr>
      </w:pPr>
      <w:r>
        <w:rPr>
          <w:b/>
          <w:szCs w:val="32"/>
        </w:rPr>
        <w:t>第十九条</w:t>
      </w:r>
      <w:r>
        <w:rPr>
          <w:szCs w:val="32"/>
        </w:rPr>
        <w:t xml:space="preserve">  各级人社部门负责就业创业培训发展规划、业务指导。各级财政部门负责就业创业培训补贴资金的筹措、管理。各级公共就业创业服务机构具体组织实施本地就业创业培训、补贴资金申请审核以及拨付工作。全省就业创业培训工作统筹管理由四川省就业服务管理局负责，并指导各地组织实施。</w:t>
      </w:r>
    </w:p>
    <w:p>
      <w:pPr>
        <w:spacing w:line="600" w:lineRule="exact"/>
        <w:ind w:firstLine="642" w:firstLineChars="200"/>
        <w:rPr>
          <w:szCs w:val="32"/>
        </w:rPr>
      </w:pPr>
      <w:r>
        <w:rPr>
          <w:b/>
          <w:szCs w:val="32"/>
        </w:rPr>
        <w:t>第二十条</w:t>
      </w:r>
      <w:r>
        <w:rPr>
          <w:szCs w:val="32"/>
        </w:rPr>
        <w:t xml:space="preserve">  各级公共就业创业服务机构（或人社部门）要根据当地产业发展和劳动者就业需求，建立就业创业培训项目清单，及时向社会公布并动态调整。</w:t>
      </w:r>
    </w:p>
    <w:p>
      <w:pPr>
        <w:spacing w:line="600" w:lineRule="exact"/>
        <w:ind w:firstLine="640"/>
        <w:rPr>
          <w:szCs w:val="32"/>
        </w:rPr>
      </w:pPr>
      <w:r>
        <w:rPr>
          <w:b/>
          <w:szCs w:val="32"/>
        </w:rPr>
        <w:t>第二十一条</w:t>
      </w:r>
      <w:r>
        <w:rPr>
          <w:szCs w:val="32"/>
        </w:rPr>
        <w:t xml:space="preserve">  各级公共就业创业服务机构（或人社部门）应加强培训质量管理，完善职业培训相关制度和技术标准，针对重点问题和关键环节细化工作措施；发挥机构内部审计职能，加强风险防控；依托管理信息系统将各类政府补贴性职业培训纳入实名制管理，加强对就业创业培训工作事前、事中、事后的监管，提高培训工作管理水平。</w:t>
      </w:r>
    </w:p>
    <w:p>
      <w:pPr>
        <w:spacing w:line="600" w:lineRule="exact"/>
        <w:ind w:firstLine="640"/>
        <w:rPr>
          <w:szCs w:val="32"/>
        </w:rPr>
      </w:pPr>
      <w:r>
        <w:rPr>
          <w:b/>
          <w:szCs w:val="32"/>
        </w:rPr>
        <w:t>第二十二条</w:t>
      </w:r>
      <w:r>
        <w:rPr>
          <w:szCs w:val="32"/>
        </w:rPr>
        <w:t xml:space="preserve">  培训机构应加强内部管理、落实各项制度，规范和优化培训工种（专业）、项目的培训课时、培训内容和培训方式，提高培训的针对性和实效性，确保培训质量和效果。</w:t>
      </w:r>
    </w:p>
    <w:p>
      <w:pPr>
        <w:spacing w:line="600" w:lineRule="exact"/>
        <w:ind w:firstLine="640"/>
        <w:rPr>
          <w:szCs w:val="32"/>
        </w:rPr>
      </w:pPr>
      <w:r>
        <w:rPr>
          <w:b/>
          <w:szCs w:val="32"/>
        </w:rPr>
        <w:t>第二十三条</w:t>
      </w:r>
      <w:r>
        <w:rPr>
          <w:szCs w:val="32"/>
        </w:rPr>
        <w:t xml:space="preserve">  培训机构应按班次建立相应的就业创业培训台账和学员就业创业情况台账，按档案管理规定存档备查。就业创业培训台账应记载培训开班、过程及结业审核情况、培训学员基本情况及培训专业、培训时间、考试考核和收费等内容；学员就业创业情况台账应记载培训结束后学员就业创业信息、劳动合同签订或企业招（录）用时间、就业岗位、企业联系方式、创业情况等内容。</w:t>
      </w:r>
    </w:p>
    <w:p>
      <w:pPr>
        <w:spacing w:line="600" w:lineRule="exact"/>
        <w:ind w:firstLine="640"/>
        <w:rPr>
          <w:szCs w:val="32"/>
        </w:rPr>
      </w:pPr>
      <w:r>
        <w:rPr>
          <w:b/>
          <w:szCs w:val="32"/>
        </w:rPr>
        <w:t>第二十四条</w:t>
      </w:r>
      <w:r>
        <w:rPr>
          <w:szCs w:val="32"/>
        </w:rPr>
        <w:t xml:space="preserve">  培训机构必须在许可范围内，严格按照教学计划和课时要求保质保量完成培训任务。禁止培训机构以下行为：</w:t>
      </w:r>
    </w:p>
    <w:p>
      <w:pPr>
        <w:spacing w:line="600" w:lineRule="exact"/>
        <w:ind w:firstLine="640"/>
        <w:rPr>
          <w:szCs w:val="32"/>
        </w:rPr>
      </w:pPr>
      <w:r>
        <w:rPr>
          <w:szCs w:val="32"/>
        </w:rPr>
        <w:t>（一）发布虚假招生简章或者广告，骗取钱财；</w:t>
      </w:r>
    </w:p>
    <w:p>
      <w:pPr>
        <w:spacing w:line="600" w:lineRule="exact"/>
        <w:ind w:firstLine="640"/>
        <w:rPr>
          <w:szCs w:val="32"/>
        </w:rPr>
      </w:pPr>
      <w:r>
        <w:rPr>
          <w:szCs w:val="32"/>
        </w:rPr>
        <w:t>（二）弄虚作假，虚假培训；</w:t>
      </w:r>
    </w:p>
    <w:p>
      <w:pPr>
        <w:spacing w:line="600" w:lineRule="exact"/>
        <w:ind w:firstLine="640"/>
        <w:rPr>
          <w:szCs w:val="32"/>
        </w:rPr>
      </w:pPr>
      <w:r>
        <w:rPr>
          <w:szCs w:val="32"/>
        </w:rPr>
        <w:t>（三）套取、骗取政府各类补贴资金；</w:t>
      </w:r>
    </w:p>
    <w:p>
      <w:pPr>
        <w:spacing w:line="600" w:lineRule="exact"/>
        <w:ind w:firstLine="640"/>
        <w:rPr>
          <w:szCs w:val="32"/>
        </w:rPr>
      </w:pPr>
      <w:r>
        <w:rPr>
          <w:szCs w:val="32"/>
        </w:rPr>
        <w:t>（四）管理混乱，不认真履行教学、考核等职责，逃避监督检查;</w:t>
      </w:r>
    </w:p>
    <w:p>
      <w:pPr>
        <w:spacing w:line="600" w:lineRule="exact"/>
        <w:ind w:firstLine="640"/>
        <w:rPr>
          <w:szCs w:val="32"/>
        </w:rPr>
      </w:pPr>
      <w:r>
        <w:rPr>
          <w:szCs w:val="32"/>
        </w:rPr>
        <w:t>（五）出借、出租、伪造、变造、买卖办学资质，或将培训项目“转包”“委托”给其他单位或个人；</w:t>
      </w:r>
    </w:p>
    <w:p>
      <w:pPr>
        <w:spacing w:line="600" w:lineRule="exact"/>
        <w:ind w:firstLine="640"/>
        <w:rPr>
          <w:szCs w:val="32"/>
        </w:rPr>
      </w:pPr>
      <w:r>
        <w:rPr>
          <w:szCs w:val="32"/>
        </w:rPr>
        <w:t>（六）违规颁发或伪造结业、培训合格、职业资格、专项能力、技能等级等各类证书；</w:t>
      </w:r>
    </w:p>
    <w:p>
      <w:pPr>
        <w:spacing w:line="600" w:lineRule="exact"/>
        <w:ind w:firstLine="640"/>
        <w:rPr>
          <w:szCs w:val="32"/>
        </w:rPr>
      </w:pPr>
      <w:r>
        <w:rPr>
          <w:szCs w:val="32"/>
        </w:rPr>
        <w:t>（七）擅自改变机构名称、层次、类别和举办者；</w:t>
      </w:r>
    </w:p>
    <w:p>
      <w:pPr>
        <w:spacing w:line="600" w:lineRule="exact"/>
        <w:ind w:firstLine="640"/>
        <w:rPr>
          <w:szCs w:val="32"/>
        </w:rPr>
      </w:pPr>
      <w:r>
        <w:rPr>
          <w:szCs w:val="32"/>
        </w:rPr>
        <w:t>（八）法律法规禁止的其他行为。</w:t>
      </w:r>
    </w:p>
    <w:p>
      <w:pPr>
        <w:spacing w:line="600" w:lineRule="exact"/>
        <w:ind w:firstLine="640"/>
        <w:rPr>
          <w:szCs w:val="32"/>
        </w:rPr>
      </w:pPr>
      <w:r>
        <w:rPr>
          <w:b/>
          <w:szCs w:val="32"/>
        </w:rPr>
        <w:t>第二十五条</w:t>
      </w:r>
      <w:r>
        <w:rPr>
          <w:szCs w:val="32"/>
        </w:rPr>
        <w:t xml:space="preserve">  培训机构有第二十四条所列行为的，取消定点培训机构或备案培训机构资格，当年内不得再承担相关培训业务。对于在培训过程中，滥用职权、弄虚作假、骗取或冒领培训补贴的单位和个人，依法追究责任单位和有关责任人的相应责任；涉嫌犯罪的，依法移送司法机关处理。</w:t>
      </w:r>
    </w:p>
    <w:p>
      <w:pPr>
        <w:spacing w:line="600" w:lineRule="exact"/>
        <w:ind w:firstLine="640"/>
        <w:rPr>
          <w:b/>
          <w:szCs w:val="32"/>
        </w:rPr>
      </w:pPr>
      <w:r>
        <w:rPr>
          <w:b/>
          <w:szCs w:val="32"/>
        </w:rPr>
        <w:t>第二十六条</w:t>
      </w:r>
      <w:r>
        <w:rPr>
          <w:szCs w:val="32"/>
        </w:rPr>
        <w:t xml:space="preserve">  各地应坚持培训资金“谁使用、谁负责”的原则，建立培训绩效考评制度，确保就业创业培训质效。各级公共就业创业服务机构可委托</w:t>
      </w:r>
      <w:r>
        <w:rPr>
          <w:b/>
          <w:szCs w:val="32"/>
        </w:rPr>
        <w:t>第三方对培训机构进行监管和绩效评估。</w:t>
      </w:r>
    </w:p>
    <w:p>
      <w:pPr>
        <w:spacing w:line="600" w:lineRule="exact"/>
        <w:ind w:firstLine="640"/>
        <w:rPr>
          <w:szCs w:val="32"/>
        </w:rPr>
      </w:pPr>
      <w:r>
        <w:rPr>
          <w:b/>
          <w:szCs w:val="32"/>
        </w:rPr>
        <w:t>第二十七条</w:t>
      </w:r>
      <w:r>
        <w:rPr>
          <w:szCs w:val="32"/>
        </w:rPr>
        <w:t xml:space="preserve">  各地应建立培训预警机制，针对企业大规模组织培训过程中学员的安全、网络舆情等做好相应部署。</w:t>
      </w:r>
    </w:p>
    <w:p>
      <w:pPr>
        <w:spacing w:line="600" w:lineRule="exact"/>
        <w:ind w:firstLine="640"/>
        <w:rPr>
          <w:szCs w:val="32"/>
        </w:rPr>
      </w:pPr>
    </w:p>
    <w:p>
      <w:pPr>
        <w:spacing w:line="600" w:lineRule="exact"/>
        <w:ind w:firstLine="0"/>
        <w:jc w:val="center"/>
        <w:rPr>
          <w:rFonts w:eastAsia="黑体"/>
          <w:szCs w:val="32"/>
        </w:rPr>
      </w:pPr>
      <w:r>
        <w:rPr>
          <w:rFonts w:eastAsia="黑体"/>
          <w:szCs w:val="32"/>
        </w:rPr>
        <w:t>第六章  附  则</w:t>
      </w:r>
    </w:p>
    <w:p>
      <w:pPr>
        <w:spacing w:line="600" w:lineRule="exact"/>
        <w:jc w:val="center"/>
        <w:rPr>
          <w:b/>
          <w:szCs w:val="32"/>
        </w:rPr>
      </w:pPr>
    </w:p>
    <w:p>
      <w:pPr>
        <w:spacing w:line="600" w:lineRule="exact"/>
        <w:ind w:firstLine="640"/>
        <w:rPr>
          <w:szCs w:val="32"/>
        </w:rPr>
      </w:pPr>
      <w:r>
        <w:rPr>
          <w:b/>
          <w:szCs w:val="32"/>
        </w:rPr>
        <w:t>第二十八条</w:t>
      </w:r>
      <w:r>
        <w:rPr>
          <w:szCs w:val="32"/>
        </w:rPr>
        <w:t xml:space="preserve">  各地可结合本地实际，依据本办法、中央和省级就业创业补助资金管理办法、职业技能提升行动专账资金管理办法等规定，研究细化当地就业创业培训工作实施办法。</w:t>
      </w:r>
    </w:p>
    <w:p>
      <w:pPr>
        <w:spacing w:line="600" w:lineRule="exact"/>
        <w:ind w:firstLine="640"/>
        <w:rPr>
          <w:szCs w:val="32"/>
        </w:rPr>
      </w:pPr>
      <w:r>
        <w:rPr>
          <w:b/>
          <w:szCs w:val="32"/>
        </w:rPr>
        <w:t>第二十九条</w:t>
      </w:r>
      <w:r>
        <w:rPr>
          <w:szCs w:val="32"/>
        </w:rPr>
        <w:t xml:space="preserve">  本办法自印发之日起施行，由四川省人力资源和社会保障厅、财政厅负责解释。</w:t>
      </w:r>
    </w:p>
    <w:p>
      <w:pPr>
        <w:ind w:firstLine="0"/>
        <w:jc w:val="left"/>
      </w:pPr>
      <w:r>
        <w:br w:type="page"/>
      </w:r>
    </w:p>
    <w:p>
      <w:pPr>
        <w:ind w:firstLine="0"/>
        <w:rPr>
          <w:rFonts w:eastAsia="黑体"/>
          <w:szCs w:val="32"/>
        </w:rPr>
      </w:pPr>
      <w:r>
        <w:rPr>
          <w:rFonts w:eastAsia="黑体"/>
          <w:szCs w:val="32"/>
        </w:rPr>
        <w:t>附件1</w:t>
      </w:r>
    </w:p>
    <w:p>
      <w:pPr>
        <w:spacing w:line="400" w:lineRule="exact"/>
        <w:ind w:firstLine="0"/>
        <w:rPr>
          <w:rFonts w:eastAsia="黑体"/>
          <w:szCs w:val="32"/>
        </w:rPr>
      </w:pPr>
    </w:p>
    <w:p>
      <w:pPr>
        <w:ind w:firstLine="0"/>
        <w:jc w:val="center"/>
        <w:rPr>
          <w:rFonts w:eastAsia="方正仿宋简体"/>
          <w:sz w:val="36"/>
          <w:szCs w:val="36"/>
        </w:rPr>
      </w:pPr>
      <w:r>
        <w:rPr>
          <w:rFonts w:eastAsia="方正小标宋简体"/>
          <w:sz w:val="36"/>
          <w:szCs w:val="36"/>
        </w:rPr>
        <w:t>四川省就业创业培训开班申请表</w:t>
      </w:r>
    </w:p>
    <w:p>
      <w:pPr>
        <w:rPr>
          <w:sz w:val="24"/>
        </w:rPr>
      </w:pPr>
      <w:r>
        <w:rPr>
          <w:sz w:val="24"/>
        </w:rPr>
        <w:t>填报单位：                             申报时间：    年    月    日</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2717"/>
        <w:gridCol w:w="1508"/>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2518" w:type="dxa"/>
            <w:vAlign w:val="center"/>
          </w:tcPr>
          <w:p>
            <w:pPr>
              <w:spacing w:line="240" w:lineRule="auto"/>
              <w:ind w:firstLine="0"/>
              <w:jc w:val="center"/>
              <w:rPr>
                <w:sz w:val="24"/>
              </w:rPr>
            </w:pPr>
            <w:r>
              <w:rPr>
                <w:sz w:val="24"/>
              </w:rPr>
              <w:t>培训机构名称</w:t>
            </w:r>
          </w:p>
        </w:tc>
        <w:tc>
          <w:tcPr>
            <w:tcW w:w="6004" w:type="dxa"/>
            <w:gridSpan w:val="3"/>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2518" w:type="dxa"/>
            <w:vAlign w:val="center"/>
          </w:tcPr>
          <w:p>
            <w:pPr>
              <w:spacing w:line="240" w:lineRule="auto"/>
              <w:ind w:firstLine="0"/>
              <w:jc w:val="center"/>
              <w:rPr>
                <w:sz w:val="24"/>
              </w:rPr>
            </w:pPr>
            <w:r>
              <w:rPr>
                <w:sz w:val="24"/>
              </w:rPr>
              <w:t>机构法人代表</w:t>
            </w:r>
            <w:r>
              <w:rPr>
                <w:sz w:val="24"/>
              </w:rPr>
              <w:br w:type="textWrapping"/>
            </w:r>
            <w:r>
              <w:rPr>
                <w:sz w:val="24"/>
              </w:rPr>
              <w:t>（负责人）</w:t>
            </w:r>
          </w:p>
        </w:tc>
        <w:tc>
          <w:tcPr>
            <w:tcW w:w="2552" w:type="dxa"/>
            <w:vAlign w:val="center"/>
          </w:tcPr>
          <w:p>
            <w:pPr>
              <w:spacing w:line="240" w:lineRule="auto"/>
              <w:jc w:val="center"/>
              <w:rPr>
                <w:sz w:val="24"/>
              </w:rPr>
            </w:pPr>
          </w:p>
        </w:tc>
        <w:tc>
          <w:tcPr>
            <w:tcW w:w="1417" w:type="dxa"/>
            <w:vAlign w:val="center"/>
          </w:tcPr>
          <w:p>
            <w:pPr>
              <w:spacing w:line="240" w:lineRule="auto"/>
              <w:ind w:firstLine="0"/>
              <w:jc w:val="center"/>
              <w:rPr>
                <w:sz w:val="24"/>
              </w:rPr>
            </w:pPr>
            <w:r>
              <w:rPr>
                <w:sz w:val="24"/>
              </w:rPr>
              <w:t>联系电话</w:t>
            </w:r>
          </w:p>
        </w:tc>
        <w:tc>
          <w:tcPr>
            <w:tcW w:w="2035"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2518" w:type="dxa"/>
            <w:vAlign w:val="center"/>
          </w:tcPr>
          <w:p>
            <w:pPr>
              <w:spacing w:line="240" w:lineRule="auto"/>
              <w:ind w:firstLine="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经办人</w:t>
            </w:r>
          </w:p>
        </w:tc>
        <w:tc>
          <w:tcPr>
            <w:tcW w:w="2552" w:type="dxa"/>
            <w:vAlign w:val="center"/>
          </w:tcPr>
          <w:p>
            <w:pPr>
              <w:spacing w:line="240" w:lineRule="auto"/>
              <w:jc w:val="center"/>
              <w:rPr>
                <w:color w:val="000000" w:themeColor="text1"/>
                <w:sz w:val="24"/>
                <w14:textFill>
                  <w14:solidFill>
                    <w14:schemeClr w14:val="tx1"/>
                  </w14:solidFill>
                </w14:textFill>
              </w:rPr>
            </w:pPr>
          </w:p>
        </w:tc>
        <w:tc>
          <w:tcPr>
            <w:tcW w:w="1417" w:type="dxa"/>
            <w:vAlign w:val="center"/>
          </w:tcPr>
          <w:p>
            <w:pPr>
              <w:spacing w:line="240" w:lineRule="auto"/>
              <w:ind w:firstLine="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联系电话</w:t>
            </w:r>
          </w:p>
        </w:tc>
        <w:tc>
          <w:tcPr>
            <w:tcW w:w="2035" w:type="dxa"/>
            <w:vAlign w:val="center"/>
          </w:tcPr>
          <w:p>
            <w:pPr>
              <w:spacing w:line="240" w:lineRule="auto"/>
              <w:jc w:val="center"/>
              <w:rPr>
                <w:color w:val="C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8" w:type="dxa"/>
            <w:vAlign w:val="center"/>
          </w:tcPr>
          <w:p>
            <w:pPr>
              <w:spacing w:line="240" w:lineRule="auto"/>
              <w:ind w:firstLine="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培训专业（工种、项目）</w:t>
            </w:r>
          </w:p>
        </w:tc>
        <w:tc>
          <w:tcPr>
            <w:tcW w:w="2552" w:type="dxa"/>
            <w:vAlign w:val="center"/>
          </w:tcPr>
          <w:p>
            <w:pPr>
              <w:spacing w:line="240" w:lineRule="auto"/>
              <w:jc w:val="center"/>
              <w:rPr>
                <w:color w:val="000000" w:themeColor="text1"/>
                <w:sz w:val="24"/>
                <w14:textFill>
                  <w14:solidFill>
                    <w14:schemeClr w14:val="tx1"/>
                  </w14:solidFill>
                </w14:textFill>
              </w:rPr>
            </w:pPr>
          </w:p>
        </w:tc>
        <w:tc>
          <w:tcPr>
            <w:tcW w:w="1417" w:type="dxa"/>
            <w:vAlign w:val="center"/>
          </w:tcPr>
          <w:p>
            <w:pPr>
              <w:spacing w:line="240" w:lineRule="auto"/>
              <w:ind w:firstLine="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培训人数</w:t>
            </w:r>
          </w:p>
        </w:tc>
        <w:tc>
          <w:tcPr>
            <w:tcW w:w="2035"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8" w:type="dxa"/>
            <w:vAlign w:val="center"/>
          </w:tcPr>
          <w:p>
            <w:pPr>
              <w:spacing w:line="240" w:lineRule="auto"/>
              <w:ind w:firstLine="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培训类别</w:t>
            </w:r>
          </w:p>
        </w:tc>
        <w:tc>
          <w:tcPr>
            <w:tcW w:w="2552" w:type="dxa"/>
            <w:vAlign w:val="center"/>
          </w:tcPr>
          <w:p>
            <w:pPr>
              <w:spacing w:line="240" w:lineRule="auto"/>
              <w:jc w:val="center"/>
              <w:rPr>
                <w:color w:val="000000" w:themeColor="text1"/>
                <w:sz w:val="24"/>
                <w14:textFill>
                  <w14:solidFill>
                    <w14:schemeClr w14:val="tx1"/>
                  </w14:solidFill>
                </w14:textFill>
              </w:rPr>
            </w:pPr>
          </w:p>
        </w:tc>
        <w:tc>
          <w:tcPr>
            <w:tcW w:w="1417" w:type="dxa"/>
            <w:vAlign w:val="center"/>
          </w:tcPr>
          <w:p>
            <w:pPr>
              <w:spacing w:line="240" w:lineRule="auto"/>
              <w:ind w:firstLine="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培训等级</w:t>
            </w:r>
          </w:p>
        </w:tc>
        <w:tc>
          <w:tcPr>
            <w:tcW w:w="2035"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8" w:type="dxa"/>
            <w:vAlign w:val="center"/>
          </w:tcPr>
          <w:p>
            <w:pPr>
              <w:spacing w:line="240" w:lineRule="auto"/>
              <w:ind w:firstLine="0"/>
              <w:jc w:val="center"/>
              <w:rPr>
                <w:sz w:val="24"/>
              </w:rPr>
            </w:pPr>
            <w:r>
              <w:rPr>
                <w:sz w:val="24"/>
              </w:rPr>
              <w:t>培训地点</w:t>
            </w:r>
          </w:p>
        </w:tc>
        <w:tc>
          <w:tcPr>
            <w:tcW w:w="2552" w:type="dxa"/>
            <w:vAlign w:val="center"/>
          </w:tcPr>
          <w:p>
            <w:pPr>
              <w:spacing w:line="240" w:lineRule="auto"/>
              <w:jc w:val="center"/>
              <w:rPr>
                <w:sz w:val="24"/>
              </w:rPr>
            </w:pPr>
          </w:p>
        </w:tc>
        <w:tc>
          <w:tcPr>
            <w:tcW w:w="1417" w:type="dxa"/>
            <w:vAlign w:val="center"/>
          </w:tcPr>
          <w:p>
            <w:pPr>
              <w:spacing w:line="240" w:lineRule="auto"/>
              <w:ind w:firstLine="0"/>
              <w:jc w:val="center"/>
              <w:rPr>
                <w:sz w:val="24"/>
              </w:rPr>
            </w:pPr>
            <w:r>
              <w:rPr>
                <w:sz w:val="24"/>
              </w:rPr>
              <w:t>实训地点</w:t>
            </w:r>
          </w:p>
        </w:tc>
        <w:tc>
          <w:tcPr>
            <w:tcW w:w="2035"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8" w:type="dxa"/>
            <w:vAlign w:val="center"/>
          </w:tcPr>
          <w:p>
            <w:pPr>
              <w:spacing w:line="240" w:lineRule="auto"/>
              <w:ind w:firstLine="0"/>
              <w:jc w:val="center"/>
              <w:rPr>
                <w:sz w:val="24"/>
              </w:rPr>
            </w:pPr>
            <w:r>
              <w:rPr>
                <w:sz w:val="24"/>
              </w:rPr>
              <w:t>起止时间</w:t>
            </w:r>
          </w:p>
        </w:tc>
        <w:tc>
          <w:tcPr>
            <w:tcW w:w="2552" w:type="dxa"/>
            <w:vAlign w:val="center"/>
          </w:tcPr>
          <w:p>
            <w:pPr>
              <w:spacing w:line="240" w:lineRule="auto"/>
              <w:jc w:val="center"/>
              <w:rPr>
                <w:sz w:val="24"/>
              </w:rPr>
            </w:pPr>
          </w:p>
        </w:tc>
        <w:tc>
          <w:tcPr>
            <w:tcW w:w="1417" w:type="dxa"/>
            <w:vAlign w:val="center"/>
          </w:tcPr>
          <w:p>
            <w:pPr>
              <w:spacing w:line="240" w:lineRule="auto"/>
              <w:ind w:firstLine="0"/>
              <w:jc w:val="center"/>
              <w:rPr>
                <w:sz w:val="24"/>
              </w:rPr>
            </w:pPr>
            <w:r>
              <w:rPr>
                <w:sz w:val="24"/>
              </w:rPr>
              <w:t>培训总课时</w:t>
            </w:r>
          </w:p>
        </w:tc>
        <w:tc>
          <w:tcPr>
            <w:tcW w:w="2035"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8" w:type="dxa"/>
            <w:vAlign w:val="center"/>
          </w:tcPr>
          <w:p>
            <w:pPr>
              <w:spacing w:line="240" w:lineRule="auto"/>
              <w:ind w:firstLine="0"/>
              <w:jc w:val="center"/>
              <w:rPr>
                <w:sz w:val="24"/>
              </w:rPr>
            </w:pPr>
            <w:r>
              <w:rPr>
                <w:sz w:val="24"/>
              </w:rPr>
              <w:t>授课教师姓名</w:t>
            </w:r>
          </w:p>
        </w:tc>
        <w:tc>
          <w:tcPr>
            <w:tcW w:w="6004" w:type="dxa"/>
            <w:gridSpan w:val="3"/>
            <w:vAlign w:val="center"/>
          </w:tcPr>
          <w:p>
            <w:pPr>
              <w:spacing w:line="240" w:lineRule="auto"/>
              <w:ind w:left="36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2518" w:type="dxa"/>
            <w:vAlign w:val="center"/>
          </w:tcPr>
          <w:p>
            <w:pPr>
              <w:spacing w:line="240" w:lineRule="auto"/>
              <w:ind w:firstLine="0"/>
              <w:jc w:val="center"/>
              <w:rPr>
                <w:sz w:val="24"/>
              </w:rPr>
            </w:pPr>
            <w:r>
              <w:rPr>
                <w:sz w:val="24"/>
              </w:rPr>
              <w:t>使用教材</w:t>
            </w:r>
          </w:p>
        </w:tc>
        <w:tc>
          <w:tcPr>
            <w:tcW w:w="6004" w:type="dxa"/>
            <w:gridSpan w:val="3"/>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2518" w:type="dxa"/>
            <w:vAlign w:val="center"/>
          </w:tcPr>
          <w:p>
            <w:pPr>
              <w:spacing w:line="240" w:lineRule="auto"/>
              <w:ind w:firstLine="0"/>
              <w:jc w:val="center"/>
              <w:rPr>
                <w:sz w:val="24"/>
              </w:rPr>
            </w:pPr>
            <w:r>
              <w:rPr>
                <w:sz w:val="24"/>
              </w:rPr>
              <w:t>培训内容</w:t>
            </w:r>
          </w:p>
        </w:tc>
        <w:tc>
          <w:tcPr>
            <w:tcW w:w="6004" w:type="dxa"/>
            <w:gridSpan w:val="3"/>
            <w:vAlign w:val="bottom"/>
          </w:tcPr>
          <w:p>
            <w:pPr>
              <w:spacing w:line="240" w:lineRule="auto"/>
              <w:ind w:right="958" w:firstLine="2640" w:firstLineChars="1100"/>
              <w:rPr>
                <w:sz w:val="24"/>
              </w:rPr>
            </w:pPr>
            <w:r>
              <w:rPr>
                <w:sz w:val="24"/>
              </w:rPr>
              <w:t>经办人（签字）：</w:t>
            </w:r>
          </w:p>
          <w:p>
            <w:pPr>
              <w:spacing w:line="240" w:lineRule="auto"/>
              <w:ind w:right="958" w:firstLine="2640" w:firstLineChars="1100"/>
              <w:rPr>
                <w:sz w:val="24"/>
              </w:rPr>
            </w:pPr>
            <w:r>
              <w:rPr>
                <w:sz w:val="24"/>
              </w:rPr>
              <w:t>负责人（签字）：</w:t>
            </w:r>
          </w:p>
          <w:p>
            <w:pPr>
              <w:spacing w:line="240" w:lineRule="auto"/>
              <w:ind w:right="958" w:firstLine="3000" w:firstLineChars="1250"/>
              <w:rPr>
                <w:sz w:val="24"/>
              </w:rPr>
            </w:pPr>
            <w:r>
              <w:rPr>
                <w:sz w:val="24"/>
              </w:rPr>
              <w:t>(单位盖章)</w:t>
            </w:r>
          </w:p>
          <w:p>
            <w:pPr>
              <w:spacing w:line="240" w:lineRule="auto"/>
              <w:ind w:right="958" w:firstLine="3360" w:firstLineChars="1400"/>
              <w:rPr>
                <w:sz w:val="24"/>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2518" w:type="dxa"/>
            <w:vAlign w:val="center"/>
          </w:tcPr>
          <w:p>
            <w:pPr>
              <w:spacing w:line="240" w:lineRule="auto"/>
              <w:ind w:firstLine="0"/>
              <w:jc w:val="center"/>
              <w:rPr>
                <w:sz w:val="24"/>
              </w:rPr>
            </w:pPr>
            <w:r>
              <w:rPr>
                <w:sz w:val="24"/>
              </w:rPr>
              <w:t>公共就业创业</w:t>
            </w:r>
          </w:p>
          <w:p>
            <w:pPr>
              <w:spacing w:line="240" w:lineRule="auto"/>
              <w:ind w:firstLine="0"/>
              <w:jc w:val="center"/>
              <w:rPr>
                <w:sz w:val="24"/>
              </w:rPr>
            </w:pPr>
            <w:r>
              <w:rPr>
                <w:sz w:val="24"/>
              </w:rPr>
              <w:t>服务机构意见</w:t>
            </w:r>
          </w:p>
        </w:tc>
        <w:tc>
          <w:tcPr>
            <w:tcW w:w="6004" w:type="dxa"/>
            <w:gridSpan w:val="3"/>
            <w:vAlign w:val="bottom"/>
          </w:tcPr>
          <w:p>
            <w:pPr>
              <w:spacing w:line="240" w:lineRule="auto"/>
              <w:ind w:right="958" w:firstLine="2640" w:firstLineChars="1100"/>
              <w:rPr>
                <w:sz w:val="24"/>
              </w:rPr>
            </w:pPr>
            <w:r>
              <w:rPr>
                <w:sz w:val="24"/>
              </w:rPr>
              <w:t>审核人（签字）：</w:t>
            </w:r>
          </w:p>
          <w:p>
            <w:pPr>
              <w:spacing w:line="240" w:lineRule="auto"/>
              <w:ind w:right="958" w:firstLine="2640" w:firstLineChars="1100"/>
              <w:rPr>
                <w:sz w:val="24"/>
              </w:rPr>
            </w:pPr>
            <w:r>
              <w:rPr>
                <w:sz w:val="24"/>
              </w:rPr>
              <w:t>负责人（签字）：</w:t>
            </w:r>
          </w:p>
          <w:p>
            <w:pPr>
              <w:spacing w:line="240" w:lineRule="auto"/>
              <w:ind w:right="958" w:firstLine="3000" w:firstLineChars="1250"/>
              <w:rPr>
                <w:sz w:val="24"/>
              </w:rPr>
            </w:pPr>
            <w:r>
              <w:rPr>
                <w:sz w:val="24"/>
              </w:rPr>
              <w:t>(单位盖章)</w:t>
            </w:r>
          </w:p>
          <w:p>
            <w:pPr>
              <w:spacing w:line="240" w:lineRule="auto"/>
              <w:ind w:right="958" w:firstLine="3360" w:firstLineChars="1400"/>
              <w:rPr>
                <w:sz w:val="24"/>
              </w:rPr>
            </w:pPr>
            <w:r>
              <w:rPr>
                <w:sz w:val="24"/>
              </w:rPr>
              <w:t>年   月   日</w:t>
            </w:r>
          </w:p>
        </w:tc>
      </w:tr>
    </w:tbl>
    <w:p>
      <w:pPr>
        <w:spacing w:line="500" w:lineRule="exact"/>
        <w:rPr>
          <w:sz w:val="24"/>
        </w:rPr>
        <w:sectPr>
          <w:footerReference r:id="rId5" w:type="default"/>
          <w:footerReference r:id="rId6" w:type="even"/>
          <w:pgSz w:w="11906" w:h="16838"/>
          <w:pgMar w:top="1928" w:right="1418" w:bottom="1474" w:left="1418" w:header="851" w:footer="992" w:gutter="0"/>
          <w:cols w:space="720" w:num="1"/>
          <w:docGrid w:type="lines" w:linePitch="435" w:charSpace="0"/>
        </w:sectPr>
      </w:pPr>
      <w:r>
        <w:rPr>
          <w:sz w:val="24"/>
        </w:rPr>
        <w:t>备注：本表一式两份，由公共就业创业服务机构和定点培训机构各执一份。</w:t>
      </w:r>
    </w:p>
    <w:p>
      <w:pPr>
        <w:ind w:firstLine="0"/>
        <w:rPr>
          <w:rFonts w:eastAsia="黑体"/>
          <w:szCs w:val="32"/>
        </w:rPr>
      </w:pPr>
      <w:r>
        <w:rPr>
          <w:rFonts w:eastAsia="黑体"/>
          <w:szCs w:val="32"/>
        </w:rPr>
        <w:t>附件2</w:t>
      </w:r>
    </w:p>
    <w:p>
      <w:pPr>
        <w:spacing w:line="400" w:lineRule="exact"/>
        <w:ind w:firstLine="0"/>
        <w:rPr>
          <w:rFonts w:eastAsia="黑体"/>
          <w:szCs w:val="32"/>
        </w:rPr>
      </w:pPr>
    </w:p>
    <w:p>
      <w:pPr>
        <w:jc w:val="center"/>
        <w:rPr>
          <w:rFonts w:eastAsia="方正小标宋简体"/>
          <w:sz w:val="44"/>
          <w:szCs w:val="44"/>
        </w:rPr>
      </w:pPr>
      <w:r>
        <w:rPr>
          <w:rFonts w:eastAsia="方正小标宋简体"/>
          <w:sz w:val="44"/>
          <w:szCs w:val="44"/>
        </w:rPr>
        <w:t>四川省就业创业培训学员花名册</w:t>
      </w:r>
    </w:p>
    <w:p>
      <w:pPr>
        <w:ind w:firstLine="0"/>
        <w:rPr>
          <w:sz w:val="24"/>
        </w:rPr>
      </w:pPr>
      <w:r>
        <w:rPr>
          <w:sz w:val="24"/>
        </w:rPr>
        <w:t>填报单位：                                专业（工种、项目）：                                填报时间：    年    月    日</w:t>
      </w:r>
    </w:p>
    <w:tbl>
      <w:tblPr>
        <w:tblStyle w:val="8"/>
        <w:tblW w:w="14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784"/>
        <w:gridCol w:w="709"/>
        <w:gridCol w:w="992"/>
        <w:gridCol w:w="992"/>
        <w:gridCol w:w="1143"/>
        <w:gridCol w:w="3109"/>
        <w:gridCol w:w="2268"/>
        <w:gridCol w:w="1275"/>
        <w:gridCol w:w="127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42" w:type="dxa"/>
            <w:vAlign w:val="center"/>
          </w:tcPr>
          <w:p>
            <w:pPr>
              <w:spacing w:line="380" w:lineRule="exact"/>
              <w:ind w:firstLine="0"/>
              <w:jc w:val="center"/>
              <w:rPr>
                <w:rFonts w:eastAsia="黑体"/>
                <w:sz w:val="24"/>
              </w:rPr>
            </w:pPr>
            <w:r>
              <w:rPr>
                <w:rFonts w:eastAsia="黑体"/>
                <w:sz w:val="24"/>
              </w:rPr>
              <w:t>序号</w:t>
            </w:r>
          </w:p>
        </w:tc>
        <w:tc>
          <w:tcPr>
            <w:tcW w:w="784" w:type="dxa"/>
            <w:vAlign w:val="center"/>
          </w:tcPr>
          <w:p>
            <w:pPr>
              <w:spacing w:line="380" w:lineRule="exact"/>
              <w:ind w:firstLine="0"/>
              <w:jc w:val="center"/>
              <w:rPr>
                <w:rFonts w:eastAsia="黑体"/>
                <w:sz w:val="24"/>
              </w:rPr>
            </w:pPr>
            <w:r>
              <w:rPr>
                <w:rFonts w:eastAsia="黑体"/>
                <w:sz w:val="24"/>
              </w:rPr>
              <w:t>姓名</w:t>
            </w:r>
          </w:p>
        </w:tc>
        <w:tc>
          <w:tcPr>
            <w:tcW w:w="709" w:type="dxa"/>
            <w:vAlign w:val="center"/>
          </w:tcPr>
          <w:p>
            <w:pPr>
              <w:spacing w:line="380" w:lineRule="exact"/>
              <w:ind w:firstLine="0"/>
              <w:jc w:val="center"/>
              <w:rPr>
                <w:rFonts w:eastAsia="黑体"/>
                <w:sz w:val="24"/>
              </w:rPr>
            </w:pPr>
            <w:r>
              <w:rPr>
                <w:rFonts w:eastAsia="黑体"/>
                <w:sz w:val="24"/>
              </w:rPr>
              <w:t>性别</w:t>
            </w:r>
          </w:p>
        </w:tc>
        <w:tc>
          <w:tcPr>
            <w:tcW w:w="992" w:type="dxa"/>
            <w:vAlign w:val="center"/>
          </w:tcPr>
          <w:p>
            <w:pPr>
              <w:spacing w:line="380" w:lineRule="exact"/>
              <w:ind w:firstLine="0"/>
              <w:jc w:val="center"/>
              <w:rPr>
                <w:rFonts w:eastAsia="黑体"/>
                <w:sz w:val="24"/>
              </w:rPr>
            </w:pPr>
            <w:r>
              <w:rPr>
                <w:rFonts w:eastAsia="黑体"/>
                <w:sz w:val="24"/>
              </w:rPr>
              <w:t>出生</w:t>
            </w:r>
          </w:p>
          <w:p>
            <w:pPr>
              <w:spacing w:line="380" w:lineRule="exact"/>
              <w:ind w:firstLine="0"/>
              <w:jc w:val="center"/>
              <w:rPr>
                <w:rFonts w:eastAsia="黑体"/>
                <w:sz w:val="24"/>
              </w:rPr>
            </w:pPr>
            <w:r>
              <w:rPr>
                <w:rFonts w:eastAsia="黑体"/>
                <w:sz w:val="24"/>
              </w:rPr>
              <w:t>日期</w:t>
            </w:r>
          </w:p>
        </w:tc>
        <w:tc>
          <w:tcPr>
            <w:tcW w:w="992" w:type="dxa"/>
            <w:vAlign w:val="center"/>
          </w:tcPr>
          <w:p>
            <w:pPr>
              <w:spacing w:line="380" w:lineRule="exact"/>
              <w:ind w:firstLine="0"/>
              <w:jc w:val="center"/>
              <w:rPr>
                <w:rFonts w:eastAsia="黑体"/>
                <w:sz w:val="24"/>
              </w:rPr>
            </w:pPr>
            <w:r>
              <w:rPr>
                <w:rFonts w:eastAsia="黑体"/>
                <w:sz w:val="24"/>
              </w:rPr>
              <w:t>文化</w:t>
            </w:r>
          </w:p>
          <w:p>
            <w:pPr>
              <w:spacing w:line="380" w:lineRule="exact"/>
              <w:ind w:firstLine="0"/>
              <w:jc w:val="center"/>
              <w:rPr>
                <w:rFonts w:eastAsia="黑体"/>
                <w:sz w:val="24"/>
              </w:rPr>
            </w:pPr>
            <w:r>
              <w:rPr>
                <w:rFonts w:eastAsia="黑体"/>
                <w:sz w:val="24"/>
              </w:rPr>
              <w:t>程度</w:t>
            </w:r>
          </w:p>
        </w:tc>
        <w:tc>
          <w:tcPr>
            <w:tcW w:w="1143" w:type="dxa"/>
            <w:vAlign w:val="center"/>
          </w:tcPr>
          <w:p>
            <w:pPr>
              <w:spacing w:line="380" w:lineRule="exact"/>
              <w:ind w:firstLine="0"/>
              <w:jc w:val="center"/>
              <w:rPr>
                <w:rFonts w:eastAsia="黑体"/>
                <w:sz w:val="24"/>
              </w:rPr>
            </w:pPr>
            <w:r>
              <w:rPr>
                <w:rFonts w:eastAsia="黑体"/>
                <w:sz w:val="24"/>
              </w:rPr>
              <w:t>人员</w:t>
            </w:r>
          </w:p>
          <w:p>
            <w:pPr>
              <w:spacing w:line="380" w:lineRule="exact"/>
              <w:ind w:firstLine="0"/>
              <w:jc w:val="center"/>
              <w:rPr>
                <w:rFonts w:eastAsia="黑体"/>
                <w:sz w:val="24"/>
              </w:rPr>
            </w:pPr>
            <w:r>
              <w:rPr>
                <w:rFonts w:eastAsia="黑体"/>
                <w:sz w:val="24"/>
              </w:rPr>
              <w:t>类别</w:t>
            </w:r>
          </w:p>
        </w:tc>
        <w:tc>
          <w:tcPr>
            <w:tcW w:w="3109" w:type="dxa"/>
            <w:vAlign w:val="center"/>
          </w:tcPr>
          <w:p>
            <w:pPr>
              <w:spacing w:line="380" w:lineRule="exact"/>
              <w:ind w:firstLine="0"/>
              <w:jc w:val="center"/>
              <w:rPr>
                <w:rFonts w:eastAsia="黑体"/>
                <w:sz w:val="24"/>
              </w:rPr>
            </w:pPr>
            <w:r>
              <w:rPr>
                <w:rFonts w:eastAsia="黑体"/>
                <w:sz w:val="24"/>
              </w:rPr>
              <w:t>身份证号</w:t>
            </w:r>
          </w:p>
        </w:tc>
        <w:tc>
          <w:tcPr>
            <w:tcW w:w="2268" w:type="dxa"/>
            <w:vAlign w:val="center"/>
          </w:tcPr>
          <w:p>
            <w:pPr>
              <w:spacing w:line="380" w:lineRule="exact"/>
              <w:ind w:firstLine="0"/>
              <w:jc w:val="center"/>
              <w:rPr>
                <w:rFonts w:eastAsia="黑体"/>
                <w:sz w:val="24"/>
              </w:rPr>
            </w:pPr>
            <w:r>
              <w:rPr>
                <w:rFonts w:eastAsia="黑体"/>
                <w:sz w:val="24"/>
              </w:rPr>
              <w:t>家庭住址</w:t>
            </w:r>
          </w:p>
        </w:tc>
        <w:tc>
          <w:tcPr>
            <w:tcW w:w="1275" w:type="dxa"/>
            <w:vAlign w:val="center"/>
          </w:tcPr>
          <w:p>
            <w:pPr>
              <w:spacing w:line="380" w:lineRule="exact"/>
              <w:ind w:firstLine="0"/>
              <w:jc w:val="center"/>
              <w:rPr>
                <w:rFonts w:eastAsia="黑体"/>
                <w:sz w:val="24"/>
              </w:rPr>
            </w:pPr>
            <w:r>
              <w:rPr>
                <w:rFonts w:eastAsia="黑体"/>
                <w:sz w:val="24"/>
              </w:rPr>
              <w:t>联系电话</w:t>
            </w:r>
          </w:p>
        </w:tc>
        <w:tc>
          <w:tcPr>
            <w:tcW w:w="1275" w:type="dxa"/>
            <w:vAlign w:val="center"/>
          </w:tcPr>
          <w:p>
            <w:pPr>
              <w:spacing w:line="380" w:lineRule="exact"/>
              <w:ind w:firstLine="0"/>
              <w:jc w:val="center"/>
              <w:rPr>
                <w:rFonts w:eastAsia="黑体"/>
                <w:sz w:val="24"/>
              </w:rPr>
            </w:pPr>
            <w:r>
              <w:rPr>
                <w:rFonts w:eastAsia="黑体"/>
                <w:sz w:val="24"/>
              </w:rPr>
              <w:t>相关证件编号</w:t>
            </w:r>
          </w:p>
        </w:tc>
        <w:tc>
          <w:tcPr>
            <w:tcW w:w="993" w:type="dxa"/>
            <w:vAlign w:val="center"/>
          </w:tcPr>
          <w:p>
            <w:pPr>
              <w:spacing w:line="380" w:lineRule="exact"/>
              <w:ind w:firstLine="0"/>
              <w:jc w:val="center"/>
              <w:rPr>
                <w:rFonts w:eastAsia="黑体"/>
                <w:sz w:val="24"/>
              </w:rPr>
            </w:pPr>
            <w:r>
              <w:rPr>
                <w:rFonts w:eastAsia="黑体"/>
                <w:sz w:val="24"/>
              </w:rPr>
              <w:t>本人</w:t>
            </w:r>
          </w:p>
          <w:p>
            <w:pPr>
              <w:spacing w:line="380" w:lineRule="exact"/>
              <w:ind w:firstLine="0"/>
              <w:jc w:val="center"/>
              <w:rPr>
                <w:rFonts w:eastAsia="黑体"/>
                <w:sz w:val="24"/>
              </w:rPr>
            </w:pPr>
            <w:r>
              <w:rPr>
                <w:rFonts w:eastAsia="黑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2" w:type="dxa"/>
            <w:vAlign w:val="center"/>
          </w:tcPr>
          <w:p>
            <w:pPr>
              <w:jc w:val="center"/>
              <w:rPr>
                <w:sz w:val="24"/>
              </w:rPr>
            </w:pPr>
          </w:p>
        </w:tc>
        <w:tc>
          <w:tcPr>
            <w:tcW w:w="784" w:type="dxa"/>
            <w:vAlign w:val="center"/>
          </w:tcPr>
          <w:p>
            <w:pPr>
              <w:jc w:val="center"/>
              <w:rPr>
                <w:sz w:val="24"/>
              </w:rPr>
            </w:pPr>
          </w:p>
        </w:tc>
        <w:tc>
          <w:tcPr>
            <w:tcW w:w="709" w:type="dxa"/>
            <w:vAlign w:val="center"/>
          </w:tcPr>
          <w:p>
            <w:pPr>
              <w:jc w:val="center"/>
              <w:rPr>
                <w:sz w:val="24"/>
              </w:rPr>
            </w:pPr>
          </w:p>
        </w:tc>
        <w:tc>
          <w:tcPr>
            <w:tcW w:w="992" w:type="dxa"/>
            <w:vAlign w:val="center"/>
          </w:tcPr>
          <w:p>
            <w:pPr>
              <w:jc w:val="center"/>
              <w:rPr>
                <w:sz w:val="24"/>
              </w:rPr>
            </w:pPr>
          </w:p>
        </w:tc>
        <w:tc>
          <w:tcPr>
            <w:tcW w:w="992" w:type="dxa"/>
            <w:vAlign w:val="center"/>
          </w:tcPr>
          <w:p>
            <w:pPr>
              <w:jc w:val="center"/>
              <w:rPr>
                <w:sz w:val="24"/>
              </w:rPr>
            </w:pPr>
          </w:p>
        </w:tc>
        <w:tc>
          <w:tcPr>
            <w:tcW w:w="1143" w:type="dxa"/>
            <w:vAlign w:val="center"/>
          </w:tcPr>
          <w:p>
            <w:pPr>
              <w:jc w:val="center"/>
              <w:rPr>
                <w:sz w:val="24"/>
              </w:rPr>
            </w:pPr>
          </w:p>
        </w:tc>
        <w:tc>
          <w:tcPr>
            <w:tcW w:w="3109" w:type="dxa"/>
            <w:vAlign w:val="center"/>
          </w:tcPr>
          <w:p>
            <w:pPr>
              <w:jc w:val="center"/>
              <w:rPr>
                <w:sz w:val="24"/>
              </w:rPr>
            </w:pPr>
          </w:p>
        </w:tc>
        <w:tc>
          <w:tcPr>
            <w:tcW w:w="2268" w:type="dxa"/>
            <w:vAlign w:val="center"/>
          </w:tcPr>
          <w:p>
            <w:pPr>
              <w:jc w:val="center"/>
              <w:rPr>
                <w:sz w:val="24"/>
              </w:rPr>
            </w:pPr>
          </w:p>
        </w:tc>
        <w:tc>
          <w:tcPr>
            <w:tcW w:w="1275" w:type="dxa"/>
            <w:vAlign w:val="center"/>
          </w:tcPr>
          <w:p>
            <w:pPr>
              <w:jc w:val="center"/>
              <w:rPr>
                <w:sz w:val="24"/>
              </w:rPr>
            </w:pPr>
          </w:p>
        </w:tc>
        <w:tc>
          <w:tcPr>
            <w:tcW w:w="1275" w:type="dxa"/>
            <w:vAlign w:val="center"/>
          </w:tcPr>
          <w:p>
            <w:pPr>
              <w:jc w:val="center"/>
              <w:rPr>
                <w:sz w:val="24"/>
              </w:rPr>
            </w:pPr>
          </w:p>
        </w:tc>
        <w:tc>
          <w:tcPr>
            <w:tcW w:w="99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42" w:type="dxa"/>
            <w:vAlign w:val="center"/>
          </w:tcPr>
          <w:p>
            <w:pPr>
              <w:jc w:val="center"/>
              <w:rPr>
                <w:sz w:val="24"/>
              </w:rPr>
            </w:pPr>
          </w:p>
        </w:tc>
        <w:tc>
          <w:tcPr>
            <w:tcW w:w="784" w:type="dxa"/>
            <w:vAlign w:val="center"/>
          </w:tcPr>
          <w:p>
            <w:pPr>
              <w:jc w:val="center"/>
              <w:rPr>
                <w:sz w:val="24"/>
              </w:rPr>
            </w:pPr>
          </w:p>
        </w:tc>
        <w:tc>
          <w:tcPr>
            <w:tcW w:w="709" w:type="dxa"/>
            <w:vAlign w:val="center"/>
          </w:tcPr>
          <w:p>
            <w:pPr>
              <w:jc w:val="center"/>
              <w:rPr>
                <w:sz w:val="24"/>
              </w:rPr>
            </w:pPr>
          </w:p>
        </w:tc>
        <w:tc>
          <w:tcPr>
            <w:tcW w:w="992" w:type="dxa"/>
            <w:vAlign w:val="center"/>
          </w:tcPr>
          <w:p>
            <w:pPr>
              <w:jc w:val="center"/>
              <w:rPr>
                <w:sz w:val="24"/>
              </w:rPr>
            </w:pPr>
          </w:p>
        </w:tc>
        <w:tc>
          <w:tcPr>
            <w:tcW w:w="992" w:type="dxa"/>
            <w:vAlign w:val="center"/>
          </w:tcPr>
          <w:p>
            <w:pPr>
              <w:jc w:val="center"/>
              <w:rPr>
                <w:sz w:val="24"/>
              </w:rPr>
            </w:pPr>
          </w:p>
        </w:tc>
        <w:tc>
          <w:tcPr>
            <w:tcW w:w="1143" w:type="dxa"/>
            <w:vAlign w:val="center"/>
          </w:tcPr>
          <w:p>
            <w:pPr>
              <w:jc w:val="center"/>
              <w:rPr>
                <w:sz w:val="24"/>
              </w:rPr>
            </w:pPr>
          </w:p>
        </w:tc>
        <w:tc>
          <w:tcPr>
            <w:tcW w:w="3109" w:type="dxa"/>
            <w:vAlign w:val="center"/>
          </w:tcPr>
          <w:p>
            <w:pPr>
              <w:jc w:val="center"/>
              <w:rPr>
                <w:sz w:val="24"/>
              </w:rPr>
            </w:pPr>
          </w:p>
        </w:tc>
        <w:tc>
          <w:tcPr>
            <w:tcW w:w="2268" w:type="dxa"/>
            <w:vAlign w:val="center"/>
          </w:tcPr>
          <w:p>
            <w:pPr>
              <w:jc w:val="center"/>
              <w:rPr>
                <w:sz w:val="24"/>
              </w:rPr>
            </w:pPr>
          </w:p>
        </w:tc>
        <w:tc>
          <w:tcPr>
            <w:tcW w:w="1275" w:type="dxa"/>
            <w:vAlign w:val="center"/>
          </w:tcPr>
          <w:p>
            <w:pPr>
              <w:jc w:val="center"/>
              <w:rPr>
                <w:sz w:val="24"/>
              </w:rPr>
            </w:pPr>
          </w:p>
        </w:tc>
        <w:tc>
          <w:tcPr>
            <w:tcW w:w="1275" w:type="dxa"/>
            <w:vAlign w:val="center"/>
          </w:tcPr>
          <w:p>
            <w:pPr>
              <w:jc w:val="center"/>
              <w:rPr>
                <w:sz w:val="24"/>
              </w:rPr>
            </w:pPr>
          </w:p>
        </w:tc>
        <w:tc>
          <w:tcPr>
            <w:tcW w:w="99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2" w:type="dxa"/>
            <w:vAlign w:val="center"/>
          </w:tcPr>
          <w:p>
            <w:pPr>
              <w:jc w:val="center"/>
              <w:rPr>
                <w:sz w:val="24"/>
              </w:rPr>
            </w:pPr>
          </w:p>
        </w:tc>
        <w:tc>
          <w:tcPr>
            <w:tcW w:w="784" w:type="dxa"/>
            <w:vAlign w:val="center"/>
          </w:tcPr>
          <w:p>
            <w:pPr>
              <w:jc w:val="center"/>
              <w:rPr>
                <w:sz w:val="24"/>
              </w:rPr>
            </w:pPr>
          </w:p>
        </w:tc>
        <w:tc>
          <w:tcPr>
            <w:tcW w:w="709" w:type="dxa"/>
            <w:vAlign w:val="center"/>
          </w:tcPr>
          <w:p>
            <w:pPr>
              <w:jc w:val="center"/>
              <w:rPr>
                <w:sz w:val="24"/>
              </w:rPr>
            </w:pPr>
          </w:p>
        </w:tc>
        <w:tc>
          <w:tcPr>
            <w:tcW w:w="992" w:type="dxa"/>
            <w:vAlign w:val="center"/>
          </w:tcPr>
          <w:p>
            <w:pPr>
              <w:jc w:val="center"/>
              <w:rPr>
                <w:sz w:val="24"/>
              </w:rPr>
            </w:pPr>
          </w:p>
        </w:tc>
        <w:tc>
          <w:tcPr>
            <w:tcW w:w="992" w:type="dxa"/>
            <w:vAlign w:val="center"/>
          </w:tcPr>
          <w:p>
            <w:pPr>
              <w:jc w:val="center"/>
              <w:rPr>
                <w:sz w:val="24"/>
              </w:rPr>
            </w:pPr>
          </w:p>
        </w:tc>
        <w:tc>
          <w:tcPr>
            <w:tcW w:w="1143" w:type="dxa"/>
            <w:vAlign w:val="center"/>
          </w:tcPr>
          <w:p>
            <w:pPr>
              <w:jc w:val="center"/>
              <w:rPr>
                <w:sz w:val="24"/>
              </w:rPr>
            </w:pPr>
          </w:p>
        </w:tc>
        <w:tc>
          <w:tcPr>
            <w:tcW w:w="3109" w:type="dxa"/>
            <w:vAlign w:val="center"/>
          </w:tcPr>
          <w:p>
            <w:pPr>
              <w:jc w:val="center"/>
              <w:rPr>
                <w:sz w:val="24"/>
              </w:rPr>
            </w:pPr>
          </w:p>
        </w:tc>
        <w:tc>
          <w:tcPr>
            <w:tcW w:w="2268" w:type="dxa"/>
            <w:vAlign w:val="center"/>
          </w:tcPr>
          <w:p>
            <w:pPr>
              <w:jc w:val="center"/>
              <w:rPr>
                <w:sz w:val="24"/>
              </w:rPr>
            </w:pPr>
          </w:p>
        </w:tc>
        <w:tc>
          <w:tcPr>
            <w:tcW w:w="1275" w:type="dxa"/>
            <w:vAlign w:val="center"/>
          </w:tcPr>
          <w:p>
            <w:pPr>
              <w:jc w:val="center"/>
              <w:rPr>
                <w:sz w:val="24"/>
              </w:rPr>
            </w:pPr>
          </w:p>
        </w:tc>
        <w:tc>
          <w:tcPr>
            <w:tcW w:w="1275" w:type="dxa"/>
            <w:vAlign w:val="center"/>
          </w:tcPr>
          <w:p>
            <w:pPr>
              <w:jc w:val="center"/>
              <w:rPr>
                <w:sz w:val="24"/>
              </w:rPr>
            </w:pPr>
          </w:p>
        </w:tc>
        <w:tc>
          <w:tcPr>
            <w:tcW w:w="99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2" w:type="dxa"/>
            <w:vAlign w:val="center"/>
          </w:tcPr>
          <w:p>
            <w:pPr>
              <w:jc w:val="center"/>
              <w:rPr>
                <w:sz w:val="24"/>
              </w:rPr>
            </w:pPr>
          </w:p>
        </w:tc>
        <w:tc>
          <w:tcPr>
            <w:tcW w:w="784" w:type="dxa"/>
            <w:vAlign w:val="center"/>
          </w:tcPr>
          <w:p>
            <w:pPr>
              <w:jc w:val="center"/>
              <w:rPr>
                <w:sz w:val="24"/>
              </w:rPr>
            </w:pPr>
          </w:p>
        </w:tc>
        <w:tc>
          <w:tcPr>
            <w:tcW w:w="709" w:type="dxa"/>
            <w:vAlign w:val="center"/>
          </w:tcPr>
          <w:p>
            <w:pPr>
              <w:jc w:val="center"/>
              <w:rPr>
                <w:sz w:val="24"/>
              </w:rPr>
            </w:pPr>
          </w:p>
        </w:tc>
        <w:tc>
          <w:tcPr>
            <w:tcW w:w="992" w:type="dxa"/>
            <w:vAlign w:val="center"/>
          </w:tcPr>
          <w:p>
            <w:pPr>
              <w:jc w:val="center"/>
              <w:rPr>
                <w:sz w:val="24"/>
              </w:rPr>
            </w:pPr>
          </w:p>
        </w:tc>
        <w:tc>
          <w:tcPr>
            <w:tcW w:w="992" w:type="dxa"/>
            <w:vAlign w:val="center"/>
          </w:tcPr>
          <w:p>
            <w:pPr>
              <w:jc w:val="center"/>
              <w:rPr>
                <w:sz w:val="24"/>
              </w:rPr>
            </w:pPr>
          </w:p>
        </w:tc>
        <w:tc>
          <w:tcPr>
            <w:tcW w:w="1143" w:type="dxa"/>
            <w:vAlign w:val="center"/>
          </w:tcPr>
          <w:p>
            <w:pPr>
              <w:jc w:val="center"/>
              <w:rPr>
                <w:sz w:val="24"/>
              </w:rPr>
            </w:pPr>
          </w:p>
        </w:tc>
        <w:tc>
          <w:tcPr>
            <w:tcW w:w="3109" w:type="dxa"/>
            <w:vAlign w:val="center"/>
          </w:tcPr>
          <w:p>
            <w:pPr>
              <w:jc w:val="center"/>
              <w:rPr>
                <w:sz w:val="24"/>
              </w:rPr>
            </w:pPr>
          </w:p>
        </w:tc>
        <w:tc>
          <w:tcPr>
            <w:tcW w:w="2268" w:type="dxa"/>
            <w:vAlign w:val="center"/>
          </w:tcPr>
          <w:p>
            <w:pPr>
              <w:jc w:val="center"/>
              <w:rPr>
                <w:sz w:val="24"/>
              </w:rPr>
            </w:pPr>
          </w:p>
        </w:tc>
        <w:tc>
          <w:tcPr>
            <w:tcW w:w="1275" w:type="dxa"/>
            <w:vAlign w:val="center"/>
          </w:tcPr>
          <w:p>
            <w:pPr>
              <w:jc w:val="center"/>
              <w:rPr>
                <w:sz w:val="24"/>
              </w:rPr>
            </w:pPr>
          </w:p>
        </w:tc>
        <w:tc>
          <w:tcPr>
            <w:tcW w:w="1275" w:type="dxa"/>
            <w:vAlign w:val="center"/>
          </w:tcPr>
          <w:p>
            <w:pPr>
              <w:jc w:val="center"/>
              <w:rPr>
                <w:sz w:val="24"/>
              </w:rPr>
            </w:pPr>
          </w:p>
        </w:tc>
        <w:tc>
          <w:tcPr>
            <w:tcW w:w="99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42" w:type="dxa"/>
            <w:vAlign w:val="center"/>
          </w:tcPr>
          <w:p>
            <w:pPr>
              <w:jc w:val="center"/>
              <w:rPr>
                <w:sz w:val="24"/>
              </w:rPr>
            </w:pPr>
          </w:p>
        </w:tc>
        <w:tc>
          <w:tcPr>
            <w:tcW w:w="784" w:type="dxa"/>
            <w:vAlign w:val="center"/>
          </w:tcPr>
          <w:p>
            <w:pPr>
              <w:jc w:val="center"/>
              <w:rPr>
                <w:sz w:val="24"/>
              </w:rPr>
            </w:pPr>
          </w:p>
        </w:tc>
        <w:tc>
          <w:tcPr>
            <w:tcW w:w="709" w:type="dxa"/>
            <w:vAlign w:val="center"/>
          </w:tcPr>
          <w:p>
            <w:pPr>
              <w:jc w:val="center"/>
              <w:rPr>
                <w:sz w:val="24"/>
              </w:rPr>
            </w:pPr>
          </w:p>
        </w:tc>
        <w:tc>
          <w:tcPr>
            <w:tcW w:w="992" w:type="dxa"/>
            <w:vAlign w:val="center"/>
          </w:tcPr>
          <w:p>
            <w:pPr>
              <w:jc w:val="center"/>
              <w:rPr>
                <w:sz w:val="24"/>
              </w:rPr>
            </w:pPr>
          </w:p>
        </w:tc>
        <w:tc>
          <w:tcPr>
            <w:tcW w:w="992" w:type="dxa"/>
            <w:vAlign w:val="center"/>
          </w:tcPr>
          <w:p>
            <w:pPr>
              <w:jc w:val="center"/>
              <w:rPr>
                <w:sz w:val="24"/>
              </w:rPr>
            </w:pPr>
          </w:p>
        </w:tc>
        <w:tc>
          <w:tcPr>
            <w:tcW w:w="1143" w:type="dxa"/>
            <w:vAlign w:val="center"/>
          </w:tcPr>
          <w:p>
            <w:pPr>
              <w:jc w:val="center"/>
              <w:rPr>
                <w:sz w:val="24"/>
              </w:rPr>
            </w:pPr>
          </w:p>
        </w:tc>
        <w:tc>
          <w:tcPr>
            <w:tcW w:w="3109" w:type="dxa"/>
            <w:vAlign w:val="center"/>
          </w:tcPr>
          <w:p>
            <w:pPr>
              <w:jc w:val="center"/>
              <w:rPr>
                <w:sz w:val="24"/>
              </w:rPr>
            </w:pPr>
          </w:p>
        </w:tc>
        <w:tc>
          <w:tcPr>
            <w:tcW w:w="2268" w:type="dxa"/>
            <w:vAlign w:val="center"/>
          </w:tcPr>
          <w:p>
            <w:pPr>
              <w:jc w:val="center"/>
              <w:rPr>
                <w:sz w:val="24"/>
              </w:rPr>
            </w:pPr>
          </w:p>
        </w:tc>
        <w:tc>
          <w:tcPr>
            <w:tcW w:w="1275" w:type="dxa"/>
            <w:vAlign w:val="center"/>
          </w:tcPr>
          <w:p>
            <w:pPr>
              <w:jc w:val="center"/>
              <w:rPr>
                <w:sz w:val="24"/>
              </w:rPr>
            </w:pPr>
          </w:p>
        </w:tc>
        <w:tc>
          <w:tcPr>
            <w:tcW w:w="1275" w:type="dxa"/>
            <w:vAlign w:val="center"/>
          </w:tcPr>
          <w:p>
            <w:pPr>
              <w:jc w:val="center"/>
              <w:rPr>
                <w:sz w:val="24"/>
              </w:rPr>
            </w:pPr>
          </w:p>
        </w:tc>
        <w:tc>
          <w:tcPr>
            <w:tcW w:w="99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42" w:type="dxa"/>
            <w:vAlign w:val="center"/>
          </w:tcPr>
          <w:p>
            <w:pPr>
              <w:jc w:val="center"/>
              <w:rPr>
                <w:sz w:val="24"/>
              </w:rPr>
            </w:pPr>
          </w:p>
        </w:tc>
        <w:tc>
          <w:tcPr>
            <w:tcW w:w="784" w:type="dxa"/>
            <w:vAlign w:val="center"/>
          </w:tcPr>
          <w:p>
            <w:pPr>
              <w:jc w:val="center"/>
              <w:rPr>
                <w:sz w:val="24"/>
              </w:rPr>
            </w:pPr>
          </w:p>
        </w:tc>
        <w:tc>
          <w:tcPr>
            <w:tcW w:w="709" w:type="dxa"/>
            <w:vAlign w:val="center"/>
          </w:tcPr>
          <w:p>
            <w:pPr>
              <w:jc w:val="center"/>
              <w:rPr>
                <w:sz w:val="24"/>
              </w:rPr>
            </w:pPr>
          </w:p>
        </w:tc>
        <w:tc>
          <w:tcPr>
            <w:tcW w:w="992" w:type="dxa"/>
            <w:vAlign w:val="center"/>
          </w:tcPr>
          <w:p>
            <w:pPr>
              <w:jc w:val="center"/>
              <w:rPr>
                <w:sz w:val="24"/>
              </w:rPr>
            </w:pPr>
          </w:p>
        </w:tc>
        <w:tc>
          <w:tcPr>
            <w:tcW w:w="992" w:type="dxa"/>
            <w:vAlign w:val="center"/>
          </w:tcPr>
          <w:p>
            <w:pPr>
              <w:jc w:val="center"/>
              <w:rPr>
                <w:sz w:val="24"/>
              </w:rPr>
            </w:pPr>
          </w:p>
        </w:tc>
        <w:tc>
          <w:tcPr>
            <w:tcW w:w="1143" w:type="dxa"/>
            <w:vAlign w:val="center"/>
          </w:tcPr>
          <w:p>
            <w:pPr>
              <w:jc w:val="center"/>
              <w:rPr>
                <w:sz w:val="24"/>
              </w:rPr>
            </w:pPr>
          </w:p>
        </w:tc>
        <w:tc>
          <w:tcPr>
            <w:tcW w:w="3109" w:type="dxa"/>
            <w:vAlign w:val="center"/>
          </w:tcPr>
          <w:p>
            <w:pPr>
              <w:jc w:val="center"/>
              <w:rPr>
                <w:sz w:val="24"/>
              </w:rPr>
            </w:pPr>
          </w:p>
        </w:tc>
        <w:tc>
          <w:tcPr>
            <w:tcW w:w="2268" w:type="dxa"/>
            <w:vAlign w:val="center"/>
          </w:tcPr>
          <w:p>
            <w:pPr>
              <w:jc w:val="center"/>
              <w:rPr>
                <w:sz w:val="24"/>
              </w:rPr>
            </w:pPr>
          </w:p>
        </w:tc>
        <w:tc>
          <w:tcPr>
            <w:tcW w:w="1275" w:type="dxa"/>
            <w:vAlign w:val="center"/>
          </w:tcPr>
          <w:p>
            <w:pPr>
              <w:jc w:val="center"/>
              <w:rPr>
                <w:sz w:val="24"/>
              </w:rPr>
            </w:pPr>
          </w:p>
        </w:tc>
        <w:tc>
          <w:tcPr>
            <w:tcW w:w="1275" w:type="dxa"/>
            <w:vAlign w:val="center"/>
          </w:tcPr>
          <w:p>
            <w:pPr>
              <w:jc w:val="center"/>
              <w:rPr>
                <w:sz w:val="24"/>
              </w:rPr>
            </w:pPr>
          </w:p>
        </w:tc>
        <w:tc>
          <w:tcPr>
            <w:tcW w:w="993" w:type="dxa"/>
            <w:vAlign w:val="center"/>
          </w:tcPr>
          <w:p>
            <w:pPr>
              <w:jc w:val="center"/>
              <w:rPr>
                <w:sz w:val="24"/>
              </w:rPr>
            </w:pPr>
          </w:p>
        </w:tc>
      </w:tr>
    </w:tbl>
    <w:p>
      <w:pPr>
        <w:spacing w:line="440" w:lineRule="exact"/>
        <w:rPr>
          <w:sz w:val="24"/>
        </w:rPr>
        <w:sectPr>
          <w:pgSz w:w="16838" w:h="11906" w:orient="landscape"/>
          <w:pgMar w:top="1800" w:right="1440" w:bottom="1800" w:left="1440" w:header="851" w:footer="992" w:gutter="0"/>
          <w:cols w:space="720" w:num="1"/>
          <w:docGrid w:type="lines" w:linePitch="312" w:charSpace="0"/>
        </w:sectPr>
      </w:pPr>
      <w:r>
        <w:rPr>
          <w:sz w:val="24"/>
        </w:rPr>
        <w:t>备注：人员类别为1.贫困家庭子女2.贫困劳动力3.“两后生”4.农村转移就业劳动者5.下岗失业人员和转岗职工6.退役军人7.残疾人8.高校毕业生9.在校大学生10.农民11.余刑不满1年监狱服刑人员12.强制隔离余期不满1年戒毒人员13.社区服刑人员14.戒毒康复人员15.企业在职职工。</w:t>
      </w:r>
    </w:p>
    <w:p>
      <w:pPr>
        <w:ind w:firstLine="0"/>
        <w:rPr>
          <w:rFonts w:eastAsia="黑体"/>
          <w:szCs w:val="32"/>
        </w:rPr>
      </w:pPr>
      <w:r>
        <w:rPr>
          <w:rFonts w:eastAsia="黑体"/>
          <w:szCs w:val="32"/>
        </w:rPr>
        <w:t>附件3</w:t>
      </w:r>
    </w:p>
    <w:p>
      <w:pPr>
        <w:ind w:firstLine="0"/>
        <w:rPr>
          <w:rFonts w:eastAsia="黑体"/>
          <w:szCs w:val="32"/>
        </w:rPr>
      </w:pPr>
    </w:p>
    <w:p>
      <w:pPr>
        <w:ind w:firstLine="0"/>
        <w:jc w:val="center"/>
        <w:rPr>
          <w:rFonts w:eastAsia="方正小标宋简体"/>
          <w:spacing w:val="-17"/>
          <w:sz w:val="36"/>
          <w:szCs w:val="36"/>
        </w:rPr>
      </w:pPr>
      <w:r>
        <w:rPr>
          <w:rFonts w:eastAsia="方正小标宋简体"/>
          <w:spacing w:val="-17"/>
          <w:sz w:val="36"/>
          <w:szCs w:val="36"/>
        </w:rPr>
        <w:t>四川省就业创业培训现场（线上）检查确认表</w:t>
      </w:r>
    </w:p>
    <w:p>
      <w:pPr>
        <w:spacing w:line="280" w:lineRule="exact"/>
        <w:jc w:val="center"/>
        <w:rPr>
          <w:szCs w:val="32"/>
        </w:rPr>
      </w:pP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267"/>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30" w:type="dxa"/>
            <w:vAlign w:val="center"/>
          </w:tcPr>
          <w:p>
            <w:pPr>
              <w:spacing w:line="240" w:lineRule="auto"/>
              <w:ind w:firstLine="0"/>
              <w:jc w:val="center"/>
              <w:rPr>
                <w:rFonts w:eastAsia="楷体_GB2312"/>
                <w:sz w:val="24"/>
              </w:rPr>
            </w:pPr>
            <w:r>
              <w:rPr>
                <w:rFonts w:eastAsia="楷体_GB2312"/>
                <w:sz w:val="24"/>
              </w:rPr>
              <w:t>培训机构</w:t>
            </w:r>
          </w:p>
        </w:tc>
        <w:tc>
          <w:tcPr>
            <w:tcW w:w="6392" w:type="dxa"/>
            <w:gridSpan w:val="3"/>
            <w:vAlign w:val="center"/>
          </w:tcPr>
          <w:p>
            <w:pPr>
              <w:spacing w:line="240"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30" w:type="dxa"/>
            <w:vAlign w:val="center"/>
          </w:tcPr>
          <w:p>
            <w:pPr>
              <w:spacing w:line="240" w:lineRule="auto"/>
              <w:ind w:firstLine="0"/>
              <w:jc w:val="center"/>
              <w:rPr>
                <w:rFonts w:eastAsia="楷体_GB2312"/>
                <w:sz w:val="24"/>
              </w:rPr>
            </w:pPr>
            <w:r>
              <w:rPr>
                <w:rFonts w:eastAsia="楷体_GB2312"/>
                <w:sz w:val="24"/>
              </w:rPr>
              <w:t>专业（工种、项目）</w:t>
            </w:r>
          </w:p>
        </w:tc>
        <w:tc>
          <w:tcPr>
            <w:tcW w:w="2130" w:type="dxa"/>
            <w:vAlign w:val="center"/>
          </w:tcPr>
          <w:p>
            <w:pPr>
              <w:spacing w:line="240" w:lineRule="auto"/>
              <w:jc w:val="center"/>
              <w:rPr>
                <w:rFonts w:eastAsia="楷体_GB2312"/>
                <w:sz w:val="24"/>
              </w:rPr>
            </w:pPr>
          </w:p>
        </w:tc>
        <w:tc>
          <w:tcPr>
            <w:tcW w:w="2131" w:type="dxa"/>
            <w:vAlign w:val="center"/>
          </w:tcPr>
          <w:p>
            <w:pPr>
              <w:spacing w:line="240" w:lineRule="auto"/>
              <w:ind w:firstLine="0"/>
              <w:jc w:val="center"/>
              <w:rPr>
                <w:rFonts w:eastAsia="楷体_GB2312"/>
                <w:sz w:val="24"/>
              </w:rPr>
            </w:pPr>
            <w:r>
              <w:rPr>
                <w:rFonts w:eastAsia="楷体_GB2312"/>
                <w:sz w:val="24"/>
              </w:rPr>
              <w:t>开班时间</w:t>
            </w:r>
          </w:p>
        </w:tc>
        <w:tc>
          <w:tcPr>
            <w:tcW w:w="2131" w:type="dxa"/>
            <w:vAlign w:val="center"/>
          </w:tcPr>
          <w:p>
            <w:pPr>
              <w:spacing w:line="240"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30" w:type="dxa"/>
            <w:vAlign w:val="center"/>
          </w:tcPr>
          <w:p>
            <w:pPr>
              <w:spacing w:line="240" w:lineRule="auto"/>
              <w:ind w:firstLine="0"/>
              <w:jc w:val="center"/>
              <w:rPr>
                <w:rFonts w:eastAsia="楷体_GB2312"/>
                <w:sz w:val="24"/>
              </w:rPr>
            </w:pPr>
            <w:r>
              <w:rPr>
                <w:rFonts w:eastAsia="楷体_GB2312"/>
                <w:sz w:val="24"/>
              </w:rPr>
              <w:t>检查时间</w:t>
            </w:r>
          </w:p>
        </w:tc>
        <w:tc>
          <w:tcPr>
            <w:tcW w:w="2130" w:type="dxa"/>
            <w:vAlign w:val="center"/>
          </w:tcPr>
          <w:p>
            <w:pPr>
              <w:spacing w:line="240" w:lineRule="auto"/>
              <w:jc w:val="center"/>
              <w:rPr>
                <w:rFonts w:eastAsia="楷体_GB2312"/>
                <w:sz w:val="24"/>
              </w:rPr>
            </w:pPr>
          </w:p>
        </w:tc>
        <w:tc>
          <w:tcPr>
            <w:tcW w:w="2131" w:type="dxa"/>
            <w:vAlign w:val="center"/>
          </w:tcPr>
          <w:p>
            <w:pPr>
              <w:spacing w:line="240" w:lineRule="auto"/>
              <w:ind w:firstLine="0"/>
              <w:jc w:val="center"/>
              <w:rPr>
                <w:rFonts w:eastAsia="楷体_GB2312"/>
                <w:sz w:val="24"/>
              </w:rPr>
            </w:pPr>
            <w:r>
              <w:rPr>
                <w:rFonts w:eastAsia="楷体_GB2312"/>
                <w:sz w:val="24"/>
              </w:rPr>
              <w:t>授课科目</w:t>
            </w:r>
          </w:p>
        </w:tc>
        <w:tc>
          <w:tcPr>
            <w:tcW w:w="2131" w:type="dxa"/>
            <w:vAlign w:val="center"/>
          </w:tcPr>
          <w:p>
            <w:pPr>
              <w:spacing w:line="240"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30" w:type="dxa"/>
            <w:vAlign w:val="center"/>
          </w:tcPr>
          <w:p>
            <w:pPr>
              <w:spacing w:line="240" w:lineRule="auto"/>
              <w:ind w:firstLine="0"/>
              <w:jc w:val="center"/>
              <w:rPr>
                <w:rFonts w:eastAsia="楷体_GB2312"/>
                <w:sz w:val="24"/>
              </w:rPr>
            </w:pPr>
            <w:r>
              <w:rPr>
                <w:rFonts w:eastAsia="楷体_GB2312"/>
                <w:sz w:val="24"/>
              </w:rPr>
              <w:t>应到学员人数</w:t>
            </w:r>
          </w:p>
        </w:tc>
        <w:tc>
          <w:tcPr>
            <w:tcW w:w="2130" w:type="dxa"/>
            <w:vAlign w:val="center"/>
          </w:tcPr>
          <w:p>
            <w:pPr>
              <w:spacing w:line="240" w:lineRule="auto"/>
              <w:jc w:val="center"/>
              <w:rPr>
                <w:rFonts w:eastAsia="楷体_GB2312"/>
                <w:sz w:val="24"/>
              </w:rPr>
            </w:pPr>
          </w:p>
        </w:tc>
        <w:tc>
          <w:tcPr>
            <w:tcW w:w="2131" w:type="dxa"/>
            <w:vAlign w:val="center"/>
          </w:tcPr>
          <w:p>
            <w:pPr>
              <w:spacing w:line="240" w:lineRule="auto"/>
              <w:ind w:firstLine="0"/>
              <w:jc w:val="center"/>
              <w:rPr>
                <w:rFonts w:eastAsia="楷体_GB2312"/>
                <w:sz w:val="24"/>
              </w:rPr>
            </w:pPr>
            <w:r>
              <w:rPr>
                <w:rFonts w:eastAsia="楷体_GB2312"/>
                <w:sz w:val="24"/>
              </w:rPr>
              <w:t>实到学员人数</w:t>
            </w:r>
          </w:p>
        </w:tc>
        <w:tc>
          <w:tcPr>
            <w:tcW w:w="2131" w:type="dxa"/>
            <w:vAlign w:val="center"/>
          </w:tcPr>
          <w:p>
            <w:pPr>
              <w:spacing w:line="240" w:lineRule="auto"/>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jc w:val="center"/>
        </w:trPr>
        <w:tc>
          <w:tcPr>
            <w:tcW w:w="2130" w:type="dxa"/>
            <w:vAlign w:val="center"/>
          </w:tcPr>
          <w:p>
            <w:pPr>
              <w:spacing w:line="240" w:lineRule="auto"/>
              <w:ind w:firstLine="0"/>
              <w:jc w:val="center"/>
              <w:rPr>
                <w:rFonts w:eastAsia="楷体_GB2312"/>
                <w:sz w:val="24"/>
              </w:rPr>
            </w:pPr>
            <w:r>
              <w:rPr>
                <w:rFonts w:eastAsia="楷体_GB2312"/>
                <w:sz w:val="24"/>
              </w:rPr>
              <w:t>培训机构意见</w:t>
            </w:r>
          </w:p>
        </w:tc>
        <w:tc>
          <w:tcPr>
            <w:tcW w:w="6392" w:type="dxa"/>
            <w:gridSpan w:val="3"/>
            <w:vAlign w:val="center"/>
          </w:tcPr>
          <w:p>
            <w:pPr>
              <w:spacing w:line="240" w:lineRule="auto"/>
              <w:ind w:right="480"/>
              <w:rPr>
                <w:rFonts w:eastAsia="楷体_GB2312"/>
                <w:sz w:val="24"/>
              </w:rPr>
            </w:pPr>
          </w:p>
          <w:p>
            <w:pPr>
              <w:spacing w:line="240" w:lineRule="auto"/>
              <w:ind w:right="480"/>
              <w:rPr>
                <w:rFonts w:eastAsia="楷体_GB2312"/>
                <w:sz w:val="24"/>
              </w:rPr>
            </w:pPr>
          </w:p>
          <w:p>
            <w:pPr>
              <w:spacing w:line="240" w:lineRule="auto"/>
              <w:ind w:right="480"/>
              <w:rPr>
                <w:rFonts w:eastAsia="楷体_GB2312"/>
                <w:sz w:val="24"/>
              </w:rPr>
            </w:pPr>
          </w:p>
          <w:p>
            <w:pPr>
              <w:spacing w:line="240" w:lineRule="auto"/>
              <w:ind w:right="480"/>
              <w:rPr>
                <w:rFonts w:eastAsia="楷体_GB2312"/>
                <w:sz w:val="24"/>
              </w:rPr>
            </w:pPr>
          </w:p>
          <w:p>
            <w:pPr>
              <w:spacing w:line="240" w:lineRule="auto"/>
              <w:ind w:right="480" w:firstLine="2640" w:firstLineChars="1100"/>
              <w:rPr>
                <w:rFonts w:eastAsia="楷体_GB2312"/>
                <w:sz w:val="24"/>
              </w:rPr>
            </w:pPr>
            <w:r>
              <w:rPr>
                <w:rFonts w:eastAsia="楷体_GB2312"/>
                <w:sz w:val="24"/>
              </w:rPr>
              <w:t>授课老师（签字）：</w:t>
            </w:r>
          </w:p>
          <w:p>
            <w:pPr>
              <w:spacing w:line="240" w:lineRule="auto"/>
              <w:ind w:right="480" w:firstLine="2640" w:firstLineChars="1100"/>
              <w:rPr>
                <w:rFonts w:eastAsia="楷体_GB2312"/>
                <w:sz w:val="24"/>
              </w:rPr>
            </w:pPr>
            <w:r>
              <w:rPr>
                <w:rFonts w:eastAsia="楷体_GB2312"/>
                <w:sz w:val="24"/>
              </w:rPr>
              <w:t>负 责 人（签字）：</w:t>
            </w:r>
          </w:p>
          <w:p>
            <w:pPr>
              <w:spacing w:line="240" w:lineRule="auto"/>
              <w:ind w:right="480" w:firstLine="3360" w:firstLineChars="1400"/>
              <w:rPr>
                <w:rFonts w:eastAsia="楷体_GB2312"/>
                <w:sz w:val="24"/>
              </w:rPr>
            </w:pPr>
            <w:r>
              <w:rPr>
                <w:rFonts w:eastAsia="楷体_GB2312"/>
                <w:sz w:val="24"/>
              </w:rPr>
              <w:t>(单位盖章)</w:t>
            </w:r>
          </w:p>
          <w:p>
            <w:pPr>
              <w:spacing w:line="240" w:lineRule="auto"/>
              <w:jc w:val="center"/>
              <w:rPr>
                <w:rFonts w:eastAsia="楷体_GB2312"/>
                <w:sz w:val="24"/>
              </w:rPr>
            </w:pPr>
            <w:r>
              <w:rPr>
                <w:rFonts w:eastAsia="楷体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2130" w:type="dxa"/>
            <w:vAlign w:val="center"/>
          </w:tcPr>
          <w:p>
            <w:pPr>
              <w:spacing w:line="240" w:lineRule="auto"/>
              <w:ind w:firstLine="0"/>
              <w:jc w:val="center"/>
              <w:rPr>
                <w:rFonts w:eastAsia="楷体_GB2312"/>
                <w:sz w:val="24"/>
              </w:rPr>
            </w:pPr>
            <w:r>
              <w:rPr>
                <w:rFonts w:eastAsia="楷体_GB2312"/>
                <w:sz w:val="24"/>
              </w:rPr>
              <w:t>检查人员意见</w:t>
            </w:r>
          </w:p>
        </w:tc>
        <w:tc>
          <w:tcPr>
            <w:tcW w:w="6392" w:type="dxa"/>
            <w:gridSpan w:val="3"/>
            <w:vAlign w:val="center"/>
          </w:tcPr>
          <w:p>
            <w:pPr>
              <w:spacing w:line="240" w:lineRule="auto"/>
              <w:ind w:right="480"/>
              <w:rPr>
                <w:rFonts w:eastAsia="楷体_GB2312"/>
                <w:sz w:val="24"/>
              </w:rPr>
            </w:pPr>
          </w:p>
          <w:p>
            <w:pPr>
              <w:spacing w:line="240" w:lineRule="auto"/>
              <w:ind w:right="480"/>
              <w:rPr>
                <w:rFonts w:eastAsia="楷体_GB2312"/>
                <w:sz w:val="24"/>
              </w:rPr>
            </w:pPr>
          </w:p>
          <w:p>
            <w:pPr>
              <w:spacing w:line="240" w:lineRule="auto"/>
              <w:ind w:right="480"/>
              <w:rPr>
                <w:rFonts w:eastAsia="楷体_GB2312"/>
                <w:sz w:val="24"/>
              </w:rPr>
            </w:pPr>
          </w:p>
          <w:p>
            <w:pPr>
              <w:spacing w:line="240" w:lineRule="auto"/>
              <w:ind w:right="480"/>
              <w:rPr>
                <w:rFonts w:eastAsia="楷体_GB2312"/>
                <w:sz w:val="24"/>
              </w:rPr>
            </w:pPr>
          </w:p>
          <w:p>
            <w:pPr>
              <w:spacing w:line="240" w:lineRule="auto"/>
              <w:ind w:right="480" w:firstLine="2640" w:firstLineChars="1100"/>
              <w:rPr>
                <w:rFonts w:eastAsia="楷体_GB2312"/>
                <w:sz w:val="24"/>
              </w:rPr>
            </w:pPr>
            <w:r>
              <w:rPr>
                <w:rFonts w:eastAsia="楷体_GB2312"/>
                <w:sz w:val="24"/>
              </w:rPr>
              <w:t>检查人（签字）：</w:t>
            </w:r>
          </w:p>
          <w:p>
            <w:pPr>
              <w:spacing w:line="240" w:lineRule="auto"/>
              <w:jc w:val="center"/>
              <w:rPr>
                <w:rFonts w:eastAsia="楷体_GB2312"/>
                <w:sz w:val="24"/>
              </w:rPr>
            </w:pPr>
            <w:r>
              <w:rPr>
                <w:rFonts w:eastAsia="楷体_GB2312"/>
                <w:sz w:val="24"/>
              </w:rPr>
              <w:t xml:space="preserve">                 年   月   日</w:t>
            </w:r>
          </w:p>
        </w:tc>
      </w:tr>
    </w:tbl>
    <w:p>
      <w:pPr>
        <w:sectPr>
          <w:pgSz w:w="11906" w:h="16838"/>
          <w:pgMar w:top="1928" w:right="1418" w:bottom="1474" w:left="1418" w:header="851" w:footer="992" w:gutter="0"/>
          <w:cols w:space="425" w:num="1"/>
          <w:docGrid w:type="lines" w:linePitch="435" w:charSpace="0"/>
        </w:sectPr>
      </w:pPr>
    </w:p>
    <w:p/>
    <w:p>
      <w:pPr>
        <w:tabs>
          <w:tab w:val="left" w:pos="5954"/>
        </w:tabs>
        <w:ind w:firstLine="360" w:firstLineChars="100"/>
        <w:rPr>
          <w:rFonts w:eastAsia="方正小标宋简体"/>
          <w:bCs/>
          <w:sz w:val="36"/>
          <w:szCs w:val="36"/>
        </w:rPr>
      </w:pPr>
      <w:bookmarkStart w:id="0" w:name="_GoBack"/>
      <w:bookmarkEnd w:id="0"/>
    </w:p>
    <w:sectPr>
      <w:footerReference r:id="rId7" w:type="default"/>
      <w:footerReference r:id="rId8" w:type="even"/>
      <w:pgSz w:w="11906" w:h="16838"/>
      <w:pgMar w:top="1928" w:right="1418" w:bottom="1474" w:left="141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760336"/>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rPr>
        <w:rFonts w:asciiTheme="majorEastAsia" w:hAnsiTheme="majorEastAsia" w:eastAsiaTheme="majorEastAsia"/>
        <w:sz w:val="28"/>
        <w:szCs w:val="28"/>
      </w:rPr>
    </w:pPr>
    <w:sdt>
      <w:sdtPr>
        <w:rPr>
          <w:rFonts w:asciiTheme="majorEastAsia" w:hAnsiTheme="majorEastAsia" w:eastAsiaTheme="majorEastAsia"/>
          <w:sz w:val="28"/>
          <w:szCs w:val="28"/>
        </w:rPr>
        <w:id w:val="110760348"/>
        <w:docPartObj>
          <w:docPartGallery w:val="AutoText"/>
        </w:docPartObj>
      </w:sdtPr>
      <w:sdtEndPr>
        <w:rPr>
          <w:rFonts w:asciiTheme="majorEastAsia" w:hAnsiTheme="majorEastAsia" w:eastAsiaTheme="majorEastAsia"/>
          <w:sz w:val="28"/>
          <w:szCs w:val="28"/>
        </w:rPr>
      </w:sdtEndPr>
      <w:sdtContent>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sdtContent>
    </w:sdt>
    <w:r>
      <w:rPr>
        <w:rFonts w:hint="eastAsia" w:asciiTheme="majorEastAsia" w:hAnsiTheme="majorEastAsia" w:eastAsiaTheme="major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ajorEastAsia" w:hAnsiTheme="majorEastAsia" w:eastAsiaTheme="major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rPr>
        <w:rFonts w:asciiTheme="majorEastAsia" w:hAnsiTheme="majorEastAsia" w:eastAsiaTheme="maj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91"/>
    <w:rsid w:val="000256E4"/>
    <w:rsid w:val="001D44F4"/>
    <w:rsid w:val="00212C21"/>
    <w:rsid w:val="002362AA"/>
    <w:rsid w:val="00236D34"/>
    <w:rsid w:val="00287AF8"/>
    <w:rsid w:val="00315D63"/>
    <w:rsid w:val="00320C25"/>
    <w:rsid w:val="00364F4A"/>
    <w:rsid w:val="00383E50"/>
    <w:rsid w:val="003A566A"/>
    <w:rsid w:val="004B0EF3"/>
    <w:rsid w:val="00587B14"/>
    <w:rsid w:val="00606690"/>
    <w:rsid w:val="006140D4"/>
    <w:rsid w:val="00623F91"/>
    <w:rsid w:val="00642AD2"/>
    <w:rsid w:val="00767761"/>
    <w:rsid w:val="007F10DE"/>
    <w:rsid w:val="00800AA9"/>
    <w:rsid w:val="0082275C"/>
    <w:rsid w:val="00824B74"/>
    <w:rsid w:val="009266B6"/>
    <w:rsid w:val="00953DAF"/>
    <w:rsid w:val="009A6394"/>
    <w:rsid w:val="009B5632"/>
    <w:rsid w:val="00AA1B2E"/>
    <w:rsid w:val="00BB4FDB"/>
    <w:rsid w:val="00BF1575"/>
    <w:rsid w:val="00DE0367"/>
    <w:rsid w:val="00E0332C"/>
    <w:rsid w:val="00F219D2"/>
    <w:rsid w:val="E5F3E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24"/>
      <w:jc w:val="both"/>
    </w:pPr>
    <w:rPr>
      <w:rFonts w:ascii="Times New Roman" w:hAnsi="Times New Roman" w:eastAsia="仿宋_GB2312" w:cs="Times New Roman"/>
      <w:kern w:val="2"/>
      <w:sz w:val="32"/>
      <w:szCs w:val="2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5"/>
    <w:qFormat/>
    <w:uiPriority w:val="0"/>
    <w:pPr>
      <w:ind w:firstLine="0"/>
    </w:pPr>
  </w:style>
  <w:style w:type="paragraph" w:styleId="3">
    <w:name w:val="Body Text"/>
    <w:basedOn w:val="1"/>
    <w:link w:val="17"/>
    <w:semiHidden/>
    <w:unhideWhenUsed/>
    <w:qFormat/>
    <w:uiPriority w:val="99"/>
    <w:pPr>
      <w:spacing w:after="120"/>
    </w:pPr>
  </w:style>
  <w:style w:type="paragraph" w:styleId="4">
    <w:name w:val="Balloon Text"/>
    <w:basedOn w:val="1"/>
    <w:link w:val="19"/>
    <w:semiHidden/>
    <w:unhideWhenUsed/>
    <w:qFormat/>
    <w:uiPriority w:val="99"/>
    <w:pPr>
      <w:spacing w:line="240" w:lineRule="auto"/>
    </w:pPr>
    <w:rPr>
      <w:sz w:val="18"/>
      <w:szCs w:val="18"/>
    </w:rPr>
  </w:style>
  <w:style w:type="paragraph" w:styleId="5">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Body Text First Indent"/>
    <w:basedOn w:val="3"/>
    <w:link w:val="16"/>
    <w:qFormat/>
    <w:uiPriority w:val="0"/>
    <w:pPr>
      <w:spacing w:before="120" w:line="360" w:lineRule="auto"/>
      <w:ind w:firstLine="420" w:firstLineChars="100"/>
    </w:pPr>
    <w:rPr>
      <w:rFonts w:ascii="Calibri" w:hAnsi="Calibri" w:eastAsiaTheme="minorEastAsia" w:cstheme="minorBidi"/>
      <w:sz w:val="24"/>
      <w:szCs w:val="24"/>
    </w:r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仿宋_GB2312" w:cs="Times New Roman"/>
      <w:sz w:val="18"/>
      <w:szCs w:val="18"/>
    </w:rPr>
  </w:style>
  <w:style w:type="character" w:customStyle="1" w:styleId="12">
    <w:name w:val="页脚 字符"/>
    <w:basedOn w:val="9"/>
    <w:link w:val="5"/>
    <w:qFormat/>
    <w:uiPriority w:val="99"/>
    <w:rPr>
      <w:rFonts w:ascii="Times New Roman" w:hAnsi="Times New Roman" w:eastAsia="仿宋_GB2312" w:cs="Times New Roman"/>
      <w:sz w:val="18"/>
      <w:szCs w:val="18"/>
    </w:rPr>
  </w:style>
  <w:style w:type="paragraph" w:styleId="13">
    <w:name w:val="List Paragraph"/>
    <w:basedOn w:val="1"/>
    <w:qFormat/>
    <w:uiPriority w:val="34"/>
    <w:pPr>
      <w:ind w:firstLine="420" w:firstLineChars="200"/>
    </w:pPr>
  </w:style>
  <w:style w:type="paragraph" w:customStyle="1" w:styleId="14">
    <w:name w:val="小小标题"/>
    <w:basedOn w:val="1"/>
    <w:qFormat/>
    <w:uiPriority w:val="0"/>
    <w:rPr>
      <w:rFonts w:eastAsia="楷体_GB2312"/>
    </w:rPr>
  </w:style>
  <w:style w:type="character" w:customStyle="1" w:styleId="15">
    <w:name w:val="称呼 字符"/>
    <w:basedOn w:val="9"/>
    <w:link w:val="2"/>
    <w:qFormat/>
    <w:uiPriority w:val="0"/>
    <w:rPr>
      <w:rFonts w:ascii="Times New Roman" w:hAnsi="Times New Roman" w:eastAsia="仿宋_GB2312" w:cs="Times New Roman"/>
      <w:sz w:val="32"/>
      <w:szCs w:val="20"/>
    </w:rPr>
  </w:style>
  <w:style w:type="character" w:customStyle="1" w:styleId="16">
    <w:name w:val="正文首行缩进 字符1"/>
    <w:link w:val="7"/>
    <w:qFormat/>
    <w:uiPriority w:val="0"/>
    <w:rPr>
      <w:rFonts w:ascii="Calibri" w:hAnsi="Calibri"/>
      <w:sz w:val="24"/>
      <w:szCs w:val="24"/>
    </w:rPr>
  </w:style>
  <w:style w:type="character" w:customStyle="1" w:styleId="17">
    <w:name w:val="正文文本 字符"/>
    <w:basedOn w:val="9"/>
    <w:link w:val="3"/>
    <w:semiHidden/>
    <w:qFormat/>
    <w:uiPriority w:val="99"/>
    <w:rPr>
      <w:rFonts w:ascii="Times New Roman" w:hAnsi="Times New Roman" w:eastAsia="仿宋_GB2312" w:cs="Times New Roman"/>
      <w:sz w:val="32"/>
      <w:szCs w:val="20"/>
    </w:rPr>
  </w:style>
  <w:style w:type="character" w:customStyle="1" w:styleId="18">
    <w:name w:val="正文首行缩进 字符"/>
    <w:basedOn w:val="17"/>
    <w:semiHidden/>
    <w:qFormat/>
    <w:uiPriority w:val="99"/>
    <w:rPr>
      <w:rFonts w:ascii="Times New Roman" w:hAnsi="Times New Roman" w:eastAsia="仿宋_GB2312" w:cs="Times New Roman"/>
      <w:sz w:val="32"/>
      <w:szCs w:val="20"/>
    </w:rPr>
  </w:style>
  <w:style w:type="character" w:customStyle="1" w:styleId="19">
    <w:name w:val="批注框文本 字符"/>
    <w:basedOn w:val="9"/>
    <w:link w:val="4"/>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865</Words>
  <Characters>4937</Characters>
  <Lines>41</Lines>
  <Paragraphs>11</Paragraphs>
  <TotalTime>5</TotalTime>
  <ScaleCrop>false</ScaleCrop>
  <LinksUpToDate>false</LinksUpToDate>
  <CharactersWithSpaces>5791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2020-07-03T14:40:00Z</dcterms:created>
  <dc:creator>lenovo</dc:creator>
  <cp:lastModifiedBy>user</cp:lastModifiedBy>
  <cp:lastPrinted>2020-06-19T09:08:00Z</cp:lastPrinted>
  <dcterms:modified xsi:type="dcterms:W3CDTF">2023-06-15T10:06:03Z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