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left"/>
        <w:rPr>
          <w:rFonts w:hint="default" w:ascii="黑体" w:hAnsi="黑体" w:eastAsia="黑体" w:cs="黑体"/>
          <w:sz w:val="32"/>
          <w:szCs w:val="32"/>
          <w:lang w:val="en-US" w:eastAsia="zh-CN"/>
        </w:rPr>
      </w:pPr>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2024年度四川省人力资源和社会保障科研项目需求</w:t>
      </w:r>
      <w:r>
        <w:rPr>
          <w:rFonts w:ascii="方正小标宋简体" w:eastAsia="方正小标宋简体"/>
          <w:sz w:val="44"/>
          <w:szCs w:val="44"/>
        </w:rPr>
        <w:t>指南</w:t>
      </w:r>
    </w:p>
    <w:p>
      <w:pPr>
        <w:jc w:val="center"/>
        <w:rPr>
          <w:rFonts w:ascii="楷体_GB2312" w:eastAsia="楷体_GB2312"/>
          <w:sz w:val="32"/>
          <w:szCs w:val="32"/>
        </w:rPr>
      </w:pPr>
    </w:p>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、重点项目</w:t>
      </w:r>
      <w:r>
        <w:rPr>
          <w:rFonts w:hint="eastAsia" w:ascii="黑体" w:hAnsi="黑体" w:eastAsia="黑体"/>
          <w:sz w:val="32"/>
          <w:szCs w:val="32"/>
        </w:rPr>
        <w:t>（15个）</w:t>
      </w:r>
    </w:p>
    <w:p>
      <w:pPr>
        <w:spacing w:line="600" w:lineRule="exact"/>
        <w:ind w:firstLine="480" w:firstLineChars="15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城乡融合背景下大学生</w:t>
      </w:r>
      <w:r>
        <w:rPr>
          <w:rFonts w:hint="eastAsia" w:ascii="楷体_GB2312" w:eastAsia="楷体_GB2312"/>
          <w:sz w:val="32"/>
          <w:szCs w:val="32"/>
        </w:rPr>
        <w:t>返乡</w:t>
      </w:r>
      <w:r>
        <w:rPr>
          <w:rFonts w:ascii="楷体_GB2312" w:eastAsia="楷体_GB2312"/>
          <w:sz w:val="32"/>
          <w:szCs w:val="32"/>
        </w:rPr>
        <w:t>就业创业</w:t>
      </w:r>
      <w:r>
        <w:rPr>
          <w:rFonts w:hint="eastAsia" w:ascii="楷体_GB2312" w:eastAsia="楷体_GB2312"/>
          <w:sz w:val="32"/>
          <w:szCs w:val="32"/>
        </w:rPr>
        <w:t>困境</w:t>
      </w:r>
      <w:r>
        <w:rPr>
          <w:rFonts w:ascii="楷体_GB2312" w:eastAsia="楷体_GB2312"/>
          <w:sz w:val="32"/>
          <w:szCs w:val="32"/>
        </w:rPr>
        <w:t>及对策研究</w:t>
      </w:r>
    </w:p>
    <w:p>
      <w:pPr>
        <w:spacing w:line="600" w:lineRule="exact"/>
        <w:ind w:firstLine="640" w:firstLineChars="200"/>
        <w:rPr>
          <w:sz w:val="32"/>
          <w:szCs w:val="32"/>
        </w:rPr>
      </w:pPr>
      <w:r>
        <w:rPr>
          <w:rFonts w:hint="eastAsia"/>
          <w:sz w:val="32"/>
          <w:szCs w:val="32"/>
        </w:rPr>
        <w:t>随着乡村振兴战略的持续推进，农旅融合产业逐渐成为提升农村经济发展、保证农民增收的主要产业发展方向，相关政策向乡村的倾斜激发了大学生返乡创业的热情。通过分析当前形势下大学生返乡创业的现状与所遇到的困境，以问题、需求为导向，从营销渠道、政策帮扶、产业链构建等角度研提进一步</w:t>
      </w:r>
      <w:r>
        <w:rPr>
          <w:sz w:val="32"/>
          <w:szCs w:val="32"/>
        </w:rPr>
        <w:t>促进</w:t>
      </w:r>
      <w:r>
        <w:rPr>
          <w:rFonts w:hint="eastAsia"/>
          <w:sz w:val="32"/>
          <w:szCs w:val="32"/>
        </w:rPr>
        <w:t>大学生</w:t>
      </w:r>
      <w:r>
        <w:rPr>
          <w:sz w:val="32"/>
          <w:szCs w:val="32"/>
        </w:rPr>
        <w:t>返乡就业创业</w:t>
      </w:r>
      <w:r>
        <w:rPr>
          <w:rFonts w:hint="eastAsia"/>
          <w:sz w:val="32"/>
          <w:szCs w:val="32"/>
        </w:rPr>
        <w:t>措施建议。（18万元）</w:t>
      </w:r>
    </w:p>
    <w:p>
      <w:pPr>
        <w:tabs>
          <w:tab w:val="left" w:pos="1843"/>
        </w:tabs>
        <w:spacing w:line="600" w:lineRule="exact"/>
        <w:ind w:firstLine="640" w:firstLineChars="200"/>
        <w:rPr>
          <w:sz w:val="32"/>
          <w:szCs w:val="32"/>
        </w:rPr>
      </w:pPr>
      <w:r>
        <w:rPr>
          <w:rFonts w:hint="eastAsia" w:ascii="楷体_GB2312" w:eastAsia="楷体_GB2312"/>
          <w:sz w:val="32"/>
          <w:szCs w:val="32"/>
        </w:rPr>
        <w:t>（二）四川省人力资源</w:t>
      </w:r>
      <w:r>
        <w:rPr>
          <w:rFonts w:ascii="楷体_GB2312" w:eastAsia="楷体_GB2312"/>
          <w:sz w:val="32"/>
          <w:szCs w:val="32"/>
        </w:rPr>
        <w:t>服务机构评价</w:t>
      </w:r>
      <w:r>
        <w:rPr>
          <w:rFonts w:hint="eastAsia" w:ascii="楷体_GB2312" w:eastAsia="楷体_GB2312"/>
          <w:sz w:val="32"/>
          <w:szCs w:val="32"/>
        </w:rPr>
        <w:t>指标</w:t>
      </w:r>
      <w:r>
        <w:rPr>
          <w:rFonts w:ascii="楷体_GB2312" w:eastAsia="楷体_GB2312"/>
          <w:sz w:val="32"/>
          <w:szCs w:val="32"/>
        </w:rPr>
        <w:t>体系建设研究</w:t>
      </w:r>
    </w:p>
    <w:p>
      <w:pPr>
        <w:spacing w:line="600" w:lineRule="exact"/>
        <w:ind w:firstLine="640" w:firstLineChars="200"/>
        <w:rPr>
          <w:sz w:val="32"/>
          <w:szCs w:val="32"/>
        </w:rPr>
      </w:pPr>
      <w:r>
        <w:rPr>
          <w:rFonts w:hint="eastAsia"/>
          <w:sz w:val="32"/>
          <w:szCs w:val="32"/>
        </w:rPr>
        <w:t>围绕推动成渝双城经济圈建设战略，重点研究人力资源机构在落实就业优先战略，服务重点产业发展和推动乡村振兴方面的具体情况，设计和完善评价指标体系建设，提出优化调整的意见及建议。（18万元）</w:t>
      </w:r>
    </w:p>
    <w:p>
      <w:pPr>
        <w:spacing w:line="600" w:lineRule="exact"/>
        <w:ind w:firstLine="480" w:firstLineChars="150"/>
        <w:rPr>
          <w:rFonts w:ascii="楷体_GB2312" w:eastAsia="楷体_GB2312"/>
          <w:sz w:val="32"/>
          <w:szCs w:val="32"/>
        </w:rPr>
      </w:pPr>
      <w:r>
        <w:rPr>
          <w:rFonts w:hint="eastAsia" w:ascii="楷体_GB2312" w:eastAsia="楷体_GB2312"/>
          <w:sz w:val="32"/>
          <w:szCs w:val="32"/>
        </w:rPr>
        <w:t>（三）工程类科研机构专业技术人才队伍梯队建设研究</w:t>
      </w:r>
    </w:p>
    <w:p>
      <w:pPr>
        <w:spacing w:line="600" w:lineRule="exact"/>
        <w:ind w:firstLine="640" w:firstLineChars="200"/>
        <w:rPr>
          <w:sz w:val="32"/>
          <w:szCs w:val="32"/>
        </w:rPr>
      </w:pPr>
      <w:r>
        <w:rPr>
          <w:rFonts w:hint="eastAsia"/>
          <w:sz w:val="32"/>
          <w:szCs w:val="32"/>
        </w:rPr>
        <w:t>围绕我省先进制造业、信息技术等重点产业发展战略，聚焦工程类专业技术人才队伍建设在推动产业转型升级和高质量发展重要作用的发挥，重点研究工程类专业技术人才队伍现状、人才政策现状及执行情况、人才队伍建设中的瓶颈，提出优化调整的意见建议。（18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（四）新时代“教培产城”融合发展路径研究</w:t>
      </w:r>
    </w:p>
    <w:p>
      <w:pPr>
        <w:tabs>
          <w:tab w:val="left" w:pos="1843"/>
        </w:tabs>
        <w:spacing w:line="600" w:lineRule="exact"/>
        <w:ind w:firstLine="640" w:firstLineChars="200"/>
        <w:rPr>
          <w:sz w:val="32"/>
          <w:szCs w:val="32"/>
        </w:rPr>
      </w:pPr>
      <w:r>
        <w:rPr>
          <w:rFonts w:hint="eastAsia"/>
          <w:sz w:val="32"/>
          <w:szCs w:val="32"/>
        </w:rPr>
        <w:t>围绕“以教促培、以培兴产、以产带城、以城育教”主线，紧扣“集聚工匠人才、发展工匠产业、提升工匠技能、传承工匠技艺、展示工匠产品、弘扬工匠精神和传播工匠文化”七大建设内涵，全链条培育支撑中国式现代化发展的高素质技能人才、大国工匠和能工巧匠，以技能</w:t>
      </w:r>
      <w:r>
        <w:rPr>
          <w:sz w:val="32"/>
          <w:szCs w:val="32"/>
        </w:rPr>
        <w:t>人才助推产业兴城</w:t>
      </w:r>
      <w:r>
        <w:rPr>
          <w:rFonts w:hint="eastAsia"/>
          <w:sz w:val="32"/>
          <w:szCs w:val="32"/>
        </w:rPr>
        <w:t>，探索“教培产城”融合</w:t>
      </w:r>
      <w:r>
        <w:rPr>
          <w:sz w:val="32"/>
          <w:szCs w:val="32"/>
        </w:rPr>
        <w:t>发展的可行路径。</w:t>
      </w:r>
      <w:r>
        <w:rPr>
          <w:rFonts w:hint="eastAsia"/>
          <w:sz w:val="32"/>
          <w:szCs w:val="32"/>
        </w:rPr>
        <w:t>（15万元）</w:t>
      </w:r>
    </w:p>
    <w:p>
      <w:pPr>
        <w:tabs>
          <w:tab w:val="left" w:pos="1843"/>
        </w:tabs>
        <w:spacing w:line="600" w:lineRule="exact"/>
        <w:ind w:firstLine="480" w:firstLineChars="150"/>
        <w:rPr>
          <w:rFonts w:ascii="楷体_GB2312" w:eastAsia="楷体_GB2312"/>
          <w:sz w:val="32"/>
          <w:szCs w:val="32"/>
        </w:rPr>
      </w:pPr>
      <w:r>
        <w:rPr>
          <w:rFonts w:hint="eastAsia" w:ascii="楷体_GB2312" w:eastAsia="楷体_GB2312"/>
          <w:sz w:val="32"/>
          <w:szCs w:val="32"/>
        </w:rPr>
        <w:t>（五）事业单位人事</w:t>
      </w:r>
      <w:r>
        <w:rPr>
          <w:rFonts w:ascii="楷体_GB2312" w:eastAsia="楷体_GB2312"/>
          <w:sz w:val="32"/>
          <w:szCs w:val="32"/>
        </w:rPr>
        <w:t>工资</w:t>
      </w:r>
      <w:r>
        <w:rPr>
          <w:rFonts w:hint="eastAsia" w:ascii="楷体_GB2312" w:eastAsia="楷体_GB2312"/>
          <w:sz w:val="32"/>
          <w:szCs w:val="32"/>
        </w:rPr>
        <w:t>数据信息应用领域拓展和大数据监测分析研究</w:t>
      </w:r>
    </w:p>
    <w:p>
      <w:pPr>
        <w:tabs>
          <w:tab w:val="left" w:pos="1843"/>
        </w:tabs>
        <w:spacing w:line="600" w:lineRule="exact"/>
        <w:ind w:firstLine="640" w:firstLineChars="200"/>
        <w:rPr>
          <w:rFonts w:ascii="仿宋_GB2312"/>
          <w:sz w:val="32"/>
          <w:szCs w:val="32"/>
        </w:rPr>
      </w:pPr>
      <w:r>
        <w:rPr>
          <w:rFonts w:hint="eastAsia" w:ascii="仿宋_GB2312"/>
          <w:sz w:val="32"/>
          <w:szCs w:val="32"/>
        </w:rPr>
        <w:t>研究事业单位人事</w:t>
      </w:r>
      <w:r>
        <w:rPr>
          <w:rFonts w:ascii="仿宋_GB2312"/>
          <w:sz w:val="32"/>
          <w:szCs w:val="32"/>
        </w:rPr>
        <w:t>工资</w:t>
      </w:r>
      <w:r>
        <w:rPr>
          <w:rFonts w:hint="eastAsia" w:ascii="仿宋_GB2312"/>
          <w:sz w:val="32"/>
          <w:szCs w:val="32"/>
        </w:rPr>
        <w:t>数据信息在推动事业单位人力资源发展、数字政府、共同富裕建设中的重要作用，拓展人事</w:t>
      </w:r>
      <w:r>
        <w:rPr>
          <w:rFonts w:ascii="仿宋_GB2312"/>
          <w:sz w:val="32"/>
          <w:szCs w:val="32"/>
        </w:rPr>
        <w:t>工资</w:t>
      </w:r>
      <w:r>
        <w:rPr>
          <w:rFonts w:hint="eastAsia" w:ascii="仿宋_GB2312"/>
          <w:sz w:val="32"/>
          <w:szCs w:val="32"/>
        </w:rPr>
        <w:t>数据信息应用领域，助理政府治理能力现代化。通过大数据技术，建立事业单位人才评价和事业单位人力资源建设评价模型，为事业单位以及人才个人的人力资源建设水平画像描像，提供更直接有效的意见建议。</w:t>
      </w:r>
      <w:r>
        <w:rPr>
          <w:rFonts w:hint="eastAsia"/>
          <w:sz w:val="32"/>
          <w:szCs w:val="32"/>
        </w:rPr>
        <w:t>（15万元）</w:t>
      </w:r>
    </w:p>
    <w:p>
      <w:pPr>
        <w:tabs>
          <w:tab w:val="left" w:pos="1843"/>
        </w:tabs>
        <w:spacing w:line="600" w:lineRule="exact"/>
        <w:ind w:firstLine="480" w:firstLineChars="150"/>
        <w:rPr>
          <w:rFonts w:ascii="楷体_GB2312" w:eastAsia="楷体_GB2312"/>
          <w:sz w:val="32"/>
          <w:szCs w:val="32"/>
        </w:rPr>
      </w:pPr>
      <w:r>
        <w:rPr>
          <w:rFonts w:hint="eastAsia" w:ascii="楷体_GB2312" w:eastAsia="楷体_GB2312"/>
          <w:sz w:val="32"/>
          <w:szCs w:val="32"/>
        </w:rPr>
        <w:t>（六）四川省技能人才评价体系研究</w:t>
      </w:r>
    </w:p>
    <w:p>
      <w:pPr>
        <w:tabs>
          <w:tab w:val="left" w:pos="1843"/>
        </w:tabs>
        <w:spacing w:line="600" w:lineRule="exact"/>
        <w:ind w:firstLine="640" w:firstLineChars="200"/>
        <w:rPr>
          <w:rFonts w:ascii="仿宋_GB2312"/>
          <w:sz w:val="32"/>
          <w:szCs w:val="32"/>
        </w:rPr>
      </w:pPr>
      <w:r>
        <w:rPr>
          <w:rFonts w:hint="eastAsia" w:ascii="仿宋_GB2312"/>
          <w:sz w:val="32"/>
          <w:szCs w:val="32"/>
        </w:rPr>
        <w:t>通过</w:t>
      </w:r>
      <w:r>
        <w:rPr>
          <w:rFonts w:ascii="仿宋_GB2312"/>
          <w:sz w:val="32"/>
          <w:szCs w:val="32"/>
        </w:rPr>
        <w:t>调查问卷、实地走访等方式</w:t>
      </w:r>
      <w:r>
        <w:rPr>
          <w:rFonts w:hint="eastAsia" w:ascii="仿宋_GB2312"/>
          <w:sz w:val="32"/>
          <w:szCs w:val="32"/>
        </w:rPr>
        <w:t>对</w:t>
      </w:r>
      <w:r>
        <w:rPr>
          <w:rFonts w:ascii="仿宋_GB2312"/>
          <w:sz w:val="32"/>
          <w:szCs w:val="32"/>
        </w:rPr>
        <w:t>重点地区、重点</w:t>
      </w:r>
      <w:r>
        <w:rPr>
          <w:rFonts w:hint="eastAsia" w:ascii="仿宋_GB2312"/>
          <w:sz w:val="32"/>
          <w:szCs w:val="32"/>
        </w:rPr>
        <w:t>产业</w:t>
      </w:r>
      <w:r>
        <w:rPr>
          <w:rFonts w:ascii="仿宋_GB2312"/>
          <w:sz w:val="32"/>
          <w:szCs w:val="32"/>
        </w:rPr>
        <w:t>集群</w:t>
      </w:r>
      <w:r>
        <w:rPr>
          <w:rFonts w:hint="eastAsia" w:ascii="仿宋_GB2312"/>
          <w:sz w:val="32"/>
          <w:szCs w:val="32"/>
        </w:rPr>
        <w:t>有关人才</w:t>
      </w:r>
      <w:r>
        <w:rPr>
          <w:rFonts w:ascii="仿宋_GB2312"/>
          <w:sz w:val="32"/>
          <w:szCs w:val="32"/>
        </w:rPr>
        <w:t>评价机构开展调研，掌握各</w:t>
      </w:r>
      <w:r>
        <w:rPr>
          <w:rFonts w:hint="eastAsia" w:ascii="仿宋_GB2312"/>
          <w:sz w:val="32"/>
          <w:szCs w:val="32"/>
        </w:rPr>
        <w:t>类</w:t>
      </w:r>
      <w:r>
        <w:rPr>
          <w:rFonts w:ascii="仿宋_GB2312"/>
          <w:sz w:val="32"/>
          <w:szCs w:val="32"/>
        </w:rPr>
        <w:t>主体参与</w:t>
      </w:r>
      <w:r>
        <w:rPr>
          <w:rFonts w:hint="eastAsia" w:ascii="仿宋_GB2312"/>
          <w:sz w:val="32"/>
          <w:szCs w:val="32"/>
        </w:rPr>
        <w:t>技能人才</w:t>
      </w:r>
      <w:r>
        <w:rPr>
          <w:rFonts w:ascii="仿宋_GB2312"/>
          <w:sz w:val="32"/>
          <w:szCs w:val="32"/>
        </w:rPr>
        <w:t>评价体系建设情况，</w:t>
      </w:r>
      <w:r>
        <w:rPr>
          <w:rFonts w:hint="eastAsia" w:ascii="仿宋_GB2312"/>
          <w:sz w:val="32"/>
          <w:szCs w:val="32"/>
        </w:rPr>
        <w:t>总结</w:t>
      </w:r>
      <w:r>
        <w:rPr>
          <w:rFonts w:ascii="仿宋_GB2312"/>
          <w:sz w:val="32"/>
          <w:szCs w:val="32"/>
        </w:rPr>
        <w:t>存在的问题</w:t>
      </w:r>
      <w:r>
        <w:rPr>
          <w:rFonts w:hint="eastAsia" w:ascii="仿宋_GB2312"/>
          <w:sz w:val="32"/>
          <w:szCs w:val="32"/>
        </w:rPr>
        <w:t>并</w:t>
      </w:r>
      <w:r>
        <w:rPr>
          <w:rFonts w:ascii="仿宋_GB2312"/>
          <w:sz w:val="32"/>
          <w:szCs w:val="32"/>
        </w:rPr>
        <w:t>剖析原因，针对性地提出</w:t>
      </w:r>
      <w:r>
        <w:rPr>
          <w:rFonts w:hint="eastAsia" w:ascii="仿宋_GB2312"/>
          <w:sz w:val="32"/>
          <w:szCs w:val="32"/>
        </w:rPr>
        <w:t>措施</w:t>
      </w:r>
      <w:r>
        <w:rPr>
          <w:rFonts w:ascii="仿宋_GB2312"/>
          <w:sz w:val="32"/>
          <w:szCs w:val="32"/>
        </w:rPr>
        <w:t>建议，</w:t>
      </w:r>
      <w:r>
        <w:rPr>
          <w:rFonts w:hint="eastAsia" w:ascii="仿宋_GB2312"/>
          <w:sz w:val="32"/>
          <w:szCs w:val="32"/>
        </w:rPr>
        <w:t>为</w:t>
      </w:r>
      <w:r>
        <w:rPr>
          <w:rFonts w:ascii="仿宋_GB2312"/>
          <w:sz w:val="32"/>
          <w:szCs w:val="32"/>
        </w:rPr>
        <w:t>下一步完善相关政策提供现实指导，推动技能人才队伍建设</w:t>
      </w:r>
      <w:r>
        <w:rPr>
          <w:rFonts w:hint="eastAsia" w:ascii="仿宋_GB2312"/>
          <w:sz w:val="32"/>
          <w:szCs w:val="32"/>
        </w:rPr>
        <w:t>助力</w:t>
      </w:r>
      <w:r>
        <w:rPr>
          <w:rFonts w:ascii="仿宋_GB2312"/>
          <w:sz w:val="32"/>
          <w:szCs w:val="32"/>
        </w:rPr>
        <w:t>产业经济</w:t>
      </w:r>
      <w:r>
        <w:rPr>
          <w:rFonts w:hint="eastAsia" w:ascii="仿宋_GB2312"/>
          <w:sz w:val="32"/>
          <w:szCs w:val="32"/>
        </w:rPr>
        <w:t>高质量</w:t>
      </w:r>
      <w:r>
        <w:rPr>
          <w:rFonts w:ascii="仿宋_GB2312"/>
          <w:sz w:val="32"/>
          <w:szCs w:val="32"/>
        </w:rPr>
        <w:t>发展。</w:t>
      </w:r>
      <w:r>
        <w:rPr>
          <w:rFonts w:hint="eastAsia"/>
          <w:sz w:val="32"/>
          <w:szCs w:val="32"/>
        </w:rPr>
        <w:t>（15万元）</w:t>
      </w:r>
    </w:p>
    <w:p>
      <w:pPr>
        <w:tabs>
          <w:tab w:val="left" w:pos="1843"/>
        </w:tabs>
        <w:spacing w:line="600" w:lineRule="exact"/>
        <w:ind w:firstLine="480" w:firstLineChars="150"/>
        <w:rPr>
          <w:rFonts w:ascii="楷体_GB2312" w:eastAsia="楷体_GB2312"/>
          <w:sz w:val="32"/>
          <w:szCs w:val="32"/>
        </w:rPr>
      </w:pPr>
      <w:r>
        <w:rPr>
          <w:rFonts w:hint="eastAsia" w:ascii="楷体_GB2312" w:eastAsia="楷体_GB2312"/>
          <w:sz w:val="32"/>
          <w:szCs w:val="32"/>
        </w:rPr>
        <w:t>（七）四川省直播带岗</w:t>
      </w:r>
      <w:r>
        <w:rPr>
          <w:rFonts w:ascii="楷体_GB2312" w:eastAsia="楷体_GB2312"/>
          <w:sz w:val="32"/>
          <w:szCs w:val="32"/>
        </w:rPr>
        <w:t>标准化服务体系建设研究</w:t>
      </w:r>
    </w:p>
    <w:p>
      <w:pPr>
        <w:tabs>
          <w:tab w:val="left" w:pos="1843"/>
        </w:tabs>
        <w:spacing w:line="600" w:lineRule="exact"/>
        <w:ind w:firstLine="645"/>
        <w:rPr>
          <w:sz w:val="32"/>
          <w:szCs w:val="32"/>
        </w:rPr>
      </w:pPr>
      <w:r>
        <w:rPr>
          <w:rFonts w:hint="eastAsia"/>
          <w:sz w:val="32"/>
          <w:szCs w:val="32"/>
        </w:rPr>
        <w:t>按照</w:t>
      </w:r>
      <w:r>
        <w:rPr>
          <w:sz w:val="32"/>
          <w:szCs w:val="32"/>
        </w:rPr>
        <w:t>“</w:t>
      </w:r>
      <w:r>
        <w:rPr>
          <w:rFonts w:hint="eastAsia"/>
          <w:sz w:val="32"/>
          <w:szCs w:val="32"/>
        </w:rPr>
        <w:t>加快</w:t>
      </w:r>
      <w:r>
        <w:rPr>
          <w:sz w:val="32"/>
          <w:szCs w:val="32"/>
        </w:rPr>
        <w:t>构建以数字赋能为支撑的就业工作体系”</w:t>
      </w:r>
      <w:r>
        <w:rPr>
          <w:rFonts w:hint="eastAsia"/>
          <w:sz w:val="32"/>
          <w:szCs w:val="32"/>
        </w:rPr>
        <w:t>要求</w:t>
      </w:r>
      <w:r>
        <w:rPr>
          <w:sz w:val="32"/>
          <w:szCs w:val="32"/>
        </w:rPr>
        <w:t>，</w:t>
      </w:r>
      <w:r>
        <w:rPr>
          <w:rFonts w:hint="eastAsia"/>
          <w:sz w:val="32"/>
          <w:szCs w:val="32"/>
        </w:rPr>
        <w:t>通过制定</w:t>
      </w:r>
      <w:r>
        <w:rPr>
          <w:sz w:val="32"/>
          <w:szCs w:val="32"/>
        </w:rPr>
        <w:t>直播带岗服务标准</w:t>
      </w:r>
      <w:r>
        <w:rPr>
          <w:rFonts w:hint="eastAsia"/>
          <w:sz w:val="32"/>
          <w:szCs w:val="32"/>
        </w:rPr>
        <w:t>、规范</w:t>
      </w:r>
      <w:r>
        <w:rPr>
          <w:sz w:val="32"/>
          <w:szCs w:val="32"/>
        </w:rPr>
        <w:t>服务流程</w:t>
      </w:r>
      <w:r>
        <w:rPr>
          <w:rFonts w:hint="eastAsia"/>
          <w:sz w:val="32"/>
          <w:szCs w:val="32"/>
        </w:rPr>
        <w:t>、健全评价</w:t>
      </w:r>
      <w:r>
        <w:rPr>
          <w:sz w:val="32"/>
          <w:szCs w:val="32"/>
        </w:rPr>
        <w:t>标准</w:t>
      </w:r>
      <w:r>
        <w:rPr>
          <w:rFonts w:hint="eastAsia"/>
          <w:sz w:val="32"/>
          <w:szCs w:val="32"/>
        </w:rPr>
        <w:t>等</w:t>
      </w:r>
      <w:r>
        <w:rPr>
          <w:sz w:val="32"/>
          <w:szCs w:val="32"/>
        </w:rPr>
        <w:t>，</w:t>
      </w:r>
      <w:r>
        <w:rPr>
          <w:rFonts w:hint="eastAsia"/>
          <w:sz w:val="32"/>
          <w:szCs w:val="32"/>
        </w:rPr>
        <w:t>提升</w:t>
      </w:r>
      <w:r>
        <w:rPr>
          <w:sz w:val="32"/>
          <w:szCs w:val="32"/>
        </w:rPr>
        <w:t>直播带岗</w:t>
      </w:r>
      <w:r>
        <w:rPr>
          <w:rFonts w:hint="eastAsia"/>
          <w:sz w:val="32"/>
          <w:szCs w:val="32"/>
        </w:rPr>
        <w:t>服务质效</w:t>
      </w:r>
      <w:r>
        <w:rPr>
          <w:sz w:val="32"/>
          <w:szCs w:val="32"/>
        </w:rPr>
        <w:t>，形成可推广、可复制的标准化直播带岗服务</w:t>
      </w:r>
      <w:r>
        <w:rPr>
          <w:rFonts w:hint="eastAsia"/>
          <w:sz w:val="32"/>
          <w:szCs w:val="32"/>
        </w:rPr>
        <w:t>地方标准</w:t>
      </w:r>
      <w:r>
        <w:rPr>
          <w:sz w:val="32"/>
          <w:szCs w:val="32"/>
        </w:rPr>
        <w:t>，</w:t>
      </w:r>
      <w:r>
        <w:rPr>
          <w:rFonts w:hint="eastAsia"/>
          <w:sz w:val="32"/>
          <w:szCs w:val="32"/>
        </w:rPr>
        <w:t>加快推动</w:t>
      </w:r>
      <w:r>
        <w:rPr>
          <w:sz w:val="32"/>
          <w:szCs w:val="32"/>
        </w:rPr>
        <w:t>数字化促就业</w:t>
      </w:r>
      <w:r>
        <w:rPr>
          <w:rFonts w:hint="eastAsia"/>
          <w:sz w:val="32"/>
          <w:szCs w:val="32"/>
        </w:rPr>
        <w:t>进程。（</w:t>
      </w:r>
      <w:r>
        <w:rPr>
          <w:sz w:val="32"/>
          <w:szCs w:val="32"/>
        </w:rPr>
        <w:t>15</w:t>
      </w:r>
      <w:r>
        <w:rPr>
          <w:rFonts w:hint="eastAsia"/>
          <w:sz w:val="32"/>
          <w:szCs w:val="32"/>
        </w:rPr>
        <w:t>万元）</w:t>
      </w:r>
    </w:p>
    <w:p>
      <w:pPr>
        <w:tabs>
          <w:tab w:val="left" w:pos="1843"/>
        </w:tabs>
        <w:spacing w:line="600" w:lineRule="exact"/>
        <w:ind w:firstLine="480" w:firstLineChars="150"/>
        <w:rPr>
          <w:rFonts w:ascii="楷体_GB2312" w:eastAsia="楷体_GB2312"/>
          <w:sz w:val="32"/>
          <w:szCs w:val="32"/>
        </w:rPr>
      </w:pPr>
      <w:r>
        <w:rPr>
          <w:rFonts w:hint="eastAsia" w:ascii="楷体_GB2312" w:eastAsia="楷体_GB2312"/>
          <w:sz w:val="32"/>
          <w:szCs w:val="32"/>
        </w:rPr>
        <w:t>（八）四川省失业保险运行数据分析研究</w:t>
      </w:r>
    </w:p>
    <w:p>
      <w:pPr>
        <w:tabs>
          <w:tab w:val="left" w:pos="1843"/>
        </w:tabs>
        <w:spacing w:line="600" w:lineRule="exact"/>
        <w:ind w:firstLine="640" w:firstLineChars="200"/>
        <w:rPr>
          <w:sz w:val="32"/>
          <w:szCs w:val="32"/>
        </w:rPr>
      </w:pPr>
      <w:r>
        <w:rPr>
          <w:rFonts w:hint="eastAsia"/>
          <w:sz w:val="32"/>
          <w:szCs w:val="32"/>
        </w:rPr>
        <w:t>基于我省</w:t>
      </w:r>
      <w:r>
        <w:rPr>
          <w:sz w:val="32"/>
          <w:szCs w:val="32"/>
        </w:rPr>
        <w:t>失业保险参保、</w:t>
      </w:r>
      <w:r>
        <w:rPr>
          <w:rFonts w:hint="eastAsia"/>
          <w:sz w:val="32"/>
          <w:szCs w:val="32"/>
        </w:rPr>
        <w:t>支付</w:t>
      </w:r>
      <w:r>
        <w:rPr>
          <w:sz w:val="32"/>
          <w:szCs w:val="32"/>
        </w:rPr>
        <w:t>、领取待遇人员情况、技能提升补贴发放、稳岗返还等相关数据</w:t>
      </w:r>
      <w:r>
        <w:rPr>
          <w:rFonts w:hint="eastAsia"/>
          <w:sz w:val="32"/>
          <w:szCs w:val="32"/>
        </w:rPr>
        <w:t>，多维度</w:t>
      </w:r>
      <w:r>
        <w:rPr>
          <w:sz w:val="32"/>
          <w:szCs w:val="32"/>
        </w:rPr>
        <w:t>分析</w:t>
      </w:r>
      <w:r>
        <w:rPr>
          <w:rFonts w:hint="eastAsia"/>
          <w:sz w:val="32"/>
          <w:szCs w:val="32"/>
        </w:rPr>
        <w:t>失业保险</w:t>
      </w:r>
      <w:r>
        <w:rPr>
          <w:sz w:val="32"/>
          <w:szCs w:val="32"/>
        </w:rPr>
        <w:t>参保单位</w:t>
      </w:r>
      <w:r>
        <w:rPr>
          <w:rFonts w:hint="eastAsia"/>
          <w:sz w:val="32"/>
          <w:szCs w:val="32"/>
        </w:rPr>
        <w:t>及个人</w:t>
      </w:r>
      <w:r>
        <w:rPr>
          <w:sz w:val="32"/>
          <w:szCs w:val="32"/>
        </w:rPr>
        <w:t>、待遇领取群体</w:t>
      </w:r>
      <w:r>
        <w:rPr>
          <w:rFonts w:hint="eastAsia"/>
          <w:sz w:val="32"/>
          <w:szCs w:val="32"/>
        </w:rPr>
        <w:t>、</w:t>
      </w:r>
      <w:r>
        <w:rPr>
          <w:sz w:val="32"/>
          <w:szCs w:val="32"/>
        </w:rPr>
        <w:t>政策补贴</w:t>
      </w:r>
      <w:r>
        <w:rPr>
          <w:rFonts w:hint="eastAsia"/>
          <w:sz w:val="32"/>
          <w:szCs w:val="32"/>
        </w:rPr>
        <w:t>受益单位</w:t>
      </w:r>
      <w:r>
        <w:rPr>
          <w:sz w:val="32"/>
          <w:szCs w:val="32"/>
        </w:rPr>
        <w:t>及个人相关情况，综合评估</w:t>
      </w:r>
      <w:r>
        <w:rPr>
          <w:rFonts w:hint="eastAsia"/>
          <w:sz w:val="32"/>
          <w:szCs w:val="32"/>
        </w:rPr>
        <w:t>失业保险</w:t>
      </w:r>
      <w:r>
        <w:rPr>
          <w:sz w:val="32"/>
          <w:szCs w:val="32"/>
        </w:rPr>
        <w:t>相关政策执行效果。</w:t>
      </w:r>
      <w:r>
        <w:rPr>
          <w:rFonts w:hint="eastAsia"/>
          <w:sz w:val="32"/>
          <w:szCs w:val="32"/>
        </w:rPr>
        <w:t>（</w:t>
      </w:r>
      <w:r>
        <w:rPr>
          <w:sz w:val="32"/>
          <w:szCs w:val="32"/>
        </w:rPr>
        <w:t>10</w:t>
      </w:r>
      <w:r>
        <w:rPr>
          <w:rFonts w:hint="eastAsia"/>
          <w:sz w:val="32"/>
          <w:szCs w:val="32"/>
        </w:rPr>
        <w:t>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（九）培育发展壮大“川字号”特色劳务品牌对策研究</w:t>
      </w:r>
    </w:p>
    <w:p>
      <w:pPr>
        <w:tabs>
          <w:tab w:val="left" w:pos="1843"/>
        </w:tabs>
        <w:spacing w:line="600" w:lineRule="exact"/>
        <w:ind w:firstLine="640" w:firstLineChars="200"/>
        <w:rPr>
          <w:sz w:val="32"/>
          <w:szCs w:val="32"/>
        </w:rPr>
      </w:pPr>
      <w:r>
        <w:rPr>
          <w:rFonts w:hint="eastAsia"/>
          <w:sz w:val="32"/>
          <w:szCs w:val="32"/>
        </w:rPr>
        <w:t>研究分析我省劳务品牌在提升农民工就业质量、增加农民工劳务收入、促进当地产业发展、巩固脱贫攻坚成果推进乡村振兴等方面取得的实践成果，调查研究我省劳务品牌发现培育、发展提升、壮大升级过程中，亟需破解的发展瓶颈、困难问题及对策建议等。（10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（十）四川省数据要素价值对就业和人口流动影响研究</w:t>
      </w:r>
    </w:p>
    <w:p>
      <w:pPr>
        <w:tabs>
          <w:tab w:val="left" w:pos="1843"/>
        </w:tabs>
        <w:spacing w:line="600" w:lineRule="exact"/>
        <w:ind w:firstLine="640" w:firstLineChars="200"/>
        <w:rPr>
          <w:sz w:val="32"/>
          <w:szCs w:val="32"/>
        </w:rPr>
      </w:pPr>
      <w:r>
        <w:rPr>
          <w:rFonts w:hint="eastAsia"/>
          <w:sz w:val="32"/>
          <w:szCs w:val="32"/>
        </w:rPr>
        <w:t>着眼四川省数据要素对就业和人口流动的影响，对数据要素进行科学测度和理论分析，了解四川省数据要素发展现状，剖析数据要素对就业市场的影响路径，并深入理解其在引导人口流动方面的作用。通过理论、统计和计量分析，为探寻以数据要素推动四川省就业水平提升和人口流动的管理策略提供经验证据，为制定更精准的政策提供建议。（10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（十一）优化事业单位绩效工资考核激励机制研究</w:t>
      </w:r>
    </w:p>
    <w:p>
      <w:pPr>
        <w:tabs>
          <w:tab w:val="left" w:pos="1843"/>
        </w:tabs>
        <w:spacing w:line="600" w:lineRule="exact"/>
        <w:ind w:firstLine="640" w:firstLineChars="200"/>
        <w:rPr>
          <w:sz w:val="32"/>
          <w:szCs w:val="32"/>
        </w:rPr>
      </w:pPr>
      <w:r>
        <w:rPr>
          <w:rFonts w:hint="eastAsia"/>
          <w:sz w:val="32"/>
          <w:szCs w:val="32"/>
        </w:rPr>
        <w:t>针对事业单位绩效工资分配方式单一，考核结果利用效果</w:t>
      </w:r>
      <w:r>
        <w:rPr>
          <w:sz w:val="32"/>
          <w:szCs w:val="32"/>
        </w:rPr>
        <w:t>不明显</w:t>
      </w:r>
      <w:r>
        <w:rPr>
          <w:rFonts w:hint="eastAsia"/>
          <w:sz w:val="32"/>
          <w:szCs w:val="32"/>
        </w:rPr>
        <w:t>，绩效工资激励作用体现不够明显等问题，立足于解决办法，通过完善绩效工资分配，突出绩效工资的激励作用，通过有效的绩效分配调动干部积极性。（10万元）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（十二）新就业形态从业人员社会保障问题研究</w:t>
      </w:r>
    </w:p>
    <w:p>
      <w:pPr>
        <w:tabs>
          <w:tab w:val="left" w:pos="1843"/>
        </w:tabs>
        <w:spacing w:line="600" w:lineRule="exact"/>
        <w:ind w:firstLine="640" w:firstLineChars="200"/>
        <w:rPr>
          <w:rFonts w:ascii="仿宋_GB2312"/>
          <w:sz w:val="32"/>
          <w:szCs w:val="32"/>
        </w:rPr>
      </w:pPr>
      <w:r>
        <w:rPr>
          <w:rFonts w:hint="eastAsia" w:ascii="仿宋_GB2312"/>
          <w:sz w:val="32"/>
          <w:szCs w:val="32"/>
        </w:rPr>
        <w:t>数字化背景下新就业形态用工形式</w:t>
      </w:r>
      <w:r>
        <w:rPr>
          <w:rFonts w:ascii="仿宋_GB2312"/>
          <w:sz w:val="32"/>
          <w:szCs w:val="32"/>
        </w:rPr>
        <w:t>多元化，灵活就业人员劳动力权益保障</w:t>
      </w:r>
      <w:r>
        <w:rPr>
          <w:rFonts w:hint="eastAsia" w:ascii="仿宋_GB2312"/>
          <w:sz w:val="32"/>
          <w:szCs w:val="32"/>
        </w:rPr>
        <w:t>问题</w:t>
      </w:r>
      <w:r>
        <w:rPr>
          <w:rFonts w:ascii="仿宋_GB2312"/>
          <w:sz w:val="32"/>
          <w:szCs w:val="32"/>
        </w:rPr>
        <w:t>凸显</w:t>
      </w:r>
      <w:r>
        <w:rPr>
          <w:rFonts w:hint="eastAsia" w:ascii="仿宋_GB2312"/>
          <w:sz w:val="32"/>
          <w:szCs w:val="32"/>
        </w:rPr>
        <w:t>。</w:t>
      </w:r>
      <w:r>
        <w:rPr>
          <w:rFonts w:ascii="仿宋_GB2312"/>
          <w:sz w:val="32"/>
          <w:szCs w:val="32"/>
        </w:rPr>
        <w:t>通过</w:t>
      </w:r>
      <w:r>
        <w:rPr>
          <w:rFonts w:hint="eastAsia" w:ascii="仿宋_GB2312"/>
          <w:sz w:val="32"/>
          <w:szCs w:val="32"/>
        </w:rPr>
        <w:t>分类</w:t>
      </w:r>
      <w:r>
        <w:rPr>
          <w:rFonts w:ascii="仿宋_GB2312"/>
          <w:sz w:val="32"/>
          <w:szCs w:val="32"/>
        </w:rPr>
        <w:t>梳理</w:t>
      </w:r>
      <w:r>
        <w:rPr>
          <w:rFonts w:hint="eastAsia" w:ascii="仿宋_GB2312"/>
          <w:sz w:val="32"/>
          <w:szCs w:val="32"/>
        </w:rPr>
        <w:t>不同</w:t>
      </w:r>
      <w:r>
        <w:rPr>
          <w:rFonts w:ascii="仿宋_GB2312"/>
          <w:sz w:val="32"/>
          <w:szCs w:val="32"/>
        </w:rPr>
        <w:t>重点群体，提出</w:t>
      </w:r>
      <w:r>
        <w:rPr>
          <w:rFonts w:hint="eastAsia" w:ascii="仿宋_GB2312"/>
          <w:sz w:val="32"/>
          <w:szCs w:val="32"/>
        </w:rPr>
        <w:t>制度完善</w:t>
      </w:r>
      <w:r>
        <w:rPr>
          <w:rFonts w:ascii="仿宋_GB2312"/>
          <w:sz w:val="32"/>
          <w:szCs w:val="32"/>
        </w:rPr>
        <w:t>建议</w:t>
      </w:r>
      <w:r>
        <w:rPr>
          <w:rFonts w:hint="eastAsia" w:ascii="仿宋_GB2312"/>
          <w:sz w:val="32"/>
          <w:szCs w:val="32"/>
        </w:rPr>
        <w:t>，</w:t>
      </w:r>
      <w:r>
        <w:rPr>
          <w:rFonts w:ascii="仿宋_GB2312"/>
          <w:sz w:val="32"/>
          <w:szCs w:val="32"/>
        </w:rPr>
        <w:t>进一步保障</w:t>
      </w:r>
      <w:r>
        <w:rPr>
          <w:rFonts w:hint="eastAsia" w:ascii="仿宋_GB2312"/>
          <w:sz w:val="32"/>
          <w:szCs w:val="32"/>
        </w:rPr>
        <w:t>灵活就业人员合法权益</w:t>
      </w:r>
      <w:r>
        <w:rPr>
          <w:rFonts w:ascii="仿宋_GB2312"/>
          <w:sz w:val="32"/>
          <w:szCs w:val="32"/>
        </w:rPr>
        <w:t>。</w:t>
      </w:r>
      <w:r>
        <w:rPr>
          <w:rFonts w:hint="eastAsia" w:ascii="仿宋_GB2312"/>
          <w:sz w:val="32"/>
          <w:szCs w:val="32"/>
        </w:rPr>
        <w:t>（8万元）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（十三）数字化转型</w:t>
      </w:r>
      <w:r>
        <w:rPr>
          <w:rFonts w:ascii="楷体_GB2312" w:eastAsia="楷体_GB2312"/>
          <w:sz w:val="32"/>
          <w:szCs w:val="32"/>
        </w:rPr>
        <w:t>背景下的</w:t>
      </w:r>
      <w:r>
        <w:rPr>
          <w:rFonts w:hint="eastAsia" w:ascii="楷体_GB2312" w:eastAsia="楷体_GB2312"/>
          <w:sz w:val="32"/>
          <w:szCs w:val="32"/>
        </w:rPr>
        <w:t>移动式社保卡服务站研发与推广</w:t>
      </w:r>
    </w:p>
    <w:p>
      <w:pPr>
        <w:tabs>
          <w:tab w:val="left" w:pos="1843"/>
        </w:tabs>
        <w:spacing w:line="600" w:lineRule="exact"/>
        <w:ind w:firstLine="640" w:firstLineChars="200"/>
        <w:rPr>
          <w:rFonts w:ascii="仿宋_GB2312"/>
          <w:sz w:val="32"/>
          <w:szCs w:val="32"/>
        </w:rPr>
      </w:pPr>
      <w:r>
        <w:rPr>
          <w:rFonts w:hint="eastAsia" w:ascii="仿宋_GB2312"/>
          <w:sz w:val="32"/>
          <w:szCs w:val="32"/>
        </w:rPr>
        <w:t>按照“数据多跑路、群众少跑路”、“打通群众服务最后一公里”的理念，整合融合物联网、生物识别、人工智能等新技术研发推广全省统一标准的社会保障卡自助服务应用，实现社会保障卡制卡、激活等全业务“就近办”、“马上办”、“一次办”。进一步提升社会保障卡服务水平。（6万元）</w:t>
      </w:r>
    </w:p>
    <w:p>
      <w:pPr>
        <w:tabs>
          <w:tab w:val="left" w:pos="1843"/>
        </w:tabs>
        <w:spacing w:line="600" w:lineRule="exact"/>
        <w:ind w:firstLine="640" w:firstLineChars="200"/>
        <w:rPr>
          <w:rFonts w:ascii="楷体_GB2312" w:eastAsia="楷体_GB2312"/>
          <w:sz w:val="32"/>
          <w:szCs w:val="32"/>
        </w:rPr>
      </w:pPr>
      <w:r>
        <w:rPr>
          <w:rFonts w:hint="eastAsia" w:ascii="楷体_GB2312" w:eastAsia="楷体_GB2312"/>
          <w:sz w:val="32"/>
          <w:szCs w:val="32"/>
        </w:rPr>
        <w:t>（十四）四川省技工教育发展现状分析及对策研究</w:t>
      </w:r>
    </w:p>
    <w:p>
      <w:pPr>
        <w:tabs>
          <w:tab w:val="left" w:pos="1843"/>
        </w:tabs>
        <w:spacing w:line="600" w:lineRule="exact"/>
        <w:ind w:firstLine="640" w:firstLineChars="200"/>
        <w:rPr>
          <w:sz w:val="32"/>
          <w:szCs w:val="32"/>
        </w:rPr>
      </w:pPr>
      <w:r>
        <w:rPr>
          <w:rFonts w:hint="eastAsia"/>
          <w:sz w:val="32"/>
          <w:szCs w:val="32"/>
        </w:rPr>
        <w:t>结合</w:t>
      </w:r>
      <w:r>
        <w:rPr>
          <w:sz w:val="32"/>
          <w:szCs w:val="32"/>
        </w:rPr>
        <w:t>我省技工教育发展实际，研究当前全省技工教育发展存在问题，分析形势，加强规划引导，健全支持技工院校发展的政策体系和协作体系，提出全省技工教育高质量发展政策建议</w:t>
      </w:r>
      <w:r>
        <w:rPr>
          <w:rFonts w:hint="eastAsia"/>
          <w:sz w:val="32"/>
          <w:szCs w:val="32"/>
        </w:rPr>
        <w:t>，</w:t>
      </w:r>
      <w:r>
        <w:rPr>
          <w:sz w:val="32"/>
          <w:szCs w:val="32"/>
        </w:rPr>
        <w:t>为制定四川省技工教育高质量发展系列政策文件提供参考。</w:t>
      </w:r>
      <w:r>
        <w:rPr>
          <w:rFonts w:hint="eastAsia" w:ascii="仿宋_GB2312"/>
          <w:sz w:val="32"/>
          <w:szCs w:val="32"/>
        </w:rPr>
        <w:t>（6万元）</w:t>
      </w:r>
    </w:p>
    <w:p>
      <w:pPr>
        <w:tabs>
          <w:tab w:val="left" w:pos="1843"/>
        </w:tabs>
        <w:spacing w:line="600" w:lineRule="exact"/>
        <w:ind w:firstLine="480" w:firstLineChars="150"/>
        <w:rPr>
          <w:rFonts w:ascii="楷体_GB2312" w:eastAsia="楷体_GB2312"/>
          <w:sz w:val="32"/>
          <w:szCs w:val="32"/>
        </w:rPr>
      </w:pPr>
      <w:r>
        <w:rPr>
          <w:rFonts w:hint="eastAsia" w:ascii="楷体_GB2312" w:eastAsia="楷体_GB2312"/>
          <w:sz w:val="32"/>
          <w:szCs w:val="32"/>
        </w:rPr>
        <w:t>（十五）四川省脱贫人口就业现状调查研究</w:t>
      </w:r>
    </w:p>
    <w:p>
      <w:pPr>
        <w:tabs>
          <w:tab w:val="left" w:pos="1843"/>
        </w:tabs>
        <w:spacing w:line="600" w:lineRule="exact"/>
        <w:ind w:firstLine="640" w:firstLineChars="200"/>
        <w:rPr>
          <w:rFonts w:ascii="仿宋_GB2312"/>
          <w:sz w:val="32"/>
          <w:szCs w:val="32"/>
        </w:rPr>
      </w:pPr>
      <w:r>
        <w:rPr>
          <w:rFonts w:hint="eastAsia" w:ascii="仿宋_GB2312"/>
          <w:sz w:val="32"/>
          <w:szCs w:val="32"/>
        </w:rPr>
        <w:t>通过抽样</w:t>
      </w:r>
      <w:r>
        <w:rPr>
          <w:rFonts w:ascii="仿宋_GB2312"/>
          <w:sz w:val="32"/>
          <w:szCs w:val="32"/>
        </w:rPr>
        <w:t>调查了解掌握全省脱贫人口就业现状，</w:t>
      </w:r>
      <w:r>
        <w:rPr>
          <w:rFonts w:hint="eastAsia" w:ascii="仿宋_GB2312"/>
          <w:sz w:val="32"/>
          <w:szCs w:val="32"/>
        </w:rPr>
        <w:t>摸底脱贫人口对公共就业创业服务的需求及建议，查找公共就业创业服务存在的短板弱项，提出具有针对性、</w:t>
      </w:r>
      <w:r>
        <w:rPr>
          <w:rFonts w:ascii="仿宋_GB2312"/>
          <w:sz w:val="32"/>
          <w:szCs w:val="32"/>
        </w:rPr>
        <w:t>可</w:t>
      </w:r>
      <w:r>
        <w:rPr>
          <w:rFonts w:hint="eastAsia" w:ascii="仿宋_GB2312"/>
          <w:sz w:val="32"/>
          <w:szCs w:val="32"/>
        </w:rPr>
        <w:t>操作的对策措施。（6万元）</w:t>
      </w:r>
    </w:p>
    <w:p>
      <w:pPr>
        <w:tabs>
          <w:tab w:val="left" w:pos="1843"/>
        </w:tabs>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、一般项目</w:t>
      </w:r>
      <w:r>
        <w:rPr>
          <w:rFonts w:hint="eastAsia" w:ascii="黑体" w:hAnsi="黑体" w:eastAsia="黑体"/>
          <w:sz w:val="32"/>
          <w:szCs w:val="32"/>
        </w:rPr>
        <w:t>（21个）</w:t>
      </w:r>
    </w:p>
    <w:p>
      <w:pPr>
        <w:tabs>
          <w:tab w:val="left" w:pos="1843"/>
        </w:tabs>
        <w:spacing w:line="600" w:lineRule="exact"/>
        <w:ind w:firstLine="640" w:firstLineChars="200"/>
        <w:rPr>
          <w:rFonts w:ascii="仿宋_GB2312"/>
          <w:sz w:val="32"/>
          <w:szCs w:val="32"/>
        </w:rPr>
      </w:pPr>
      <w:r>
        <w:rPr>
          <w:rFonts w:hint="eastAsia" w:ascii="仿宋_GB2312"/>
          <w:sz w:val="32"/>
          <w:szCs w:val="32"/>
        </w:rPr>
        <w:t>（一）四川省中小城市博士后招引困境分析及对策研究</w:t>
      </w:r>
    </w:p>
    <w:p>
      <w:pPr>
        <w:tabs>
          <w:tab w:val="left" w:pos="1843"/>
        </w:tabs>
        <w:spacing w:line="600" w:lineRule="exact"/>
        <w:ind w:firstLine="640" w:firstLineChars="200"/>
        <w:rPr>
          <w:rFonts w:ascii="仿宋_GB2312"/>
          <w:sz w:val="32"/>
          <w:szCs w:val="32"/>
        </w:rPr>
      </w:pPr>
      <w:r>
        <w:rPr>
          <w:rFonts w:hint="eastAsia" w:ascii="仿宋_GB2312"/>
          <w:sz w:val="32"/>
          <w:szCs w:val="32"/>
        </w:rPr>
        <w:t>（二）现代产业体系产业工人队伍建设情况研究</w:t>
      </w:r>
    </w:p>
    <w:p>
      <w:pPr>
        <w:tabs>
          <w:tab w:val="left" w:pos="1843"/>
        </w:tabs>
        <w:spacing w:line="600" w:lineRule="exact"/>
        <w:ind w:firstLine="640" w:firstLineChars="200"/>
        <w:rPr>
          <w:rFonts w:ascii="仿宋_GB2312"/>
          <w:sz w:val="32"/>
          <w:szCs w:val="32"/>
        </w:rPr>
      </w:pPr>
      <w:r>
        <w:rPr>
          <w:rFonts w:hint="eastAsia" w:ascii="仿宋_GB2312"/>
          <w:sz w:val="32"/>
          <w:szCs w:val="32"/>
        </w:rPr>
        <w:t>（三）少数民族地区急需紧缺专业技术人才研究</w:t>
      </w:r>
    </w:p>
    <w:p>
      <w:pPr>
        <w:tabs>
          <w:tab w:val="left" w:pos="1843"/>
        </w:tabs>
        <w:spacing w:line="600" w:lineRule="exact"/>
        <w:ind w:firstLine="640" w:firstLineChars="200"/>
        <w:rPr>
          <w:rFonts w:ascii="仿宋_GB2312"/>
          <w:sz w:val="32"/>
          <w:szCs w:val="32"/>
        </w:rPr>
      </w:pPr>
      <w:r>
        <w:rPr>
          <w:rFonts w:hint="eastAsia" w:ascii="仿宋_GB2312"/>
          <w:sz w:val="32"/>
          <w:szCs w:val="32"/>
        </w:rPr>
        <w:t>（四）四川省产业园区高技能人才培育基地建设研究</w:t>
      </w:r>
    </w:p>
    <w:p>
      <w:pPr>
        <w:tabs>
          <w:tab w:val="left" w:pos="1843"/>
        </w:tabs>
        <w:spacing w:line="600" w:lineRule="exact"/>
        <w:ind w:firstLine="640" w:firstLineChars="200"/>
        <w:rPr>
          <w:rFonts w:ascii="仿宋_GB2312"/>
          <w:sz w:val="32"/>
          <w:szCs w:val="32"/>
        </w:rPr>
      </w:pPr>
      <w:r>
        <w:rPr>
          <w:rFonts w:hint="eastAsia" w:ascii="仿宋_GB2312"/>
          <w:sz w:val="32"/>
          <w:szCs w:val="32"/>
        </w:rPr>
        <w:t>（五）四川省零工市场建设现状及对策研究</w:t>
      </w:r>
    </w:p>
    <w:p>
      <w:pPr>
        <w:tabs>
          <w:tab w:val="left" w:pos="1843"/>
        </w:tabs>
        <w:spacing w:line="600" w:lineRule="exact"/>
        <w:ind w:firstLine="640" w:firstLineChars="200"/>
        <w:rPr>
          <w:rFonts w:ascii="仿宋_GB2312"/>
          <w:sz w:val="32"/>
          <w:szCs w:val="32"/>
        </w:rPr>
      </w:pPr>
      <w:r>
        <w:rPr>
          <w:rFonts w:hint="eastAsia" w:ascii="仿宋_GB2312"/>
          <w:sz w:val="32"/>
          <w:szCs w:val="32"/>
        </w:rPr>
        <w:t>（六）数字化转型背景下人社公共服务质效提升路径研究</w:t>
      </w:r>
    </w:p>
    <w:p>
      <w:pPr>
        <w:tabs>
          <w:tab w:val="left" w:pos="1843"/>
        </w:tabs>
        <w:spacing w:line="600" w:lineRule="exact"/>
        <w:ind w:firstLine="640" w:firstLineChars="200"/>
        <w:rPr>
          <w:rFonts w:ascii="仿宋_GB2312"/>
          <w:sz w:val="32"/>
          <w:szCs w:val="32"/>
        </w:rPr>
      </w:pPr>
      <w:r>
        <w:rPr>
          <w:rFonts w:hint="eastAsia" w:ascii="仿宋_GB2312"/>
          <w:sz w:val="32"/>
          <w:szCs w:val="32"/>
        </w:rPr>
        <w:t>（七）城乡融合背景下农村劳动力转移路径与机制研究</w:t>
      </w:r>
    </w:p>
    <w:p>
      <w:pPr>
        <w:tabs>
          <w:tab w:val="left" w:pos="1843"/>
        </w:tabs>
        <w:spacing w:line="600" w:lineRule="exact"/>
        <w:ind w:firstLine="640" w:firstLineChars="200"/>
        <w:rPr>
          <w:rFonts w:ascii="仿宋_GB2312"/>
          <w:sz w:val="32"/>
          <w:szCs w:val="32"/>
        </w:rPr>
      </w:pPr>
      <w:r>
        <w:rPr>
          <w:rFonts w:hint="eastAsia" w:ascii="仿宋_GB2312"/>
          <w:sz w:val="32"/>
          <w:szCs w:val="32"/>
        </w:rPr>
        <w:t>（八）城乡融合背景下高质量充分就业路径研究</w:t>
      </w:r>
    </w:p>
    <w:p>
      <w:pPr>
        <w:tabs>
          <w:tab w:val="left" w:pos="1843"/>
        </w:tabs>
        <w:spacing w:line="600" w:lineRule="exact"/>
        <w:ind w:firstLine="640" w:firstLineChars="200"/>
        <w:rPr>
          <w:rFonts w:ascii="仿宋_GB2312"/>
          <w:sz w:val="32"/>
          <w:szCs w:val="32"/>
        </w:rPr>
      </w:pPr>
      <w:r>
        <w:rPr>
          <w:rFonts w:hint="eastAsia" w:ascii="仿宋_GB2312"/>
          <w:sz w:val="32"/>
          <w:szCs w:val="32"/>
        </w:rPr>
        <w:t>（九）四川省基层创业孵化基地运行现状及对策研究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（十）四川省强化新质生产力人力资源支撑研究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（十一）企业职工基本养老保险基金运行分析研究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（十二）新就业形态劳动者权益保障的实践比较与政策优化研究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（十三）人口老龄化背景下促进退休老年人再就业研究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（十四）四川省人工智能发展态势对就业影响研究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（十五）习近平总书记对就业领域重要论述的学理化阐释</w:t>
      </w:r>
    </w:p>
    <w:p>
      <w:pPr>
        <w:tabs>
          <w:tab w:val="left" w:pos="1843"/>
        </w:tabs>
        <w:spacing w:line="600" w:lineRule="exact"/>
        <w:ind w:firstLine="640" w:firstLineChars="200"/>
        <w:rPr>
          <w:rFonts w:ascii="仿宋_GB2312"/>
          <w:sz w:val="32"/>
          <w:szCs w:val="32"/>
        </w:rPr>
      </w:pPr>
      <w:r>
        <w:rPr>
          <w:rFonts w:hint="eastAsia" w:ascii="仿宋_GB2312"/>
          <w:sz w:val="32"/>
          <w:szCs w:val="32"/>
        </w:rPr>
        <w:t>（十六）产业结构变革背景下劳动力市场供需匹配性研究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（十七）产业</w:t>
      </w:r>
      <w:r>
        <w:rPr>
          <w:rFonts w:ascii="仿宋_GB2312"/>
          <w:sz w:val="32"/>
          <w:szCs w:val="32"/>
        </w:rPr>
        <w:t>结构变革背景下青年人口就业趋势与就业特点研究</w:t>
      </w:r>
    </w:p>
    <w:p>
      <w:pPr>
        <w:tabs>
          <w:tab w:val="left" w:pos="1843"/>
        </w:tabs>
        <w:spacing w:line="600" w:lineRule="exact"/>
        <w:ind w:firstLine="640" w:firstLineChars="200"/>
        <w:rPr>
          <w:rFonts w:ascii="仿宋_GB2312"/>
          <w:sz w:val="32"/>
          <w:szCs w:val="32"/>
        </w:rPr>
      </w:pPr>
      <w:r>
        <w:rPr>
          <w:rFonts w:hint="eastAsia" w:ascii="仿宋_GB2312"/>
          <w:sz w:val="32"/>
          <w:szCs w:val="32"/>
        </w:rPr>
        <w:t>（十八）四川省银发经济发展的现状与趋势分析</w:t>
      </w:r>
    </w:p>
    <w:p>
      <w:pPr>
        <w:tabs>
          <w:tab w:val="left" w:pos="1843"/>
        </w:tabs>
        <w:spacing w:line="600" w:lineRule="exact"/>
        <w:ind w:firstLine="640" w:firstLineChars="200"/>
        <w:rPr>
          <w:rFonts w:ascii="仿宋_GB2312"/>
          <w:sz w:val="32"/>
          <w:szCs w:val="32"/>
        </w:rPr>
      </w:pPr>
      <w:r>
        <w:rPr>
          <w:rFonts w:hint="eastAsia" w:ascii="仿宋_GB2312"/>
          <w:sz w:val="32"/>
          <w:szCs w:val="32"/>
        </w:rPr>
        <w:t>（十九）四川省事业单位岗位管理创新实践研究</w:t>
      </w:r>
    </w:p>
    <w:p>
      <w:pPr>
        <w:tabs>
          <w:tab w:val="left" w:pos="1843"/>
        </w:tabs>
        <w:spacing w:line="600" w:lineRule="exact"/>
        <w:ind w:firstLine="640" w:firstLineChars="200"/>
        <w:rPr>
          <w:rFonts w:ascii="仿宋_GB2312"/>
          <w:sz w:val="32"/>
          <w:szCs w:val="32"/>
        </w:rPr>
      </w:pPr>
      <w:r>
        <w:rPr>
          <w:rFonts w:hint="eastAsia" w:ascii="仿宋_GB2312"/>
          <w:sz w:val="32"/>
          <w:szCs w:val="32"/>
        </w:rPr>
        <w:t>（二十）四川省新时代</w:t>
      </w:r>
      <w:r>
        <w:rPr>
          <w:rFonts w:ascii="仿宋_GB2312"/>
          <w:sz w:val="32"/>
          <w:szCs w:val="32"/>
        </w:rPr>
        <w:t>创新人才</w:t>
      </w:r>
      <w:r>
        <w:rPr>
          <w:rFonts w:hint="eastAsia" w:ascii="仿宋_GB2312"/>
          <w:sz w:val="32"/>
          <w:szCs w:val="32"/>
        </w:rPr>
        <w:t>队伍</w:t>
      </w:r>
      <w:r>
        <w:rPr>
          <w:rFonts w:ascii="仿宋_GB2312"/>
          <w:sz w:val="32"/>
          <w:szCs w:val="32"/>
        </w:rPr>
        <w:t>建设</w:t>
      </w:r>
      <w:r>
        <w:rPr>
          <w:rFonts w:hint="eastAsia" w:ascii="仿宋_GB2312"/>
          <w:sz w:val="32"/>
          <w:szCs w:val="32"/>
        </w:rPr>
        <w:t>问题研究</w:t>
      </w:r>
    </w:p>
    <w:p>
      <w:pPr>
        <w:spacing w:line="600" w:lineRule="exact"/>
        <w:ind w:firstLine="640"/>
        <w:rPr>
          <w:rFonts w:ascii="仿宋_GB2312"/>
          <w:sz w:val="32"/>
          <w:szCs w:val="32"/>
          <w:lang w:bidi="ar"/>
        </w:rPr>
      </w:pPr>
      <w:r>
        <w:rPr>
          <w:rFonts w:hint="eastAsia" w:ascii="仿宋_GB2312"/>
          <w:sz w:val="32"/>
          <w:szCs w:val="32"/>
          <w:lang w:bidi="ar"/>
        </w:rPr>
        <w:t>（二十一）构建新时代工作评估体系助力人社事业高质量发展研究</w:t>
      </w:r>
    </w:p>
    <w:p>
      <w:pPr>
        <w:spacing w:line="600" w:lineRule="exact"/>
        <w:ind w:firstLine="640"/>
        <w:rPr>
          <w:rFonts w:ascii="楷体_GB2312" w:hAnsi="仿宋_GB2312" w:eastAsia="楷体_GB2312" w:cs="仿宋_GB2312"/>
          <w:sz w:val="32"/>
          <w:szCs w:val="32"/>
          <w:lang w:bidi="ar"/>
        </w:rPr>
      </w:pPr>
    </w:p>
    <w:p>
      <w:pPr>
        <w:spacing w:line="600" w:lineRule="exact"/>
        <w:ind w:firstLine="640"/>
        <w:rPr>
          <w:rFonts w:ascii="楷体_GB2312" w:hAnsi="仿宋_GB2312" w:eastAsia="楷体_GB2312" w:cs="仿宋_GB2312"/>
          <w:sz w:val="32"/>
          <w:szCs w:val="32"/>
          <w:lang w:bidi="ar"/>
        </w:rPr>
      </w:pPr>
      <w:r>
        <w:rPr>
          <w:rFonts w:hint="eastAsia" w:ascii="楷体_GB2312" w:hAnsi="仿宋_GB2312" w:eastAsia="楷体_GB2312" w:cs="仿宋_GB2312"/>
          <w:sz w:val="32"/>
          <w:szCs w:val="32"/>
          <w:lang w:bidi="ar"/>
        </w:rPr>
        <w:t>（本项目指南重点项目</w:t>
      </w:r>
      <w:r>
        <w:rPr>
          <w:rFonts w:ascii="楷体_GB2312" w:hAnsi="仿宋_GB2312" w:eastAsia="楷体_GB2312" w:cs="仿宋_GB2312"/>
          <w:sz w:val="32"/>
          <w:szCs w:val="32"/>
          <w:lang w:bidi="ar"/>
        </w:rPr>
        <w:t>为</w:t>
      </w:r>
      <w:r>
        <w:rPr>
          <w:rFonts w:hint="eastAsia" w:ascii="楷体_GB2312" w:hAnsi="仿宋_GB2312" w:eastAsia="楷体_GB2312" w:cs="仿宋_GB2312"/>
          <w:sz w:val="32"/>
          <w:szCs w:val="32"/>
          <w:lang w:bidi="ar"/>
        </w:rPr>
        <w:t>指定</w:t>
      </w:r>
      <w:r>
        <w:rPr>
          <w:rFonts w:ascii="楷体_GB2312" w:hAnsi="仿宋_GB2312" w:eastAsia="楷体_GB2312" w:cs="仿宋_GB2312"/>
          <w:sz w:val="32"/>
          <w:szCs w:val="32"/>
          <w:lang w:bidi="ar"/>
        </w:rPr>
        <w:t>选题，题目</w:t>
      </w:r>
      <w:r>
        <w:rPr>
          <w:rFonts w:hint="eastAsia" w:ascii="楷体_GB2312" w:hAnsi="仿宋_GB2312" w:eastAsia="楷体_GB2312" w:cs="仿宋_GB2312"/>
          <w:sz w:val="32"/>
          <w:szCs w:val="32"/>
          <w:lang w:bidi="ar"/>
        </w:rPr>
        <w:t>不可</w:t>
      </w:r>
      <w:r>
        <w:rPr>
          <w:rFonts w:ascii="楷体_GB2312" w:hAnsi="仿宋_GB2312" w:eastAsia="楷体_GB2312" w:cs="仿宋_GB2312"/>
          <w:sz w:val="32"/>
          <w:szCs w:val="32"/>
          <w:lang w:bidi="ar"/>
        </w:rPr>
        <w:t>更改；一般项目</w:t>
      </w:r>
      <w:r>
        <w:rPr>
          <w:rFonts w:hint="eastAsia" w:ascii="楷体_GB2312" w:hAnsi="仿宋_GB2312" w:eastAsia="楷体_GB2312" w:cs="仿宋_GB2312"/>
          <w:sz w:val="32"/>
          <w:szCs w:val="32"/>
          <w:lang w:bidi="ar"/>
        </w:rPr>
        <w:t>列示</w:t>
      </w:r>
      <w:r>
        <w:rPr>
          <w:rFonts w:ascii="楷体_GB2312" w:hAnsi="仿宋_GB2312" w:eastAsia="楷体_GB2312" w:cs="仿宋_GB2312"/>
          <w:sz w:val="32"/>
          <w:szCs w:val="32"/>
          <w:lang w:bidi="ar"/>
        </w:rPr>
        <w:t>的为研究方向，题目可</w:t>
      </w:r>
      <w:r>
        <w:rPr>
          <w:rFonts w:hint="eastAsia" w:ascii="楷体_GB2312" w:hAnsi="仿宋_GB2312" w:eastAsia="楷体_GB2312" w:cs="仿宋_GB2312"/>
          <w:sz w:val="32"/>
          <w:szCs w:val="32"/>
          <w:lang w:bidi="ar"/>
        </w:rPr>
        <w:t>由</w:t>
      </w:r>
      <w:r>
        <w:rPr>
          <w:rFonts w:ascii="楷体_GB2312" w:hAnsi="仿宋_GB2312" w:eastAsia="楷体_GB2312" w:cs="仿宋_GB2312"/>
          <w:sz w:val="32"/>
          <w:szCs w:val="32"/>
          <w:lang w:bidi="ar"/>
        </w:rPr>
        <w:t>申报人</w:t>
      </w:r>
      <w:r>
        <w:rPr>
          <w:rFonts w:hint="eastAsia" w:ascii="楷体_GB2312" w:hAnsi="仿宋_GB2312" w:eastAsia="楷体_GB2312" w:cs="仿宋_GB2312"/>
          <w:sz w:val="32"/>
          <w:szCs w:val="32"/>
          <w:lang w:bidi="ar"/>
        </w:rPr>
        <w:t>根据</w:t>
      </w:r>
      <w:r>
        <w:rPr>
          <w:rFonts w:ascii="楷体_GB2312" w:hAnsi="仿宋_GB2312" w:eastAsia="楷体_GB2312" w:cs="仿宋_GB2312"/>
          <w:sz w:val="32"/>
          <w:szCs w:val="32"/>
          <w:lang w:bidi="ar"/>
        </w:rPr>
        <w:t>研究主题自行拟定。）</w:t>
      </w:r>
    </w:p>
    <w:sectPr>
      <w:pgSz w:w="11906" w:h="16838"/>
      <w:pgMar w:top="2098" w:right="1474" w:bottom="1985" w:left="1588"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23"/>
    <w:rsid w:val="00015A51"/>
    <w:rsid w:val="00040FDB"/>
    <w:rsid w:val="00050D17"/>
    <w:rsid w:val="00057724"/>
    <w:rsid w:val="000635FD"/>
    <w:rsid w:val="00097ECB"/>
    <w:rsid w:val="000D2BE6"/>
    <w:rsid w:val="000E36E2"/>
    <w:rsid w:val="00154742"/>
    <w:rsid w:val="00173423"/>
    <w:rsid w:val="00177842"/>
    <w:rsid w:val="001B5520"/>
    <w:rsid w:val="001B781A"/>
    <w:rsid w:val="001D0F2D"/>
    <w:rsid w:val="001D7859"/>
    <w:rsid w:val="00202436"/>
    <w:rsid w:val="00215C8C"/>
    <w:rsid w:val="00292CA0"/>
    <w:rsid w:val="0029702B"/>
    <w:rsid w:val="00297F60"/>
    <w:rsid w:val="002A2C1C"/>
    <w:rsid w:val="002B1C64"/>
    <w:rsid w:val="00312E88"/>
    <w:rsid w:val="00330BA4"/>
    <w:rsid w:val="00344F2F"/>
    <w:rsid w:val="00385C0D"/>
    <w:rsid w:val="00394BAB"/>
    <w:rsid w:val="003D2D72"/>
    <w:rsid w:val="003D39E7"/>
    <w:rsid w:val="003E03D4"/>
    <w:rsid w:val="003F1314"/>
    <w:rsid w:val="003F74D6"/>
    <w:rsid w:val="0047596F"/>
    <w:rsid w:val="004B4B47"/>
    <w:rsid w:val="004B7597"/>
    <w:rsid w:val="004C1A7A"/>
    <w:rsid w:val="004D1C1E"/>
    <w:rsid w:val="004D1D82"/>
    <w:rsid w:val="004E201B"/>
    <w:rsid w:val="00513258"/>
    <w:rsid w:val="00532A69"/>
    <w:rsid w:val="0053584A"/>
    <w:rsid w:val="005415C0"/>
    <w:rsid w:val="00552E1B"/>
    <w:rsid w:val="00557E37"/>
    <w:rsid w:val="005855EF"/>
    <w:rsid w:val="005C3439"/>
    <w:rsid w:val="005E4398"/>
    <w:rsid w:val="006021B6"/>
    <w:rsid w:val="0063295C"/>
    <w:rsid w:val="006523EA"/>
    <w:rsid w:val="006567D4"/>
    <w:rsid w:val="006650D5"/>
    <w:rsid w:val="00673177"/>
    <w:rsid w:val="00677D98"/>
    <w:rsid w:val="006C0FAB"/>
    <w:rsid w:val="006D34DD"/>
    <w:rsid w:val="006D3920"/>
    <w:rsid w:val="006E237D"/>
    <w:rsid w:val="00711EB9"/>
    <w:rsid w:val="00714741"/>
    <w:rsid w:val="007154A8"/>
    <w:rsid w:val="00717B56"/>
    <w:rsid w:val="00737045"/>
    <w:rsid w:val="00746BAE"/>
    <w:rsid w:val="007B4C67"/>
    <w:rsid w:val="007D7C0C"/>
    <w:rsid w:val="00806FBC"/>
    <w:rsid w:val="0082113D"/>
    <w:rsid w:val="008738CB"/>
    <w:rsid w:val="008B25E3"/>
    <w:rsid w:val="008B5AEB"/>
    <w:rsid w:val="008C45FF"/>
    <w:rsid w:val="009106E1"/>
    <w:rsid w:val="00923568"/>
    <w:rsid w:val="00935F3A"/>
    <w:rsid w:val="00937DFA"/>
    <w:rsid w:val="0095617E"/>
    <w:rsid w:val="00967A44"/>
    <w:rsid w:val="00993B2D"/>
    <w:rsid w:val="009976D7"/>
    <w:rsid w:val="009A4693"/>
    <w:rsid w:val="009E3C7F"/>
    <w:rsid w:val="00A2186A"/>
    <w:rsid w:val="00A22F76"/>
    <w:rsid w:val="00A30E08"/>
    <w:rsid w:val="00A71CFD"/>
    <w:rsid w:val="00A73695"/>
    <w:rsid w:val="00AA5570"/>
    <w:rsid w:val="00AB260A"/>
    <w:rsid w:val="00AE1AE7"/>
    <w:rsid w:val="00AE5DD9"/>
    <w:rsid w:val="00B07566"/>
    <w:rsid w:val="00B650DD"/>
    <w:rsid w:val="00BA0487"/>
    <w:rsid w:val="00BD5735"/>
    <w:rsid w:val="00BE7B43"/>
    <w:rsid w:val="00BF4C65"/>
    <w:rsid w:val="00C11407"/>
    <w:rsid w:val="00C56530"/>
    <w:rsid w:val="00C731B7"/>
    <w:rsid w:val="00C829C6"/>
    <w:rsid w:val="00CA4A84"/>
    <w:rsid w:val="00CB16E9"/>
    <w:rsid w:val="00CC6B38"/>
    <w:rsid w:val="00CD5497"/>
    <w:rsid w:val="00D05E11"/>
    <w:rsid w:val="00D77B56"/>
    <w:rsid w:val="00D9448A"/>
    <w:rsid w:val="00DA2A88"/>
    <w:rsid w:val="00DB62DB"/>
    <w:rsid w:val="00E00442"/>
    <w:rsid w:val="00E06A72"/>
    <w:rsid w:val="00E21E5B"/>
    <w:rsid w:val="00E242E3"/>
    <w:rsid w:val="00E32F5A"/>
    <w:rsid w:val="00E541B0"/>
    <w:rsid w:val="00EA4275"/>
    <w:rsid w:val="00EB0DF5"/>
    <w:rsid w:val="00ED6825"/>
    <w:rsid w:val="00EE0364"/>
    <w:rsid w:val="00EE4B78"/>
    <w:rsid w:val="00EF08A5"/>
    <w:rsid w:val="00F1156E"/>
    <w:rsid w:val="00F1289F"/>
    <w:rsid w:val="00F20A16"/>
    <w:rsid w:val="00F20A7A"/>
    <w:rsid w:val="00F27091"/>
    <w:rsid w:val="00F27FE4"/>
    <w:rsid w:val="00F56051"/>
    <w:rsid w:val="00F6109E"/>
    <w:rsid w:val="00F96B85"/>
    <w:rsid w:val="00FA137E"/>
    <w:rsid w:val="7FB7D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eastAsia="黑体"/>
      <w:b/>
      <w:bCs/>
      <w:kern w:val="44"/>
      <w:sz w:val="44"/>
      <w:szCs w:val="44"/>
    </w:rPr>
  </w:style>
  <w:style w:type="paragraph" w:styleId="3">
    <w:name w:val="heading 2"/>
    <w:basedOn w:val="1"/>
    <w:next w:val="1"/>
    <w:link w:val="9"/>
    <w:semiHidden/>
    <w:unhideWhenUsed/>
    <w:qFormat/>
    <w:uiPriority w:val="9"/>
    <w:pPr>
      <w:keepNext/>
      <w:keepLines/>
      <w:spacing w:before="260" w:after="260" w:line="600" w:lineRule="exact"/>
      <w:outlineLvl w:val="1"/>
    </w:pPr>
    <w:rPr>
      <w:rFonts w:eastAsia="方正小标宋简体" w:asciiTheme="majorHAnsi" w:hAnsiTheme="majorHAnsi" w:cstheme="majorBidi"/>
      <w:bCs/>
      <w:sz w:val="4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3"/>
    <w:semiHidden/>
    <w:qFormat/>
    <w:uiPriority w:val="9"/>
    <w:rPr>
      <w:rFonts w:eastAsia="方正小标宋简体" w:asciiTheme="majorHAnsi" w:hAnsiTheme="majorHAnsi" w:cstheme="majorBidi"/>
      <w:bCs/>
      <w:sz w:val="44"/>
      <w:szCs w:val="32"/>
    </w:rPr>
  </w:style>
  <w:style w:type="character" w:customStyle="1" w:styleId="10">
    <w:name w:val="标题 1 字符"/>
    <w:basedOn w:val="8"/>
    <w:link w:val="2"/>
    <w:qFormat/>
    <w:uiPriority w:val="9"/>
    <w:rPr>
      <w:rFonts w:ascii="Times New Roman" w:hAnsi="Times New Roman" w:eastAsia="黑体" w:cs="Times New Roman"/>
      <w:b/>
      <w:bCs/>
      <w:kern w:val="44"/>
      <w:sz w:val="44"/>
      <w:szCs w:val="44"/>
    </w:rPr>
  </w:style>
  <w:style w:type="character" w:customStyle="1" w:styleId="11">
    <w:name w:val="页眉 字符"/>
    <w:basedOn w:val="8"/>
    <w:link w:val="6"/>
    <w:qFormat/>
    <w:uiPriority w:val="99"/>
    <w:rPr>
      <w:rFonts w:ascii="Times New Roman" w:hAnsi="Times New Roman" w:eastAsia="仿宋_GB2312" w:cs="Times New Roman"/>
      <w:sz w:val="18"/>
      <w:szCs w:val="18"/>
    </w:rPr>
  </w:style>
  <w:style w:type="character" w:customStyle="1" w:styleId="12">
    <w:name w:val="页脚 字符"/>
    <w:basedOn w:val="8"/>
    <w:link w:val="5"/>
    <w:qFormat/>
    <w:uiPriority w:val="99"/>
    <w:rPr>
      <w:rFonts w:ascii="Times New Roman" w:hAnsi="Times New Roman" w:eastAsia="仿宋_GB2312" w:cs="Times New Roman"/>
      <w:sz w:val="18"/>
      <w:szCs w:val="18"/>
    </w:rPr>
  </w:style>
  <w:style w:type="character" w:customStyle="1" w:styleId="13">
    <w:name w:val="批注框文本 字符"/>
    <w:basedOn w:val="8"/>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416</Words>
  <Characters>2375</Characters>
  <Lines>19</Lines>
  <Paragraphs>5</Paragraphs>
  <TotalTime>8</TotalTime>
  <ScaleCrop>false</ScaleCrop>
  <LinksUpToDate>false</LinksUpToDate>
  <CharactersWithSpaces>2786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2024-01-25T16:22:00Z</dcterms:created>
  <dc:creator>修改理由</dc:creator>
  <cp:lastModifiedBy>user</cp:lastModifiedBy>
  <cp:lastPrinted>2024-01-22T14:16:00Z</cp:lastPrinted>
  <dcterms:modified xsi:type="dcterms:W3CDTF">2024-01-26T17:33:35Z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