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C9A86">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四</w:t>
      </w:r>
    </w:p>
    <w:p w14:paraId="592347E8">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川</w:t>
      </w:r>
    </w:p>
    <w:p w14:paraId="382781A1">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省</w:t>
      </w:r>
    </w:p>
    <w:p w14:paraId="26DDB090">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博</w:t>
      </w:r>
    </w:p>
    <w:p w14:paraId="2924DB06">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士</w:t>
      </w:r>
    </w:p>
    <w:p w14:paraId="602D936F">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后</w:t>
      </w:r>
    </w:p>
    <w:p w14:paraId="1A77D363">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需</w:t>
      </w:r>
    </w:p>
    <w:p w14:paraId="1CFF2471">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求</w:t>
      </w:r>
    </w:p>
    <w:p w14:paraId="158D73AE">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信</w:t>
      </w:r>
    </w:p>
    <w:p w14:paraId="176C9F2C">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bCs/>
          <w:sz w:val="78"/>
          <w:szCs w:val="78"/>
        </w:rPr>
      </w:pPr>
      <w:r>
        <w:rPr>
          <w:rFonts w:hint="eastAsia" w:ascii="方正小标宋_GBK" w:hAnsi="方正小标宋_GBK" w:eastAsia="方正小标宋_GBK" w:cs="方正小标宋_GBK"/>
          <w:b/>
          <w:bCs/>
          <w:sz w:val="78"/>
          <w:szCs w:val="78"/>
        </w:rPr>
        <w:t>息</w:t>
      </w:r>
    </w:p>
    <w:p w14:paraId="61F2C949">
      <w:pPr>
        <w:spacing w:before="0" w:beforeLines="0" w:after="0" w:afterLines="0" w:line="240" w:lineRule="auto"/>
        <w:ind w:left="0" w:leftChars="0" w:right="0" w:rightChars="0" w:firstLine="0" w:firstLineChars="0"/>
        <w:jc w:val="both"/>
        <w:rPr>
          <w:rFonts w:hint="eastAsia" w:ascii="方正小标宋_GBK" w:hAnsi="方正小标宋_GBK" w:eastAsia="方正小标宋_GBK" w:cs="方正小标宋_GBK"/>
          <w:sz w:val="44"/>
          <w:szCs w:val="44"/>
        </w:rPr>
      </w:pPr>
    </w:p>
    <w:p w14:paraId="6591CCAB">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rPr>
        <w:t>2</w:t>
      </w:r>
      <w:r>
        <w:rPr>
          <w:rFonts w:hint="eastAsia" w:ascii="方正小标宋_GBK" w:hAnsi="方正小标宋_GBK" w:eastAsia="方正小标宋_GBK" w:cs="方正小标宋_GBK"/>
          <w:sz w:val="52"/>
          <w:szCs w:val="52"/>
          <w:lang w:val="en-US" w:eastAsia="zh-CN"/>
        </w:rPr>
        <w:t xml:space="preserve"> </w:t>
      </w:r>
      <w:r>
        <w:rPr>
          <w:rFonts w:hint="eastAsia" w:ascii="方正小标宋_GBK" w:hAnsi="方正小标宋_GBK" w:eastAsia="方正小标宋_GBK" w:cs="方正小标宋_GBK"/>
          <w:sz w:val="52"/>
          <w:szCs w:val="52"/>
        </w:rPr>
        <w:t>0</w:t>
      </w:r>
      <w:r>
        <w:rPr>
          <w:rFonts w:hint="eastAsia" w:ascii="方正小标宋_GBK" w:hAnsi="方正小标宋_GBK" w:eastAsia="方正小标宋_GBK" w:cs="方正小标宋_GBK"/>
          <w:sz w:val="52"/>
          <w:szCs w:val="52"/>
          <w:lang w:val="en-US" w:eastAsia="zh-CN"/>
        </w:rPr>
        <w:t xml:space="preserve"> </w:t>
      </w:r>
      <w:r>
        <w:rPr>
          <w:rFonts w:hint="eastAsia" w:ascii="方正小标宋_GBK" w:hAnsi="方正小标宋_GBK" w:eastAsia="方正小标宋_GBK" w:cs="方正小标宋_GBK"/>
          <w:sz w:val="52"/>
          <w:szCs w:val="52"/>
        </w:rPr>
        <w:t>2</w:t>
      </w:r>
      <w:r>
        <w:rPr>
          <w:rFonts w:hint="eastAsia" w:ascii="方正小标宋_GBK" w:hAnsi="方正小标宋_GBK" w:eastAsia="方正小标宋_GBK" w:cs="方正小标宋_GBK"/>
          <w:sz w:val="52"/>
          <w:szCs w:val="52"/>
          <w:lang w:val="en-US" w:eastAsia="zh-CN"/>
        </w:rPr>
        <w:t xml:space="preserve"> </w:t>
      </w:r>
      <w:r>
        <w:rPr>
          <w:rFonts w:hint="eastAsia" w:ascii="方正小标宋_GBK" w:hAnsi="方正小标宋_GBK" w:eastAsia="方正小标宋_GBK" w:cs="方正小标宋_GBK"/>
          <w:sz w:val="52"/>
          <w:szCs w:val="52"/>
        </w:rPr>
        <w:t>5年度</w:t>
      </w:r>
    </w:p>
    <w:p w14:paraId="5D70E66D">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52"/>
          <w:szCs w:val="52"/>
        </w:rPr>
        <w:sectPr>
          <w:headerReference r:id="rId5" w:type="default"/>
          <w:footerReference r:id="rId6" w:type="default"/>
          <w:pgSz w:w="11906" w:h="16838"/>
          <w:pgMar w:top="1588" w:right="1588" w:bottom="1588" w:left="1588" w:header="964" w:footer="1134" w:gutter="0"/>
          <w:pgBorders>
            <w:top w:val="none" w:sz="0" w:space="0"/>
            <w:left w:val="none" w:sz="0" w:space="0"/>
            <w:bottom w:val="none" w:sz="0" w:space="0"/>
            <w:right w:val="none" w:sz="0" w:space="0"/>
          </w:pgBorders>
          <w:pgNumType w:fmt="decimal" w:start="1"/>
          <w:cols w:space="425" w:num="1"/>
          <w:docGrid w:linePitch="435" w:charSpace="0"/>
        </w:sectPr>
      </w:pPr>
    </w:p>
    <w:p w14:paraId="4FA98BE1">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8"/>
          <w:szCs w:val="48"/>
        </w:rPr>
        <w:t>目</w:t>
      </w:r>
      <w:r>
        <w:rPr>
          <w:rFonts w:hint="default" w:ascii="Times New Roman" w:hAnsi="Times New Roman" w:eastAsia="方正小标宋_GBK" w:cs="Times New Roman"/>
          <w:sz w:val="48"/>
          <w:szCs w:val="48"/>
          <w:lang w:val="en-US" w:eastAsia="zh-CN"/>
        </w:rPr>
        <w:t xml:space="preserve">  </w:t>
      </w:r>
      <w:r>
        <w:rPr>
          <w:rFonts w:hint="default" w:ascii="Times New Roman" w:hAnsi="Times New Roman" w:eastAsia="方正小标宋_GBK" w:cs="Times New Roman"/>
          <w:sz w:val="48"/>
          <w:szCs w:val="48"/>
        </w:rPr>
        <w:t>录</w:t>
      </w:r>
    </w:p>
    <w:p w14:paraId="3460D62C">
      <w:pPr>
        <w:pStyle w:val="18"/>
        <w:tabs>
          <w:tab w:val="right" w:leader="dot" w:pos="8730"/>
        </w:tabs>
        <w:rPr>
          <w:rFonts w:hint="default" w:ascii="Times New Roman" w:hAnsi="Times New Roman" w:eastAsia="宋体" w:cs="Times New Roman"/>
          <w:sz w:val="28"/>
          <w:szCs w:val="28"/>
        </w:rPr>
      </w:pPr>
    </w:p>
    <w:p w14:paraId="4977BAB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TOC \o "1-1" \h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_Toc10785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pacing w:val="0"/>
          <w:sz w:val="28"/>
          <w:szCs w:val="28"/>
        </w:rPr>
        <w:t>202</w:t>
      </w:r>
      <w:r>
        <w:rPr>
          <w:rFonts w:hint="default" w:ascii="Times New Roman" w:hAnsi="Times New Roman" w:eastAsia="宋体" w:cs="Times New Roman"/>
          <w:spacing w:val="0"/>
          <w:sz w:val="28"/>
          <w:szCs w:val="28"/>
          <w:lang w:val="en-US" w:eastAsia="zh-CN"/>
        </w:rPr>
        <w:t>5</w:t>
      </w:r>
      <w:r>
        <w:rPr>
          <w:rFonts w:hint="default" w:ascii="Times New Roman" w:hAnsi="Times New Roman" w:eastAsia="宋体" w:cs="Times New Roman"/>
          <w:spacing w:val="0"/>
          <w:sz w:val="28"/>
          <w:szCs w:val="28"/>
        </w:rPr>
        <w:t>年四川省</w:t>
      </w:r>
      <w:r>
        <w:rPr>
          <w:rFonts w:hint="eastAsia" w:ascii="Times New Roman" w:hAnsi="Times New Roman" w:eastAsia="宋体" w:cs="Times New Roman"/>
          <w:spacing w:val="0"/>
          <w:sz w:val="28"/>
          <w:szCs w:val="28"/>
          <w:lang w:val="en-US" w:eastAsia="zh-CN"/>
        </w:rPr>
        <w:t>招引</w:t>
      </w:r>
      <w:r>
        <w:rPr>
          <w:rFonts w:hint="default" w:ascii="Times New Roman" w:hAnsi="Times New Roman" w:eastAsia="宋体" w:cs="Times New Roman"/>
          <w:spacing w:val="0"/>
          <w:sz w:val="28"/>
          <w:szCs w:val="28"/>
        </w:rPr>
        <w:t>博士</w:t>
      </w:r>
      <w:r>
        <w:rPr>
          <w:rFonts w:hint="eastAsia" w:ascii="Times New Roman" w:hAnsi="Times New Roman" w:eastAsia="宋体" w:cs="Times New Roman"/>
          <w:spacing w:val="0"/>
          <w:sz w:val="28"/>
          <w:szCs w:val="28"/>
          <w:lang w:val="en-US" w:eastAsia="zh-CN"/>
        </w:rPr>
        <w:t>进站</w:t>
      </w:r>
      <w:r>
        <w:rPr>
          <w:rFonts w:hint="default" w:ascii="Times New Roman" w:hAnsi="Times New Roman" w:eastAsia="宋体" w:cs="Times New Roman"/>
          <w:spacing w:val="0"/>
          <w:sz w:val="28"/>
          <w:szCs w:val="28"/>
        </w:rPr>
        <w:t>设站单位信息简表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_Toc10785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16D5C3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_Toc18474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pacing w:val="0"/>
          <w:sz w:val="28"/>
          <w:szCs w:val="28"/>
        </w:rPr>
        <w:t>202</w:t>
      </w:r>
      <w:r>
        <w:rPr>
          <w:rFonts w:hint="default" w:ascii="Times New Roman" w:hAnsi="Times New Roman" w:eastAsia="宋体" w:cs="Times New Roman"/>
          <w:spacing w:val="0"/>
          <w:sz w:val="28"/>
          <w:szCs w:val="28"/>
          <w:lang w:val="en-US" w:eastAsia="zh-CN"/>
        </w:rPr>
        <w:t>5</w:t>
      </w:r>
      <w:r>
        <w:rPr>
          <w:rFonts w:hint="default" w:ascii="Times New Roman" w:hAnsi="Times New Roman" w:eastAsia="宋体" w:cs="Times New Roman"/>
          <w:spacing w:val="0"/>
          <w:sz w:val="28"/>
          <w:szCs w:val="28"/>
        </w:rPr>
        <w:t>年四川省</w:t>
      </w:r>
      <w:r>
        <w:rPr>
          <w:rFonts w:hint="eastAsia" w:ascii="Times New Roman" w:hAnsi="Times New Roman" w:eastAsia="宋体" w:cs="Times New Roman"/>
          <w:spacing w:val="0"/>
          <w:sz w:val="28"/>
          <w:szCs w:val="28"/>
          <w:lang w:val="en-US" w:eastAsia="zh-CN"/>
        </w:rPr>
        <w:t>招引</w:t>
      </w:r>
      <w:r>
        <w:rPr>
          <w:rFonts w:hint="default" w:ascii="Times New Roman" w:hAnsi="Times New Roman" w:eastAsia="宋体" w:cs="Times New Roman"/>
          <w:spacing w:val="0"/>
          <w:sz w:val="28"/>
          <w:szCs w:val="28"/>
        </w:rPr>
        <w:t>博士</w:t>
      </w:r>
      <w:r>
        <w:rPr>
          <w:rFonts w:hint="eastAsia" w:ascii="Times New Roman" w:hAnsi="Times New Roman" w:eastAsia="宋体" w:cs="Times New Roman"/>
          <w:spacing w:val="0"/>
          <w:sz w:val="28"/>
          <w:szCs w:val="28"/>
          <w:lang w:val="en-US" w:eastAsia="zh-CN"/>
        </w:rPr>
        <w:t>进站</w:t>
      </w:r>
      <w:r>
        <w:rPr>
          <w:rFonts w:hint="default" w:ascii="Times New Roman" w:hAnsi="Times New Roman" w:eastAsia="宋体" w:cs="Times New Roman"/>
          <w:spacing w:val="0"/>
          <w:sz w:val="28"/>
          <w:szCs w:val="28"/>
        </w:rPr>
        <w:t>设站单位</w:t>
      </w:r>
      <w:r>
        <w:rPr>
          <w:rFonts w:hint="default" w:ascii="Times New Roman" w:hAnsi="Times New Roman" w:eastAsia="宋体" w:cs="Times New Roman"/>
          <w:spacing w:val="0"/>
          <w:sz w:val="28"/>
          <w:szCs w:val="28"/>
          <w:lang w:val="en-US" w:eastAsia="zh-CN"/>
        </w:rPr>
        <w:t>联系方式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_Toc18474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86C95E2">
      <w:pPr>
        <w:pStyle w:val="18"/>
        <w:tabs>
          <w:tab w:val="right" w:leader="middleDot" w:pos="8730"/>
        </w:tabs>
        <w:rPr>
          <w:rFonts w:hint="default" w:ascii="Times New Roman" w:hAnsi="Times New Roman" w:eastAsia="宋体" w:cs="Times New Roman"/>
          <w:sz w:val="28"/>
          <w:szCs w:val="28"/>
        </w:rPr>
      </w:pPr>
    </w:p>
    <w:p w14:paraId="2AB95351">
      <w:pPr>
        <w:pStyle w:val="18"/>
        <w:keepNext w:val="0"/>
        <w:keepLines w:val="0"/>
        <w:pageBreakBefore w:val="0"/>
        <w:widowControl/>
        <w:tabs>
          <w:tab w:val="right" w:leader="middleDot" w:pos="8730"/>
        </w:tabs>
        <w:kinsoku/>
        <w:wordWrap/>
        <w:overflowPunct/>
        <w:topLinePunct w:val="0"/>
        <w:autoSpaceDE/>
        <w:autoSpaceDN/>
        <w:bidi w:val="0"/>
        <w:adjustRightInd/>
        <w:snapToGrid/>
        <w:spacing w:line="260" w:lineRule="auto"/>
        <w:jc w:val="center"/>
        <w:textAlignment w:val="auto"/>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一、博士后流动站（19家）</w:t>
      </w:r>
    </w:p>
    <w:p w14:paraId="2A9C4A3B">
      <w:pPr>
        <w:rPr>
          <w:rFonts w:hint="eastAsia"/>
        </w:rPr>
      </w:pPr>
    </w:p>
    <w:p w14:paraId="5830D57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_Toc28258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成都理工大学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_Toc28258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87B5F0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_Toc30454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成都体育学院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_Toc30454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8D37CC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_Toc14069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成都中医药大学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_Toc14069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E5CD55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_Toc18291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电子科技大学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_Toc18291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E403E0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_Toc19314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核工业西南物理研究院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_Toc19314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CC3A3D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_Toc27195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_Toc27195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221A61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_Toc27651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四川农业大学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_Toc27651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54288C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_Toc28918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四川师范大学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_Toc28918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8732BF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_Toc5418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西南财经大学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_Toc5418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1630A9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_Toc22935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西南交通大学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_Toc22935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AE24AD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_Toc23203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西南科技大学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_Toc23203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071961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_Toc2103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西南民族大学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_Toc2103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BC0F4A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_Toc23110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西南石油大学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_Toc23110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814B6F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_Toc19682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中国工程物理研究院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_Toc19682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1EF76F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_Toc5605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pacing w:val="-14"/>
          <w:sz w:val="28"/>
          <w:szCs w:val="28"/>
          <w:highlight w:val="none"/>
        </w:rPr>
        <w:t>中国核动力研究设计院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_Toc5605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FF71F3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_Toc29122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pacing w:val="-14"/>
          <w:sz w:val="28"/>
          <w:szCs w:val="28"/>
          <w:highlight w:val="none"/>
        </w:rPr>
        <w:t>中国科学院、水利部成都山地灾害与环境研究所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_Toc29122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C2ED8F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_Toc1696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中国科学院成都生物研究所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_Toc1696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6ABF4D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_Toc7193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中国科学院成都有机化学研究所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_Toc7193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7D260E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_Toc14119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中国科学院光电技术研究所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_Toc14119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4E92417">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方正小标宋_GBK" w:hAnsi="方正小标宋_GBK" w:eastAsia="方正小标宋_GBK" w:cs="方正小标宋_GBK"/>
        </w:rPr>
      </w:pPr>
      <w:r>
        <w:rPr>
          <w:rFonts w:hint="eastAsia" w:ascii="方正小标宋_GBK" w:hAnsi="方正小标宋_GBK" w:eastAsia="方正小标宋_GBK" w:cs="方正小标宋_GBK"/>
        </w:rPr>
        <w:t>二、博士后科研工作站（90家）</w:t>
      </w:r>
    </w:p>
    <w:p w14:paraId="51038DEB">
      <w:pPr>
        <w:rPr>
          <w:rFonts w:hint="default"/>
        </w:rPr>
      </w:pPr>
    </w:p>
    <w:p w14:paraId="0899932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_Toc3201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成都大熊猫繁育研究基地</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_Toc3201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C35FE7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_Toc11800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成都光明光电股份有限公司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_Toc11800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2EABE1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_Toc25810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成都硅宝科技股份有限公司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_Toc25810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562625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_Toc11475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成都航天通信设备有限责任公司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_Toc11475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CB57AB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_Toc5168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成都华西海圻医药科技有限公司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_Toc5168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F3656D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_Toc21548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成都劳恩普斯科技有限公司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_Toc21548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BDA2B8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_Toc21874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成都千嘉科技股份有限公司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_Toc21874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C3304C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_Toc25506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成都市第三人民医院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_Toc25506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B16AAD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_Toc16889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成都市龙泉驿区果技推广站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_Toc16889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946CA8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_Toc3951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成都市食品检验研究院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_Toc3951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9B02DF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_Toc9227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成都索贝数码科技股份有限公司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_Toc9227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F794F7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_Toc3049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成都体育学院附属体育医院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_Toc3049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C0F4E4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_Toc19754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成都天奥集团有限公司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_Toc19754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530F6B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_Toc8455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成都先导药物开发股份有限公司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_Toc8455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E6F8D7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_Toc6145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成都信息工程大学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_Toc6145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0DBF39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_Toc28433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成都振芯科技股份有限公司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_Toc28433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8B28C6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_Toc15067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东方电气风电股份有限公司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_Toc15067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1DB18B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_Toc5564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东方电气集团东方电机有限公司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_Toc5564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F18154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_Toc14663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东方电气集团东方锅炉股份有限公司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_Toc14663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EB31F1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_Toc20690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东方电气集团东方汽轮机有限公司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_Toc20690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23778E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_Toc32079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国网四川省电力公司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_Toc32079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1E84BE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_Toc11759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海天水务集团股份公司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_Toc11759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F7E371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_Toc2932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嘉华特种水泥股份有限公司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_Toc2932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DDE0CB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_Toc12195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泸州老窖集团有限责任公司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_Toc12195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7A934A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_Toc11277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泸州智通自动化设备有限公司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_Toc11277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E22733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_Toc24158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绵阳京东方光电科技有限公司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_Toc24158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D985F3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_Toc26992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绵阳市农业科学研究院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_Toc26992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26B7C9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_Toc22555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绵阳市中心医院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_Toc22555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D432F9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_Toc15011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攀钢集团有限公司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_Toc15011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7CA497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_Toc11484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清华四川能源互联网研究院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_Toc11484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B82742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_Toc22643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四川百利药业有限责任公司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_Toc22643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C59354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_Toc8159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四川邦立重机有限责任公司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_Toc8159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A125C6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_Toc14388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四川东材科技集团股份有限公司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_Toc14388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155871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_Toc31700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四川航天烽火伺服控制技术有限公司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_Toc31700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0A6225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_Toc16844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四川航天燎原科技有限公司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_Toc16844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264E12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_Toc22865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四川宏华石油设备有限公司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_Toc22865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8A7FEF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_Toc17065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四川华川工业股份有限公司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_Toc17065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90BA11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_Toc29272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四川汇宇制药股份有限公司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_Toc29272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E1ACBF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_Toc28117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四川剑南春（集团）有限责任公司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_Toc28117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7DAE34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_Toc12979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四川九洲投资控股集团有限公司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_Toc12979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8EAB20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_Toc31049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四川科伦药业股份有限公司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_Toc31049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736A03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_Toc29798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四川灵通电讯有限公司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_Toc29798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76A390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_Toc11046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四川普什宁江机床有限公司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_Toc11046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9CA0DB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_Toc4239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四川省安全科学技术研究院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_Toc4239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6284DB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_Toc32137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四川省川威集团有限公司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_Toc32137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485624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_Toc28778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四川省妇幼保健院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_Toc28778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3A998B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_Toc30217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四川省公路规划勘察设计研究院有限公司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_Toc30217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5D5B4C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_Toc26454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四川省建筑设计研究院有限公司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_Toc26454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4E47CA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_Toc30245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四川省农业科学院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_Toc30245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C06EFE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_Toc9733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四川省社会科学院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_Toc9733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640F11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_Toc13358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四川省文物考古研究院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_Toc13358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D009D7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_Toc22599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四川省医学科学院·四川省人民医院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_Toc22599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FBF61F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_Toc18543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四川省宜宾五粮液集团有限公司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_Toc18543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FE7E54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_Toc18957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四川省有色科技集团有限责任公司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_Toc18957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88016E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_Toc22688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四川省肿瘤医院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_Toc22688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F8347F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_Toc5522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四川特驱农牧科技集团有限公司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_Toc5522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2E3808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_Toc31719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四川英创力电子科技股份有限公司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00FE20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_Toc11221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太行国家实验室</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_Toc11221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413809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_Toc1016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天府兴隆湖实验室</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_Toc1016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755D9C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_Toc20926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西南医科大学附属医院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_Toc20926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1F41B6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_Toc31757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西南医科大学附属中医医院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_Toc31757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FFF8C2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_Toc16302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西南医科大学心血管医学研究所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_Toc16302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A6F566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_Toc29905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新华文轩出版传媒股份有限公司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_Toc29905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FA4523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_Toc15944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新希望六和股份有限公司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6FAE0F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_Toc11379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kern w:val="0"/>
          <w:sz w:val="28"/>
          <w:szCs w:val="28"/>
          <w:highlight w:val="none"/>
        </w:rPr>
        <w:t>兴储世纪科技股份有限公司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_Toc11379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C947C6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_Toc12973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雅砻江流域水电开发有限公司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_Toc12973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5BAECA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_Toc23675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宜宾丝丽雅集团有限公司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_Toc23675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9710F9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_Toc23949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应急管理部四川消防研究所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_Toc23949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93E5A3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_Toc790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中储粮成都储藏研究院有限公司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5FDC7F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_Toc27567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中电科网络安全科技股份有限公司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_Toc27567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26E0DB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_Toc27636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中国兵器装备集团自动化研究所有限公司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_Toc27636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C46225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_Toc11241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中国测试技术研究院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_Toc11241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38D7A6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_Toc7406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中国地质调查局成都地质调查中心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_Toc7406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0CF46A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_Toc7579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中国第二重型机械集团有限公司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_Toc7579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F09473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_Toc11539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中国电工程顾问集团西南电力设计院有限公司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_Toc11539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2A2397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_Toc25633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中国电建集团成都勘测设计研究院有限公司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_Toc25633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2065B5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中国电子科技集团公司第二十九研究所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621DFE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_Toc20199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中国电子科技网络信息安全有限公司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_Toc20199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01D02B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_Toc31751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中国航发四川燃气涡轮研究院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_Toc31751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471D5D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_Toc25342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中国航空工业集团公司成都飞机设计研究所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_Toc25342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1C9DE9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_Toc1092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中国石油化工股份有限公司西南油气分公司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CD8F02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_Toc31326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中国石油集团川庆钻探工程有限公司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_Toc31326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2D8188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_Toc13568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中国石油四川石油管理局西南油气田分公司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_Toc13568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FF1514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_Toc28219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中国市政工程西南设计研究总院有限公司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_Toc28219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42BE02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_Toc1875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中昊黑元化工研究设计院有限公司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_Toc1875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2B3856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_Toc11552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中蓝晨光化工研究设计院有限公司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_Toc11552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7AB22D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_Toc27180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中密控股股份有限公司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_Toc27180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B12A9E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_Toc25250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中铁二院工程集团有限责任公司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_Toc25250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41332C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_Toc31139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中移（成都）信息通信科技有限公司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_Toc31139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27AB3C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_Toc17898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自贡硬质合金有限责任公司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_Toc17898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5E875F2">
      <w:pPr>
        <w:pStyle w:val="18"/>
        <w:tabs>
          <w:tab w:val="right" w:leader="middleDot" w:pos="8730"/>
        </w:tabs>
        <w:jc w:val="center"/>
        <w:rPr>
          <w:rFonts w:hint="default" w:ascii="Times New Roman" w:hAnsi="Times New Roman" w:eastAsia="宋体" w:cs="Times New Roman"/>
          <w:sz w:val="28"/>
          <w:szCs w:val="28"/>
        </w:rPr>
      </w:pPr>
    </w:p>
    <w:p w14:paraId="68642B9F">
      <w:pPr>
        <w:pStyle w:val="18"/>
        <w:tabs>
          <w:tab w:val="right" w:leader="middleDot" w:pos="8730"/>
        </w:tabs>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三、博士后创新实践基地（84家）</w:t>
      </w:r>
    </w:p>
    <w:p w14:paraId="21E2EC5E">
      <w:pPr>
        <w:rPr>
          <w:rFonts w:hint="default"/>
        </w:rPr>
      </w:pPr>
    </w:p>
    <w:p w14:paraId="159F4F4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_Toc13797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爱斯特（成都）生物制药股份有限公司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_Toc13797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585836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_Toc3441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安岳县柠檬产业展中心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_Toc3441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1BE214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_Toc24196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奥泰医疗系统有限责任公司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_Toc24196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299601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_Toc14743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巴中市南江黄羊科学研究所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_Toc14743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E89355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_Toc32041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巴中市通江银耳（食用菌）产业发展中心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_Toc32041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C423EC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_Toc13570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_Toc13570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CB3055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成都东软学院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10B87B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_Toc13898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成都纺织高等专科学校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_Toc13898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1E9025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_Toc5291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成都工业学院国营成都无线电专用设备厂</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_Toc5291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56285A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_Toc23067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成都国光电气股份有限公司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_Toc23067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0486F6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_Toc4992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成都航空职业技术学院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_Toc4992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74C52E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_Toc2022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成都宏明电子股份有限公司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_Toc2022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8CFD28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_Toc20452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成都交子金融控股集团有限公司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_Toc20452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B94983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_Toc13193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成都锦欣生殖医学与遗传学研究所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_Toc13193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439D26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_Toc5170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成都龙之泉科技股份有限公司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_Toc5170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255F98A">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_Toc21530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成都清科生物科技有限公司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_Toc21530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6FAADA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_Toc8359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成都生物制品研究所有限责任公司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_Toc8359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E4AB59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_Toc16481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成都市中西医结合医院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_Toc16481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8B3DBD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_Toc4735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成都西南石油大学科技园发展有限公司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_Toc4735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D9DBFE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_Toc1011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成都易态科技有限公司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061C55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_Toc17693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成都职业技术学院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_Toc17693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A7C377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_Toc6722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重庆大学锂电及新材料遂宁研究院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_Toc6722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9D7A0E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_Toc1371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达州市农业科学研究院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_Toc1371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0432D5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_Toc10021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德阳市人民医院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_Toc10021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6A1D2D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_Toc28790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电子科技大学成都研究院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_Toc28790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5B830B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_Toc16547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电子科技大学天府协同创新中心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_Toc16547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059FBD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_Toc25392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富临精工股份有限公司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_Toc25392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836FCE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_Toc15360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甘孜藏族自治州海螺沟智慧景区信息中心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_Toc15360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5B7303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_Toc17176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广安市人民医院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_Toc17176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C0A267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_Toc16486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核工业二八</w:t>
      </w:r>
      <w:r>
        <w:rPr>
          <w:rFonts w:hint="default" w:ascii="Times New Roman" w:hAnsi="Times New Roman" w:eastAsia="宋体" w:cs="Times New Roman"/>
          <w:sz w:val="28"/>
          <w:szCs w:val="28"/>
          <w:highlight w:val="none"/>
          <w:lang w:val="en-US" w:eastAsia="zh-CN"/>
        </w:rPr>
        <w:t>0</w:t>
      </w:r>
      <w:r>
        <w:rPr>
          <w:rFonts w:hint="default" w:ascii="Times New Roman" w:hAnsi="Times New Roman" w:eastAsia="宋体" w:cs="Times New Roman"/>
          <w:sz w:val="28"/>
          <w:szCs w:val="28"/>
          <w:highlight w:val="none"/>
        </w:rPr>
        <w:t>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_Toc16486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C6DD74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_Toc31525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宏图智能物流股份有限公司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_Toc31525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C7969F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_Toc13215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洪雅峨眉半山健康管理有限公司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_Toc13215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2C02F5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_Toc3581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乐山职业技术学院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_Toc3581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35759A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_Toc31152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龙佰四川矿冶有限公司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_Toc31152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55E610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_Toc1635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龙佰四川钛业有限公司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5E3E6B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_Toc25942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上海交通大学四川研究院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_Toc25942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A85AD9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_Toc30713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四川安宁铁钛股份有限公司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_Toc30713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404329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_Toc27808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四川奥邦古得药业有限公司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_Toc27808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21C028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_Toc18037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四川博物院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_Toc18037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591A72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_Toc4191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四川超迪电器实业有限公司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_Toc4191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B176E4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_Toc12242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四川川东电缆有限责任公司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_Toc12242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D93B4D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_Toc3989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四川大西洋焊接材料股份有限公司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_Toc3989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770078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_Toc21737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四川德博尔生物科技股份有限公司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_Toc21737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6CC851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_Toc14912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四川德赛尔新材料科技有限公司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_Toc14912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67728B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四川横竖生物科技股份有限公司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2A1DC4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_Toc18082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四川建筑职业技术学院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_Toc18082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14624F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_Toc29419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四川江口醇隆鼎酒业有限公司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_Toc29419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C413C8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_Toc22023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四川捷贝通能源科技有限公司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_Toc22023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0E63D33">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_Toc3643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四川金象赛瑞化工股份有限公司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_Toc3643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5DFAB0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_Toc13493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四川精控阀门制造有限公司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_Toc13493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299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956E65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_Toc14585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四川科伦博泰生物医药股份有限公司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_Toc14585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5F336A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_Toc22086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四川科特检测技术有限公司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_Toc22086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943FE2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_Toc3204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四川煤矿安全监察局安全技术中心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_Toc3204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E85A3B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_Toc23046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四川启明星铝业有限责任公司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_Toc23046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EBB4BF2">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_Toc4288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四川轻化工大学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_Toc4288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D21D95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_Toc32518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四川上之登新材料科技有限公司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_Toc32518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3E11CD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_Toc27718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四川省地质环境调查研究中心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_Toc27718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82C9BF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四川省国土空间生态修复与地质灾害防治研究院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_Toc28164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BDE7A3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_Toc30527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四川省交通勘察设计研究院有限公司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_Toc30527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CAEA7E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_Toc12123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四川省内江市农业科学院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_Toc12123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4361FA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_Toc19983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四川省人工智能研究院（宜宾）</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_Toc19983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6E32B28">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_Toc5518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四川省图书馆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_Toc5518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69778A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_Toc10794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四川省宜宾惠美线业有限责任公司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_Toc10794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DE35210">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_Toc26939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四川省银河化学股份有限公司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_Toc26939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83C7E6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_Toc15056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四川省中医药科学院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_Toc15056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FBDE4B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_Toc2959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四川省综合地质调查研究所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14C1968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_Toc17820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四川天府新区宇宙线研究中心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_Toc17820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A5E026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四川雅化实业集团股份有限公司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3651CB16">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_Toc3761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四川依科制药有限公司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_Toc3761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F99A95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_Toc29323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四川音乐学院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_Toc29323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4E4AFB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_Toc31405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四川永星电子有限公司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_Toc31405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4100E21B">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_Toc29928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四川长虹电子控股集团有限公司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_Toc29928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F3DFC6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_Toc1347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遂宁市中心医院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_Toc1347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B42FF1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_Toc29243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台沃科技集团股份有限公司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_Toc29243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6E151BA7">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_Toc16296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天府永兴实验室</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_Toc16296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7E4754C">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_Toc3858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宜宾凯翼汽车有限公司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_Toc3858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AD81D4E">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_Toc23475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浙江大学自贡创新中心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_Toc23475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A16E2A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_Toc24415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中国农业科学院都市农业研究所</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_Toc24415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CF3F534">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_Toc2337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中昊晨光化工研究院有限公司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06DAD629">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_Toc22837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中铁二十三局集团有限公司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_Toc22837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6C03705">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_Toc32218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中铁信托有限责任公司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_Toc32218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FCAEF3D">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_Toc6777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自贡市第四人民医院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_Toc6777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2C2E54CF">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_Toc2402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自贡市第一人民医院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341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7838F681">
      <w:pPr>
        <w:pStyle w:val="18"/>
        <w:tabs>
          <w:tab w:val="right" w:leader="middleDot" w:pos="8730"/>
        </w:tabs>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_Toc265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highlight w:val="none"/>
        </w:rPr>
        <w:t>自贡市精神卫生中心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342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14:paraId="5D840D1F">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end"/>
      </w:r>
    </w:p>
    <w:p w14:paraId="6FF70ACD">
      <w:pPr>
        <w:pStyle w:val="73"/>
        <w:bidi w:val="0"/>
        <w:rPr>
          <w:rFonts w:hint="default" w:ascii="Times New Roman" w:hAnsi="Times New Roman" w:eastAsia="宋体" w:cs="Times New Roman"/>
          <w:sz w:val="28"/>
          <w:szCs w:val="28"/>
        </w:rPr>
        <w:sectPr>
          <w:pgSz w:w="11906" w:h="16838"/>
          <w:pgMar w:top="1588" w:right="1588" w:bottom="1588" w:left="1588" w:header="964" w:footer="1134" w:gutter="0"/>
          <w:pgBorders>
            <w:top w:val="none" w:sz="0" w:space="0"/>
            <w:left w:val="none" w:sz="0" w:space="0"/>
            <w:bottom w:val="none" w:sz="0" w:space="0"/>
            <w:right w:val="none" w:sz="0" w:space="0"/>
          </w:pgBorders>
          <w:pgNumType w:fmt="decimal" w:start="1"/>
          <w:cols w:space="425" w:num="1"/>
          <w:docGrid w:linePitch="435" w:charSpace="0"/>
        </w:sectPr>
      </w:pPr>
    </w:p>
    <w:p w14:paraId="4942AAAB">
      <w:pPr>
        <w:bidi w:val="0"/>
        <w:jc w:val="both"/>
      </w:pPr>
    </w:p>
    <w:p w14:paraId="530AB913">
      <w:pPr>
        <w:pStyle w:val="46"/>
        <w:adjustRightInd w:val="0"/>
        <w:snapToGrid w:val="0"/>
        <w:spacing w:line="240" w:lineRule="auto"/>
        <w:jc w:val="left"/>
        <w:rPr>
          <w:spacing w:val="-10"/>
          <w:sz w:val="21"/>
          <w:szCs w:val="21"/>
        </w:rPr>
      </w:pPr>
    </w:p>
    <w:p w14:paraId="61860607">
      <w:pPr>
        <w:pStyle w:val="9"/>
        <w:rPr>
          <w:spacing w:val="-10"/>
          <w:sz w:val="21"/>
          <w:szCs w:val="21"/>
        </w:rPr>
      </w:pPr>
    </w:p>
    <w:p w14:paraId="3F65734E">
      <w:pPr>
        <w:rPr>
          <w:spacing w:val="-10"/>
          <w:sz w:val="21"/>
          <w:szCs w:val="21"/>
        </w:rPr>
      </w:pPr>
    </w:p>
    <w:p w14:paraId="68B83C2A">
      <w:pPr>
        <w:rPr>
          <w:spacing w:val="-10"/>
          <w:sz w:val="21"/>
          <w:szCs w:val="21"/>
        </w:rPr>
      </w:pPr>
    </w:p>
    <w:p w14:paraId="47002D8D">
      <w:pPr>
        <w:rPr>
          <w:spacing w:val="-10"/>
          <w:sz w:val="21"/>
          <w:szCs w:val="21"/>
        </w:rPr>
      </w:pPr>
    </w:p>
    <w:p w14:paraId="1DEB42A9">
      <w:pPr>
        <w:rPr>
          <w:spacing w:val="-10"/>
          <w:sz w:val="21"/>
          <w:szCs w:val="21"/>
        </w:rPr>
      </w:pPr>
    </w:p>
    <w:p w14:paraId="77BE8AB4">
      <w:pPr>
        <w:pStyle w:val="46"/>
        <w:adjustRightInd w:val="0"/>
        <w:snapToGrid w:val="0"/>
        <w:spacing w:line="240" w:lineRule="auto"/>
        <w:jc w:val="both"/>
        <w:outlineLvl w:val="9"/>
        <w:rPr>
          <w:rFonts w:hint="eastAsia" w:ascii="方正小标宋简体" w:hAnsi="方正小标宋简体" w:eastAsia="方正小标宋简体" w:cs="方正小标宋简体"/>
          <w:spacing w:val="-10"/>
          <w:sz w:val="44"/>
          <w:szCs w:val="44"/>
        </w:rPr>
        <w:sectPr>
          <w:headerReference r:id="rId7" w:type="default"/>
          <w:footerReference r:id="rId8" w:type="default"/>
          <w:type w:val="continuous"/>
          <w:pgSz w:w="11906" w:h="16838"/>
          <w:pgMar w:top="1588" w:right="1077" w:bottom="1588" w:left="1077" w:header="964" w:footer="1134" w:gutter="0"/>
          <w:pgBorders>
            <w:top w:val="none" w:sz="0" w:space="0"/>
            <w:left w:val="none" w:sz="0" w:space="0"/>
            <w:bottom w:val="none" w:sz="0" w:space="0"/>
            <w:right w:val="none" w:sz="0" w:space="0"/>
          </w:pgBorders>
          <w:pgNumType w:fmt="decimal"/>
          <w:cols w:space="425" w:num="1"/>
          <w:docGrid w:linePitch="435" w:charSpace="0"/>
        </w:sectPr>
      </w:pPr>
      <w:bookmarkStart w:id="0" w:name="_Toc17557"/>
      <w:bookmarkStart w:id="1" w:name="_Toc8460"/>
    </w:p>
    <w:p w14:paraId="2F043E55">
      <w:pPr>
        <w:pStyle w:val="46"/>
        <w:adjustRightInd w:val="0"/>
        <w:snapToGrid w:val="0"/>
        <w:spacing w:line="240" w:lineRule="auto"/>
        <w:jc w:val="center"/>
        <w:outlineLvl w:val="0"/>
        <w:rPr>
          <w:spacing w:val="0"/>
          <w:sz w:val="40"/>
          <w:szCs w:val="40"/>
        </w:rPr>
      </w:pPr>
      <w:bookmarkStart w:id="2" w:name="_Toc29527"/>
      <w:bookmarkStart w:id="3" w:name="_Toc10785"/>
      <w:bookmarkStart w:id="4" w:name="_Toc29131"/>
      <w:r>
        <w:rPr>
          <w:rFonts w:hint="eastAsia" w:ascii="方正小标宋简体" w:hAnsi="方正小标宋简体" w:eastAsia="方正小标宋简体" w:cs="方正小标宋简体"/>
          <w:spacing w:val="0"/>
          <w:sz w:val="44"/>
          <w:szCs w:val="44"/>
        </w:rPr>
        <w:t>202</w:t>
      </w:r>
      <w:r>
        <w:rPr>
          <w:rFonts w:hint="eastAsia" w:ascii="方正小标宋简体" w:hAnsi="方正小标宋简体" w:eastAsia="方正小标宋简体" w:cs="方正小标宋简体"/>
          <w:spacing w:val="0"/>
          <w:sz w:val="44"/>
          <w:szCs w:val="44"/>
          <w:lang w:val="en-US" w:eastAsia="zh-CN"/>
        </w:rPr>
        <w:t>5</w:t>
      </w:r>
      <w:r>
        <w:rPr>
          <w:rFonts w:hint="eastAsia" w:ascii="方正小标宋简体" w:hAnsi="方正小标宋简体" w:eastAsia="方正小标宋简体" w:cs="方正小标宋简体"/>
          <w:spacing w:val="0"/>
          <w:sz w:val="44"/>
          <w:szCs w:val="44"/>
        </w:rPr>
        <w:t>年四川省</w:t>
      </w:r>
      <w:r>
        <w:rPr>
          <w:rFonts w:hint="eastAsia" w:ascii="方正小标宋简体" w:hAnsi="方正小标宋简体" w:cs="方正小标宋简体"/>
          <w:spacing w:val="0"/>
          <w:sz w:val="44"/>
          <w:szCs w:val="44"/>
          <w:lang w:val="en-US" w:eastAsia="zh-CN"/>
        </w:rPr>
        <w:t>招引</w:t>
      </w:r>
      <w:r>
        <w:rPr>
          <w:rFonts w:hint="eastAsia" w:ascii="方正小标宋简体" w:hAnsi="方正小标宋简体" w:eastAsia="方正小标宋简体" w:cs="方正小标宋简体"/>
          <w:spacing w:val="0"/>
          <w:sz w:val="44"/>
          <w:szCs w:val="44"/>
        </w:rPr>
        <w:t>博士</w:t>
      </w:r>
      <w:r>
        <w:rPr>
          <w:rFonts w:hint="eastAsia" w:ascii="方正小标宋简体" w:hAnsi="方正小标宋简体" w:cs="方正小标宋简体"/>
          <w:spacing w:val="0"/>
          <w:sz w:val="44"/>
          <w:szCs w:val="44"/>
          <w:lang w:val="en-US" w:eastAsia="zh-CN"/>
        </w:rPr>
        <w:t>进站</w:t>
      </w:r>
      <w:r>
        <w:rPr>
          <w:rFonts w:hint="eastAsia" w:ascii="方正小标宋简体" w:hAnsi="方正小标宋简体" w:eastAsia="方正小标宋简体" w:cs="方正小标宋简体"/>
          <w:spacing w:val="0"/>
          <w:sz w:val="44"/>
          <w:szCs w:val="44"/>
        </w:rPr>
        <w:t>设站单位信息简表</w:t>
      </w:r>
      <w:bookmarkEnd w:id="0"/>
      <w:bookmarkEnd w:id="1"/>
      <w:bookmarkEnd w:id="2"/>
      <w:bookmarkEnd w:id="3"/>
      <w:bookmarkEnd w:id="4"/>
    </w:p>
    <w:p w14:paraId="6936A986">
      <w:pPr>
        <w:pStyle w:val="5"/>
        <w:adjustRightInd w:val="0"/>
        <w:snapToGrid w:val="0"/>
        <w:spacing w:line="240" w:lineRule="auto"/>
        <w:ind w:firstLine="840" w:firstLineChars="400"/>
        <w:rPr>
          <w:sz w:val="21"/>
          <w:szCs w:val="21"/>
        </w:rPr>
      </w:pPr>
    </w:p>
    <w:tbl>
      <w:tblPr>
        <w:tblStyle w:val="47"/>
        <w:tblW w:w="9751" w:type="dxa"/>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3806"/>
        <w:gridCol w:w="1332"/>
        <w:gridCol w:w="1524"/>
        <w:gridCol w:w="1476"/>
        <w:gridCol w:w="909"/>
      </w:tblGrid>
      <w:tr w14:paraId="6E3063A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0F419B16">
            <w:pPr>
              <w:widowControl/>
              <w:adjustRightInd w:val="0"/>
              <w:snapToGrid w:val="0"/>
              <w:spacing w:line="240" w:lineRule="auto"/>
              <w:ind w:firstLine="0"/>
              <w:jc w:val="center"/>
              <w:rPr>
                <w:rFonts w:eastAsiaTheme="minorEastAsia"/>
                <w:b w:val="0"/>
                <w:bCs w:val="0"/>
                <w:kern w:val="0"/>
                <w:sz w:val="21"/>
                <w:szCs w:val="21"/>
              </w:rPr>
            </w:pPr>
            <w:r>
              <w:rPr>
                <w:rFonts w:eastAsiaTheme="minorEastAsia"/>
                <w:b/>
                <w:bCs/>
                <w:kern w:val="0"/>
                <w:sz w:val="21"/>
                <w:szCs w:val="21"/>
              </w:rPr>
              <w:t>序号</w:t>
            </w:r>
          </w:p>
        </w:tc>
        <w:tc>
          <w:tcPr>
            <w:tcW w:w="3806"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A577DDA">
            <w:pPr>
              <w:widowControl/>
              <w:adjustRightInd w:val="0"/>
              <w:snapToGrid w:val="0"/>
              <w:spacing w:line="240" w:lineRule="auto"/>
              <w:ind w:left="-64" w:leftChars="-20" w:right="-64" w:rightChars="-20" w:firstLine="0"/>
              <w:jc w:val="center"/>
              <w:rPr>
                <w:rFonts w:eastAsiaTheme="minorEastAsia"/>
                <w:b w:val="0"/>
                <w:bCs w:val="0"/>
                <w:kern w:val="0"/>
                <w:sz w:val="21"/>
                <w:szCs w:val="21"/>
              </w:rPr>
            </w:pPr>
            <w:r>
              <w:rPr>
                <w:rFonts w:eastAsiaTheme="minorEastAsia"/>
                <w:b/>
                <w:bCs/>
                <w:kern w:val="0"/>
                <w:sz w:val="21"/>
                <w:szCs w:val="21"/>
              </w:rPr>
              <w:t>招引单位</w:t>
            </w:r>
          </w:p>
        </w:tc>
        <w:tc>
          <w:tcPr>
            <w:tcW w:w="1332"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21E2A480">
            <w:pPr>
              <w:widowControl/>
              <w:adjustRightInd w:val="0"/>
              <w:snapToGrid w:val="0"/>
              <w:spacing w:line="240" w:lineRule="auto"/>
              <w:ind w:left="-64" w:leftChars="-20" w:right="-64" w:rightChars="-20" w:firstLine="0"/>
              <w:jc w:val="center"/>
              <w:rPr>
                <w:rFonts w:eastAsiaTheme="minorEastAsia"/>
                <w:b w:val="0"/>
                <w:bCs w:val="0"/>
                <w:kern w:val="0"/>
                <w:sz w:val="21"/>
                <w:szCs w:val="21"/>
              </w:rPr>
            </w:pPr>
            <w:r>
              <w:rPr>
                <w:rFonts w:eastAsiaTheme="minorEastAsia"/>
                <w:b/>
                <w:bCs/>
                <w:kern w:val="0"/>
                <w:sz w:val="21"/>
                <w:szCs w:val="21"/>
              </w:rPr>
              <w:t>单位性质</w:t>
            </w:r>
          </w:p>
        </w:tc>
        <w:tc>
          <w:tcPr>
            <w:tcW w:w="1524"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4DA6BA0D">
            <w:pPr>
              <w:widowControl/>
              <w:adjustRightInd w:val="0"/>
              <w:snapToGrid w:val="0"/>
              <w:spacing w:line="240" w:lineRule="auto"/>
              <w:ind w:left="-64" w:leftChars="-20" w:right="-64" w:rightChars="-20" w:firstLine="0"/>
              <w:jc w:val="center"/>
              <w:rPr>
                <w:rFonts w:eastAsiaTheme="minorEastAsia"/>
                <w:b w:val="0"/>
                <w:bCs w:val="0"/>
                <w:kern w:val="0"/>
                <w:sz w:val="21"/>
                <w:szCs w:val="21"/>
              </w:rPr>
            </w:pPr>
            <w:r>
              <w:rPr>
                <w:rFonts w:eastAsiaTheme="minorEastAsia"/>
                <w:b/>
                <w:bCs/>
                <w:kern w:val="0"/>
                <w:sz w:val="21"/>
                <w:szCs w:val="21"/>
              </w:rPr>
              <w:t>设站单位类型</w:t>
            </w:r>
          </w:p>
        </w:tc>
        <w:tc>
          <w:tcPr>
            <w:tcW w:w="1476"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312E56D">
            <w:pPr>
              <w:widowControl/>
              <w:adjustRightInd w:val="0"/>
              <w:snapToGrid w:val="0"/>
              <w:spacing w:line="240" w:lineRule="auto"/>
              <w:ind w:left="-64" w:leftChars="-20" w:right="-64" w:rightChars="-20" w:firstLine="0"/>
              <w:jc w:val="center"/>
              <w:rPr>
                <w:rFonts w:eastAsiaTheme="minorEastAsia"/>
                <w:b w:val="0"/>
                <w:bCs w:val="0"/>
                <w:kern w:val="0"/>
                <w:sz w:val="21"/>
                <w:szCs w:val="21"/>
              </w:rPr>
            </w:pPr>
            <w:r>
              <w:rPr>
                <w:rFonts w:eastAsiaTheme="minorEastAsia"/>
                <w:b/>
                <w:bCs/>
                <w:kern w:val="0"/>
                <w:sz w:val="21"/>
                <w:szCs w:val="21"/>
              </w:rPr>
              <w:t>单位所在城市</w:t>
            </w:r>
          </w:p>
        </w:tc>
        <w:tc>
          <w:tcPr>
            <w:tcW w:w="90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28258283">
            <w:pPr>
              <w:widowControl/>
              <w:adjustRightInd w:val="0"/>
              <w:snapToGrid w:val="0"/>
              <w:spacing w:line="240" w:lineRule="auto"/>
              <w:ind w:left="-64" w:leftChars="-20" w:right="-64" w:rightChars="-20" w:firstLine="0"/>
              <w:jc w:val="center"/>
              <w:rPr>
                <w:rFonts w:eastAsiaTheme="minorEastAsia"/>
                <w:b w:val="0"/>
                <w:bCs w:val="0"/>
                <w:kern w:val="0"/>
                <w:sz w:val="21"/>
                <w:szCs w:val="21"/>
              </w:rPr>
            </w:pPr>
            <w:r>
              <w:rPr>
                <w:rFonts w:eastAsiaTheme="minorEastAsia"/>
                <w:b/>
                <w:bCs/>
                <w:kern w:val="0"/>
                <w:sz w:val="21"/>
                <w:szCs w:val="21"/>
              </w:rPr>
              <w:t>需求博士</w:t>
            </w:r>
            <w:r>
              <w:rPr>
                <w:rFonts w:hint="eastAsia" w:eastAsiaTheme="minorEastAsia"/>
                <w:b/>
                <w:bCs/>
                <w:kern w:val="0"/>
                <w:sz w:val="21"/>
                <w:szCs w:val="21"/>
                <w:lang w:val="en-US" w:eastAsia="zh-CN"/>
              </w:rPr>
              <w:t>后</w:t>
            </w:r>
            <w:r>
              <w:rPr>
                <w:rFonts w:eastAsiaTheme="minorEastAsia"/>
                <w:b/>
                <w:bCs/>
                <w:kern w:val="0"/>
                <w:sz w:val="21"/>
                <w:szCs w:val="21"/>
              </w:rPr>
              <w:t>数</w:t>
            </w:r>
          </w:p>
        </w:tc>
      </w:tr>
      <w:tr w14:paraId="52674C9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5736F6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68A80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成都理工大学</w:t>
            </w:r>
          </w:p>
        </w:tc>
        <w:tc>
          <w:tcPr>
            <w:tcW w:w="1332" w:type="dxa"/>
            <w:tcBorders>
              <w:top w:val="single" w:color="auto" w:sz="4" w:space="0"/>
              <w:left w:val="single" w:color="auto" w:sz="4" w:space="0"/>
              <w:bottom w:val="single" w:color="auto" w:sz="4" w:space="0"/>
              <w:right w:val="single" w:color="auto" w:sz="4" w:space="0"/>
            </w:tcBorders>
            <w:vAlign w:val="center"/>
          </w:tcPr>
          <w:p w14:paraId="7F82D6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6B12EF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vAlign w:val="center"/>
          </w:tcPr>
          <w:p w14:paraId="5B14B79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B1ACC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若干</w:t>
            </w:r>
          </w:p>
        </w:tc>
      </w:tr>
      <w:tr w14:paraId="11E3495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7BCD29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0EF2B5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成都体育学院</w:t>
            </w:r>
          </w:p>
        </w:tc>
        <w:tc>
          <w:tcPr>
            <w:tcW w:w="1332" w:type="dxa"/>
            <w:tcBorders>
              <w:top w:val="single" w:color="auto" w:sz="4" w:space="0"/>
              <w:left w:val="single" w:color="auto" w:sz="4" w:space="0"/>
              <w:bottom w:val="single" w:color="auto" w:sz="4" w:space="0"/>
              <w:right w:val="single" w:color="auto" w:sz="4" w:space="0"/>
            </w:tcBorders>
            <w:vAlign w:val="center"/>
          </w:tcPr>
          <w:p w14:paraId="32C33F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64FA40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43170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3BA12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58ABE5F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4FC203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560623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成都中医药大学</w:t>
            </w:r>
          </w:p>
        </w:tc>
        <w:tc>
          <w:tcPr>
            <w:tcW w:w="1332" w:type="dxa"/>
            <w:tcBorders>
              <w:top w:val="single" w:color="auto" w:sz="4" w:space="0"/>
              <w:left w:val="single" w:color="auto" w:sz="4" w:space="0"/>
              <w:bottom w:val="single" w:color="auto" w:sz="4" w:space="0"/>
              <w:right w:val="single" w:color="auto" w:sz="4" w:space="0"/>
            </w:tcBorders>
            <w:vAlign w:val="center"/>
          </w:tcPr>
          <w:p w14:paraId="2820F9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023F9C0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122499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3F17D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若干</w:t>
            </w:r>
          </w:p>
        </w:tc>
      </w:tr>
      <w:tr w14:paraId="599F4E5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F2132D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6108EB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电子科技大学</w:t>
            </w:r>
          </w:p>
        </w:tc>
        <w:tc>
          <w:tcPr>
            <w:tcW w:w="1332" w:type="dxa"/>
            <w:tcBorders>
              <w:top w:val="single" w:color="auto" w:sz="4" w:space="0"/>
              <w:left w:val="single" w:color="auto" w:sz="4" w:space="0"/>
              <w:bottom w:val="single" w:color="auto" w:sz="4" w:space="0"/>
              <w:right w:val="single" w:color="auto" w:sz="4" w:space="0"/>
            </w:tcBorders>
            <w:vAlign w:val="center"/>
          </w:tcPr>
          <w:p w14:paraId="431B1E9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33CC5B6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7221B6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4EA69D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9</w:t>
            </w:r>
            <w:r>
              <w:rPr>
                <w:rFonts w:hint="eastAsia" w:eastAsiaTheme="minorEastAsia"/>
                <w:kern w:val="0"/>
                <w:sz w:val="21"/>
                <w:szCs w:val="21"/>
                <w:highlight w:val="none"/>
                <w:lang w:val="en-US" w:eastAsia="zh-CN"/>
              </w:rPr>
              <w:t>3</w:t>
            </w:r>
            <w:r>
              <w:rPr>
                <w:rFonts w:eastAsiaTheme="minorEastAsia"/>
                <w:kern w:val="0"/>
                <w:sz w:val="21"/>
                <w:szCs w:val="21"/>
                <w:highlight w:val="none"/>
              </w:rPr>
              <w:t>8</w:t>
            </w:r>
          </w:p>
        </w:tc>
      </w:tr>
      <w:tr w14:paraId="1069582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EDA25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FF8A65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核工业西南物理研究院</w:t>
            </w:r>
          </w:p>
        </w:tc>
        <w:tc>
          <w:tcPr>
            <w:tcW w:w="1332" w:type="dxa"/>
            <w:tcBorders>
              <w:top w:val="single" w:color="auto" w:sz="4" w:space="0"/>
              <w:left w:val="single" w:color="auto" w:sz="4" w:space="0"/>
              <w:bottom w:val="single" w:color="auto" w:sz="4" w:space="0"/>
              <w:right w:val="single" w:color="auto" w:sz="4" w:space="0"/>
            </w:tcBorders>
            <w:vAlign w:val="center"/>
          </w:tcPr>
          <w:p w14:paraId="7887B5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66BDBDF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B3B660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8B385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6</w:t>
            </w:r>
          </w:p>
        </w:tc>
      </w:tr>
      <w:tr w14:paraId="4FF0F1D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F82A6E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5D0C2E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四川大学</w:t>
            </w:r>
          </w:p>
        </w:tc>
        <w:tc>
          <w:tcPr>
            <w:tcW w:w="1332" w:type="dxa"/>
            <w:tcBorders>
              <w:top w:val="single" w:color="auto" w:sz="4" w:space="0"/>
              <w:left w:val="single" w:color="auto" w:sz="4" w:space="0"/>
              <w:bottom w:val="single" w:color="auto" w:sz="4" w:space="0"/>
              <w:right w:val="single" w:color="auto" w:sz="4" w:space="0"/>
            </w:tcBorders>
            <w:vAlign w:val="center"/>
          </w:tcPr>
          <w:p w14:paraId="3D7000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0878AE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8BF647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2B85DB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650</w:t>
            </w:r>
          </w:p>
        </w:tc>
      </w:tr>
      <w:tr w14:paraId="198BA9F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DF4DF5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1EFB8E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四川农业大学</w:t>
            </w:r>
          </w:p>
        </w:tc>
        <w:tc>
          <w:tcPr>
            <w:tcW w:w="1332" w:type="dxa"/>
            <w:tcBorders>
              <w:top w:val="single" w:color="auto" w:sz="4" w:space="0"/>
              <w:left w:val="single" w:color="auto" w:sz="4" w:space="0"/>
              <w:bottom w:val="single" w:color="auto" w:sz="4" w:space="0"/>
              <w:right w:val="single" w:color="auto" w:sz="4" w:space="0"/>
            </w:tcBorders>
            <w:vAlign w:val="center"/>
          </w:tcPr>
          <w:p w14:paraId="6E5585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329B79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vAlign w:val="center"/>
          </w:tcPr>
          <w:p w14:paraId="3CD9CC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4A3D7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220</w:t>
            </w:r>
          </w:p>
        </w:tc>
      </w:tr>
      <w:tr w14:paraId="6CF24D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850545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27BACC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四川师范大学</w:t>
            </w:r>
          </w:p>
        </w:tc>
        <w:tc>
          <w:tcPr>
            <w:tcW w:w="1332" w:type="dxa"/>
            <w:tcBorders>
              <w:top w:val="single" w:color="auto" w:sz="4" w:space="0"/>
              <w:left w:val="single" w:color="auto" w:sz="4" w:space="0"/>
              <w:bottom w:val="single" w:color="auto" w:sz="4" w:space="0"/>
              <w:right w:val="single" w:color="auto" w:sz="4" w:space="0"/>
            </w:tcBorders>
            <w:vAlign w:val="center"/>
          </w:tcPr>
          <w:p w14:paraId="306492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35E625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0575FD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DA9F6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33</w:t>
            </w:r>
          </w:p>
        </w:tc>
      </w:tr>
      <w:tr w14:paraId="207D8FC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853B5C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58690E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西南财经大学</w:t>
            </w:r>
          </w:p>
        </w:tc>
        <w:tc>
          <w:tcPr>
            <w:tcW w:w="1332" w:type="dxa"/>
            <w:tcBorders>
              <w:top w:val="single" w:color="auto" w:sz="4" w:space="0"/>
              <w:left w:val="single" w:color="auto" w:sz="4" w:space="0"/>
              <w:bottom w:val="single" w:color="auto" w:sz="4" w:space="0"/>
              <w:right w:val="single" w:color="auto" w:sz="4" w:space="0"/>
            </w:tcBorders>
            <w:vAlign w:val="center"/>
          </w:tcPr>
          <w:p w14:paraId="796FD7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503331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60CCFC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234F92D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eastAsiaTheme="minorEastAsia"/>
                <w:kern w:val="0"/>
                <w:sz w:val="21"/>
                <w:szCs w:val="21"/>
                <w:highlight w:val="none"/>
              </w:rPr>
              <w:t>1</w:t>
            </w:r>
            <w:r>
              <w:rPr>
                <w:rFonts w:hint="eastAsia" w:eastAsiaTheme="minorEastAsia"/>
                <w:kern w:val="0"/>
                <w:sz w:val="21"/>
                <w:szCs w:val="21"/>
                <w:highlight w:val="none"/>
                <w:lang w:val="en-US" w:eastAsia="zh-CN"/>
              </w:rPr>
              <w:t>40</w:t>
            </w:r>
          </w:p>
        </w:tc>
      </w:tr>
      <w:tr w14:paraId="0DE7B1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62C825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215DC5D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西南交通大学</w:t>
            </w:r>
          </w:p>
        </w:tc>
        <w:tc>
          <w:tcPr>
            <w:tcW w:w="1332" w:type="dxa"/>
            <w:tcBorders>
              <w:top w:val="single" w:color="auto" w:sz="4" w:space="0"/>
              <w:left w:val="single" w:color="auto" w:sz="4" w:space="0"/>
              <w:bottom w:val="single" w:color="auto" w:sz="4" w:space="0"/>
              <w:right w:val="single" w:color="auto" w:sz="4" w:space="0"/>
            </w:tcBorders>
            <w:vAlign w:val="center"/>
          </w:tcPr>
          <w:p w14:paraId="37F6B26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0791686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62739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FD008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188</w:t>
            </w:r>
          </w:p>
        </w:tc>
      </w:tr>
      <w:tr w14:paraId="7DAA021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EDE52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538A09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西南科技大学</w:t>
            </w:r>
          </w:p>
        </w:tc>
        <w:tc>
          <w:tcPr>
            <w:tcW w:w="1332" w:type="dxa"/>
            <w:tcBorders>
              <w:top w:val="single" w:color="auto" w:sz="4" w:space="0"/>
              <w:left w:val="single" w:color="auto" w:sz="4" w:space="0"/>
              <w:bottom w:val="single" w:color="auto" w:sz="4" w:space="0"/>
              <w:right w:val="single" w:color="auto" w:sz="4" w:space="0"/>
            </w:tcBorders>
            <w:vAlign w:val="center"/>
          </w:tcPr>
          <w:p w14:paraId="1B6640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5B68B6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7B110A4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single" w:color="auto" w:sz="4" w:space="0"/>
              <w:bottom w:val="single" w:color="auto" w:sz="4" w:space="0"/>
              <w:right w:val="single" w:color="auto" w:sz="4" w:space="0"/>
            </w:tcBorders>
            <w:vAlign w:val="center"/>
          </w:tcPr>
          <w:p w14:paraId="2A5AA9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60</w:t>
            </w:r>
          </w:p>
        </w:tc>
      </w:tr>
      <w:tr w14:paraId="7099BB6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10E44C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04793E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西南民族大学</w:t>
            </w:r>
          </w:p>
        </w:tc>
        <w:tc>
          <w:tcPr>
            <w:tcW w:w="1332" w:type="dxa"/>
            <w:tcBorders>
              <w:top w:val="single" w:color="auto" w:sz="4" w:space="0"/>
              <w:left w:val="single" w:color="auto" w:sz="4" w:space="0"/>
              <w:bottom w:val="single" w:color="auto" w:sz="4" w:space="0"/>
              <w:right w:val="single" w:color="auto" w:sz="4" w:space="0"/>
            </w:tcBorders>
            <w:vAlign w:val="center"/>
          </w:tcPr>
          <w:p w14:paraId="39CB63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59EF52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1F366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3B204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11</w:t>
            </w:r>
          </w:p>
        </w:tc>
      </w:tr>
      <w:tr w14:paraId="72ED876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2CFC72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eastAsiaTheme="minorEastAsia"/>
                <w:b w:val="0"/>
                <w:bCs w:val="0"/>
                <w:kern w:val="0"/>
                <w:sz w:val="21"/>
                <w:szCs w:val="21"/>
              </w:rPr>
            </w:pPr>
          </w:p>
        </w:tc>
        <w:tc>
          <w:tcPr>
            <w:tcW w:w="3806" w:type="dxa"/>
            <w:tcBorders>
              <w:top w:val="single" w:color="auto" w:sz="4" w:space="0"/>
              <w:left w:val="single" w:color="auto" w:sz="4" w:space="0"/>
              <w:bottom w:val="single" w:color="auto" w:sz="4" w:space="0"/>
              <w:right w:val="single" w:color="auto" w:sz="4" w:space="0"/>
            </w:tcBorders>
            <w:vAlign w:val="center"/>
          </w:tcPr>
          <w:p w14:paraId="0EFD75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西南石油大学</w:t>
            </w:r>
          </w:p>
        </w:tc>
        <w:tc>
          <w:tcPr>
            <w:tcW w:w="1332" w:type="dxa"/>
            <w:tcBorders>
              <w:top w:val="single" w:color="auto" w:sz="4" w:space="0"/>
              <w:left w:val="single" w:color="auto" w:sz="4" w:space="0"/>
              <w:bottom w:val="single" w:color="auto" w:sz="4" w:space="0"/>
              <w:right w:val="single" w:color="auto" w:sz="4" w:space="0"/>
            </w:tcBorders>
            <w:vAlign w:val="center"/>
          </w:tcPr>
          <w:p w14:paraId="1DAB2F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725223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1F72CB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2F4E58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44</w:t>
            </w:r>
          </w:p>
        </w:tc>
      </w:tr>
      <w:tr w14:paraId="41826FA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D8F234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957BD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rPr>
              <w:t>中国工程物理研究院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485DDB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5C11E3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302F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 w:val="21"/>
                <w:szCs w:val="21"/>
                <w:highlight w:val="none"/>
                <w:lang w:val="en-US" w:eastAsia="zh-CN"/>
              </w:rPr>
              <w:t>绵阳</w:t>
            </w:r>
          </w:p>
        </w:tc>
        <w:tc>
          <w:tcPr>
            <w:tcW w:w="909" w:type="dxa"/>
            <w:tcBorders>
              <w:top w:val="single" w:color="auto" w:sz="4" w:space="0"/>
              <w:left w:val="single" w:color="auto" w:sz="4" w:space="0"/>
              <w:bottom w:val="single" w:color="auto" w:sz="4" w:space="0"/>
              <w:right w:val="single" w:color="auto" w:sz="4" w:space="0"/>
            </w:tcBorders>
            <w:vAlign w:val="center"/>
          </w:tcPr>
          <w:p w14:paraId="62F1DFD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98</w:t>
            </w:r>
          </w:p>
        </w:tc>
      </w:tr>
      <w:tr w14:paraId="5E97EF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8EDF19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D652C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spacing w:val="-4"/>
                <w:kern w:val="0"/>
                <w:sz w:val="21"/>
                <w:szCs w:val="21"/>
                <w:highlight w:val="none"/>
              </w:rPr>
            </w:pPr>
            <w:r>
              <w:rPr>
                <w:rFonts w:hint="eastAsia" w:eastAsiaTheme="minorEastAsia"/>
                <w:spacing w:val="-4"/>
                <w:kern w:val="0"/>
                <w:sz w:val="21"/>
                <w:szCs w:val="21"/>
                <w:highlight w:val="none"/>
              </w:rPr>
              <w:t>中国核动力研究设计院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CE727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F5D14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CB97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39ACA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7</w:t>
            </w:r>
          </w:p>
        </w:tc>
      </w:tr>
      <w:tr w14:paraId="75B1C10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55E041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475B2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spacing w:val="-4"/>
                <w:kern w:val="0"/>
                <w:sz w:val="21"/>
                <w:szCs w:val="21"/>
                <w:highlight w:val="none"/>
              </w:rPr>
            </w:pPr>
            <w:r>
              <w:rPr>
                <w:rFonts w:eastAsiaTheme="minorEastAsia"/>
                <w:spacing w:val="-4"/>
                <w:kern w:val="0"/>
                <w:sz w:val="21"/>
                <w:szCs w:val="21"/>
                <w:highlight w:val="none"/>
              </w:rPr>
              <w:t>中国科学院、水利部成都山地灾害与环境研究所</w:t>
            </w:r>
          </w:p>
        </w:tc>
        <w:tc>
          <w:tcPr>
            <w:tcW w:w="1332" w:type="dxa"/>
            <w:tcBorders>
              <w:top w:val="single" w:color="auto" w:sz="4" w:space="0"/>
              <w:left w:val="single" w:color="auto" w:sz="4" w:space="0"/>
              <w:bottom w:val="single" w:color="auto" w:sz="4" w:space="0"/>
              <w:right w:val="single" w:color="auto" w:sz="4" w:space="0"/>
            </w:tcBorders>
            <w:vAlign w:val="center"/>
          </w:tcPr>
          <w:p w14:paraId="105B08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2D5051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DF244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AF44C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46</w:t>
            </w:r>
          </w:p>
        </w:tc>
      </w:tr>
      <w:tr w14:paraId="0F81DCD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20A424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EAE98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中国科学院成都生物研究所</w:t>
            </w:r>
          </w:p>
        </w:tc>
        <w:tc>
          <w:tcPr>
            <w:tcW w:w="1332" w:type="dxa"/>
            <w:tcBorders>
              <w:top w:val="single" w:color="auto" w:sz="4" w:space="0"/>
              <w:left w:val="single" w:color="auto" w:sz="4" w:space="0"/>
              <w:bottom w:val="single" w:color="auto" w:sz="4" w:space="0"/>
              <w:right w:val="single" w:color="auto" w:sz="4" w:space="0"/>
            </w:tcBorders>
            <w:vAlign w:val="center"/>
          </w:tcPr>
          <w:p w14:paraId="563469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251503B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vAlign w:val="center"/>
          </w:tcPr>
          <w:p w14:paraId="520162F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91EDE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133</w:t>
            </w:r>
          </w:p>
        </w:tc>
      </w:tr>
      <w:tr w14:paraId="7F3EF64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27FDA1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D827E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中国科学院成都有机化学研究所</w:t>
            </w:r>
          </w:p>
        </w:tc>
        <w:tc>
          <w:tcPr>
            <w:tcW w:w="1332" w:type="dxa"/>
            <w:tcBorders>
              <w:top w:val="single" w:color="auto" w:sz="4" w:space="0"/>
              <w:left w:val="single" w:color="auto" w:sz="4" w:space="0"/>
              <w:bottom w:val="single" w:color="auto" w:sz="4" w:space="0"/>
              <w:right w:val="single" w:color="auto" w:sz="4" w:space="0"/>
            </w:tcBorders>
            <w:vAlign w:val="center"/>
          </w:tcPr>
          <w:p w14:paraId="1972C63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2ECE94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63C07BB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2F148AA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50848D3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8E85E7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113CC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中国科学院光电技术研究所</w:t>
            </w:r>
          </w:p>
        </w:tc>
        <w:tc>
          <w:tcPr>
            <w:tcW w:w="1332" w:type="dxa"/>
            <w:tcBorders>
              <w:top w:val="single" w:color="auto" w:sz="4" w:space="0"/>
              <w:left w:val="single" w:color="auto" w:sz="4" w:space="0"/>
              <w:bottom w:val="single" w:color="auto" w:sz="4" w:space="0"/>
              <w:right w:val="single" w:color="auto" w:sz="4" w:space="0"/>
            </w:tcBorders>
            <w:vAlign w:val="center"/>
          </w:tcPr>
          <w:p w14:paraId="666A09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04DE56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流动站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B71CA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46E45E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44</w:t>
            </w:r>
          </w:p>
        </w:tc>
      </w:tr>
      <w:tr w14:paraId="6EE0668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BA8110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169B626">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成都大熊猫繁育研究基地</w:t>
            </w:r>
          </w:p>
        </w:tc>
        <w:tc>
          <w:tcPr>
            <w:tcW w:w="1332" w:type="dxa"/>
            <w:tcBorders>
              <w:top w:val="single" w:color="auto" w:sz="4" w:space="0"/>
              <w:left w:val="nil"/>
              <w:bottom w:val="single" w:color="auto" w:sz="4" w:space="0"/>
              <w:right w:val="single" w:color="auto" w:sz="4" w:space="0"/>
            </w:tcBorders>
            <w:shd w:val="clear" w:color="auto" w:fill="auto"/>
            <w:vAlign w:val="center"/>
          </w:tcPr>
          <w:p w14:paraId="216644C7">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vAlign w:val="center"/>
          </w:tcPr>
          <w:p w14:paraId="4A4D556A">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A63A660">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71DED53D">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2</w:t>
            </w:r>
          </w:p>
        </w:tc>
      </w:tr>
      <w:tr w14:paraId="1529203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76E2A7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16E7229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kern w:val="0"/>
                <w:sz w:val="21"/>
                <w:szCs w:val="21"/>
                <w:highlight w:val="none"/>
              </w:rPr>
            </w:pPr>
            <w:r>
              <w:rPr>
                <w:rFonts w:hint="eastAsia" w:eastAsiaTheme="minorEastAsia"/>
                <w:kern w:val="0"/>
                <w:sz w:val="21"/>
                <w:szCs w:val="21"/>
                <w:highlight w:val="none"/>
              </w:rPr>
              <w:t>成都光明光电股份有限公司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51D8AAE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C0A2A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08FFF5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6D8BD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0D985E7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638B41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69DC35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 xml:space="preserve">成都硅宝科技股份有限公司 </w:t>
            </w:r>
          </w:p>
        </w:tc>
        <w:tc>
          <w:tcPr>
            <w:tcW w:w="1332" w:type="dxa"/>
            <w:tcBorders>
              <w:top w:val="nil"/>
              <w:left w:val="single" w:color="auto" w:sz="4" w:space="0"/>
              <w:bottom w:val="single" w:color="auto" w:sz="4" w:space="0"/>
              <w:right w:val="single" w:color="auto" w:sz="4" w:space="0"/>
            </w:tcBorders>
            <w:shd w:val="clear" w:color="auto" w:fill="auto"/>
            <w:vAlign w:val="center"/>
          </w:tcPr>
          <w:p w14:paraId="2EBC21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328C8F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9C7D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9F9F9E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19005F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AF3C12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13A631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color w:val="auto"/>
                <w:kern w:val="0"/>
                <w:sz w:val="21"/>
                <w:szCs w:val="21"/>
                <w:highlight w:val="none"/>
              </w:rPr>
            </w:pPr>
            <w:r>
              <w:rPr>
                <w:rFonts w:hint="eastAsia" w:eastAsiaTheme="minorEastAsia"/>
                <w:color w:val="auto"/>
                <w:kern w:val="0"/>
                <w:sz w:val="21"/>
                <w:szCs w:val="21"/>
                <w:highlight w:val="none"/>
              </w:rPr>
              <w:t>成都航天通信设备有限责任公司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520706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eastAsiaTheme="minorEastAsia"/>
                <w:color w:val="auto"/>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F8173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F485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FDF6E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2</w:t>
            </w:r>
          </w:p>
        </w:tc>
      </w:tr>
      <w:tr w14:paraId="47C8DD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667CC7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378A9C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成都华西海圻医药科技有限公司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44620CC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1536BD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A45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AEB67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0D2C97A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A6561C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0CEEF0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成都劳恩普斯科技有限公司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18F96D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4ED7AD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D521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FE140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19C6E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C08115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6703D7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成都千嘉科技股份有限公司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49796C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2AF41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BCD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EE433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45E24CD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A60AFF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28CB6B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成都市第三人民医院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A437A3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8E8CE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B994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E3F00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13</w:t>
            </w:r>
          </w:p>
        </w:tc>
      </w:tr>
      <w:tr w14:paraId="2D316FE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751520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2B7F85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kern w:val="0"/>
                <w:sz w:val="21"/>
                <w:szCs w:val="21"/>
                <w:highlight w:val="none"/>
              </w:rPr>
            </w:pPr>
            <w:r>
              <w:rPr>
                <w:rFonts w:hint="eastAsia" w:eastAsiaTheme="minorEastAsia"/>
                <w:kern w:val="0"/>
                <w:sz w:val="21"/>
                <w:szCs w:val="21"/>
                <w:highlight w:val="none"/>
              </w:rPr>
              <w:t>成都市龙泉驿区果技推广站</w:t>
            </w:r>
          </w:p>
        </w:tc>
        <w:tc>
          <w:tcPr>
            <w:tcW w:w="1332" w:type="dxa"/>
            <w:tcBorders>
              <w:top w:val="single" w:color="auto" w:sz="4" w:space="0"/>
              <w:left w:val="single" w:color="auto" w:sz="4" w:space="0"/>
              <w:bottom w:val="single" w:color="auto" w:sz="4" w:space="0"/>
              <w:right w:val="single" w:color="auto" w:sz="4" w:space="0"/>
            </w:tcBorders>
            <w:vAlign w:val="center"/>
          </w:tcPr>
          <w:p w14:paraId="2DE809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sz w:val="21"/>
                <w:szCs w:val="21"/>
                <w:highlight w:val="none"/>
                <w:lang w:val="en-US" w:eastAsia="zh-CN"/>
              </w:rPr>
            </w:pPr>
            <w:r>
              <w:rPr>
                <w:rFonts w:hint="eastAsia" w:eastAsiaTheme="minorEastAsia"/>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vAlign w:val="center"/>
          </w:tcPr>
          <w:p w14:paraId="7997EC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7B8A995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F525D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24F97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138718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6F0D8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成都市食品检验研究院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66F36F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7AD2E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5DB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8713D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1F18E6C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BEDCCD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3147580">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成都索贝数码科技股份有限公司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59A5544C">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hint="eastAsia" w:eastAsiaTheme="minorEastAsia"/>
                <w:kern w:val="0"/>
                <w:sz w:val="21"/>
                <w:szCs w:val="21"/>
                <w:highlight w:val="none"/>
                <w:lang w:eastAsia="zh-CN"/>
              </w:rPr>
            </w:pPr>
            <w:r>
              <w:rPr>
                <w:rFonts w:hint="eastAsia" w:eastAsiaTheme="minorEastAsia"/>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vAlign w:val="center"/>
          </w:tcPr>
          <w:p w14:paraId="77B33DE8">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622857E7">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0D0D20D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21D32C1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565EEB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92F8659">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eastAsiaTheme="minorEastAsia"/>
                <w:kern w:val="0"/>
                <w:sz w:val="21"/>
                <w:szCs w:val="21"/>
                <w:highlight w:val="none"/>
              </w:rPr>
              <w:t>成都体育学院附属体育医院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1E8D0457">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2B5AC3C8">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7B30206C">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12FB3FE8">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140D52C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935A74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C7572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eastAsiaTheme="minorEastAsia"/>
                <w:kern w:val="0"/>
                <w:sz w:val="21"/>
                <w:szCs w:val="21"/>
                <w:highlight w:val="none"/>
              </w:rPr>
            </w:pPr>
            <w:r>
              <w:rPr>
                <w:rFonts w:hint="eastAsia" w:eastAsiaTheme="minorEastAsia"/>
                <w:kern w:val="0"/>
                <w:sz w:val="21"/>
                <w:szCs w:val="21"/>
                <w:highlight w:val="none"/>
              </w:rPr>
              <w:t>成都天奥集团有限公司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7944BD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0A618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6DD6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4E12B5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6CFA40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9EA674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2198B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成都先导药物开发股份有限公司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012E36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Times New Roman" w:hAnsi="Times New Roman" w:cs="Times New Roman" w:eastAsiaTheme="minorEastAsia"/>
                <w:kern w:val="0"/>
                <w:sz w:val="21"/>
                <w:szCs w:val="21"/>
                <w:highlight w:val="none"/>
              </w:rPr>
            </w:pPr>
            <w:r>
              <w:rPr>
                <w:rFonts w:hint="eastAsia" w:ascii="Times New Roman" w:hAnsi="Times New Roman" w:cs="Times New Roman" w:eastAsiaTheme="minorEastAsia"/>
                <w:kern w:val="0"/>
                <w:sz w:val="21"/>
                <w:szCs w:val="21"/>
                <w:highlight w:val="none"/>
              </w:rPr>
              <w:t>外/合资企业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3F70C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92AC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515DAC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5</w:t>
            </w:r>
          </w:p>
        </w:tc>
      </w:tr>
      <w:tr w14:paraId="7A1961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06DB55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AC6D8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成都信息工程大学</w:t>
            </w:r>
          </w:p>
        </w:tc>
        <w:tc>
          <w:tcPr>
            <w:tcW w:w="1332" w:type="dxa"/>
            <w:tcBorders>
              <w:top w:val="single" w:color="auto" w:sz="4" w:space="0"/>
              <w:left w:val="nil"/>
              <w:bottom w:val="single" w:color="auto" w:sz="4" w:space="0"/>
              <w:right w:val="single" w:color="auto" w:sz="4" w:space="0"/>
            </w:tcBorders>
            <w:shd w:val="clear" w:color="auto" w:fill="auto"/>
            <w:vAlign w:val="center"/>
          </w:tcPr>
          <w:p w14:paraId="1F37E9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40087E0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B8864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1403FE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0118A7B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179295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153A0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eastAsia" w:ascii="Times New Roman" w:hAnsi="Times New Roman" w:cs="Times New Roman" w:eastAsiaTheme="minorEastAsia"/>
                <w:kern w:val="0"/>
                <w:sz w:val="21"/>
                <w:szCs w:val="21"/>
                <w:highlight w:val="none"/>
              </w:rPr>
            </w:pPr>
            <w:r>
              <w:rPr>
                <w:rFonts w:hint="eastAsia" w:ascii="Times New Roman" w:hAnsi="Times New Roman" w:cs="Times New Roman" w:eastAsiaTheme="minorEastAsia"/>
                <w:kern w:val="0"/>
                <w:sz w:val="21"/>
                <w:szCs w:val="21"/>
                <w:highlight w:val="none"/>
              </w:rPr>
              <w:t>成都振芯科技股份有限公司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01149F3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w:t>
            </w:r>
            <w:r>
              <w:rPr>
                <w:rFonts w:eastAsiaTheme="minorEastAsia"/>
                <w:kern w:val="0"/>
                <w:sz w:val="21"/>
                <w:szCs w:val="21"/>
                <w:highlight w:val="none"/>
              </w:rPr>
              <w:t>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B326E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517D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0DD4701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w:t>
            </w:r>
          </w:p>
        </w:tc>
      </w:tr>
      <w:tr w14:paraId="7B4DDF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F29780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1C52BD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东方电气风电股份有限公司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4D85AA9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038C36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35CC8D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hint="eastAsia" w:eastAsiaTheme="minorEastAsia"/>
                <w:kern w:val="0"/>
                <w:sz w:val="21"/>
                <w:szCs w:val="21"/>
                <w:highlight w:val="none"/>
                <w:lang w:val="en-US" w:eastAsia="zh-CN"/>
              </w:rPr>
              <w:t>成都、</w:t>
            </w:r>
            <w:r>
              <w:rPr>
                <w:rFonts w:eastAsiaTheme="minorEastAsia"/>
                <w:kern w:val="0"/>
                <w:sz w:val="21"/>
                <w:szCs w:val="21"/>
                <w:highlight w:val="none"/>
              </w:rPr>
              <w:t>德阳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042809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2D27E97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F0D846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7CC59B5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东方电气集团东方电机有限公司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6A10B3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75DBF7D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21C469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德阳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33C44A6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2DC9A3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5F43B0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46D5F26">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pacing w:val="-4"/>
                <w:sz w:val="21"/>
                <w:szCs w:val="21"/>
                <w:highlight w:val="none"/>
              </w:rPr>
            </w:pPr>
            <w:r>
              <w:rPr>
                <w:rFonts w:eastAsia="宋体"/>
                <w:spacing w:val="-4"/>
                <w:sz w:val="21"/>
                <w:szCs w:val="21"/>
                <w:highlight w:val="none"/>
              </w:rPr>
              <w:t>东方电气集团东方锅炉股份有限公司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260136AA">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24746A5F">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0236C3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自贡</w:t>
            </w:r>
          </w:p>
        </w:tc>
        <w:tc>
          <w:tcPr>
            <w:tcW w:w="909" w:type="dxa"/>
            <w:tcBorders>
              <w:top w:val="single" w:color="auto" w:sz="4" w:space="0"/>
              <w:left w:val="nil"/>
              <w:bottom w:val="single" w:color="auto" w:sz="4" w:space="0"/>
              <w:right w:val="single" w:color="auto" w:sz="4" w:space="0"/>
            </w:tcBorders>
            <w:shd w:val="clear" w:color="auto" w:fill="auto"/>
            <w:vAlign w:val="center"/>
          </w:tcPr>
          <w:p w14:paraId="1BED2EDC">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3</w:t>
            </w:r>
          </w:p>
        </w:tc>
      </w:tr>
      <w:tr w14:paraId="4A40837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A26505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F18E25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东方电气集团东方汽轮机有限公司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1431FF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B32F28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9A94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德阳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38F922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090AD4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B008CB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nil"/>
              <w:bottom w:val="single" w:color="auto" w:sz="4" w:space="0"/>
              <w:right w:val="nil"/>
            </w:tcBorders>
            <w:shd w:val="clear" w:color="auto" w:fill="auto"/>
            <w:vAlign w:val="center"/>
          </w:tcPr>
          <w:p w14:paraId="412F65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国网四川省电力公司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AE458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04A7E3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6423BC5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ED2C5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4</w:t>
            </w:r>
          </w:p>
        </w:tc>
      </w:tr>
      <w:tr w14:paraId="3409644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355D9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0D3E5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海天水务集团股份公司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2A1AA5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vAlign w:val="center"/>
          </w:tcPr>
          <w:p w14:paraId="0D2179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46D837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79E28D2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5</w:t>
            </w:r>
          </w:p>
        </w:tc>
      </w:tr>
      <w:tr w14:paraId="7070D79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AA9755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77F7FA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嘉华特种水泥股份有限公司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2406F15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FB358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70FA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乐山</w:t>
            </w:r>
          </w:p>
        </w:tc>
        <w:tc>
          <w:tcPr>
            <w:tcW w:w="909" w:type="dxa"/>
            <w:tcBorders>
              <w:top w:val="single" w:color="auto" w:sz="4" w:space="0"/>
              <w:left w:val="single" w:color="auto" w:sz="4" w:space="0"/>
              <w:bottom w:val="single" w:color="auto" w:sz="4" w:space="0"/>
              <w:right w:val="single" w:color="auto" w:sz="4" w:space="0"/>
            </w:tcBorders>
            <w:vAlign w:val="center"/>
          </w:tcPr>
          <w:p w14:paraId="5814C0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2E218E9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41158C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0FA406F">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hint="eastAsia" w:eastAsiaTheme="minorEastAsia"/>
                <w:kern w:val="0"/>
                <w:sz w:val="21"/>
                <w:szCs w:val="21"/>
                <w:highlight w:val="none"/>
              </w:rPr>
              <w:t>泸州老窖集团有限责任公司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6585DD04">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4F0C482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01498539">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泸州</w:t>
            </w:r>
          </w:p>
        </w:tc>
        <w:tc>
          <w:tcPr>
            <w:tcW w:w="909" w:type="dxa"/>
            <w:tcBorders>
              <w:top w:val="single" w:color="auto" w:sz="4" w:space="0"/>
              <w:left w:val="nil"/>
              <w:bottom w:val="single" w:color="auto" w:sz="4" w:space="0"/>
              <w:right w:val="single" w:color="auto" w:sz="4" w:space="0"/>
            </w:tcBorders>
            <w:shd w:val="clear" w:color="auto" w:fill="auto"/>
            <w:vAlign w:val="center"/>
          </w:tcPr>
          <w:p w14:paraId="3661DBB0">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9</w:t>
            </w:r>
          </w:p>
        </w:tc>
      </w:tr>
      <w:tr w14:paraId="0793AC5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356EA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143A22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泸州智通自动化设备有限公司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43D8B0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E883D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D214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泸州</w:t>
            </w:r>
          </w:p>
        </w:tc>
        <w:tc>
          <w:tcPr>
            <w:tcW w:w="909" w:type="dxa"/>
            <w:tcBorders>
              <w:top w:val="single" w:color="auto" w:sz="4" w:space="0"/>
              <w:left w:val="single" w:color="auto" w:sz="4" w:space="0"/>
              <w:bottom w:val="single" w:color="auto" w:sz="4" w:space="0"/>
              <w:right w:val="single" w:color="auto" w:sz="4" w:space="0"/>
            </w:tcBorders>
            <w:vAlign w:val="center"/>
          </w:tcPr>
          <w:p w14:paraId="51DBE1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4483B8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AE1D22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7ECED222">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绵阳京东方光电科技有限公司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460A598A">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247F38BF">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64E9221">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23AF04C1">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15FB82D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9DF36E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B83B2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绵阳市农业科学研究院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722A95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79DB7D5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E0F671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7638D6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036F57D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C5CF7F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1BA67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宋体"/>
                <w:sz w:val="21"/>
                <w:szCs w:val="21"/>
                <w:highlight w:val="none"/>
              </w:rPr>
            </w:pPr>
            <w:r>
              <w:rPr>
                <w:rFonts w:eastAsiaTheme="minorEastAsia"/>
                <w:kern w:val="0"/>
                <w:sz w:val="21"/>
                <w:szCs w:val="21"/>
                <w:highlight w:val="none"/>
              </w:rPr>
              <w:t>绵阳市中心医院</w:t>
            </w:r>
          </w:p>
        </w:tc>
        <w:tc>
          <w:tcPr>
            <w:tcW w:w="1332" w:type="dxa"/>
            <w:tcBorders>
              <w:top w:val="single" w:color="auto" w:sz="4" w:space="0"/>
              <w:left w:val="single" w:color="auto" w:sz="4" w:space="0"/>
              <w:bottom w:val="single" w:color="auto" w:sz="4" w:space="0"/>
              <w:right w:val="single" w:color="auto" w:sz="4" w:space="0"/>
            </w:tcBorders>
            <w:vAlign w:val="center"/>
          </w:tcPr>
          <w:p w14:paraId="50AD66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07EECB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B67BD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single" w:color="auto" w:sz="4" w:space="0"/>
              <w:bottom w:val="single" w:color="auto" w:sz="4" w:space="0"/>
              <w:right w:val="single" w:color="auto" w:sz="4" w:space="0"/>
            </w:tcBorders>
            <w:vAlign w:val="center"/>
          </w:tcPr>
          <w:p w14:paraId="776F2D7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11</w:t>
            </w:r>
          </w:p>
        </w:tc>
      </w:tr>
      <w:tr w14:paraId="1229524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FD8504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5920D1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攀钢集团有限公司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0DEDD1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D8A3D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BA1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攀枝花</w:t>
            </w:r>
          </w:p>
        </w:tc>
        <w:tc>
          <w:tcPr>
            <w:tcW w:w="909" w:type="dxa"/>
            <w:tcBorders>
              <w:top w:val="single" w:color="auto" w:sz="4" w:space="0"/>
              <w:left w:val="single" w:color="auto" w:sz="4" w:space="0"/>
              <w:bottom w:val="single" w:color="auto" w:sz="4" w:space="0"/>
              <w:right w:val="single" w:color="auto" w:sz="4" w:space="0"/>
            </w:tcBorders>
            <w:vAlign w:val="center"/>
          </w:tcPr>
          <w:p w14:paraId="12A3C9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20742C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4FC0CC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3AE8DE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清华四川能源互联网研究院</w:t>
            </w:r>
          </w:p>
        </w:tc>
        <w:tc>
          <w:tcPr>
            <w:tcW w:w="1332" w:type="dxa"/>
            <w:tcBorders>
              <w:top w:val="nil"/>
              <w:left w:val="single" w:color="auto" w:sz="4" w:space="0"/>
              <w:bottom w:val="single" w:color="auto" w:sz="4" w:space="0"/>
              <w:right w:val="single" w:color="auto" w:sz="4" w:space="0"/>
            </w:tcBorders>
            <w:shd w:val="clear" w:color="auto" w:fill="auto"/>
            <w:vAlign w:val="center"/>
          </w:tcPr>
          <w:p w14:paraId="7B5998F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AA5DC1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592C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E7492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3</w:t>
            </w:r>
          </w:p>
        </w:tc>
      </w:tr>
      <w:tr w14:paraId="2E291E4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ECE2CE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3995F6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四川百利药业有限责任公司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19599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sz w:val="21"/>
                <w:szCs w:val="21"/>
                <w:highlight w:val="none"/>
                <w:lang w:val="en-US" w:eastAsia="zh-CN"/>
              </w:rPr>
            </w:pPr>
            <w:r>
              <w:rPr>
                <w:rFonts w:hint="eastAsia" w:eastAsiaTheme="minorEastAsia"/>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734093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50B76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D9290E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7</w:t>
            </w:r>
          </w:p>
        </w:tc>
      </w:tr>
      <w:tr w14:paraId="26C9C42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8986C8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95B33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四川邦立重机有限责任公司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6FA43D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71B6C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EE90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泸州</w:t>
            </w:r>
          </w:p>
        </w:tc>
        <w:tc>
          <w:tcPr>
            <w:tcW w:w="909" w:type="dxa"/>
            <w:tcBorders>
              <w:top w:val="single" w:color="auto" w:sz="4" w:space="0"/>
              <w:left w:val="nil"/>
              <w:bottom w:val="single" w:color="auto" w:sz="4" w:space="0"/>
              <w:right w:val="single" w:color="auto" w:sz="4" w:space="0"/>
            </w:tcBorders>
            <w:shd w:val="clear" w:color="auto" w:fill="auto"/>
            <w:vAlign w:val="center"/>
          </w:tcPr>
          <w:p w14:paraId="0849D0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2D3E17C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E65C27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98518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四川东材科技集团股份有限公司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6F8ED4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Times New Roman" w:hAnsi="Times New Roman" w:cs="Times New Roman" w:eastAsiaTheme="minorEastAsia"/>
                <w:kern w:val="0"/>
                <w:sz w:val="21"/>
                <w:szCs w:val="21"/>
                <w:highlight w:val="none"/>
              </w:rPr>
            </w:pPr>
            <w:r>
              <w:rPr>
                <w:rFonts w:hint="eastAsia" w:ascii="Times New Roman" w:hAnsi="Times New Roman" w:cs="Times New Roman"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156DAE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A17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1BFA71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4D07165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16552D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B261D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四川航天烽火伺服控制技术有限公司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F8E88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AB917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3D5A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C78DD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5C6CFAC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49AC9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5459B0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四川航天燎原科技有限公司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522559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6C343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7C2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3123D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7D90048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F6C633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7A18F0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四川宏华石油设备有限公司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5AA0D6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2E794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599F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FB125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0B90FD5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9AD97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90334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四川华川工业股份有限公司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BC1D8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6E445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1A7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04E0E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10FE9BB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BEEDDF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66EF6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ascii="Times New Roman" w:hAnsi="Times New Roman" w:cs="Times New Roman" w:eastAsiaTheme="minorEastAsia"/>
                <w:kern w:val="0"/>
                <w:sz w:val="21"/>
                <w:szCs w:val="21"/>
                <w:highlight w:val="none"/>
              </w:rPr>
              <w:t>四川汇宇制药股份有限公司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EB2CF8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135BBD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8531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内江、成都</w:t>
            </w:r>
          </w:p>
        </w:tc>
        <w:tc>
          <w:tcPr>
            <w:tcW w:w="909" w:type="dxa"/>
            <w:tcBorders>
              <w:top w:val="single" w:color="auto" w:sz="4" w:space="0"/>
              <w:left w:val="single" w:color="auto" w:sz="4" w:space="0"/>
              <w:bottom w:val="single" w:color="auto" w:sz="4" w:space="0"/>
              <w:right w:val="single" w:color="auto" w:sz="4" w:space="0"/>
            </w:tcBorders>
            <w:vAlign w:val="center"/>
          </w:tcPr>
          <w:p w14:paraId="7743DCA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319181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AC2855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eastAsiaTheme="minorEastAsia"/>
                <w:b/>
                <w:bCs/>
                <w:kern w:val="0"/>
                <w:sz w:val="21"/>
                <w:szCs w:val="21"/>
                <w:lang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01E0C0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eastAsiaTheme="minorEastAsia"/>
                <w:kern w:val="0"/>
                <w:sz w:val="21"/>
                <w:szCs w:val="21"/>
                <w:highlight w:val="none"/>
              </w:rPr>
              <w:t>四川剑南春（集团）有限责任公司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59C25AA3">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vAlign w:val="center"/>
          </w:tcPr>
          <w:p w14:paraId="53EB6E4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A7A70DC">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绵竹</w:t>
            </w:r>
          </w:p>
        </w:tc>
        <w:tc>
          <w:tcPr>
            <w:tcW w:w="909" w:type="dxa"/>
            <w:tcBorders>
              <w:top w:val="single" w:color="auto" w:sz="4" w:space="0"/>
              <w:left w:val="nil"/>
              <w:bottom w:val="single" w:color="auto" w:sz="4" w:space="0"/>
              <w:right w:val="single" w:color="auto" w:sz="4" w:space="0"/>
            </w:tcBorders>
            <w:shd w:val="clear" w:color="auto" w:fill="auto"/>
            <w:vAlign w:val="center"/>
          </w:tcPr>
          <w:p w14:paraId="71A3E20C">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1A8790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CD2941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33F6B95B">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四川九洲投资控股集团有限公司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54C29E4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229EA3FF">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1BC7B6A">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53992306">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5</w:t>
            </w:r>
          </w:p>
        </w:tc>
      </w:tr>
      <w:tr w14:paraId="47BCFE7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487872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5746E2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四川科伦药业股份有限公司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3DF34F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0B1FD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14B19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4AE58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2C8482B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81B511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5ACD584">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四川灵通电讯有限公司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719B444C">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3C8162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7635312">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nil"/>
              <w:bottom w:val="single" w:color="auto" w:sz="4" w:space="0"/>
              <w:right w:val="single" w:color="auto" w:sz="4" w:space="0"/>
            </w:tcBorders>
            <w:shd w:val="clear" w:color="auto" w:fill="auto"/>
            <w:vAlign w:val="center"/>
          </w:tcPr>
          <w:p w14:paraId="4BCBA040">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1</w:t>
            </w:r>
          </w:p>
        </w:tc>
      </w:tr>
      <w:tr w14:paraId="0F1EAF8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B1B257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275891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四川普什宁江机床有限公司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A3387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F93E9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C278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都江堰</w:t>
            </w:r>
          </w:p>
        </w:tc>
        <w:tc>
          <w:tcPr>
            <w:tcW w:w="909" w:type="dxa"/>
            <w:tcBorders>
              <w:top w:val="single" w:color="auto" w:sz="4" w:space="0"/>
              <w:left w:val="single" w:color="auto" w:sz="4" w:space="0"/>
              <w:bottom w:val="single" w:color="auto" w:sz="4" w:space="0"/>
              <w:right w:val="single" w:color="auto" w:sz="4" w:space="0"/>
            </w:tcBorders>
            <w:vAlign w:val="center"/>
          </w:tcPr>
          <w:p w14:paraId="04C0F58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492EBB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A48BC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7B9FF0BA">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四川省安全科学技术研究院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3B58B57F">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6F28B503">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0F8752F4">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57E78A3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6</w:t>
            </w:r>
          </w:p>
        </w:tc>
      </w:tr>
      <w:tr w14:paraId="3A4F0FF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4662B0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132BE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四川省川威集团有限公司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C74CD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2A706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593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内江</w:t>
            </w:r>
          </w:p>
        </w:tc>
        <w:tc>
          <w:tcPr>
            <w:tcW w:w="909" w:type="dxa"/>
            <w:tcBorders>
              <w:top w:val="single" w:color="auto" w:sz="4" w:space="0"/>
              <w:left w:val="single" w:color="auto" w:sz="4" w:space="0"/>
              <w:bottom w:val="single" w:color="auto" w:sz="4" w:space="0"/>
              <w:right w:val="single" w:color="auto" w:sz="4" w:space="0"/>
            </w:tcBorders>
            <w:vAlign w:val="center"/>
          </w:tcPr>
          <w:p w14:paraId="1CDC41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4AB831E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B0222E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3F6CE9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cs="Times New Roman" w:eastAsiaTheme="minorEastAsia"/>
                <w:kern w:val="0"/>
                <w:sz w:val="21"/>
                <w:szCs w:val="21"/>
                <w:highlight w:val="none"/>
                <w:lang w:val="en-US" w:eastAsia="zh-CN"/>
              </w:rPr>
            </w:pPr>
            <w:r>
              <w:rPr>
                <w:rFonts w:eastAsiaTheme="minorEastAsia"/>
                <w:kern w:val="0"/>
                <w:sz w:val="21"/>
                <w:szCs w:val="21"/>
                <w:highlight w:val="none"/>
              </w:rPr>
              <w:t>四川省妇幼保健院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7E330F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6B72A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sz w:val="21"/>
                <w:szCs w:val="21"/>
                <w:highlight w:val="none"/>
                <w:lang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F68C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272C0B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eastAsiaTheme="minorEastAsia"/>
                <w:kern w:val="0"/>
                <w:sz w:val="21"/>
                <w:szCs w:val="21"/>
                <w:highlight w:val="none"/>
              </w:rPr>
              <w:t>4</w:t>
            </w:r>
          </w:p>
        </w:tc>
      </w:tr>
      <w:tr w14:paraId="2151C48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234D1C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16611E0">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eastAsiaTheme="minorEastAsia"/>
                <w:kern w:val="0"/>
                <w:sz w:val="21"/>
                <w:szCs w:val="21"/>
                <w:highlight w:val="none"/>
              </w:rPr>
              <w:t>四川省公路规划勘察设计研究院有限公司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7CC59E3F">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4A0A7F77">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528FC02">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3A38BF8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6</w:t>
            </w:r>
          </w:p>
        </w:tc>
      </w:tr>
      <w:tr w14:paraId="71B47E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28B25A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4FE56B5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cs="Times New Roman" w:eastAsiaTheme="minorEastAsia"/>
                <w:kern w:val="0"/>
                <w:sz w:val="21"/>
                <w:szCs w:val="21"/>
                <w:highlight w:val="none"/>
                <w:lang w:val="en-US" w:eastAsia="zh-CN" w:bidi="ar-SA"/>
              </w:rPr>
            </w:pPr>
            <w:r>
              <w:rPr>
                <w:rFonts w:eastAsia="宋体"/>
                <w:sz w:val="21"/>
                <w:szCs w:val="21"/>
                <w:highlight w:val="none"/>
              </w:rPr>
              <w:t>四川省建筑设计研究院有限公司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6B583CB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511B7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992DD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A29CA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3</w:t>
            </w:r>
          </w:p>
        </w:tc>
      </w:tr>
      <w:tr w14:paraId="33B6DB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5B880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01AAFCD">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四川省农业科学院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58046F7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78A0715C">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462076A">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00FCD53E">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5</w:t>
            </w:r>
          </w:p>
        </w:tc>
      </w:tr>
      <w:tr w14:paraId="1FA5CF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1DF71C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5274873">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四川省社会科学院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57F22593">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34D8FDD9">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DA9162E">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7FEFB21A">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3EC45E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E8A296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CA07283">
            <w:pPr>
              <w:pStyle w:val="5"/>
              <w:keepNext w:val="0"/>
              <w:keepLines w:val="0"/>
              <w:pageBreakBefore w:val="0"/>
              <w:kinsoku/>
              <w:wordWrap/>
              <w:overflowPunct/>
              <w:topLinePunct w:val="0"/>
              <w:autoSpaceDE/>
              <w:autoSpaceDN/>
              <w:bidi w:val="0"/>
              <w:adjustRightInd w:val="0"/>
              <w:snapToGrid w:val="0"/>
              <w:spacing w:line="240" w:lineRule="auto"/>
              <w:ind w:firstLine="0"/>
              <w:jc w:val="left"/>
              <w:textAlignment w:val="auto"/>
              <w:rPr>
                <w:rFonts w:eastAsiaTheme="minorEastAsia"/>
                <w:kern w:val="0"/>
                <w:sz w:val="21"/>
                <w:szCs w:val="21"/>
                <w:highlight w:val="none"/>
              </w:rPr>
            </w:pPr>
            <w:r>
              <w:rPr>
                <w:rFonts w:eastAsia="宋体"/>
                <w:sz w:val="21"/>
                <w:szCs w:val="21"/>
                <w:highlight w:val="none"/>
              </w:rPr>
              <w:t>四川省文物考古研究院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0AC8C395">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267523DE">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3FEEED43">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481CFC76">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3</w:t>
            </w:r>
          </w:p>
        </w:tc>
      </w:tr>
      <w:tr w14:paraId="2740834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1C4D0D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eastAsiaTheme="minorEastAsia"/>
                <w:b/>
                <w:bCs/>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7424B0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宋体"/>
                <w:sz w:val="21"/>
                <w:szCs w:val="21"/>
                <w:highlight w:val="none"/>
              </w:rPr>
            </w:pPr>
            <w:r>
              <w:rPr>
                <w:rFonts w:hint="eastAsia" w:eastAsiaTheme="minorEastAsia"/>
                <w:kern w:val="0"/>
                <w:sz w:val="21"/>
                <w:szCs w:val="21"/>
                <w:highlight w:val="none"/>
              </w:rPr>
              <w:t>四川省医学科学院·四川省人民医院</w:t>
            </w:r>
          </w:p>
        </w:tc>
        <w:tc>
          <w:tcPr>
            <w:tcW w:w="1332" w:type="dxa"/>
            <w:tcBorders>
              <w:top w:val="nil"/>
              <w:left w:val="single" w:color="auto" w:sz="4" w:space="0"/>
              <w:bottom w:val="single" w:color="auto" w:sz="4" w:space="0"/>
              <w:right w:val="single" w:color="auto" w:sz="4" w:space="0"/>
            </w:tcBorders>
            <w:vAlign w:val="center"/>
          </w:tcPr>
          <w:p w14:paraId="5907D6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02DA01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3AE390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DA582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60</w:t>
            </w:r>
          </w:p>
        </w:tc>
      </w:tr>
      <w:tr w14:paraId="6FB8092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F27AE3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46AB2C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both"/>
              <w:textAlignment w:val="auto"/>
              <w:rPr>
                <w:rFonts w:eastAsiaTheme="minorEastAsia"/>
                <w:kern w:val="0"/>
                <w:sz w:val="21"/>
                <w:szCs w:val="21"/>
                <w:highlight w:val="none"/>
              </w:rPr>
            </w:pPr>
            <w:r>
              <w:rPr>
                <w:rFonts w:hint="eastAsia" w:eastAsiaTheme="minorEastAsia"/>
                <w:kern w:val="0"/>
                <w:sz w:val="21"/>
                <w:szCs w:val="21"/>
                <w:highlight w:val="none"/>
              </w:rPr>
              <w:t>四川省宜宾五粮液集团有限公司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187FF0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4A41C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B6F07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宜宾</w:t>
            </w:r>
          </w:p>
        </w:tc>
        <w:tc>
          <w:tcPr>
            <w:tcW w:w="909" w:type="dxa"/>
            <w:tcBorders>
              <w:top w:val="single" w:color="auto" w:sz="4" w:space="0"/>
              <w:left w:val="nil"/>
              <w:bottom w:val="single" w:color="auto" w:sz="4" w:space="0"/>
              <w:right w:val="single" w:color="auto" w:sz="4" w:space="0"/>
            </w:tcBorders>
            <w:shd w:val="clear" w:color="auto" w:fill="auto"/>
            <w:vAlign w:val="center"/>
          </w:tcPr>
          <w:p w14:paraId="380C98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08B06B8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199D3F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38171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四川省有色科技集团有限责任公司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80D3D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0595E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C2A0F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A3B53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6BA065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566894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48AD85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四川省肿瘤医院</w:t>
            </w:r>
          </w:p>
        </w:tc>
        <w:tc>
          <w:tcPr>
            <w:tcW w:w="1332" w:type="dxa"/>
            <w:tcBorders>
              <w:top w:val="nil"/>
              <w:left w:val="single" w:color="auto" w:sz="4" w:space="0"/>
              <w:bottom w:val="single" w:color="auto" w:sz="4" w:space="0"/>
              <w:right w:val="single" w:color="auto" w:sz="4" w:space="0"/>
            </w:tcBorders>
            <w:shd w:val="clear" w:color="auto" w:fill="auto"/>
            <w:vAlign w:val="center"/>
          </w:tcPr>
          <w:p w14:paraId="73FDF2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1D072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87A5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2768E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36</w:t>
            </w:r>
          </w:p>
        </w:tc>
      </w:tr>
      <w:tr w14:paraId="5F50D59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828D28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E9D82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四川特驱农牧科技集团有限公司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8B025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A8019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038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3B0E8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752C9D7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8D47EE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659650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四川英创力电子科技股份有限公司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078C67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8B8B4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0469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遂宁</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2B3CF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1</w:t>
            </w:r>
          </w:p>
        </w:tc>
      </w:tr>
      <w:tr w14:paraId="616F6F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FC502B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18A707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太行国家实验室</w:t>
            </w:r>
          </w:p>
        </w:tc>
        <w:tc>
          <w:tcPr>
            <w:tcW w:w="1332" w:type="dxa"/>
            <w:tcBorders>
              <w:top w:val="nil"/>
              <w:left w:val="single" w:color="auto" w:sz="4" w:space="0"/>
              <w:bottom w:val="single" w:color="auto" w:sz="4" w:space="0"/>
              <w:right w:val="single" w:color="auto" w:sz="4" w:space="0"/>
            </w:tcBorders>
            <w:shd w:val="clear" w:color="auto" w:fill="auto"/>
            <w:vAlign w:val="center"/>
          </w:tcPr>
          <w:p w14:paraId="05F9FF9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0D8CE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10D23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5D0DD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若干</w:t>
            </w:r>
          </w:p>
        </w:tc>
      </w:tr>
      <w:tr w14:paraId="6210C2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5E1AC5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CB7E49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天府兴隆湖实验室</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7ED454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FB075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BBFB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05D5DF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10</w:t>
            </w:r>
          </w:p>
        </w:tc>
      </w:tr>
      <w:tr w14:paraId="3A96B7D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504FFE5">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DBBB4D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西南医科大学附属医院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194E42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71E23D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8438B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泸州</w:t>
            </w:r>
          </w:p>
        </w:tc>
        <w:tc>
          <w:tcPr>
            <w:tcW w:w="909" w:type="dxa"/>
            <w:tcBorders>
              <w:top w:val="single" w:color="auto" w:sz="4" w:space="0"/>
              <w:left w:val="nil"/>
              <w:bottom w:val="single" w:color="auto" w:sz="4" w:space="0"/>
              <w:right w:val="single" w:color="auto" w:sz="4" w:space="0"/>
            </w:tcBorders>
            <w:shd w:val="clear" w:color="auto" w:fill="auto"/>
            <w:vAlign w:val="center"/>
          </w:tcPr>
          <w:p w14:paraId="3A8B00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58</w:t>
            </w:r>
          </w:p>
        </w:tc>
      </w:tr>
      <w:tr w14:paraId="6091979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2DFC36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0A022F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西南医科大学附属中医医院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488EF1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0755D9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5E932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泸州</w:t>
            </w:r>
          </w:p>
        </w:tc>
        <w:tc>
          <w:tcPr>
            <w:tcW w:w="909" w:type="dxa"/>
            <w:tcBorders>
              <w:top w:val="single" w:color="auto" w:sz="4" w:space="0"/>
              <w:left w:val="nil"/>
              <w:bottom w:val="single" w:color="auto" w:sz="4" w:space="0"/>
              <w:right w:val="single" w:color="auto" w:sz="4" w:space="0"/>
            </w:tcBorders>
            <w:shd w:val="clear" w:color="auto" w:fill="auto"/>
            <w:vAlign w:val="center"/>
          </w:tcPr>
          <w:p w14:paraId="3F2E53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19</w:t>
            </w:r>
          </w:p>
        </w:tc>
      </w:tr>
      <w:tr w14:paraId="0AFC3DC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818015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eastAsiaTheme="minorEastAsia"/>
                <w:b/>
                <w:bCs/>
                <w:kern w:val="0"/>
                <w:sz w:val="21"/>
                <w:szCs w:val="21"/>
                <w:lang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A8010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西南医科大学心血管医学研究所</w:t>
            </w:r>
          </w:p>
        </w:tc>
        <w:tc>
          <w:tcPr>
            <w:tcW w:w="1332" w:type="dxa"/>
            <w:tcBorders>
              <w:top w:val="single" w:color="auto" w:sz="4" w:space="0"/>
              <w:left w:val="nil"/>
              <w:bottom w:val="single" w:color="auto" w:sz="4" w:space="0"/>
              <w:right w:val="single" w:color="auto" w:sz="4" w:space="0"/>
            </w:tcBorders>
            <w:shd w:val="clear" w:color="auto" w:fill="auto"/>
            <w:vAlign w:val="center"/>
          </w:tcPr>
          <w:p w14:paraId="303552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2988FCD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5622F7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泸州</w:t>
            </w:r>
          </w:p>
        </w:tc>
        <w:tc>
          <w:tcPr>
            <w:tcW w:w="909" w:type="dxa"/>
            <w:tcBorders>
              <w:top w:val="single" w:color="auto" w:sz="4" w:space="0"/>
              <w:left w:val="nil"/>
              <w:bottom w:val="single" w:color="auto" w:sz="4" w:space="0"/>
              <w:right w:val="single" w:color="auto" w:sz="4" w:space="0"/>
            </w:tcBorders>
            <w:shd w:val="clear" w:color="auto" w:fill="auto"/>
            <w:vAlign w:val="center"/>
          </w:tcPr>
          <w:p w14:paraId="22FB32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32</w:t>
            </w:r>
          </w:p>
        </w:tc>
      </w:tr>
      <w:tr w14:paraId="30D194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4017BE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eastAsiaTheme="minorEastAsia"/>
                <w:b w:val="0"/>
                <w:bCs w:val="0"/>
                <w:kern w:val="0"/>
                <w:sz w:val="21"/>
                <w:szCs w:val="21"/>
                <w:lang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1906C0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新华文轩出版传媒股份有限公司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287BCD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5BADB9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2E5ECB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3EB4F2C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9</w:t>
            </w:r>
          </w:p>
        </w:tc>
      </w:tr>
      <w:tr w14:paraId="6CE92A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17C7E0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5C1983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新希望六和股份有限公司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61A09CC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AD3E84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EB582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绵阳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7E8FF2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447102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A8A346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7F139A7">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兴储世纪科技股份有限公司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156E523F">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vAlign w:val="center"/>
          </w:tcPr>
          <w:p w14:paraId="7CC77B4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9F9BCC8">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自贡</w:t>
            </w:r>
          </w:p>
        </w:tc>
        <w:tc>
          <w:tcPr>
            <w:tcW w:w="909" w:type="dxa"/>
            <w:tcBorders>
              <w:top w:val="single" w:color="auto" w:sz="4" w:space="0"/>
              <w:left w:val="nil"/>
              <w:bottom w:val="single" w:color="auto" w:sz="4" w:space="0"/>
              <w:right w:val="single" w:color="auto" w:sz="4" w:space="0"/>
            </w:tcBorders>
            <w:shd w:val="clear" w:color="auto" w:fill="auto"/>
            <w:vAlign w:val="center"/>
          </w:tcPr>
          <w:p w14:paraId="298C412E">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2</w:t>
            </w:r>
          </w:p>
        </w:tc>
      </w:tr>
      <w:tr w14:paraId="2FC14A9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E8A974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725F7A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kern w:val="0"/>
                <w:sz w:val="21"/>
                <w:szCs w:val="21"/>
                <w:highlight w:val="none"/>
              </w:rPr>
            </w:pPr>
            <w:r>
              <w:rPr>
                <w:rFonts w:hint="eastAsia" w:eastAsiaTheme="minorEastAsia"/>
                <w:kern w:val="0"/>
                <w:sz w:val="21"/>
                <w:szCs w:val="21"/>
                <w:highlight w:val="none"/>
              </w:rPr>
              <w:t>雅砻江流域水电开发有限公司</w:t>
            </w:r>
          </w:p>
        </w:tc>
        <w:tc>
          <w:tcPr>
            <w:tcW w:w="1332" w:type="dxa"/>
            <w:tcBorders>
              <w:top w:val="nil"/>
              <w:left w:val="single" w:color="auto" w:sz="4" w:space="0"/>
              <w:bottom w:val="single" w:color="auto" w:sz="4" w:space="0"/>
              <w:right w:val="single" w:color="auto" w:sz="4" w:space="0"/>
            </w:tcBorders>
            <w:vAlign w:val="center"/>
          </w:tcPr>
          <w:p w14:paraId="466D154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sz w:val="21"/>
                <w:szCs w:val="21"/>
                <w:highlight w:val="none"/>
                <w:lang w:val="en-US" w:eastAsia="zh-CN"/>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BAE21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6E1053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E5393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1B0E92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DA0119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eastAsiaTheme="minorEastAsia"/>
                <w:b/>
                <w:bCs/>
                <w:kern w:val="0"/>
                <w:sz w:val="21"/>
                <w:szCs w:val="21"/>
                <w:lang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DB9BFAD">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eastAsiaTheme="minorEastAsia"/>
                <w:kern w:val="0"/>
                <w:sz w:val="21"/>
                <w:szCs w:val="21"/>
                <w:highlight w:val="none"/>
              </w:rPr>
              <w:t>宜宾丝丽雅集团有限公司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43B1381E">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6D456FDE">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260F9320">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宜宾</w:t>
            </w:r>
          </w:p>
        </w:tc>
        <w:tc>
          <w:tcPr>
            <w:tcW w:w="909" w:type="dxa"/>
            <w:tcBorders>
              <w:top w:val="single" w:color="auto" w:sz="4" w:space="0"/>
              <w:left w:val="nil"/>
              <w:bottom w:val="single" w:color="auto" w:sz="4" w:space="0"/>
              <w:right w:val="single" w:color="auto" w:sz="4" w:space="0"/>
            </w:tcBorders>
            <w:shd w:val="clear" w:color="auto" w:fill="auto"/>
            <w:vAlign w:val="center"/>
          </w:tcPr>
          <w:p w14:paraId="6EDCBDE4">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10</w:t>
            </w:r>
          </w:p>
        </w:tc>
      </w:tr>
      <w:tr w14:paraId="163A9C6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3FECBC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7479771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应急管理部四川消防研究所</w:t>
            </w:r>
          </w:p>
        </w:tc>
        <w:tc>
          <w:tcPr>
            <w:tcW w:w="1332" w:type="dxa"/>
            <w:tcBorders>
              <w:top w:val="nil"/>
              <w:left w:val="single" w:color="auto" w:sz="4" w:space="0"/>
              <w:bottom w:val="single" w:color="auto" w:sz="4" w:space="0"/>
              <w:right w:val="single" w:color="auto" w:sz="4" w:space="0"/>
            </w:tcBorders>
            <w:shd w:val="clear" w:color="auto" w:fill="auto"/>
            <w:vAlign w:val="center"/>
          </w:tcPr>
          <w:p w14:paraId="0A6756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26C6D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3CE0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0AA02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0A17B66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F1BF03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B8FFA8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中储粮成都储藏研究院有限公司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0641DD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5C5E0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2275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276119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03A8365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222786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9E4BD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中电科网络安全科技股份有限公司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C70B3A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7ADEF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0E57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6F1F85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4FB93A2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530619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4154EA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中国兵器装备集团自动化研究所有限公司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36CFC23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F9179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71C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绵阳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96D4FA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11BAE59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91A437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E37EF5D">
            <w:pPr>
              <w:keepNext w:val="0"/>
              <w:keepLines w:val="0"/>
              <w:pageBreakBefore w:val="0"/>
              <w:kinsoku/>
              <w:wordWrap/>
              <w:overflowPunct/>
              <w:topLinePunct w:val="0"/>
              <w:autoSpaceDE/>
              <w:autoSpaceDN/>
              <w:bidi w:val="0"/>
              <w:adjustRightInd w:val="0"/>
              <w:snapToGrid w:val="0"/>
              <w:spacing w:line="240" w:lineRule="auto"/>
              <w:ind w:firstLine="0"/>
              <w:textAlignment w:val="auto"/>
              <w:rPr>
                <w:rFonts w:eastAsia="宋体"/>
                <w:sz w:val="21"/>
                <w:szCs w:val="21"/>
                <w:highlight w:val="none"/>
              </w:rPr>
            </w:pPr>
            <w:r>
              <w:rPr>
                <w:rFonts w:eastAsia="宋体"/>
                <w:sz w:val="21"/>
                <w:szCs w:val="21"/>
                <w:highlight w:val="none"/>
              </w:rPr>
              <w:t>中国测试技术研究院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6B2E2039">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77727F35">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933C4DF">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7D6E6BCE">
            <w:pPr>
              <w:pStyle w:val="5"/>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2</w:t>
            </w:r>
          </w:p>
        </w:tc>
      </w:tr>
      <w:tr w14:paraId="16FE99C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D013AA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DB58FD5">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left"/>
              <w:textAlignment w:val="auto"/>
              <w:rPr>
                <w:rFonts w:eastAsiaTheme="minorEastAsia"/>
                <w:kern w:val="0"/>
                <w:sz w:val="21"/>
                <w:szCs w:val="21"/>
                <w:highlight w:val="none"/>
              </w:rPr>
            </w:pPr>
            <w:r>
              <w:rPr>
                <w:rFonts w:eastAsiaTheme="minorEastAsia"/>
                <w:kern w:val="0"/>
                <w:sz w:val="21"/>
                <w:szCs w:val="21"/>
                <w:highlight w:val="none"/>
              </w:rPr>
              <w:t>中国地质调查局成都地质调查中心</w:t>
            </w:r>
          </w:p>
        </w:tc>
        <w:tc>
          <w:tcPr>
            <w:tcW w:w="1332" w:type="dxa"/>
            <w:tcBorders>
              <w:top w:val="single" w:color="auto" w:sz="4" w:space="0"/>
              <w:left w:val="nil"/>
              <w:bottom w:val="single" w:color="auto" w:sz="4" w:space="0"/>
              <w:right w:val="single" w:color="auto" w:sz="4" w:space="0"/>
            </w:tcBorders>
            <w:shd w:val="clear" w:color="auto" w:fill="auto"/>
            <w:vAlign w:val="center"/>
          </w:tcPr>
          <w:p w14:paraId="571AAAC4">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1C133470">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B27BB29">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65DBE991">
            <w:pPr>
              <w:keepNext w:val="0"/>
              <w:keepLines w:val="0"/>
              <w:pageBreakBefore w:val="0"/>
              <w:widowControl/>
              <w:kinsoku/>
              <w:wordWrap/>
              <w:overflowPunct/>
              <w:topLinePunct w:val="0"/>
              <w:autoSpaceDE/>
              <w:autoSpaceDN/>
              <w:bidi w:val="0"/>
              <w:adjustRightInd w:val="0"/>
              <w:snapToGrid w:val="0"/>
              <w:spacing w:line="240" w:lineRule="auto"/>
              <w:ind w:left="-64" w:leftChars="-20" w:right="-64" w:rightChars="-2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4</w:t>
            </w:r>
          </w:p>
        </w:tc>
      </w:tr>
      <w:tr w14:paraId="4406284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222F15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159B474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中国第二重型机械集团有限公司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78A7EA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AFF51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8D8A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德阳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D460D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3808A55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76E03A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7D5C2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中国电工程顾问集团西南电力设计院有限公司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85C7E2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CC920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D2A7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FA0B5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19</w:t>
            </w:r>
          </w:p>
        </w:tc>
      </w:tr>
      <w:tr w14:paraId="079103D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A5FEA3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7B084D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中国电建集团成都勘测设计研究院有限公司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1EA561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4EF95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CF6A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447FD8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60</w:t>
            </w:r>
          </w:p>
        </w:tc>
      </w:tr>
      <w:tr w14:paraId="60529C7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102AB6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0D57EE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中国电子科技集团公司第二十九研究所</w:t>
            </w:r>
          </w:p>
        </w:tc>
        <w:tc>
          <w:tcPr>
            <w:tcW w:w="1332" w:type="dxa"/>
            <w:tcBorders>
              <w:top w:val="nil"/>
              <w:left w:val="single" w:color="auto" w:sz="4" w:space="0"/>
              <w:bottom w:val="single" w:color="auto" w:sz="4" w:space="0"/>
              <w:right w:val="single" w:color="auto" w:sz="4" w:space="0"/>
            </w:tcBorders>
            <w:shd w:val="clear" w:color="auto" w:fill="auto"/>
            <w:vAlign w:val="center"/>
          </w:tcPr>
          <w:p w14:paraId="74A61B2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3B6BC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028F5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BB1CD7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若干</w:t>
            </w:r>
          </w:p>
        </w:tc>
      </w:tr>
      <w:tr w14:paraId="20FB637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49247E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5B5DA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中国电子科技网络信息安全有限公司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7063F1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4FDF90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1DBBBFE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17BEF8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12</w:t>
            </w:r>
          </w:p>
        </w:tc>
      </w:tr>
      <w:tr w14:paraId="476378F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22578F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5FBFD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中国航发四川燃气涡轮研究院</w:t>
            </w:r>
          </w:p>
        </w:tc>
        <w:tc>
          <w:tcPr>
            <w:tcW w:w="1332" w:type="dxa"/>
            <w:tcBorders>
              <w:top w:val="single" w:color="auto" w:sz="4" w:space="0"/>
              <w:left w:val="nil"/>
              <w:bottom w:val="single" w:color="auto" w:sz="4" w:space="0"/>
              <w:right w:val="single" w:color="auto" w:sz="4" w:space="0"/>
            </w:tcBorders>
            <w:shd w:val="clear" w:color="auto" w:fill="auto"/>
            <w:vAlign w:val="center"/>
          </w:tcPr>
          <w:p w14:paraId="2AFD07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E7548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42AD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06235D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2</w:t>
            </w:r>
          </w:p>
        </w:tc>
      </w:tr>
      <w:tr w14:paraId="4BFC882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E37D3B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03FFE85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中国航空工业集团公司成都飞机设计研究所</w:t>
            </w:r>
          </w:p>
        </w:tc>
        <w:tc>
          <w:tcPr>
            <w:tcW w:w="1332" w:type="dxa"/>
            <w:tcBorders>
              <w:top w:val="nil"/>
              <w:left w:val="single" w:color="auto" w:sz="4" w:space="0"/>
              <w:bottom w:val="single" w:color="auto" w:sz="4" w:space="0"/>
              <w:right w:val="single" w:color="auto" w:sz="4" w:space="0"/>
            </w:tcBorders>
            <w:shd w:val="clear" w:color="auto" w:fill="auto"/>
            <w:vAlign w:val="center"/>
          </w:tcPr>
          <w:p w14:paraId="77F1B7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sz w:val="21"/>
                <w:szCs w:val="21"/>
                <w:highlight w:val="none"/>
                <w:lang w:val="en-US" w:eastAsia="zh-CN"/>
              </w:rPr>
            </w:pPr>
            <w:r>
              <w:rPr>
                <w:rFonts w:hint="eastAsia" w:eastAsiaTheme="minorEastAsia"/>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0DA9B3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D011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0A67B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07C8A3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D6DDF6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1994938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eastAsia" w:ascii="Times New Roman" w:hAnsi="Times New Roman" w:cs="Times New Roman" w:eastAsiaTheme="minorEastAsia"/>
                <w:kern w:val="0"/>
                <w:sz w:val="21"/>
                <w:szCs w:val="21"/>
                <w:highlight w:val="none"/>
              </w:rPr>
            </w:pPr>
            <w:r>
              <w:rPr>
                <w:rFonts w:hint="eastAsia" w:ascii="Times New Roman" w:hAnsi="Times New Roman" w:cs="Times New Roman" w:eastAsiaTheme="minorEastAsia"/>
                <w:kern w:val="0"/>
                <w:sz w:val="21"/>
                <w:szCs w:val="21"/>
                <w:highlight w:val="none"/>
              </w:rPr>
              <w:t>中国石油化工股份有限公司西南油气分公司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149DAAE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712992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AF56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7949B1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29</w:t>
            </w:r>
          </w:p>
        </w:tc>
      </w:tr>
      <w:tr w14:paraId="0EA1981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11FB31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vAlign w:val="center"/>
          </w:tcPr>
          <w:p w14:paraId="1B19D8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中国石油集团川庆钻探工程有限公司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1193FFF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16213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116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57B0F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7</w:t>
            </w:r>
          </w:p>
        </w:tc>
      </w:tr>
      <w:tr w14:paraId="09453DE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C3ECC3F">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0D7B5B40">
            <w:pPr>
              <w:widowControl/>
              <w:adjustRightInd w:val="0"/>
              <w:snapToGrid w:val="0"/>
              <w:spacing w:line="240" w:lineRule="auto"/>
              <w:ind w:left="-64" w:leftChars="-20" w:right="-64" w:rightChars="-20" w:firstLine="0"/>
              <w:jc w:val="left"/>
              <w:rPr>
                <w:rFonts w:hint="eastAsia" w:eastAsiaTheme="minorEastAsia"/>
                <w:kern w:val="0"/>
                <w:sz w:val="21"/>
                <w:szCs w:val="21"/>
                <w:highlight w:val="none"/>
              </w:rPr>
            </w:pPr>
            <w:r>
              <w:rPr>
                <w:rFonts w:hint="eastAsia" w:ascii="Times New Roman" w:hAnsi="Times New Roman" w:cs="Times New Roman" w:eastAsiaTheme="minorEastAsia"/>
                <w:kern w:val="0"/>
                <w:sz w:val="21"/>
                <w:szCs w:val="21"/>
                <w:highlight w:val="none"/>
              </w:rPr>
              <w:t>中国石油四川石油管理局西南油气田分公司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28F769A0">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803B0BA">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3D88EF">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253A46CA">
            <w:pPr>
              <w:widowControl/>
              <w:adjustRightInd w:val="0"/>
              <w:snapToGrid w:val="0"/>
              <w:spacing w:line="240" w:lineRule="auto"/>
              <w:ind w:left="-64" w:leftChars="-20" w:right="-64" w:rightChars="-20" w:firstLine="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17</w:t>
            </w:r>
          </w:p>
        </w:tc>
      </w:tr>
      <w:tr w14:paraId="06AAD17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FA938C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289E71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both"/>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中国市政工程西南设计研究总院有限公司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57FBC3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57492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F3C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5CC02F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1</w:t>
            </w:r>
          </w:p>
        </w:tc>
      </w:tr>
      <w:tr w14:paraId="2ADC52B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BA8F4E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21FAB2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color w:val="auto"/>
                <w:kern w:val="0"/>
                <w:sz w:val="21"/>
                <w:szCs w:val="21"/>
                <w:highlight w:val="none"/>
              </w:rPr>
            </w:pPr>
            <w:r>
              <w:rPr>
                <w:rFonts w:eastAsiaTheme="minorEastAsia"/>
                <w:color w:val="auto"/>
                <w:kern w:val="0"/>
                <w:sz w:val="21"/>
                <w:szCs w:val="21"/>
                <w:highlight w:val="none"/>
              </w:rPr>
              <w:t>中昊黑元化工研究设计院有限公司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75E1BC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639082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2C0AD5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nil"/>
              <w:bottom w:val="single" w:color="auto" w:sz="4" w:space="0"/>
              <w:right w:val="single" w:color="auto" w:sz="4" w:space="0"/>
            </w:tcBorders>
            <w:shd w:val="clear" w:color="auto" w:fill="auto"/>
            <w:vAlign w:val="center"/>
          </w:tcPr>
          <w:p w14:paraId="5F2139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3</w:t>
            </w:r>
          </w:p>
        </w:tc>
      </w:tr>
      <w:tr w14:paraId="073E2BC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291F97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20A4A6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eastAsiaTheme="minorEastAsia"/>
                <w:kern w:val="0"/>
                <w:sz w:val="21"/>
                <w:szCs w:val="21"/>
                <w:highlight w:val="none"/>
              </w:rPr>
            </w:pPr>
            <w:r>
              <w:rPr>
                <w:rFonts w:hint="eastAsia" w:eastAsiaTheme="minorEastAsia"/>
                <w:kern w:val="0"/>
                <w:sz w:val="21"/>
                <w:szCs w:val="21"/>
                <w:highlight w:val="none"/>
              </w:rPr>
              <w:t>中蓝晨光化工研究设计院有限公司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44A6D1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B409C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810C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3B1C19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70F469D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138C99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C01D2D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rPr>
            </w:pPr>
            <w:r>
              <w:rPr>
                <w:rFonts w:hint="eastAsia" w:eastAsiaTheme="minorEastAsia"/>
                <w:kern w:val="0"/>
                <w:sz w:val="21"/>
                <w:szCs w:val="21"/>
                <w:highlight w:val="none"/>
              </w:rPr>
              <w:t>中密控股股份有限公司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81BFD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51CD8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F5C2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3F1181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1C4BA3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C77F4C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51E957E1">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中铁二院工程集团有限责任公司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5DFD5C3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7E3968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27BC7C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nil"/>
              <w:bottom w:val="single" w:color="auto" w:sz="4" w:space="0"/>
              <w:right w:val="single" w:color="auto" w:sz="4" w:space="0"/>
            </w:tcBorders>
            <w:shd w:val="clear" w:color="auto" w:fill="auto"/>
            <w:vAlign w:val="center"/>
          </w:tcPr>
          <w:p w14:paraId="635F7B0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9</w:t>
            </w:r>
          </w:p>
        </w:tc>
      </w:tr>
      <w:tr w14:paraId="0B1FDE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4D3133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nil"/>
              <w:left w:val="single" w:color="auto" w:sz="4" w:space="0"/>
              <w:bottom w:val="single" w:color="auto" w:sz="4" w:space="0"/>
              <w:right w:val="single" w:color="auto" w:sz="4" w:space="0"/>
            </w:tcBorders>
            <w:shd w:val="clear" w:color="auto" w:fill="auto"/>
            <w:vAlign w:val="center"/>
          </w:tcPr>
          <w:p w14:paraId="6BAA1D3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rPr>
            </w:pPr>
            <w:r>
              <w:rPr>
                <w:rFonts w:hint="eastAsia" w:eastAsiaTheme="minorEastAsia"/>
                <w:kern w:val="0"/>
                <w:sz w:val="21"/>
                <w:szCs w:val="21"/>
                <w:highlight w:val="none"/>
              </w:rPr>
              <w:t>中移（成都）信息通信科技有限公司</w:t>
            </w:r>
          </w:p>
        </w:tc>
        <w:tc>
          <w:tcPr>
            <w:tcW w:w="1332" w:type="dxa"/>
            <w:tcBorders>
              <w:top w:val="nil"/>
              <w:left w:val="single" w:color="auto" w:sz="4" w:space="0"/>
              <w:bottom w:val="single" w:color="auto" w:sz="4" w:space="0"/>
              <w:right w:val="single" w:color="auto" w:sz="4" w:space="0"/>
            </w:tcBorders>
            <w:shd w:val="clear" w:color="auto" w:fill="auto"/>
            <w:vAlign w:val="center"/>
          </w:tcPr>
          <w:p w14:paraId="697570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5B423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工作站</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C9F06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CA050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57CAE4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51C8F0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shd w:val="clear" w:color="auto" w:fill="auto"/>
            <w:vAlign w:val="center"/>
          </w:tcPr>
          <w:p w14:paraId="641332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eastAsiaTheme="minorEastAsia"/>
                <w:kern w:val="0"/>
                <w:sz w:val="21"/>
                <w:szCs w:val="21"/>
                <w:highlight w:val="none"/>
              </w:rPr>
            </w:pPr>
            <w:r>
              <w:rPr>
                <w:rFonts w:eastAsiaTheme="minorEastAsia"/>
                <w:kern w:val="0"/>
                <w:sz w:val="21"/>
                <w:szCs w:val="21"/>
                <w:highlight w:val="none"/>
              </w:rPr>
              <w:t>自贡硬质合金有限责任公司</w:t>
            </w:r>
          </w:p>
        </w:tc>
        <w:tc>
          <w:tcPr>
            <w:tcW w:w="1332" w:type="dxa"/>
            <w:tcBorders>
              <w:top w:val="single" w:color="auto" w:sz="4" w:space="0"/>
              <w:left w:val="nil"/>
              <w:bottom w:val="single" w:color="auto" w:sz="4" w:space="0"/>
              <w:right w:val="single" w:color="auto" w:sz="4" w:space="0"/>
            </w:tcBorders>
            <w:shd w:val="clear" w:color="auto" w:fill="auto"/>
            <w:vAlign w:val="center"/>
          </w:tcPr>
          <w:p w14:paraId="3DF074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6F6D235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工作站</w:t>
            </w:r>
          </w:p>
        </w:tc>
        <w:tc>
          <w:tcPr>
            <w:tcW w:w="1476" w:type="dxa"/>
            <w:tcBorders>
              <w:top w:val="single" w:color="auto" w:sz="4" w:space="0"/>
              <w:left w:val="single" w:color="auto" w:sz="4" w:space="0"/>
              <w:bottom w:val="single" w:color="auto" w:sz="4" w:space="0"/>
              <w:right w:val="single" w:color="auto" w:sz="4" w:space="0"/>
            </w:tcBorders>
            <w:noWrap/>
            <w:vAlign w:val="center"/>
          </w:tcPr>
          <w:p w14:paraId="49BE00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自贡</w:t>
            </w:r>
          </w:p>
        </w:tc>
        <w:tc>
          <w:tcPr>
            <w:tcW w:w="909" w:type="dxa"/>
            <w:tcBorders>
              <w:top w:val="single" w:color="auto" w:sz="4" w:space="0"/>
              <w:left w:val="nil"/>
              <w:bottom w:val="single" w:color="auto" w:sz="4" w:space="0"/>
              <w:right w:val="single" w:color="auto" w:sz="4" w:space="0"/>
            </w:tcBorders>
            <w:shd w:val="clear" w:color="auto" w:fill="auto"/>
            <w:vAlign w:val="center"/>
          </w:tcPr>
          <w:p w14:paraId="4B0D1A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2</w:t>
            </w:r>
          </w:p>
        </w:tc>
      </w:tr>
      <w:tr w14:paraId="76631F0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C6B9CED">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4ECEDF8">
            <w:pPr>
              <w:widowControl/>
              <w:adjustRightInd w:val="0"/>
              <w:snapToGrid w:val="0"/>
              <w:spacing w:line="240" w:lineRule="auto"/>
              <w:ind w:right="-64" w:rightChars="-20" w:firstLine="0"/>
              <w:rPr>
                <w:rFonts w:eastAsiaTheme="minorEastAsia"/>
                <w:kern w:val="0"/>
                <w:sz w:val="21"/>
                <w:szCs w:val="21"/>
                <w:highlight w:val="none"/>
              </w:rPr>
            </w:pPr>
            <w:r>
              <w:rPr>
                <w:rFonts w:hint="eastAsia" w:eastAsiaTheme="minorEastAsia"/>
                <w:kern w:val="0"/>
                <w:sz w:val="21"/>
                <w:szCs w:val="21"/>
                <w:highlight w:val="none"/>
              </w:rPr>
              <w:t>爱斯特（成都）生物制药股份有限公司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070056E9">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hint="eastAsia" w:eastAsiaTheme="minorEastAsia"/>
                <w:kern w:val="0"/>
                <w:sz w:val="21"/>
                <w:szCs w:val="21"/>
                <w:highlight w:val="none"/>
              </w:rPr>
              <w:t>外/合资企业</w:t>
            </w:r>
          </w:p>
        </w:tc>
        <w:tc>
          <w:tcPr>
            <w:tcW w:w="1524" w:type="dxa"/>
            <w:tcBorders>
              <w:top w:val="single" w:color="auto" w:sz="4" w:space="0"/>
              <w:left w:val="single" w:color="auto" w:sz="4" w:space="0"/>
              <w:bottom w:val="single" w:color="auto" w:sz="4" w:space="0"/>
              <w:right w:val="single" w:color="auto" w:sz="4" w:space="0"/>
            </w:tcBorders>
            <w:vAlign w:val="center"/>
          </w:tcPr>
          <w:p w14:paraId="2C083AB8">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16BB04BE">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1BB56ABC">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3914B6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38FCA6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2C72CD0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安岳县柠檬产业展中心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55BFF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96FD6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4E60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安岳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F370C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4AA368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62867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62130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奥泰医疗系统有限责任公司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A0F32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085CCA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9A2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FB2544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若干</w:t>
            </w:r>
          </w:p>
        </w:tc>
      </w:tr>
      <w:tr w14:paraId="0306587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AB336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6CF74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巴中市南江黄羊科学研究所</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6B6A2F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50595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FEC5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巴中</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87AB8A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0C8712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C5B2C2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3858FF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巴中市通江银耳（食用菌）产业发展中心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6EBB1F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9D5B6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8229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巴中</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81851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5E41B8D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93B81E3">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E33617C">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成都大学</w:t>
            </w:r>
          </w:p>
        </w:tc>
        <w:tc>
          <w:tcPr>
            <w:tcW w:w="1332" w:type="dxa"/>
            <w:tcBorders>
              <w:top w:val="single" w:color="auto" w:sz="4" w:space="0"/>
              <w:left w:val="single" w:color="auto" w:sz="4" w:space="0"/>
              <w:bottom w:val="single" w:color="auto" w:sz="4" w:space="0"/>
              <w:right w:val="single" w:color="auto" w:sz="4" w:space="0"/>
            </w:tcBorders>
            <w:vAlign w:val="center"/>
          </w:tcPr>
          <w:p w14:paraId="329C3A0B">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1899C555">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584EE5F8">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D4197DF">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5</w:t>
            </w:r>
          </w:p>
        </w:tc>
      </w:tr>
      <w:tr w14:paraId="3491D4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4789034">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634ABD8">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成都东软学院</w:t>
            </w:r>
          </w:p>
        </w:tc>
        <w:tc>
          <w:tcPr>
            <w:tcW w:w="1332" w:type="dxa"/>
            <w:tcBorders>
              <w:top w:val="single" w:color="auto" w:sz="4" w:space="0"/>
              <w:left w:val="single" w:color="auto" w:sz="4" w:space="0"/>
              <w:bottom w:val="single" w:color="auto" w:sz="4" w:space="0"/>
              <w:right w:val="single" w:color="auto" w:sz="4" w:space="0"/>
            </w:tcBorders>
            <w:vAlign w:val="center"/>
          </w:tcPr>
          <w:p w14:paraId="2BDFA979">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25F29EB5">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6125CA53">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都江堰</w:t>
            </w:r>
          </w:p>
        </w:tc>
        <w:tc>
          <w:tcPr>
            <w:tcW w:w="909" w:type="dxa"/>
            <w:tcBorders>
              <w:top w:val="single" w:color="auto" w:sz="4" w:space="0"/>
              <w:left w:val="single" w:color="auto" w:sz="4" w:space="0"/>
              <w:bottom w:val="single" w:color="auto" w:sz="4" w:space="0"/>
              <w:right w:val="single" w:color="auto" w:sz="4" w:space="0"/>
            </w:tcBorders>
            <w:vAlign w:val="center"/>
          </w:tcPr>
          <w:p w14:paraId="039E3985">
            <w:pPr>
              <w:widowControl/>
              <w:adjustRightInd w:val="0"/>
              <w:snapToGrid w:val="0"/>
              <w:spacing w:line="240" w:lineRule="auto"/>
              <w:ind w:left="-64" w:leftChars="-20" w:right="-64" w:rightChars="-20" w:firstLine="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19</w:t>
            </w:r>
          </w:p>
        </w:tc>
      </w:tr>
      <w:tr w14:paraId="384678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72C325F">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30212CE">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成都纺织高等专科学校</w:t>
            </w:r>
          </w:p>
        </w:tc>
        <w:tc>
          <w:tcPr>
            <w:tcW w:w="1332" w:type="dxa"/>
            <w:tcBorders>
              <w:top w:val="single" w:color="auto" w:sz="4" w:space="0"/>
              <w:left w:val="single" w:color="auto" w:sz="4" w:space="0"/>
              <w:bottom w:val="single" w:color="auto" w:sz="4" w:space="0"/>
              <w:right w:val="single" w:color="auto" w:sz="4" w:space="0"/>
            </w:tcBorders>
            <w:vAlign w:val="center"/>
          </w:tcPr>
          <w:p w14:paraId="46701B4A">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7DCD257F">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75E07FCE">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2BE98594">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6</w:t>
            </w:r>
          </w:p>
        </w:tc>
      </w:tr>
      <w:tr w14:paraId="3942862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9EF4E7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85555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成都工业学院国营成都无线电专用设备厂</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6A1B8A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BA04E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5DA56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70D9B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7DD4D6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749872A">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D5501D3">
            <w:pPr>
              <w:widowControl/>
              <w:adjustRightInd w:val="0"/>
              <w:snapToGrid w:val="0"/>
              <w:spacing w:line="240" w:lineRule="auto"/>
              <w:ind w:right="-64" w:rightChars="-20" w:firstLine="0"/>
              <w:rPr>
                <w:rFonts w:eastAsiaTheme="minorEastAsia"/>
                <w:kern w:val="0"/>
                <w:sz w:val="21"/>
                <w:szCs w:val="21"/>
                <w:highlight w:val="none"/>
              </w:rPr>
            </w:pPr>
            <w:r>
              <w:rPr>
                <w:rFonts w:eastAsiaTheme="minorEastAsia"/>
                <w:kern w:val="0"/>
                <w:sz w:val="21"/>
                <w:szCs w:val="21"/>
                <w:highlight w:val="none"/>
              </w:rPr>
              <w:t>成都国光电气股份有限公司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49CCC01F">
            <w:pPr>
              <w:widowControl/>
              <w:adjustRightInd w:val="0"/>
              <w:snapToGrid w:val="0"/>
              <w:spacing w:line="240" w:lineRule="auto"/>
              <w:ind w:left="-64" w:leftChars="-20" w:right="-64" w:rightChars="-20" w:firstLine="0"/>
              <w:jc w:val="center"/>
              <w:rPr>
                <w:rFonts w:eastAsia="方正仿宋_GBK"/>
                <w:sz w:val="22"/>
                <w:szCs w:val="22"/>
                <w:highlight w:val="none"/>
              </w:rPr>
            </w:pPr>
            <w:r>
              <w:rPr>
                <w:rFonts w:eastAsiaTheme="minorEastAsia"/>
                <w:kern w:val="0"/>
                <w:sz w:val="21"/>
                <w:szCs w:val="21"/>
                <w:highlight w:val="none"/>
              </w:rPr>
              <w:t>股份制企业</w:t>
            </w:r>
          </w:p>
        </w:tc>
        <w:tc>
          <w:tcPr>
            <w:tcW w:w="1524" w:type="dxa"/>
            <w:tcBorders>
              <w:top w:val="single" w:color="auto" w:sz="4" w:space="0"/>
              <w:left w:val="single" w:color="auto" w:sz="4" w:space="0"/>
              <w:bottom w:val="single" w:color="auto" w:sz="4" w:space="0"/>
              <w:right w:val="single" w:color="auto" w:sz="4" w:space="0"/>
            </w:tcBorders>
            <w:vAlign w:val="center"/>
          </w:tcPr>
          <w:p w14:paraId="52730468">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11E45112">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A70BD2B">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2</w:t>
            </w:r>
          </w:p>
        </w:tc>
      </w:tr>
      <w:tr w14:paraId="4665681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725EE4A">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F10E67B">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成都航空职业技术学院</w:t>
            </w:r>
          </w:p>
        </w:tc>
        <w:tc>
          <w:tcPr>
            <w:tcW w:w="1332" w:type="dxa"/>
            <w:tcBorders>
              <w:top w:val="single" w:color="auto" w:sz="4" w:space="0"/>
              <w:left w:val="single" w:color="auto" w:sz="4" w:space="0"/>
              <w:bottom w:val="single" w:color="auto" w:sz="4" w:space="0"/>
              <w:right w:val="single" w:color="auto" w:sz="4" w:space="0"/>
            </w:tcBorders>
            <w:vAlign w:val="center"/>
          </w:tcPr>
          <w:p w14:paraId="584E8691">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1A9F4EA2">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5D42D29F">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1801889">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若干</w:t>
            </w:r>
          </w:p>
        </w:tc>
      </w:tr>
      <w:tr w14:paraId="2438C7E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27951C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A7F91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成都宏明电子股份有限公司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6D7D03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B6688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15BC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54DA1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7</w:t>
            </w:r>
          </w:p>
        </w:tc>
      </w:tr>
      <w:tr w14:paraId="61EA1C3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DFBED6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FE060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成都交子金融控股集团有限公司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80171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9FBA1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18B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5EA69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797941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490F621">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32F741B">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成都锦欣生殖医学与遗传学研究所</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1EEA22F">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39ECD45">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AE3769">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556D044">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6AC505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4F23F30">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90AFD63">
            <w:pPr>
              <w:widowControl/>
              <w:adjustRightInd w:val="0"/>
              <w:snapToGrid w:val="0"/>
              <w:spacing w:line="240" w:lineRule="auto"/>
              <w:ind w:right="-64" w:rightChars="-20" w:firstLine="0"/>
              <w:rPr>
                <w:rFonts w:hint="eastAsia" w:eastAsiaTheme="minorEastAsia"/>
                <w:kern w:val="0"/>
                <w:sz w:val="21"/>
                <w:szCs w:val="21"/>
                <w:highlight w:val="none"/>
              </w:rPr>
            </w:pPr>
            <w:r>
              <w:rPr>
                <w:rFonts w:hint="eastAsia" w:eastAsiaTheme="minorEastAsia"/>
                <w:kern w:val="0"/>
                <w:sz w:val="21"/>
                <w:szCs w:val="21"/>
                <w:highlight w:val="none"/>
                <w:lang w:val="en-US" w:eastAsia="zh-CN"/>
              </w:rPr>
              <w:t>成都龙之泉科技股份有限公司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55B468CA">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val="en-US" w:eastAsia="zh-CN"/>
              </w:rPr>
            </w:pPr>
            <w:r>
              <w:rPr>
                <w:rFonts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vAlign w:val="center"/>
          </w:tcPr>
          <w:p w14:paraId="78C97826">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5CC57615">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3EAF277">
            <w:pPr>
              <w:widowControl/>
              <w:adjustRightInd w:val="0"/>
              <w:snapToGrid w:val="0"/>
              <w:spacing w:line="240" w:lineRule="auto"/>
              <w:ind w:left="-64" w:leftChars="-20" w:right="-64" w:rightChars="-20" w:firstLine="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797DF42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88D1DF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EBB796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成都清科生物科技有限公司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BDD9A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AF92D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A5A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433B0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2ADC60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2E33F95">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518D0DA">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成都生物制品研究所有限责任公司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0B9C31C">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D250412">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98A40">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2D583F1">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1</w:t>
            </w:r>
          </w:p>
        </w:tc>
      </w:tr>
      <w:tr w14:paraId="4B30D8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C745BD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D280A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成都市中西医结合医院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57BA6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71AEEE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FD67A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023A7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3E88246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31E386F">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3F3DAEA">
            <w:pPr>
              <w:widowControl/>
              <w:adjustRightInd w:val="0"/>
              <w:snapToGrid w:val="0"/>
              <w:spacing w:line="240" w:lineRule="auto"/>
              <w:ind w:right="-64" w:rightChars="-20" w:firstLine="0"/>
              <w:rPr>
                <w:rFonts w:eastAsia="宋体"/>
                <w:spacing w:val="-10"/>
                <w:sz w:val="21"/>
                <w:szCs w:val="21"/>
                <w:highlight w:val="none"/>
              </w:rPr>
            </w:pPr>
            <w:r>
              <w:rPr>
                <w:rFonts w:eastAsia="宋体"/>
                <w:spacing w:val="-10"/>
                <w:sz w:val="21"/>
                <w:szCs w:val="21"/>
                <w:highlight w:val="none"/>
              </w:rPr>
              <w:t>成都西南石油大学科技园发展有限公司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30CD3223">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9B8361C">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0E68BBF6">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44002DDA">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2</w:t>
            </w:r>
          </w:p>
        </w:tc>
      </w:tr>
      <w:tr w14:paraId="698298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A3C8B61">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F0507F4">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成都易态科技有限公司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922E54E">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935A77B">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49B3CE">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332F8D3">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4</w:t>
            </w:r>
          </w:p>
        </w:tc>
      </w:tr>
      <w:tr w14:paraId="1613738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F3078F4">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156609B">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成都职业技术学院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3D6B681">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高等院校</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2858E09">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4C2881">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19730A1">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467017E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CCFDF4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4AD73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重庆大学锂电及新材料遂宁研究院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89158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FCCC9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4C37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遂宁</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B99DC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03F8FBA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559871C">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90E3D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达州市农业科学研究院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39A43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2FE06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90B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达州</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874EE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6871250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2B34FF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460CA9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德阳市人民医院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8BF10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AEA031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0FFCF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德阳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D63748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79BA12B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48E0A1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2C940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电子科技大学成都研究院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E4CFCD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E8F05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269B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2DAFF8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2552B11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9F8DDB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19F01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电子科技大学天府协同创新中心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8FBA4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BE535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D0DAB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36237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1</w:t>
            </w:r>
          </w:p>
        </w:tc>
      </w:tr>
      <w:tr w14:paraId="695E96F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D0E8B6C">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A72CE26">
            <w:pPr>
              <w:widowControl/>
              <w:adjustRightInd w:val="0"/>
              <w:snapToGrid w:val="0"/>
              <w:spacing w:line="240" w:lineRule="auto"/>
              <w:ind w:right="-64" w:rightChars="-20" w:firstLine="0"/>
              <w:rPr>
                <w:rFonts w:eastAsiaTheme="minorEastAsia"/>
                <w:kern w:val="0"/>
                <w:sz w:val="21"/>
                <w:szCs w:val="21"/>
                <w:highlight w:val="none"/>
              </w:rPr>
            </w:pPr>
            <w:r>
              <w:rPr>
                <w:rFonts w:eastAsiaTheme="minorEastAsia"/>
                <w:kern w:val="0"/>
                <w:sz w:val="21"/>
                <w:szCs w:val="21"/>
                <w:highlight w:val="none"/>
              </w:rPr>
              <w:t>富临精工股份有限公司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27599182">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vAlign w:val="center"/>
          </w:tcPr>
          <w:p w14:paraId="1598D391">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07A954C5">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single" w:color="auto" w:sz="4" w:space="0"/>
              <w:bottom w:val="single" w:color="auto" w:sz="4" w:space="0"/>
              <w:right w:val="single" w:color="auto" w:sz="4" w:space="0"/>
            </w:tcBorders>
            <w:vAlign w:val="center"/>
          </w:tcPr>
          <w:p w14:paraId="374443C5">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6</w:t>
            </w:r>
          </w:p>
        </w:tc>
      </w:tr>
      <w:tr w14:paraId="791E301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E13D2B6">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61BB76D">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甘孜藏族自治州海螺沟智慧景区信息中心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BE85198">
            <w:pPr>
              <w:widowControl/>
              <w:adjustRightInd w:val="0"/>
              <w:snapToGrid w:val="0"/>
              <w:spacing w:line="240" w:lineRule="auto"/>
              <w:ind w:left="-64" w:leftChars="-20" w:right="-64" w:rightChars="-20" w:firstLine="0" w:firstLineChars="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C02923F">
            <w:pPr>
              <w:widowControl/>
              <w:adjustRightInd w:val="0"/>
              <w:snapToGrid w:val="0"/>
              <w:spacing w:line="240" w:lineRule="auto"/>
              <w:ind w:right="-64" w:rightChars="-20" w:firstLine="0" w:firstLineChars="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3A24B">
            <w:pPr>
              <w:widowControl/>
              <w:adjustRightInd w:val="0"/>
              <w:snapToGrid w:val="0"/>
              <w:spacing w:line="240" w:lineRule="auto"/>
              <w:ind w:left="-64" w:leftChars="-20" w:right="-64" w:rightChars="-20" w:firstLine="0" w:firstLineChars="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甘孜</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5AB8F75">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7B078EB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72F4779">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3510F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广安市人民医院</w:t>
            </w:r>
          </w:p>
        </w:tc>
        <w:tc>
          <w:tcPr>
            <w:tcW w:w="1332" w:type="dxa"/>
            <w:tcBorders>
              <w:top w:val="single" w:color="auto" w:sz="4" w:space="0"/>
              <w:left w:val="single" w:color="auto" w:sz="4" w:space="0"/>
              <w:bottom w:val="single" w:color="auto" w:sz="4" w:space="0"/>
              <w:right w:val="single" w:color="auto" w:sz="4" w:space="0"/>
            </w:tcBorders>
            <w:vAlign w:val="center"/>
          </w:tcPr>
          <w:p w14:paraId="7F8720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447928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4490E8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广安</w:t>
            </w:r>
          </w:p>
        </w:tc>
        <w:tc>
          <w:tcPr>
            <w:tcW w:w="909" w:type="dxa"/>
            <w:tcBorders>
              <w:top w:val="single" w:color="auto" w:sz="4" w:space="0"/>
              <w:left w:val="single" w:color="auto" w:sz="4" w:space="0"/>
              <w:bottom w:val="single" w:color="auto" w:sz="4" w:space="0"/>
              <w:right w:val="single" w:color="auto" w:sz="4" w:space="0"/>
            </w:tcBorders>
            <w:vAlign w:val="center"/>
          </w:tcPr>
          <w:p w14:paraId="0EE99B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5</w:t>
            </w:r>
          </w:p>
        </w:tc>
      </w:tr>
      <w:tr w14:paraId="3CEF24B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5FAC1B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7D281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核工业二八0研究所</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953FDD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0AD27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871FB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9A6F9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6638988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D8B81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27C9CD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宏图智能物流股份有限公司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E5B62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CA76B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5201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泸州</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7255B2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4994C55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99F0D5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6B7EFF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洪雅峨眉半山健康管理有限公司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7492F9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8F84E7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C218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3DCDE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CC05E0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6D576B2">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D30FF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乐山职业技术学院</w:t>
            </w:r>
          </w:p>
        </w:tc>
        <w:tc>
          <w:tcPr>
            <w:tcW w:w="1332" w:type="dxa"/>
            <w:tcBorders>
              <w:top w:val="single" w:color="auto" w:sz="4" w:space="0"/>
              <w:left w:val="single" w:color="auto" w:sz="4" w:space="0"/>
              <w:bottom w:val="single" w:color="auto" w:sz="4" w:space="0"/>
              <w:right w:val="single" w:color="auto" w:sz="4" w:space="0"/>
            </w:tcBorders>
            <w:vAlign w:val="center"/>
          </w:tcPr>
          <w:p w14:paraId="482233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3FE757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63FE3E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乐山</w:t>
            </w:r>
          </w:p>
        </w:tc>
        <w:tc>
          <w:tcPr>
            <w:tcW w:w="909" w:type="dxa"/>
            <w:tcBorders>
              <w:top w:val="single" w:color="auto" w:sz="4" w:space="0"/>
              <w:left w:val="single" w:color="auto" w:sz="4" w:space="0"/>
              <w:bottom w:val="single" w:color="auto" w:sz="4" w:space="0"/>
              <w:right w:val="single" w:color="auto" w:sz="4" w:space="0"/>
            </w:tcBorders>
            <w:vAlign w:val="center"/>
          </w:tcPr>
          <w:p w14:paraId="7D57B78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8</w:t>
            </w:r>
          </w:p>
        </w:tc>
      </w:tr>
      <w:tr w14:paraId="133B81A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6047809">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228897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龙佰四川矿冶有限公司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920021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853C4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80F1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攀枝花</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93AC8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106013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F2A7C0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CD03A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龙佰四川钛业有限公司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909DC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64818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9B10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德阳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66E09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6EA942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23CF92F">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7954D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上海交通大学四川研究院</w:t>
            </w:r>
          </w:p>
        </w:tc>
        <w:tc>
          <w:tcPr>
            <w:tcW w:w="1332" w:type="dxa"/>
            <w:tcBorders>
              <w:top w:val="single" w:color="auto" w:sz="4" w:space="0"/>
              <w:left w:val="single" w:color="auto" w:sz="4" w:space="0"/>
              <w:bottom w:val="single" w:color="auto" w:sz="4" w:space="0"/>
              <w:right w:val="single" w:color="auto" w:sz="4" w:space="0"/>
            </w:tcBorders>
            <w:vAlign w:val="center"/>
          </w:tcPr>
          <w:p w14:paraId="00CF39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1ED82E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25109FD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2BE58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13</w:t>
            </w:r>
          </w:p>
        </w:tc>
      </w:tr>
      <w:tr w14:paraId="0AF6F72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914E0C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C42FB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四川安宁铁钛股份有限公司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11866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88A8A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8AF9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攀枝花</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8F10E0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13CB870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EAC3BB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227AA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四川奥邦古得药业有限公司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78B85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80FAA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4C319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E069F7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1B083C0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E8017A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0DE7C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四川博物院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89DA7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A3B47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55389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DA109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256701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AC30C66">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5BD77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四川超迪电器实业有限公司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6245A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DF3DB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5281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资阳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DEF2F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11714D3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72F84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DCBC30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四川川东电缆有限责任公司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9A2A4A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164D4C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2740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大竹</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BABA6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21A60D9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9A5B2A9">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E5C4C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四川大西洋焊接材料股份有限公司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106CE68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D00D2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7F8493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25A61C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2</w:t>
            </w:r>
          </w:p>
        </w:tc>
      </w:tr>
      <w:tr w14:paraId="018326B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6EB7165">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54E90A4">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四川德博尔生物科技股份有限公司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C62078E">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2C57325">
            <w:pPr>
              <w:widowControl/>
              <w:adjustRightInd w:val="0"/>
              <w:snapToGrid w:val="0"/>
              <w:spacing w:line="240" w:lineRule="auto"/>
              <w:ind w:right="-64" w:rightChars="-20" w:firstLine="0" w:firstLineChars="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36381">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E249ACB">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42397BA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E3C801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BF003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四川德赛尔新材料科技有限公司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2BC91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7AC9C2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8B6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德阳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7BBFF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A78F28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7D1D54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07E010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四川横竖生物科技股份有限公司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2B817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91C4C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2F36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宜宾</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BEE0C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312FD37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BB61713">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241BB3E">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四川建筑职业技术学院</w:t>
            </w:r>
          </w:p>
        </w:tc>
        <w:tc>
          <w:tcPr>
            <w:tcW w:w="1332" w:type="dxa"/>
            <w:tcBorders>
              <w:top w:val="single" w:color="auto" w:sz="4" w:space="0"/>
              <w:left w:val="single" w:color="auto" w:sz="4" w:space="0"/>
              <w:bottom w:val="single" w:color="auto" w:sz="4" w:space="0"/>
              <w:right w:val="single" w:color="auto" w:sz="4" w:space="0"/>
            </w:tcBorders>
            <w:vAlign w:val="center"/>
          </w:tcPr>
          <w:p w14:paraId="04F49CF7">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150AEEDB">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7B45658A">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德阳</w:t>
            </w:r>
          </w:p>
        </w:tc>
        <w:tc>
          <w:tcPr>
            <w:tcW w:w="909" w:type="dxa"/>
            <w:tcBorders>
              <w:top w:val="single" w:color="auto" w:sz="4" w:space="0"/>
              <w:left w:val="single" w:color="auto" w:sz="4" w:space="0"/>
              <w:bottom w:val="single" w:color="auto" w:sz="4" w:space="0"/>
              <w:right w:val="single" w:color="auto" w:sz="4" w:space="0"/>
            </w:tcBorders>
            <w:vAlign w:val="center"/>
          </w:tcPr>
          <w:p w14:paraId="194BAD51">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2</w:t>
            </w:r>
          </w:p>
        </w:tc>
      </w:tr>
      <w:tr w14:paraId="0EBB110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D9DA3D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38D0A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四川江口醇隆鼎酒业有限公司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7003C4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C1206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B19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巴中</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93F21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115B86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0D0F41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A4A7A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四川捷贝通能源科技有限公司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720F6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B97858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F677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遂宁</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C85EA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00FDA7D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6E3366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6976B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四川金象赛瑞化工股份有限公司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B6EC4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67FED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7FD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眉山</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C2AE7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3C8C34F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9BD4F5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8E1E0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四川精控阀门制造有限公司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CDA8D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176B5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D121D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FA08A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637276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52067DF">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2C74F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四川科伦博泰生物医药股份有限公司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04587E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lang w:val="en-US" w:eastAsia="zh-CN"/>
              </w:rPr>
              <w:t>股份制企业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6BFCA6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A4F5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D609A3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7A50867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8D65F6A">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CA73B6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四川科特检测技术有限公司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F3A58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AB386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62B2F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788C6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7245810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3A5037C">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3F17585">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四川煤矿安全监察局安全技术中心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F77EF9A">
            <w:pPr>
              <w:widowControl/>
              <w:adjustRightInd w:val="0"/>
              <w:snapToGrid w:val="0"/>
              <w:spacing w:line="240" w:lineRule="auto"/>
              <w:ind w:left="-64" w:leftChars="-20" w:right="-64" w:rightChars="-20" w:firstLine="0" w:firstLineChars="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18E2A1E">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126FB8">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DCC7712">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658FCDF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E929AB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49EC67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四川启明星铝业有限责任公司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56539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B39B57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3FF4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眉山</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1DE15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32A6535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6835A5C">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9F31B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四川轻化工大学</w:t>
            </w:r>
          </w:p>
        </w:tc>
        <w:tc>
          <w:tcPr>
            <w:tcW w:w="1332" w:type="dxa"/>
            <w:tcBorders>
              <w:top w:val="single" w:color="auto" w:sz="4" w:space="0"/>
              <w:left w:val="single" w:color="auto" w:sz="4" w:space="0"/>
              <w:bottom w:val="single" w:color="auto" w:sz="4" w:space="0"/>
              <w:right w:val="single" w:color="auto" w:sz="4" w:space="0"/>
            </w:tcBorders>
            <w:vAlign w:val="center"/>
          </w:tcPr>
          <w:p w14:paraId="5C6523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6CCDDF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2D7E485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7D8430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7</w:t>
            </w:r>
          </w:p>
        </w:tc>
      </w:tr>
      <w:tr w14:paraId="6CCA7F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B3404D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DAFCC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 xml:space="preserve">四川上之登新材料科技有限公司 </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4359433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F72CB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F89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11ABE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2015BD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C906E1A">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C7E10B9">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四川省地质环境调查研究中心</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E291527">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3D4F8CE">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1E4D09">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FBC09A1">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64EBD3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81BDE88">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296F1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spacing w:val="-4"/>
                <w:kern w:val="0"/>
                <w:sz w:val="21"/>
                <w:szCs w:val="21"/>
                <w:highlight w:val="none"/>
              </w:rPr>
            </w:pPr>
            <w:r>
              <w:rPr>
                <w:rFonts w:eastAsiaTheme="minorEastAsia"/>
                <w:color w:val="auto"/>
                <w:kern w:val="0"/>
                <w:sz w:val="21"/>
                <w:szCs w:val="21"/>
                <w:highlight w:val="none"/>
              </w:rPr>
              <w:t>四川省国土空间生态修复与地质灾害防治研究院</w:t>
            </w:r>
          </w:p>
        </w:tc>
        <w:tc>
          <w:tcPr>
            <w:tcW w:w="1332" w:type="dxa"/>
            <w:tcBorders>
              <w:top w:val="single" w:color="auto" w:sz="4" w:space="0"/>
              <w:left w:val="single" w:color="auto" w:sz="4" w:space="0"/>
              <w:bottom w:val="single" w:color="auto" w:sz="4" w:space="0"/>
              <w:right w:val="single" w:color="auto" w:sz="4" w:space="0"/>
            </w:tcBorders>
            <w:vAlign w:val="center"/>
          </w:tcPr>
          <w:p w14:paraId="189496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30E169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03E630C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7648EF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1</w:t>
            </w:r>
          </w:p>
        </w:tc>
      </w:tr>
      <w:tr w14:paraId="30150B6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E4AEA2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798A7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四川省交通勘察设计研究院有限公司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B3AD01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27F4AA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6AD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651DD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17FE7F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5C3B6C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23FB2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四川省内江市农业科学院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617708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436F10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C48E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内江</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3E6C2D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w:t>
            </w:r>
          </w:p>
        </w:tc>
      </w:tr>
      <w:tr w14:paraId="520FA4A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B6DD71A">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79B266B">
            <w:pPr>
              <w:widowControl/>
              <w:adjustRightInd w:val="0"/>
              <w:snapToGrid w:val="0"/>
              <w:spacing w:line="240" w:lineRule="auto"/>
              <w:ind w:right="-64" w:rightChars="-20" w:firstLine="0"/>
              <w:rPr>
                <w:rFonts w:eastAsia="宋体"/>
                <w:sz w:val="21"/>
                <w:szCs w:val="21"/>
                <w:highlight w:val="none"/>
              </w:rPr>
            </w:pPr>
            <w:r>
              <w:rPr>
                <w:rFonts w:eastAsiaTheme="minorEastAsia"/>
                <w:kern w:val="0"/>
                <w:sz w:val="21"/>
                <w:szCs w:val="21"/>
                <w:highlight w:val="none"/>
              </w:rPr>
              <w:t>四川省人工智能研究院（宜宾）</w:t>
            </w:r>
          </w:p>
        </w:tc>
        <w:tc>
          <w:tcPr>
            <w:tcW w:w="1332" w:type="dxa"/>
            <w:tcBorders>
              <w:top w:val="single" w:color="auto" w:sz="4" w:space="0"/>
              <w:left w:val="single" w:color="auto" w:sz="4" w:space="0"/>
              <w:bottom w:val="single" w:color="auto" w:sz="4" w:space="0"/>
              <w:right w:val="single" w:color="auto" w:sz="4" w:space="0"/>
            </w:tcBorders>
            <w:vAlign w:val="center"/>
          </w:tcPr>
          <w:p w14:paraId="66315FFC">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科研院所</w:t>
            </w:r>
          </w:p>
        </w:tc>
        <w:tc>
          <w:tcPr>
            <w:tcW w:w="1524" w:type="dxa"/>
            <w:tcBorders>
              <w:top w:val="single" w:color="auto" w:sz="4" w:space="0"/>
              <w:left w:val="single" w:color="auto" w:sz="4" w:space="0"/>
              <w:bottom w:val="single" w:color="auto" w:sz="4" w:space="0"/>
              <w:right w:val="single" w:color="auto" w:sz="4" w:space="0"/>
            </w:tcBorders>
            <w:vAlign w:val="center"/>
          </w:tcPr>
          <w:p w14:paraId="1FF80555">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14974A3C">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宜宾</w:t>
            </w:r>
          </w:p>
        </w:tc>
        <w:tc>
          <w:tcPr>
            <w:tcW w:w="909" w:type="dxa"/>
            <w:tcBorders>
              <w:top w:val="single" w:color="auto" w:sz="4" w:space="0"/>
              <w:left w:val="single" w:color="auto" w:sz="4" w:space="0"/>
              <w:bottom w:val="single" w:color="auto" w:sz="4" w:space="0"/>
              <w:right w:val="single" w:color="auto" w:sz="4" w:space="0"/>
            </w:tcBorders>
            <w:vAlign w:val="center"/>
          </w:tcPr>
          <w:p w14:paraId="41EA89F9">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6E1BB6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90378A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E6A915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四川省图书馆</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6563E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2BFDB1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E97F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A888C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2E83227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CDDCC32">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110D9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四川省宜宾惠美线业有限责任公司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1CB6A45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B003E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4CD3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宜宾</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5CF6F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7EF1001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68EA45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4E84E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四川省银河化学股份有限公司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F03C5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D0A9E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FA45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绵阳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03D1D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4F7B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0C18B86">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EF6779C">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四川省中医药科学院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65A127B">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D6DE5C4">
            <w:pPr>
              <w:widowControl/>
              <w:adjustRightInd w:val="0"/>
              <w:snapToGrid w:val="0"/>
              <w:spacing w:line="240" w:lineRule="auto"/>
              <w:ind w:right="-64" w:rightChars="-20" w:firstLine="0" w:firstLineChars="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1D70D0">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2F50787">
            <w:pPr>
              <w:widowControl/>
              <w:adjustRightInd w:val="0"/>
              <w:snapToGrid w:val="0"/>
              <w:spacing w:line="240" w:lineRule="auto"/>
              <w:ind w:left="-64" w:leftChars="-20" w:right="-64" w:rightChars="-20" w:firstLine="0" w:firstLineChars="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21DFD2F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1D6DF44">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C8F06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四川省综合地质调查研究所</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8E251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25233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3B2E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44325D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5B1E42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F90CED1">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16CE750">
            <w:pPr>
              <w:widowControl/>
              <w:adjustRightInd w:val="0"/>
              <w:snapToGrid w:val="0"/>
              <w:spacing w:line="240" w:lineRule="auto"/>
              <w:ind w:right="-64" w:rightChars="-20" w:firstLine="0"/>
              <w:rPr>
                <w:rFonts w:hint="eastAsia" w:eastAsiaTheme="minorEastAsia"/>
                <w:kern w:val="0"/>
                <w:sz w:val="21"/>
                <w:szCs w:val="21"/>
                <w:highlight w:val="none"/>
              </w:rPr>
            </w:pPr>
            <w:r>
              <w:rPr>
                <w:rFonts w:hint="eastAsia" w:eastAsiaTheme="minorEastAsia"/>
                <w:kern w:val="0"/>
                <w:sz w:val="21"/>
                <w:szCs w:val="21"/>
                <w:highlight w:val="none"/>
              </w:rPr>
              <w:t>四川天府新区宇宙线研究中心</w:t>
            </w:r>
          </w:p>
        </w:tc>
        <w:tc>
          <w:tcPr>
            <w:tcW w:w="1332" w:type="dxa"/>
            <w:tcBorders>
              <w:top w:val="single" w:color="auto" w:sz="4" w:space="0"/>
              <w:left w:val="single" w:color="auto" w:sz="4" w:space="0"/>
              <w:bottom w:val="single" w:color="auto" w:sz="4" w:space="0"/>
              <w:right w:val="single" w:color="auto" w:sz="4" w:space="0"/>
            </w:tcBorders>
            <w:vAlign w:val="center"/>
          </w:tcPr>
          <w:p w14:paraId="0E7D5EE0">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vAlign w:val="center"/>
          </w:tcPr>
          <w:p w14:paraId="3A42B8AF">
            <w:pPr>
              <w:widowControl/>
              <w:adjustRightInd w:val="0"/>
              <w:snapToGrid w:val="0"/>
              <w:spacing w:line="240" w:lineRule="auto"/>
              <w:ind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7D5383A7">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6389CBEE">
            <w:pPr>
              <w:widowControl/>
              <w:adjustRightInd w:val="0"/>
              <w:snapToGrid w:val="0"/>
              <w:spacing w:line="240" w:lineRule="auto"/>
              <w:ind w:left="-64" w:leftChars="-20" w:right="-64" w:rightChars="-20" w:firstLine="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10</w:t>
            </w:r>
          </w:p>
        </w:tc>
      </w:tr>
      <w:tr w14:paraId="138A080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2E0B4B3">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40EE95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四川雅化实业集团股份有限公司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ED2194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7D2EF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664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雅安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0318C2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51995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469EB20">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5F3CC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四川依科制药有限公司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16ECB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F25C4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8A1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广汉</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255AF5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44E99A7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824B5D0">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2982E5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四川音乐学院</w:t>
            </w:r>
          </w:p>
        </w:tc>
        <w:tc>
          <w:tcPr>
            <w:tcW w:w="1332" w:type="dxa"/>
            <w:tcBorders>
              <w:top w:val="single" w:color="auto" w:sz="4" w:space="0"/>
              <w:left w:val="single" w:color="auto" w:sz="4" w:space="0"/>
              <w:bottom w:val="single" w:color="auto" w:sz="4" w:space="0"/>
              <w:right w:val="single" w:color="auto" w:sz="4" w:space="0"/>
            </w:tcBorders>
            <w:vAlign w:val="center"/>
          </w:tcPr>
          <w:p w14:paraId="2BE64C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高等院校</w:t>
            </w:r>
          </w:p>
        </w:tc>
        <w:tc>
          <w:tcPr>
            <w:tcW w:w="1524" w:type="dxa"/>
            <w:tcBorders>
              <w:top w:val="single" w:color="auto" w:sz="4" w:space="0"/>
              <w:left w:val="single" w:color="auto" w:sz="4" w:space="0"/>
              <w:bottom w:val="single" w:color="auto" w:sz="4" w:space="0"/>
              <w:right w:val="single" w:color="auto" w:sz="4" w:space="0"/>
            </w:tcBorders>
            <w:vAlign w:val="center"/>
          </w:tcPr>
          <w:p w14:paraId="532626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13C172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F333B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2</w:t>
            </w:r>
          </w:p>
        </w:tc>
      </w:tr>
      <w:tr w14:paraId="3ACF02D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977ADC8">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229E217">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四川永星电子有限公司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CD2CA6A">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0BC5498">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972B8E">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5C16AA43">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143482E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FC24EE0">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A4B73CE">
            <w:pPr>
              <w:widowControl/>
              <w:adjustRightInd w:val="0"/>
              <w:snapToGrid w:val="0"/>
              <w:spacing w:line="240" w:lineRule="auto"/>
              <w:ind w:right="-64" w:rightChars="-20" w:firstLine="0"/>
              <w:rPr>
                <w:rFonts w:eastAsiaTheme="minorEastAsia"/>
                <w:kern w:val="0"/>
                <w:sz w:val="21"/>
                <w:szCs w:val="21"/>
                <w:highlight w:val="none"/>
              </w:rPr>
            </w:pPr>
            <w:r>
              <w:rPr>
                <w:rFonts w:eastAsiaTheme="minorEastAsia"/>
                <w:kern w:val="0"/>
                <w:sz w:val="21"/>
                <w:szCs w:val="21"/>
                <w:highlight w:val="none"/>
              </w:rPr>
              <w:t>四川长虹电子控股集团有限公司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7F0DDD95">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2B0ECB1C">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6169F4BB">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绵阳</w:t>
            </w:r>
          </w:p>
        </w:tc>
        <w:tc>
          <w:tcPr>
            <w:tcW w:w="909" w:type="dxa"/>
            <w:tcBorders>
              <w:top w:val="single" w:color="auto" w:sz="4" w:space="0"/>
              <w:left w:val="single" w:color="auto" w:sz="4" w:space="0"/>
              <w:bottom w:val="single" w:color="auto" w:sz="4" w:space="0"/>
              <w:right w:val="single" w:color="auto" w:sz="4" w:space="0"/>
            </w:tcBorders>
            <w:vAlign w:val="center"/>
          </w:tcPr>
          <w:p w14:paraId="4528F69D">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01674C8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C9B7C27">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6695A9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遂宁市中心医院</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74478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医疗机构</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E6F9E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FA5D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遂宁</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F7D49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w:t>
            </w:r>
          </w:p>
        </w:tc>
      </w:tr>
      <w:tr w14:paraId="198DBA1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B1281EB">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1F46E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台沃科技集团股份有限公司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FCDDE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民营企业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8E4B0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6524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绵阳</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3F0A5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3</w:t>
            </w:r>
          </w:p>
        </w:tc>
      </w:tr>
      <w:tr w14:paraId="107330D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B83B50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170113A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天府永兴实验室</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5AB4A5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3618456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B139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234E3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5</w:t>
            </w:r>
          </w:p>
        </w:tc>
      </w:tr>
      <w:tr w14:paraId="73B0610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1689DA2">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1F2441E">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宜宾凯翼汽车有限公司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C5F3D5D">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552E4F64">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BB6821">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宜宾</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6D46765B">
            <w:pPr>
              <w:widowControl/>
              <w:adjustRightInd w:val="0"/>
              <w:snapToGrid w:val="0"/>
              <w:spacing w:line="240" w:lineRule="auto"/>
              <w:ind w:left="-64" w:leftChars="-20" w:right="-64" w:rightChars="-20" w:firstLine="0" w:firstLineChars="0"/>
              <w:jc w:val="center"/>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5</w:t>
            </w:r>
          </w:p>
        </w:tc>
      </w:tr>
      <w:tr w14:paraId="0A4BE94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773E33F">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F85CE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浙江大学自贡创新中心</w:t>
            </w:r>
          </w:p>
        </w:tc>
        <w:tc>
          <w:tcPr>
            <w:tcW w:w="1332" w:type="dxa"/>
            <w:tcBorders>
              <w:top w:val="single" w:color="auto" w:sz="4" w:space="0"/>
              <w:left w:val="single" w:color="auto" w:sz="4" w:space="0"/>
              <w:bottom w:val="single" w:color="auto" w:sz="4" w:space="0"/>
              <w:right w:val="single" w:color="auto" w:sz="4" w:space="0"/>
            </w:tcBorders>
            <w:vAlign w:val="center"/>
          </w:tcPr>
          <w:p w14:paraId="653355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其他</w:t>
            </w:r>
          </w:p>
        </w:tc>
        <w:tc>
          <w:tcPr>
            <w:tcW w:w="1524" w:type="dxa"/>
            <w:tcBorders>
              <w:top w:val="single" w:color="auto" w:sz="4" w:space="0"/>
              <w:left w:val="single" w:color="auto" w:sz="4" w:space="0"/>
              <w:bottom w:val="single" w:color="auto" w:sz="4" w:space="0"/>
              <w:right w:val="single" w:color="auto" w:sz="4" w:space="0"/>
            </w:tcBorders>
            <w:vAlign w:val="center"/>
          </w:tcPr>
          <w:p w14:paraId="6053EC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0A0C7F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2DA4BBD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3</w:t>
            </w:r>
          </w:p>
        </w:tc>
      </w:tr>
      <w:tr w14:paraId="324245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2A0F12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982A01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中国农业科学院都市农业研究所</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22F4B6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科研院所</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19E137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A6CA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7ADF642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20</w:t>
            </w:r>
          </w:p>
        </w:tc>
      </w:tr>
      <w:tr w14:paraId="62A1C25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DADAF01">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62D3172">
            <w:pPr>
              <w:widowControl/>
              <w:adjustRightInd w:val="0"/>
              <w:snapToGrid w:val="0"/>
              <w:spacing w:line="240" w:lineRule="auto"/>
              <w:ind w:right="-64" w:rightChars="-20" w:firstLine="0"/>
              <w:rPr>
                <w:rFonts w:eastAsia="宋体"/>
                <w:sz w:val="21"/>
                <w:szCs w:val="21"/>
                <w:highlight w:val="none"/>
              </w:rPr>
            </w:pPr>
            <w:r>
              <w:rPr>
                <w:rFonts w:eastAsia="宋体"/>
                <w:sz w:val="21"/>
                <w:szCs w:val="21"/>
                <w:highlight w:val="none"/>
              </w:rPr>
              <w:t>中昊晨光化工研究院有限公司</w:t>
            </w:r>
          </w:p>
        </w:tc>
        <w:tc>
          <w:tcPr>
            <w:tcW w:w="1332" w:type="dxa"/>
            <w:tcBorders>
              <w:top w:val="single" w:color="auto" w:sz="4" w:space="0"/>
              <w:left w:val="single" w:color="auto" w:sz="4" w:space="0"/>
              <w:bottom w:val="single" w:color="auto" w:sz="4" w:space="0"/>
              <w:right w:val="single" w:color="auto" w:sz="4" w:space="0"/>
            </w:tcBorders>
            <w:vAlign w:val="center"/>
          </w:tcPr>
          <w:p w14:paraId="485A42F8">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国有企业</w:t>
            </w:r>
          </w:p>
        </w:tc>
        <w:tc>
          <w:tcPr>
            <w:tcW w:w="1524" w:type="dxa"/>
            <w:tcBorders>
              <w:top w:val="single" w:color="auto" w:sz="4" w:space="0"/>
              <w:left w:val="single" w:color="auto" w:sz="4" w:space="0"/>
              <w:bottom w:val="single" w:color="auto" w:sz="4" w:space="0"/>
              <w:right w:val="single" w:color="auto" w:sz="4" w:space="0"/>
            </w:tcBorders>
            <w:vAlign w:val="center"/>
          </w:tcPr>
          <w:p w14:paraId="3ECD2D4F">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71C0ACBA">
            <w:pPr>
              <w:widowControl/>
              <w:adjustRightInd w:val="0"/>
              <w:snapToGrid w:val="0"/>
              <w:spacing w:line="240" w:lineRule="auto"/>
              <w:ind w:left="-64" w:leftChars="-20" w:right="-64" w:rightChars="-20" w:firstLine="0"/>
              <w:jc w:val="center"/>
              <w:rPr>
                <w:rFonts w:eastAsiaTheme="minorEastAsia"/>
                <w:kern w:val="0"/>
                <w:sz w:val="21"/>
                <w:szCs w:val="21"/>
                <w:highlight w:val="none"/>
              </w:rPr>
            </w:pPr>
            <w:r>
              <w:rPr>
                <w:rFonts w:eastAsiaTheme="minorEastAsia"/>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24569498">
            <w:pPr>
              <w:widowControl/>
              <w:adjustRightInd w:val="0"/>
              <w:snapToGrid w:val="0"/>
              <w:spacing w:line="240" w:lineRule="auto"/>
              <w:ind w:left="-64" w:leftChars="-20" w:right="-64" w:rightChars="-20" w:firstLine="0"/>
              <w:jc w:val="center"/>
              <w:rPr>
                <w:rFonts w:hint="eastAsia" w:eastAsiaTheme="minorEastAsia"/>
                <w:kern w:val="0"/>
                <w:sz w:val="21"/>
                <w:szCs w:val="21"/>
                <w:highlight w:val="none"/>
                <w:lang w:eastAsia="zh-CN"/>
              </w:rPr>
            </w:pPr>
            <w:r>
              <w:rPr>
                <w:rFonts w:hint="eastAsia" w:eastAsiaTheme="minorEastAsia"/>
                <w:kern w:val="0"/>
                <w:sz w:val="21"/>
                <w:szCs w:val="21"/>
                <w:highlight w:val="none"/>
                <w:lang w:val="en-US" w:eastAsia="zh-CN"/>
              </w:rPr>
              <w:t>3</w:t>
            </w:r>
          </w:p>
        </w:tc>
      </w:tr>
      <w:tr w14:paraId="223E9A4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DBAAD00">
            <w:pPr>
              <w:widowControl/>
              <w:numPr>
                <w:ilvl w:val="0"/>
                <w:numId w:val="2"/>
              </w:numPr>
              <w:adjustRightInd w:val="0"/>
              <w:snapToGrid w:val="0"/>
              <w:spacing w:line="240" w:lineRule="auto"/>
              <w:ind w:left="425" w:leftChars="0" w:hanging="425" w:firstLineChars="0"/>
              <w:jc w:val="center"/>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73A84221">
            <w:pPr>
              <w:widowControl/>
              <w:adjustRightInd w:val="0"/>
              <w:snapToGrid w:val="0"/>
              <w:spacing w:line="240" w:lineRule="auto"/>
              <w:ind w:right="-64" w:rightChars="-20" w:firstLine="0"/>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中铁二十三局集团有限公司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076BEEC5">
            <w:pPr>
              <w:widowControl/>
              <w:adjustRightInd w:val="0"/>
              <w:snapToGrid w:val="0"/>
              <w:spacing w:line="240" w:lineRule="auto"/>
              <w:ind w:left="-64" w:leftChars="-20" w:right="-64" w:rightChars="-20" w:firstLine="0" w:firstLineChars="0"/>
              <w:jc w:val="center"/>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08C7E2EA">
            <w:pPr>
              <w:widowControl/>
              <w:adjustRightInd w:val="0"/>
              <w:snapToGrid w:val="0"/>
              <w:spacing w:line="240" w:lineRule="auto"/>
              <w:ind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59C26C">
            <w:pPr>
              <w:widowControl/>
              <w:adjustRightInd w:val="0"/>
              <w:snapToGrid w:val="0"/>
              <w:spacing w:line="240" w:lineRule="auto"/>
              <w:ind w:left="-64" w:leftChars="-20" w:right="-64" w:rightChars="-20" w:firstLine="0" w:firstLineChars="0"/>
              <w:jc w:val="center"/>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w:t>
            </w:r>
          </w:p>
        </w:tc>
        <w:tc>
          <w:tcPr>
            <w:tcW w:w="909" w:type="dxa"/>
            <w:tcBorders>
              <w:top w:val="single" w:color="auto" w:sz="4" w:space="0"/>
              <w:left w:val="single" w:color="auto" w:sz="4" w:space="0"/>
              <w:bottom w:val="single" w:color="auto" w:sz="4" w:space="0"/>
              <w:right w:val="single" w:color="auto" w:sz="4" w:space="0"/>
            </w:tcBorders>
            <w:vAlign w:val="center"/>
          </w:tcPr>
          <w:p w14:paraId="4449FB2D">
            <w:pPr>
              <w:widowControl/>
              <w:adjustRightInd w:val="0"/>
              <w:snapToGrid w:val="0"/>
              <w:spacing w:line="240" w:lineRule="auto"/>
              <w:ind w:left="-64" w:leftChars="-20" w:right="-64" w:rightChars="-20" w:firstLine="0"/>
              <w:jc w:val="center"/>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4</w:t>
            </w:r>
          </w:p>
        </w:tc>
      </w:tr>
      <w:tr w14:paraId="435DB92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20CB3B1">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val="0"/>
                <w:bCs w:val="0"/>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DC068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hint="eastAsia" w:eastAsiaTheme="minorEastAsia"/>
                <w:kern w:val="0"/>
                <w:sz w:val="21"/>
                <w:szCs w:val="21"/>
                <w:highlight w:val="none"/>
                <w:lang w:val="en-US" w:eastAsia="zh-CN"/>
              </w:rPr>
            </w:pPr>
            <w:r>
              <w:rPr>
                <w:rFonts w:hint="eastAsia" w:eastAsiaTheme="minorEastAsia"/>
                <w:kern w:val="0"/>
                <w:sz w:val="21"/>
                <w:szCs w:val="21"/>
                <w:highlight w:val="none"/>
                <w:lang w:val="en-US" w:eastAsia="zh-CN"/>
              </w:rPr>
              <w:t>中铁信托有限责任公司</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14:paraId="35499C3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国有企业</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14:paraId="68E0A9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64D2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kern w:val="0"/>
                <w:sz w:val="21"/>
                <w:szCs w:val="21"/>
                <w:highlight w:val="none"/>
                <w:lang w:val="en-US" w:eastAsia="zh-CN" w:bidi="ar-SA"/>
              </w:rPr>
            </w:pPr>
            <w:r>
              <w:rPr>
                <w:rFonts w:hint="eastAsia" w:cs="Times New Roman" w:eastAsiaTheme="minorEastAsia"/>
                <w:kern w:val="0"/>
                <w:sz w:val="21"/>
                <w:szCs w:val="21"/>
                <w:highlight w:val="none"/>
                <w:lang w:val="en-US" w:eastAsia="zh-CN" w:bidi="ar-SA"/>
              </w:rPr>
              <w:t>成都</w:t>
            </w:r>
          </w:p>
        </w:tc>
        <w:tc>
          <w:tcPr>
            <w:tcW w:w="909" w:type="dxa"/>
            <w:tcBorders>
              <w:top w:val="single" w:color="auto" w:sz="4" w:space="0"/>
              <w:left w:val="single" w:color="auto" w:sz="4" w:space="0"/>
              <w:bottom w:val="single" w:color="auto" w:sz="4" w:space="0"/>
              <w:right w:val="single" w:color="auto" w:sz="4" w:space="0"/>
            </w:tcBorders>
            <w:shd w:val="clear" w:color="auto" w:fill="auto"/>
            <w:vAlign w:val="center"/>
          </w:tcPr>
          <w:p w14:paraId="1B87CE7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Theme="minorEastAsia"/>
                <w:kern w:val="0"/>
                <w:sz w:val="21"/>
                <w:szCs w:val="21"/>
                <w:highlight w:val="none"/>
                <w:lang w:val="en-US" w:eastAsia="zh-CN"/>
              </w:rPr>
            </w:pPr>
            <w:r>
              <w:rPr>
                <w:rFonts w:hint="eastAsia" w:eastAsiaTheme="minorEastAsia"/>
                <w:kern w:val="0"/>
                <w:sz w:val="21"/>
                <w:szCs w:val="21"/>
                <w:highlight w:val="none"/>
                <w:lang w:val="en-US" w:eastAsia="zh-CN"/>
              </w:rPr>
              <w:t>6</w:t>
            </w:r>
          </w:p>
        </w:tc>
      </w:tr>
      <w:tr w14:paraId="2BE145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76B2D7D">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383E65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kern w:val="0"/>
                <w:sz w:val="21"/>
                <w:szCs w:val="21"/>
                <w:highlight w:val="none"/>
              </w:rPr>
            </w:pPr>
            <w:r>
              <w:rPr>
                <w:rFonts w:eastAsiaTheme="minorEastAsia"/>
                <w:kern w:val="0"/>
                <w:sz w:val="21"/>
                <w:szCs w:val="21"/>
                <w:highlight w:val="none"/>
              </w:rPr>
              <w:t>自贡市第四人民医院</w:t>
            </w:r>
          </w:p>
        </w:tc>
        <w:tc>
          <w:tcPr>
            <w:tcW w:w="1332" w:type="dxa"/>
            <w:tcBorders>
              <w:top w:val="single" w:color="auto" w:sz="4" w:space="0"/>
              <w:left w:val="single" w:color="auto" w:sz="4" w:space="0"/>
              <w:bottom w:val="single" w:color="auto" w:sz="4" w:space="0"/>
              <w:right w:val="single" w:color="auto" w:sz="4" w:space="0"/>
            </w:tcBorders>
            <w:vAlign w:val="center"/>
          </w:tcPr>
          <w:p w14:paraId="4760A5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sz w:val="21"/>
                <w:szCs w:val="21"/>
                <w:highlight w:val="none"/>
              </w:rPr>
            </w:pPr>
            <w:r>
              <w:rPr>
                <w:rFonts w:eastAsiaTheme="minorEastAsia"/>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3326F1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157F79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13C8AEB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kern w:val="0"/>
                <w:sz w:val="21"/>
                <w:szCs w:val="21"/>
                <w:highlight w:val="none"/>
              </w:rPr>
            </w:pPr>
            <w:r>
              <w:rPr>
                <w:rFonts w:eastAsiaTheme="minorEastAsia"/>
                <w:kern w:val="0"/>
                <w:sz w:val="21"/>
                <w:szCs w:val="21"/>
                <w:highlight w:val="none"/>
              </w:rPr>
              <w:t>6</w:t>
            </w:r>
          </w:p>
        </w:tc>
      </w:tr>
      <w:tr w14:paraId="0F4853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7A3CE48">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017350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自贡市第一人民医院</w:t>
            </w:r>
          </w:p>
        </w:tc>
        <w:tc>
          <w:tcPr>
            <w:tcW w:w="1332" w:type="dxa"/>
            <w:tcBorders>
              <w:top w:val="single" w:color="auto" w:sz="4" w:space="0"/>
              <w:left w:val="single" w:color="auto" w:sz="4" w:space="0"/>
              <w:bottom w:val="single" w:color="auto" w:sz="4" w:space="0"/>
              <w:right w:val="single" w:color="auto" w:sz="4" w:space="0"/>
            </w:tcBorders>
            <w:vAlign w:val="center"/>
          </w:tcPr>
          <w:p w14:paraId="06A56DF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sz w:val="21"/>
                <w:szCs w:val="21"/>
                <w:highlight w:val="none"/>
              </w:rPr>
            </w:pPr>
            <w:r>
              <w:rPr>
                <w:rFonts w:eastAsiaTheme="minorEastAsia"/>
                <w:color w:val="auto"/>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4E44E7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35B194C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1E4BBD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3</w:t>
            </w:r>
          </w:p>
        </w:tc>
      </w:tr>
      <w:tr w14:paraId="60B9558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A61427C">
            <w:pPr>
              <w:widowControl/>
              <w:numPr>
                <w:ilvl w:val="0"/>
                <w:numId w:val="2"/>
              </w:numPr>
              <w:adjustRightInd w:val="0"/>
              <w:snapToGrid w:val="0"/>
              <w:spacing w:line="240" w:lineRule="auto"/>
              <w:ind w:left="425" w:leftChars="0" w:hanging="425" w:firstLineChars="0"/>
              <w:jc w:val="center"/>
              <w:rPr>
                <w:rFonts w:hint="default" w:eastAsiaTheme="minorEastAsia"/>
                <w:b/>
                <w:bCs/>
                <w:kern w:val="0"/>
                <w:sz w:val="21"/>
                <w:szCs w:val="21"/>
                <w:lang w:val="en-US" w:eastAsia="zh-CN"/>
              </w:rPr>
            </w:pPr>
          </w:p>
        </w:tc>
        <w:tc>
          <w:tcPr>
            <w:tcW w:w="3806" w:type="dxa"/>
            <w:tcBorders>
              <w:top w:val="single" w:color="auto" w:sz="4" w:space="0"/>
              <w:left w:val="single" w:color="auto" w:sz="4" w:space="0"/>
              <w:bottom w:val="single" w:color="auto" w:sz="4" w:space="0"/>
              <w:right w:val="single" w:color="auto" w:sz="4" w:space="0"/>
            </w:tcBorders>
            <w:vAlign w:val="center"/>
          </w:tcPr>
          <w:p w14:paraId="5E91D0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textAlignment w:val="auto"/>
              <w:rPr>
                <w:rFonts w:eastAsiaTheme="minorEastAsia"/>
                <w:color w:val="auto"/>
                <w:kern w:val="0"/>
                <w:sz w:val="21"/>
                <w:szCs w:val="21"/>
                <w:highlight w:val="none"/>
              </w:rPr>
            </w:pPr>
            <w:r>
              <w:rPr>
                <w:rFonts w:eastAsiaTheme="minorEastAsia"/>
                <w:color w:val="auto"/>
                <w:kern w:val="0"/>
                <w:sz w:val="21"/>
                <w:szCs w:val="21"/>
                <w:highlight w:val="none"/>
              </w:rPr>
              <w:t>自贡市精神卫生中心</w:t>
            </w:r>
          </w:p>
        </w:tc>
        <w:tc>
          <w:tcPr>
            <w:tcW w:w="1332" w:type="dxa"/>
            <w:tcBorders>
              <w:top w:val="single" w:color="auto" w:sz="4" w:space="0"/>
              <w:left w:val="single" w:color="auto" w:sz="4" w:space="0"/>
              <w:bottom w:val="single" w:color="auto" w:sz="4" w:space="0"/>
              <w:right w:val="single" w:color="auto" w:sz="4" w:space="0"/>
            </w:tcBorders>
            <w:vAlign w:val="center"/>
          </w:tcPr>
          <w:p w14:paraId="1628DD3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sz w:val="21"/>
                <w:szCs w:val="21"/>
                <w:highlight w:val="none"/>
              </w:rPr>
              <w:t>医疗机构</w:t>
            </w:r>
          </w:p>
        </w:tc>
        <w:tc>
          <w:tcPr>
            <w:tcW w:w="1524" w:type="dxa"/>
            <w:tcBorders>
              <w:top w:val="single" w:color="auto" w:sz="4" w:space="0"/>
              <w:left w:val="single" w:color="auto" w:sz="4" w:space="0"/>
              <w:bottom w:val="single" w:color="auto" w:sz="4" w:space="0"/>
              <w:right w:val="single" w:color="auto" w:sz="4" w:space="0"/>
            </w:tcBorders>
            <w:vAlign w:val="center"/>
          </w:tcPr>
          <w:p w14:paraId="7A7128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创新实践基地</w:t>
            </w:r>
          </w:p>
        </w:tc>
        <w:tc>
          <w:tcPr>
            <w:tcW w:w="1476" w:type="dxa"/>
            <w:tcBorders>
              <w:top w:val="single" w:color="auto" w:sz="4" w:space="0"/>
              <w:left w:val="single" w:color="auto" w:sz="4" w:space="0"/>
              <w:bottom w:val="single" w:color="auto" w:sz="4" w:space="0"/>
              <w:right w:val="single" w:color="auto" w:sz="4" w:space="0"/>
            </w:tcBorders>
            <w:noWrap/>
            <w:vAlign w:val="center"/>
          </w:tcPr>
          <w:p w14:paraId="0FCFF4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自贡</w:t>
            </w:r>
          </w:p>
        </w:tc>
        <w:tc>
          <w:tcPr>
            <w:tcW w:w="909" w:type="dxa"/>
            <w:tcBorders>
              <w:top w:val="single" w:color="auto" w:sz="4" w:space="0"/>
              <w:left w:val="single" w:color="auto" w:sz="4" w:space="0"/>
              <w:bottom w:val="single" w:color="auto" w:sz="4" w:space="0"/>
              <w:right w:val="single" w:color="auto" w:sz="4" w:space="0"/>
            </w:tcBorders>
            <w:vAlign w:val="center"/>
          </w:tcPr>
          <w:p w14:paraId="1D1CAD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Theme="minorEastAsia"/>
                <w:color w:val="auto"/>
                <w:kern w:val="0"/>
                <w:sz w:val="21"/>
                <w:szCs w:val="21"/>
                <w:highlight w:val="none"/>
                <w:lang w:eastAsia="zh-CN"/>
              </w:rPr>
            </w:pPr>
            <w:r>
              <w:rPr>
                <w:rFonts w:hint="eastAsia" w:eastAsiaTheme="minorEastAsia"/>
                <w:color w:val="auto"/>
                <w:kern w:val="0"/>
                <w:sz w:val="21"/>
                <w:szCs w:val="21"/>
                <w:highlight w:val="none"/>
                <w:lang w:val="en-US" w:eastAsia="zh-CN"/>
              </w:rPr>
              <w:t>1</w:t>
            </w:r>
          </w:p>
        </w:tc>
      </w:tr>
    </w:tbl>
    <w:p w14:paraId="157DA4D6">
      <w:pPr>
        <w:pStyle w:val="5"/>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pPr>
      <w:r>
        <w:br w:type="page"/>
      </w:r>
      <w:bookmarkStart w:id="5" w:name="_Toc317"/>
    </w:p>
    <w:p w14:paraId="21109CFF">
      <w:pPr>
        <w:pStyle w:val="5"/>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eastAsia" w:ascii="方正小标宋简体" w:hAnsi="方正小标宋简体" w:eastAsia="方正小标宋简体" w:cs="方正小标宋简体"/>
          <w:spacing w:val="0"/>
          <w:sz w:val="44"/>
          <w:szCs w:val="44"/>
          <w:lang w:val="en-US" w:eastAsia="zh-CN"/>
        </w:rPr>
      </w:pPr>
      <w:bookmarkStart w:id="6" w:name="_Toc18474"/>
      <w:bookmarkStart w:id="7" w:name="_Toc14601"/>
      <w:bookmarkStart w:id="8" w:name="_Toc26448"/>
      <w:r>
        <w:rPr>
          <w:rFonts w:hint="eastAsia" w:ascii="方正小标宋简体" w:hAnsi="方正小标宋简体" w:eastAsia="方正小标宋简体" w:cs="方正小标宋简体"/>
          <w:spacing w:val="0"/>
          <w:sz w:val="44"/>
          <w:szCs w:val="44"/>
        </w:rPr>
        <w:t>202</w:t>
      </w:r>
      <w:r>
        <w:rPr>
          <w:rFonts w:hint="eastAsia" w:ascii="方正小标宋简体" w:hAnsi="方正小标宋简体" w:eastAsia="方正小标宋简体" w:cs="方正小标宋简体"/>
          <w:spacing w:val="0"/>
          <w:sz w:val="44"/>
          <w:szCs w:val="44"/>
          <w:lang w:val="en-US" w:eastAsia="zh-CN"/>
        </w:rPr>
        <w:t>5</w:t>
      </w:r>
      <w:r>
        <w:rPr>
          <w:rFonts w:hint="eastAsia" w:ascii="方正小标宋简体" w:hAnsi="方正小标宋简体" w:eastAsia="方正小标宋简体" w:cs="方正小标宋简体"/>
          <w:spacing w:val="0"/>
          <w:sz w:val="44"/>
          <w:szCs w:val="44"/>
        </w:rPr>
        <w:t>年四川省</w:t>
      </w:r>
      <w:r>
        <w:rPr>
          <w:rFonts w:hint="eastAsia" w:ascii="方正小标宋简体" w:hAnsi="方正小标宋简体" w:eastAsia="方正小标宋简体" w:cs="方正小标宋简体"/>
          <w:spacing w:val="0"/>
          <w:sz w:val="44"/>
          <w:szCs w:val="44"/>
          <w:lang w:val="en-US" w:eastAsia="zh-CN"/>
        </w:rPr>
        <w:t>招引</w:t>
      </w:r>
      <w:r>
        <w:rPr>
          <w:rFonts w:hint="eastAsia" w:ascii="方正小标宋简体" w:hAnsi="方正小标宋简体" w:eastAsia="方正小标宋简体" w:cs="方正小标宋简体"/>
          <w:spacing w:val="0"/>
          <w:sz w:val="44"/>
          <w:szCs w:val="44"/>
        </w:rPr>
        <w:t>博士</w:t>
      </w:r>
      <w:r>
        <w:rPr>
          <w:rFonts w:hint="eastAsia" w:ascii="方正小标宋简体" w:hAnsi="方正小标宋简体" w:eastAsia="方正小标宋简体" w:cs="方正小标宋简体"/>
          <w:spacing w:val="0"/>
          <w:sz w:val="44"/>
          <w:szCs w:val="44"/>
          <w:lang w:val="en-US" w:eastAsia="zh-CN"/>
        </w:rPr>
        <w:t>进站</w:t>
      </w:r>
      <w:r>
        <w:rPr>
          <w:rFonts w:hint="eastAsia" w:ascii="方正小标宋简体" w:hAnsi="方正小标宋简体" w:eastAsia="方正小标宋简体" w:cs="方正小标宋简体"/>
          <w:spacing w:val="0"/>
          <w:sz w:val="44"/>
          <w:szCs w:val="44"/>
        </w:rPr>
        <w:t>设站单位</w:t>
      </w:r>
      <w:r>
        <w:rPr>
          <w:rFonts w:hint="eastAsia" w:ascii="方正小标宋简体" w:hAnsi="方正小标宋简体" w:eastAsia="方正小标宋简体" w:cs="方正小标宋简体"/>
          <w:spacing w:val="0"/>
          <w:sz w:val="44"/>
          <w:szCs w:val="44"/>
          <w:lang w:val="en-US" w:eastAsia="zh-CN"/>
        </w:rPr>
        <w:t>联系方式</w:t>
      </w:r>
      <w:bookmarkEnd w:id="5"/>
      <w:bookmarkEnd w:id="6"/>
      <w:bookmarkEnd w:id="7"/>
      <w:bookmarkEnd w:id="8"/>
    </w:p>
    <w:p w14:paraId="314E3E8C">
      <w:pPr>
        <w:pStyle w:val="5"/>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方正小标宋简体" w:hAnsi="方正小标宋简体" w:eastAsia="方正小标宋简体" w:cs="方正小标宋简体"/>
          <w:spacing w:val="-10"/>
          <w:sz w:val="21"/>
          <w:szCs w:val="21"/>
          <w:lang w:val="en-US" w:eastAsia="zh-CN"/>
        </w:rPr>
      </w:pP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080"/>
        <w:gridCol w:w="1282"/>
        <w:gridCol w:w="3127"/>
        <w:gridCol w:w="1563"/>
      </w:tblGrid>
      <w:tr w14:paraId="4284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33B43CC4">
            <w:pPr>
              <w:widowControl/>
              <w:adjustRightInd w:val="0"/>
              <w:snapToGrid w:val="0"/>
              <w:spacing w:line="240" w:lineRule="auto"/>
              <w:ind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6BE67379">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44CFA428">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1AD8BF38">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470663AC">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rPr>
            </w:pPr>
            <w:r>
              <w:rPr>
                <w:rFonts w:hint="eastAsia" w:asciiTheme="minorEastAsia" w:hAnsiTheme="minorEastAsia" w:eastAsiaTheme="minorEastAsia" w:cstheme="minorEastAsia"/>
                <w:b/>
                <w:bCs/>
                <w:kern w:val="0"/>
                <w:sz w:val="21"/>
                <w:szCs w:val="21"/>
                <w:lang w:val="en-US" w:eastAsia="zh-CN"/>
              </w:rPr>
              <w:t>座机</w:t>
            </w:r>
          </w:p>
        </w:tc>
      </w:tr>
      <w:tr w14:paraId="4364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2504ED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6B860B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成都理工大学</w:t>
            </w:r>
          </w:p>
        </w:tc>
        <w:tc>
          <w:tcPr>
            <w:tcW w:w="1308" w:type="dxa"/>
            <w:shd w:val="clear" w:color="auto" w:fill="auto"/>
            <w:vAlign w:val="center"/>
          </w:tcPr>
          <w:p w14:paraId="68C58BB4">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张丹阳</w:t>
            </w:r>
          </w:p>
        </w:tc>
        <w:tc>
          <w:tcPr>
            <w:tcW w:w="3199" w:type="dxa"/>
            <w:shd w:val="clear" w:color="auto" w:fill="auto"/>
            <w:vAlign w:val="center"/>
          </w:tcPr>
          <w:p w14:paraId="5C548CA6">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eastAsia"/>
                <w:sz w:val="21"/>
                <w:szCs w:val="21"/>
                <w:lang w:val="en-US" w:eastAsia="zh-CN"/>
              </w:rPr>
              <w:t>postdoc@cdut.edu.cn</w:t>
            </w:r>
          </w:p>
        </w:tc>
        <w:tc>
          <w:tcPr>
            <w:tcW w:w="1596" w:type="dxa"/>
            <w:shd w:val="clear" w:color="auto" w:fill="auto"/>
            <w:vAlign w:val="center"/>
          </w:tcPr>
          <w:p w14:paraId="6943FFC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028-84078792</w:t>
            </w:r>
          </w:p>
        </w:tc>
      </w:tr>
      <w:tr w14:paraId="1C6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D95EA0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80DD5C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成都体育学院</w:t>
            </w:r>
          </w:p>
        </w:tc>
        <w:tc>
          <w:tcPr>
            <w:tcW w:w="1308" w:type="dxa"/>
            <w:shd w:val="clear" w:color="auto" w:fill="auto"/>
            <w:vAlign w:val="center"/>
          </w:tcPr>
          <w:p w14:paraId="55F991F4">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张宝华</w:t>
            </w:r>
          </w:p>
        </w:tc>
        <w:tc>
          <w:tcPr>
            <w:tcW w:w="3199" w:type="dxa"/>
            <w:shd w:val="clear" w:color="auto" w:fill="auto"/>
            <w:vAlign w:val="center"/>
          </w:tcPr>
          <w:p w14:paraId="2C224A83">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85418448@qq.com</w:t>
            </w:r>
          </w:p>
        </w:tc>
        <w:tc>
          <w:tcPr>
            <w:tcW w:w="1596" w:type="dxa"/>
            <w:shd w:val="clear" w:color="auto" w:fill="auto"/>
            <w:vAlign w:val="center"/>
          </w:tcPr>
          <w:p w14:paraId="075E4C1D">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028-85053215</w:t>
            </w:r>
          </w:p>
        </w:tc>
      </w:tr>
      <w:tr w14:paraId="27D8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128A2C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42ECD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成都中医药大学</w:t>
            </w:r>
          </w:p>
        </w:tc>
        <w:tc>
          <w:tcPr>
            <w:tcW w:w="1308" w:type="dxa"/>
            <w:shd w:val="clear" w:color="auto" w:fill="auto"/>
            <w:vAlign w:val="center"/>
          </w:tcPr>
          <w:p w14:paraId="4E1B196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eastAsia="zh-CN"/>
              </w:rPr>
              <w:t>谭</w:t>
            </w:r>
            <w:r>
              <w:rPr>
                <w:rFonts w:hint="eastAsia" w:ascii="Times New Roman" w:hAnsi="Times New Roman"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lang w:eastAsia="zh-CN"/>
              </w:rPr>
              <w:t>靓</w:t>
            </w:r>
          </w:p>
        </w:tc>
        <w:tc>
          <w:tcPr>
            <w:tcW w:w="3199" w:type="dxa"/>
            <w:shd w:val="clear" w:color="auto" w:fill="auto"/>
            <w:vAlign w:val="center"/>
          </w:tcPr>
          <w:p w14:paraId="2B250226">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eastAsia"/>
                <w:sz w:val="21"/>
                <w:szCs w:val="21"/>
                <w:lang w:val="en-US" w:eastAsia="zh-CN"/>
              </w:rPr>
              <w:t>tanliang@cdutcm.edu.cn</w:t>
            </w:r>
          </w:p>
        </w:tc>
        <w:tc>
          <w:tcPr>
            <w:tcW w:w="1596" w:type="dxa"/>
            <w:shd w:val="clear" w:color="auto" w:fill="auto"/>
            <w:vAlign w:val="center"/>
          </w:tcPr>
          <w:p w14:paraId="1B77F73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028-61800045</w:t>
            </w:r>
          </w:p>
        </w:tc>
      </w:tr>
      <w:tr w14:paraId="553E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944F5F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294FE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电子科技大学</w:t>
            </w:r>
          </w:p>
        </w:tc>
        <w:tc>
          <w:tcPr>
            <w:tcW w:w="1308" w:type="dxa"/>
            <w:shd w:val="clear" w:color="auto" w:fill="auto"/>
            <w:vAlign w:val="center"/>
          </w:tcPr>
          <w:p w14:paraId="1463C6F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李文翻</w:t>
            </w:r>
          </w:p>
        </w:tc>
        <w:tc>
          <w:tcPr>
            <w:tcW w:w="3199" w:type="dxa"/>
            <w:shd w:val="clear" w:color="auto" w:fill="auto"/>
            <w:vAlign w:val="center"/>
          </w:tcPr>
          <w:p w14:paraId="149C8B2E">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sz w:val="21"/>
                <w:szCs w:val="21"/>
              </w:rPr>
              <w:t>postdoctor@uestc.edu.cn</w:t>
            </w:r>
          </w:p>
        </w:tc>
        <w:tc>
          <w:tcPr>
            <w:tcW w:w="1596" w:type="dxa"/>
            <w:shd w:val="clear" w:color="auto" w:fill="auto"/>
            <w:vAlign w:val="center"/>
          </w:tcPr>
          <w:p w14:paraId="62F807A8">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028-61830536</w:t>
            </w:r>
          </w:p>
        </w:tc>
      </w:tr>
      <w:tr w14:paraId="46BF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96FB41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FB7E0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核工业西南物理研究院</w:t>
            </w:r>
          </w:p>
        </w:tc>
        <w:tc>
          <w:tcPr>
            <w:tcW w:w="1308" w:type="dxa"/>
            <w:shd w:val="clear" w:color="auto" w:fill="auto"/>
            <w:vAlign w:val="center"/>
          </w:tcPr>
          <w:p w14:paraId="370ADAD4">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李云峰</w:t>
            </w:r>
          </w:p>
        </w:tc>
        <w:tc>
          <w:tcPr>
            <w:tcW w:w="3199" w:type="dxa"/>
            <w:shd w:val="clear" w:color="auto" w:fill="auto"/>
            <w:vAlign w:val="center"/>
          </w:tcPr>
          <w:p w14:paraId="4FC89D7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eastAsia"/>
                <w:sz w:val="21"/>
                <w:szCs w:val="21"/>
                <w:lang w:val="en-US" w:eastAsia="zh-CN"/>
              </w:rPr>
              <w:t>liyunfenghrb@163.com</w:t>
            </w:r>
          </w:p>
        </w:tc>
        <w:tc>
          <w:tcPr>
            <w:tcW w:w="1596" w:type="dxa"/>
            <w:shd w:val="clear" w:color="auto" w:fill="auto"/>
            <w:vAlign w:val="center"/>
          </w:tcPr>
          <w:p w14:paraId="215E021C">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028-82850048</w:t>
            </w:r>
          </w:p>
        </w:tc>
      </w:tr>
      <w:tr w14:paraId="34C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0018B2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FE99CE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四川大学</w:t>
            </w:r>
          </w:p>
        </w:tc>
        <w:tc>
          <w:tcPr>
            <w:tcW w:w="1308" w:type="dxa"/>
            <w:shd w:val="clear" w:color="auto" w:fill="auto"/>
            <w:vAlign w:val="center"/>
          </w:tcPr>
          <w:p w14:paraId="4DD201B5">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徐老师</w:t>
            </w:r>
          </w:p>
        </w:tc>
        <w:tc>
          <w:tcPr>
            <w:tcW w:w="3199" w:type="dxa"/>
            <w:shd w:val="clear" w:color="auto" w:fill="auto"/>
            <w:vAlign w:val="center"/>
          </w:tcPr>
          <w:p w14:paraId="2AD1D06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qnjsk@scu.edu.cn</w:t>
            </w:r>
          </w:p>
        </w:tc>
        <w:tc>
          <w:tcPr>
            <w:tcW w:w="1596" w:type="dxa"/>
            <w:shd w:val="clear" w:color="auto" w:fill="auto"/>
            <w:vAlign w:val="center"/>
          </w:tcPr>
          <w:p w14:paraId="5DC53E4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lang w:val="en-US" w:eastAsia="zh-CN"/>
              </w:rPr>
              <w:t>028-85403799</w:t>
            </w:r>
          </w:p>
        </w:tc>
      </w:tr>
      <w:tr w14:paraId="6C70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00B3DC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42E839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四川农业大学</w:t>
            </w:r>
          </w:p>
        </w:tc>
        <w:tc>
          <w:tcPr>
            <w:tcW w:w="1308" w:type="dxa"/>
            <w:shd w:val="clear" w:color="auto" w:fill="auto"/>
            <w:vAlign w:val="center"/>
          </w:tcPr>
          <w:p w14:paraId="621B0DEE">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张荣萍</w:t>
            </w:r>
          </w:p>
        </w:tc>
        <w:tc>
          <w:tcPr>
            <w:tcW w:w="3199" w:type="dxa"/>
            <w:shd w:val="clear" w:color="auto" w:fill="auto"/>
            <w:vAlign w:val="center"/>
          </w:tcPr>
          <w:p w14:paraId="2C260FD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1139251750@qq.com</w:t>
            </w:r>
          </w:p>
        </w:tc>
        <w:tc>
          <w:tcPr>
            <w:tcW w:w="1596" w:type="dxa"/>
            <w:shd w:val="clear" w:color="auto" w:fill="auto"/>
            <w:vAlign w:val="center"/>
          </w:tcPr>
          <w:p w14:paraId="262FDC22">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028-86293190</w:t>
            </w:r>
          </w:p>
        </w:tc>
      </w:tr>
      <w:tr w14:paraId="3233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EA2E4E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B600EF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四川师范大学</w:t>
            </w:r>
          </w:p>
        </w:tc>
        <w:tc>
          <w:tcPr>
            <w:tcW w:w="1308" w:type="dxa"/>
            <w:shd w:val="clear" w:color="auto" w:fill="auto"/>
            <w:vAlign w:val="center"/>
          </w:tcPr>
          <w:p w14:paraId="31BB4CA5">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杨</w:t>
            </w:r>
            <w:r>
              <w:rPr>
                <w:rFonts w:hint="eastAsia" w:ascii="Times New Roman" w:hAnsi="Times New Roman"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rPr>
              <w:t>方</w:t>
            </w:r>
          </w:p>
        </w:tc>
        <w:tc>
          <w:tcPr>
            <w:tcW w:w="3199" w:type="dxa"/>
            <w:shd w:val="clear" w:color="auto" w:fill="auto"/>
            <w:vAlign w:val="center"/>
          </w:tcPr>
          <w:p w14:paraId="1D76B79B">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819361289@qq.com</w:t>
            </w:r>
          </w:p>
        </w:tc>
        <w:tc>
          <w:tcPr>
            <w:tcW w:w="1596" w:type="dxa"/>
            <w:shd w:val="clear" w:color="auto" w:fill="auto"/>
            <w:vAlign w:val="center"/>
          </w:tcPr>
          <w:p w14:paraId="46B4DDA5">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028-84761910</w:t>
            </w:r>
          </w:p>
        </w:tc>
      </w:tr>
      <w:tr w14:paraId="3535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0F746A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349F6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西南财经大学</w:t>
            </w:r>
          </w:p>
        </w:tc>
        <w:tc>
          <w:tcPr>
            <w:tcW w:w="1308" w:type="dxa"/>
            <w:shd w:val="clear" w:color="auto" w:fill="auto"/>
            <w:vAlign w:val="center"/>
          </w:tcPr>
          <w:p w14:paraId="3653A0E8">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rPr>
              <w:t>严</w:t>
            </w:r>
            <w:r>
              <w:rPr>
                <w:rFonts w:hint="eastAsia" w:ascii="Times New Roman" w:hAnsi="Times New Roman" w:cs="Times New Roman" w:eastAsiaTheme="minorEastAsia"/>
                <w:b w:val="0"/>
                <w:bCs w:val="0"/>
                <w:sz w:val="21"/>
                <w:szCs w:val="21"/>
                <w:lang w:val="en-US" w:eastAsia="zh-CN"/>
              </w:rPr>
              <w:t xml:space="preserve">  </w:t>
            </w:r>
            <w:r>
              <w:rPr>
                <w:rFonts w:hint="eastAsia" w:ascii="Times New Roman" w:hAnsi="Times New Roman" w:cs="Times New Roman" w:eastAsiaTheme="minorEastAsia"/>
                <w:b w:val="0"/>
                <w:bCs w:val="0"/>
                <w:sz w:val="21"/>
                <w:szCs w:val="21"/>
              </w:rPr>
              <w:t>沁</w:t>
            </w:r>
          </w:p>
        </w:tc>
        <w:tc>
          <w:tcPr>
            <w:tcW w:w="3199" w:type="dxa"/>
            <w:shd w:val="clear" w:color="auto" w:fill="auto"/>
            <w:vAlign w:val="center"/>
          </w:tcPr>
          <w:p w14:paraId="69F3CAFB">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sz w:val="21"/>
                <w:szCs w:val="21"/>
              </w:rPr>
              <w:t>yanq@swufe.edu.cn</w:t>
            </w:r>
          </w:p>
        </w:tc>
        <w:tc>
          <w:tcPr>
            <w:tcW w:w="1596" w:type="dxa"/>
            <w:shd w:val="clear" w:color="auto" w:fill="auto"/>
            <w:vAlign w:val="center"/>
          </w:tcPr>
          <w:p w14:paraId="7F2C617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rPr>
              <w:t>028-87092571</w:t>
            </w:r>
          </w:p>
        </w:tc>
      </w:tr>
      <w:tr w14:paraId="242F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492234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A028B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西南交通大学</w:t>
            </w:r>
          </w:p>
        </w:tc>
        <w:tc>
          <w:tcPr>
            <w:tcW w:w="1308" w:type="dxa"/>
            <w:shd w:val="clear" w:color="auto" w:fill="auto"/>
            <w:vAlign w:val="center"/>
          </w:tcPr>
          <w:p w14:paraId="64D8B24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黄兆国</w:t>
            </w:r>
          </w:p>
        </w:tc>
        <w:tc>
          <w:tcPr>
            <w:tcW w:w="3199" w:type="dxa"/>
            <w:shd w:val="clear" w:color="auto" w:fill="auto"/>
            <w:vAlign w:val="center"/>
          </w:tcPr>
          <w:p w14:paraId="60FDF11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bgb@swjtu.edu.cn</w:t>
            </w:r>
          </w:p>
        </w:tc>
        <w:tc>
          <w:tcPr>
            <w:tcW w:w="1596" w:type="dxa"/>
            <w:shd w:val="clear" w:color="auto" w:fill="auto"/>
            <w:vAlign w:val="center"/>
          </w:tcPr>
          <w:p w14:paraId="620FC56B">
            <w:pPr>
              <w:widowControl/>
              <w:adjustRightInd w:val="0"/>
              <w:snapToGrid w:val="0"/>
              <w:spacing w:line="240" w:lineRule="auto"/>
              <w:ind w:firstLine="0" w:firstLineChars="0"/>
              <w:jc w:val="center"/>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sz w:val="21"/>
                <w:szCs w:val="21"/>
              </w:rPr>
              <w:t>028-66367210</w:t>
            </w:r>
          </w:p>
        </w:tc>
      </w:tr>
      <w:tr w14:paraId="56F9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99876A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E921C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西南科技大学</w:t>
            </w:r>
          </w:p>
        </w:tc>
        <w:tc>
          <w:tcPr>
            <w:tcW w:w="1308" w:type="dxa"/>
            <w:shd w:val="clear" w:color="auto" w:fill="auto"/>
            <w:vAlign w:val="center"/>
          </w:tcPr>
          <w:p w14:paraId="3D1107C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sz w:val="21"/>
                <w:szCs w:val="21"/>
                <w:lang w:val="en-US" w:eastAsia="zh-CN"/>
              </w:rPr>
              <w:t>李</w:t>
            </w:r>
            <w:r>
              <w:rPr>
                <w:rFonts w:hint="eastAsia" w:ascii="Times New Roman" w:hAnsi="Times New Roman"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lang w:val="en-US" w:eastAsia="zh-CN"/>
              </w:rPr>
              <w:t>豪</w:t>
            </w:r>
          </w:p>
        </w:tc>
        <w:tc>
          <w:tcPr>
            <w:tcW w:w="3199" w:type="dxa"/>
            <w:shd w:val="clear" w:color="auto" w:fill="auto"/>
            <w:vAlign w:val="center"/>
          </w:tcPr>
          <w:p w14:paraId="4D16384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bidi="ar-SA"/>
              </w:rPr>
            </w:pPr>
            <w:r>
              <w:rPr>
                <w:rFonts w:hint="default" w:ascii="Times New Roman" w:hAnsi="Times New Roman" w:eastAsia="仿宋" w:cs="Times New Roman"/>
                <w:sz w:val="21"/>
                <w:szCs w:val="21"/>
                <w:lang w:val="en-US" w:eastAsia="zh-CN"/>
              </w:rPr>
              <w:t>swustpostdoctor@swust.edu.cn</w:t>
            </w:r>
          </w:p>
        </w:tc>
        <w:tc>
          <w:tcPr>
            <w:tcW w:w="1596" w:type="dxa"/>
            <w:shd w:val="clear" w:color="auto" w:fill="auto"/>
            <w:vAlign w:val="center"/>
          </w:tcPr>
          <w:p w14:paraId="3F7534F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sz w:val="21"/>
                <w:szCs w:val="21"/>
                <w:lang w:val="en-US" w:eastAsia="zh-CN"/>
              </w:rPr>
              <w:t>0816-6089093</w:t>
            </w:r>
          </w:p>
        </w:tc>
      </w:tr>
      <w:tr w14:paraId="065A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6D1FBA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6DA8F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西南民族大学</w:t>
            </w:r>
          </w:p>
        </w:tc>
        <w:tc>
          <w:tcPr>
            <w:tcW w:w="1308" w:type="dxa"/>
            <w:shd w:val="clear" w:color="auto" w:fill="auto"/>
            <w:vAlign w:val="center"/>
          </w:tcPr>
          <w:p w14:paraId="5BB56AF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王老师</w:t>
            </w:r>
          </w:p>
        </w:tc>
        <w:tc>
          <w:tcPr>
            <w:tcW w:w="3199" w:type="dxa"/>
            <w:shd w:val="clear" w:color="auto" w:fill="auto"/>
            <w:vAlign w:val="center"/>
          </w:tcPr>
          <w:p w14:paraId="31E7FD4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w:t>
            </w:r>
            <w:r>
              <w:rPr>
                <w:rFonts w:hint="default" w:ascii="Times New Roman" w:hAnsi="Times New Roman" w:cs="Times New Roman" w:eastAsiaTheme="minorEastAsia"/>
                <w:b w:val="0"/>
                <w:bCs w:val="0"/>
                <w:sz w:val="21"/>
                <w:szCs w:val="21"/>
                <w:lang w:val="en-US" w:eastAsia="zh-CN"/>
              </w:rPr>
              <w:t>239886724@qq.com</w:t>
            </w:r>
          </w:p>
        </w:tc>
        <w:tc>
          <w:tcPr>
            <w:tcW w:w="1596" w:type="dxa"/>
            <w:shd w:val="clear" w:color="auto" w:fill="auto"/>
            <w:vAlign w:val="center"/>
          </w:tcPr>
          <w:p w14:paraId="6F6BDB7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w:t>
            </w:r>
            <w:r>
              <w:rPr>
                <w:rFonts w:hint="default" w:ascii="Times New Roman" w:hAnsi="Times New Roman" w:cs="Times New Roman" w:eastAsiaTheme="minorEastAsia"/>
                <w:b w:val="0"/>
                <w:bCs w:val="0"/>
                <w:sz w:val="21"/>
                <w:szCs w:val="21"/>
                <w:lang w:val="en-US" w:eastAsia="zh-CN"/>
              </w:rPr>
              <w:t>28-85522070</w:t>
            </w:r>
          </w:p>
        </w:tc>
      </w:tr>
      <w:tr w14:paraId="5C89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6565FD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E83DD4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西南石油大学</w:t>
            </w:r>
          </w:p>
        </w:tc>
        <w:tc>
          <w:tcPr>
            <w:tcW w:w="1308" w:type="dxa"/>
            <w:shd w:val="clear" w:color="auto" w:fill="auto"/>
            <w:vAlign w:val="center"/>
          </w:tcPr>
          <w:p w14:paraId="6E873D9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代燕飞</w:t>
            </w:r>
          </w:p>
        </w:tc>
        <w:tc>
          <w:tcPr>
            <w:tcW w:w="3199" w:type="dxa"/>
            <w:shd w:val="clear" w:color="auto" w:fill="auto"/>
            <w:vAlign w:val="center"/>
          </w:tcPr>
          <w:p w14:paraId="4F05919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327208836@qq.com</w:t>
            </w:r>
          </w:p>
        </w:tc>
        <w:tc>
          <w:tcPr>
            <w:tcW w:w="1596" w:type="dxa"/>
            <w:shd w:val="clear" w:color="auto" w:fill="auto"/>
            <w:vAlign w:val="center"/>
          </w:tcPr>
          <w:p w14:paraId="666D0ED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w:t>
            </w:r>
            <w:r>
              <w:rPr>
                <w:rFonts w:hint="default" w:ascii="Times New Roman" w:hAnsi="Times New Roman" w:cs="Times New Roman" w:eastAsiaTheme="minorEastAsia"/>
                <w:b w:val="0"/>
                <w:bCs w:val="0"/>
                <w:sz w:val="21"/>
                <w:szCs w:val="21"/>
                <w:lang w:val="en-US" w:eastAsia="zh-CN"/>
              </w:rPr>
              <w:t>28</w:t>
            </w:r>
            <w:r>
              <w:rPr>
                <w:rFonts w:hint="eastAsia" w:ascii="Times New Roman" w:hAnsi="Times New Roman" w:cs="Times New Roman" w:eastAsiaTheme="minorEastAsia"/>
                <w:b w:val="0"/>
                <w:bCs w:val="0"/>
                <w:sz w:val="21"/>
                <w:szCs w:val="21"/>
                <w:lang w:val="en-US" w:eastAsia="zh-CN"/>
              </w:rPr>
              <w:t>-</w:t>
            </w:r>
            <w:r>
              <w:rPr>
                <w:rFonts w:hint="default" w:ascii="Times New Roman" w:hAnsi="Times New Roman" w:cs="Times New Roman" w:eastAsiaTheme="minorEastAsia"/>
                <w:b w:val="0"/>
                <w:bCs w:val="0"/>
                <w:sz w:val="21"/>
                <w:szCs w:val="21"/>
                <w:lang w:val="en-US" w:eastAsia="zh-CN"/>
              </w:rPr>
              <w:t>83035477</w:t>
            </w:r>
          </w:p>
        </w:tc>
      </w:tr>
      <w:tr w14:paraId="6C43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92AB1B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B0611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color w:val="auto"/>
                <w:kern w:val="0"/>
                <w:sz w:val="21"/>
                <w:szCs w:val="21"/>
                <w:highlight w:val="none"/>
              </w:rPr>
              <w:t>中国工程物理研究院</w:t>
            </w:r>
          </w:p>
        </w:tc>
        <w:tc>
          <w:tcPr>
            <w:tcW w:w="1308" w:type="dxa"/>
            <w:shd w:val="clear" w:color="auto" w:fill="auto"/>
            <w:vAlign w:val="center"/>
          </w:tcPr>
          <w:p w14:paraId="7F65D70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周老师</w:t>
            </w:r>
          </w:p>
        </w:tc>
        <w:tc>
          <w:tcPr>
            <w:tcW w:w="3199" w:type="dxa"/>
            <w:shd w:val="clear" w:color="auto" w:fill="auto"/>
            <w:vAlign w:val="center"/>
          </w:tcPr>
          <w:p w14:paraId="418018D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zh_clark_ou@126.com</w:t>
            </w:r>
          </w:p>
        </w:tc>
        <w:tc>
          <w:tcPr>
            <w:tcW w:w="1596" w:type="dxa"/>
            <w:shd w:val="clear" w:color="auto" w:fill="auto"/>
            <w:vAlign w:val="center"/>
          </w:tcPr>
          <w:p w14:paraId="3C74917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0816-2492899</w:t>
            </w:r>
          </w:p>
        </w:tc>
      </w:tr>
      <w:tr w14:paraId="73D7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B8F82A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607ED1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spacing w:val="-4"/>
                <w:kern w:val="0"/>
                <w:sz w:val="21"/>
                <w:szCs w:val="21"/>
                <w:highlight w:val="none"/>
                <w:lang w:val="en-US" w:eastAsia="zh-CN" w:bidi="ar-SA"/>
              </w:rPr>
            </w:pPr>
            <w:r>
              <w:rPr>
                <w:rFonts w:hint="eastAsia" w:eastAsiaTheme="minorEastAsia"/>
                <w:spacing w:val="-4"/>
                <w:kern w:val="0"/>
                <w:sz w:val="21"/>
                <w:szCs w:val="21"/>
                <w:highlight w:val="none"/>
              </w:rPr>
              <w:t>中国核动力研究设计院</w:t>
            </w:r>
          </w:p>
        </w:tc>
        <w:tc>
          <w:tcPr>
            <w:tcW w:w="1308" w:type="dxa"/>
            <w:shd w:val="clear" w:color="auto" w:fill="auto"/>
            <w:vAlign w:val="center"/>
          </w:tcPr>
          <w:p w14:paraId="0233658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赵妍丹</w:t>
            </w:r>
          </w:p>
        </w:tc>
        <w:tc>
          <w:tcPr>
            <w:tcW w:w="3199" w:type="dxa"/>
            <w:shd w:val="clear" w:color="auto" w:fill="auto"/>
            <w:vAlign w:val="center"/>
          </w:tcPr>
          <w:p w14:paraId="6A57E54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rPr>
              <w:t>npicpdr@npic.ac.cn</w:t>
            </w:r>
          </w:p>
        </w:tc>
        <w:tc>
          <w:tcPr>
            <w:tcW w:w="1596" w:type="dxa"/>
            <w:shd w:val="clear" w:color="auto" w:fill="auto"/>
            <w:vAlign w:val="center"/>
          </w:tcPr>
          <w:p w14:paraId="0BC0D3E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028-85900276</w:t>
            </w:r>
          </w:p>
        </w:tc>
      </w:tr>
      <w:tr w14:paraId="06EE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2DF95B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95631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spacing w:val="-4"/>
                <w:kern w:val="0"/>
                <w:sz w:val="21"/>
                <w:szCs w:val="21"/>
                <w:highlight w:val="none"/>
                <w:lang w:val="en-US" w:eastAsia="zh-CN" w:bidi="ar-SA"/>
              </w:rPr>
            </w:pPr>
            <w:r>
              <w:rPr>
                <w:rFonts w:eastAsiaTheme="minorEastAsia"/>
                <w:spacing w:val="-4"/>
                <w:kern w:val="0"/>
                <w:sz w:val="21"/>
                <w:szCs w:val="21"/>
                <w:highlight w:val="none"/>
              </w:rPr>
              <w:t>中国科学院、水利部成都山地灾害与环境研究所</w:t>
            </w:r>
          </w:p>
        </w:tc>
        <w:tc>
          <w:tcPr>
            <w:tcW w:w="1308" w:type="dxa"/>
            <w:shd w:val="clear" w:color="auto" w:fill="auto"/>
            <w:vAlign w:val="center"/>
          </w:tcPr>
          <w:p w14:paraId="2AAF018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张静雯</w:t>
            </w:r>
          </w:p>
        </w:tc>
        <w:tc>
          <w:tcPr>
            <w:tcW w:w="3199" w:type="dxa"/>
            <w:shd w:val="clear" w:color="auto" w:fill="auto"/>
            <w:vAlign w:val="center"/>
          </w:tcPr>
          <w:p w14:paraId="7E227DB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zjw@imde.ac.cn</w:t>
            </w:r>
          </w:p>
        </w:tc>
        <w:tc>
          <w:tcPr>
            <w:tcW w:w="1596" w:type="dxa"/>
            <w:shd w:val="clear" w:color="auto" w:fill="auto"/>
            <w:vAlign w:val="center"/>
          </w:tcPr>
          <w:p w14:paraId="376AB22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028-85233672</w:t>
            </w:r>
          </w:p>
        </w:tc>
      </w:tr>
      <w:tr w14:paraId="441C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B92180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3ED1A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中国科学院成都生物研究所</w:t>
            </w:r>
          </w:p>
        </w:tc>
        <w:tc>
          <w:tcPr>
            <w:tcW w:w="1308" w:type="dxa"/>
            <w:shd w:val="clear" w:color="auto" w:fill="auto"/>
            <w:vAlign w:val="center"/>
          </w:tcPr>
          <w:p w14:paraId="7FA258C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曹  燕</w:t>
            </w:r>
          </w:p>
        </w:tc>
        <w:tc>
          <w:tcPr>
            <w:tcW w:w="3199" w:type="dxa"/>
            <w:shd w:val="clear" w:color="auto" w:fill="auto"/>
            <w:vAlign w:val="center"/>
          </w:tcPr>
          <w:p w14:paraId="7F1FF6A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caoyan@cib.ac.cn</w:t>
            </w:r>
          </w:p>
        </w:tc>
        <w:tc>
          <w:tcPr>
            <w:tcW w:w="1596" w:type="dxa"/>
            <w:shd w:val="clear" w:color="auto" w:fill="auto"/>
            <w:vAlign w:val="center"/>
          </w:tcPr>
          <w:p w14:paraId="7669AFC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028-82890108</w:t>
            </w:r>
          </w:p>
        </w:tc>
      </w:tr>
      <w:tr w14:paraId="004D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8AD103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1CC4D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中国科学院成都有机化学研究所</w:t>
            </w:r>
          </w:p>
        </w:tc>
        <w:tc>
          <w:tcPr>
            <w:tcW w:w="1308" w:type="dxa"/>
            <w:shd w:val="clear" w:color="auto" w:fill="auto"/>
            <w:vAlign w:val="center"/>
          </w:tcPr>
          <w:p w14:paraId="67B6814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方  园</w:t>
            </w:r>
          </w:p>
        </w:tc>
        <w:tc>
          <w:tcPr>
            <w:tcW w:w="3199" w:type="dxa"/>
            <w:shd w:val="clear" w:color="auto" w:fill="auto"/>
            <w:vAlign w:val="center"/>
          </w:tcPr>
          <w:p w14:paraId="709C602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fangy@cioc.ac.cn</w:t>
            </w:r>
          </w:p>
        </w:tc>
        <w:tc>
          <w:tcPr>
            <w:tcW w:w="1596" w:type="dxa"/>
            <w:shd w:val="clear" w:color="auto" w:fill="auto"/>
            <w:vAlign w:val="center"/>
          </w:tcPr>
          <w:p w14:paraId="532D0AF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028-85229119</w:t>
            </w:r>
          </w:p>
        </w:tc>
      </w:tr>
      <w:tr w14:paraId="7151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98D5FC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1E052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中国科学院光电技术研究所</w:t>
            </w:r>
          </w:p>
        </w:tc>
        <w:tc>
          <w:tcPr>
            <w:tcW w:w="1308" w:type="dxa"/>
            <w:shd w:val="clear" w:color="auto" w:fill="auto"/>
            <w:vAlign w:val="center"/>
          </w:tcPr>
          <w:p w14:paraId="066C995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雯</w:t>
            </w:r>
          </w:p>
        </w:tc>
        <w:tc>
          <w:tcPr>
            <w:tcW w:w="3199" w:type="dxa"/>
            <w:shd w:val="clear" w:color="auto" w:fill="auto"/>
            <w:vAlign w:val="center"/>
          </w:tcPr>
          <w:p w14:paraId="3E13879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Ioe_pd@ioe.ac.cn</w:t>
            </w:r>
          </w:p>
        </w:tc>
        <w:tc>
          <w:tcPr>
            <w:tcW w:w="1596" w:type="dxa"/>
            <w:shd w:val="clear" w:color="auto" w:fill="auto"/>
            <w:vAlign w:val="center"/>
          </w:tcPr>
          <w:p w14:paraId="3F84D25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028-85100548</w:t>
            </w:r>
          </w:p>
        </w:tc>
      </w:tr>
      <w:tr w14:paraId="3FF6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F5E9D9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F747E4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成都大熊猫繁育研究基地</w:t>
            </w:r>
          </w:p>
        </w:tc>
        <w:tc>
          <w:tcPr>
            <w:tcW w:w="1308" w:type="dxa"/>
            <w:shd w:val="clear" w:color="auto" w:fill="auto"/>
            <w:vAlign w:val="center"/>
          </w:tcPr>
          <w:p w14:paraId="70292BE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蔡志刚</w:t>
            </w:r>
          </w:p>
        </w:tc>
        <w:tc>
          <w:tcPr>
            <w:tcW w:w="3199" w:type="dxa"/>
            <w:shd w:val="clear" w:color="auto" w:fill="auto"/>
            <w:vAlign w:val="center"/>
          </w:tcPr>
          <w:p w14:paraId="7F0D574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pandabase@163.com</w:t>
            </w:r>
          </w:p>
        </w:tc>
        <w:tc>
          <w:tcPr>
            <w:tcW w:w="1596" w:type="dxa"/>
            <w:shd w:val="clear" w:color="auto" w:fill="auto"/>
            <w:vAlign w:val="center"/>
          </w:tcPr>
          <w:p w14:paraId="29C7B8D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028-83530638</w:t>
            </w:r>
          </w:p>
        </w:tc>
      </w:tr>
      <w:tr w14:paraId="2A0D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38B78E5B">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6D83B559">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58C358C4">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38361A41">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5839C5D4">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4670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985FA5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863F9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成都光明光电股份有限公司</w:t>
            </w:r>
          </w:p>
        </w:tc>
        <w:tc>
          <w:tcPr>
            <w:tcW w:w="1308" w:type="dxa"/>
            <w:shd w:val="clear" w:color="auto" w:fill="auto"/>
            <w:vAlign w:val="center"/>
          </w:tcPr>
          <w:p w14:paraId="0AA10EA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彭光洪</w:t>
            </w:r>
          </w:p>
        </w:tc>
        <w:tc>
          <w:tcPr>
            <w:tcW w:w="3199" w:type="dxa"/>
            <w:shd w:val="clear" w:color="auto" w:fill="auto"/>
            <w:vAlign w:val="center"/>
          </w:tcPr>
          <w:p w14:paraId="431089A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sz w:val="21"/>
                <w:szCs w:val="21"/>
                <w:lang w:val="en-US" w:eastAsia="zh-CN"/>
              </w:rPr>
              <w:t>penggh@cdgmgd.com</w:t>
            </w:r>
          </w:p>
        </w:tc>
        <w:tc>
          <w:tcPr>
            <w:tcW w:w="1596" w:type="dxa"/>
            <w:shd w:val="clear" w:color="auto" w:fill="auto"/>
            <w:vAlign w:val="center"/>
          </w:tcPr>
          <w:p w14:paraId="6BD93E2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028-88456085</w:t>
            </w:r>
          </w:p>
        </w:tc>
      </w:tr>
      <w:tr w14:paraId="62A4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E1DBA3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0E2AAC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 xml:space="preserve">成都硅宝科技股份有限公司 </w:t>
            </w:r>
          </w:p>
        </w:tc>
        <w:tc>
          <w:tcPr>
            <w:tcW w:w="1308" w:type="dxa"/>
            <w:shd w:val="clear" w:color="auto" w:fill="auto"/>
            <w:vAlign w:val="center"/>
          </w:tcPr>
          <w:p w14:paraId="279F8E2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杨秋萍</w:t>
            </w:r>
          </w:p>
        </w:tc>
        <w:tc>
          <w:tcPr>
            <w:tcW w:w="3199" w:type="dxa"/>
            <w:shd w:val="clear" w:color="auto" w:fill="auto"/>
            <w:vAlign w:val="center"/>
          </w:tcPr>
          <w:p w14:paraId="4A20AAE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rPr>
              <w:t>yangqiuping@guibao.cn</w:t>
            </w:r>
          </w:p>
        </w:tc>
        <w:tc>
          <w:tcPr>
            <w:tcW w:w="1596" w:type="dxa"/>
            <w:shd w:val="clear" w:color="auto" w:fill="auto"/>
            <w:vAlign w:val="center"/>
          </w:tcPr>
          <w:p w14:paraId="181A380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028-86039447</w:t>
            </w:r>
          </w:p>
        </w:tc>
      </w:tr>
      <w:tr w14:paraId="6D62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781337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056E59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 w:val="21"/>
                <w:szCs w:val="21"/>
                <w:highlight w:val="none"/>
              </w:rPr>
              <w:t>成都航天通信设备有限责任公司</w:t>
            </w:r>
          </w:p>
        </w:tc>
        <w:tc>
          <w:tcPr>
            <w:tcW w:w="1308" w:type="dxa"/>
            <w:shd w:val="clear" w:color="auto" w:fill="auto"/>
            <w:vAlign w:val="center"/>
          </w:tcPr>
          <w:p w14:paraId="3576A92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  艳</w:t>
            </w:r>
          </w:p>
        </w:tc>
        <w:tc>
          <w:tcPr>
            <w:tcW w:w="3199" w:type="dxa"/>
            <w:shd w:val="clear" w:color="auto" w:fill="auto"/>
            <w:vAlign w:val="center"/>
          </w:tcPr>
          <w:p w14:paraId="13A2B4D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lang w:val="en-US" w:eastAsia="zh-CN"/>
              </w:rPr>
              <w:t>Casic_cd@163.com</w:t>
            </w:r>
          </w:p>
        </w:tc>
        <w:tc>
          <w:tcPr>
            <w:tcW w:w="1596" w:type="dxa"/>
            <w:shd w:val="clear" w:color="auto" w:fill="auto"/>
            <w:vAlign w:val="center"/>
          </w:tcPr>
          <w:p w14:paraId="2D1A99E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028-80643034</w:t>
            </w:r>
          </w:p>
        </w:tc>
      </w:tr>
      <w:tr w14:paraId="72B3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11D464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A51E0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成都华西海圻医药科技有限公司</w:t>
            </w:r>
          </w:p>
        </w:tc>
        <w:tc>
          <w:tcPr>
            <w:tcW w:w="1308" w:type="dxa"/>
            <w:shd w:val="clear" w:color="auto" w:fill="auto"/>
            <w:vAlign w:val="center"/>
          </w:tcPr>
          <w:p w14:paraId="133F9C3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于  华</w:t>
            </w:r>
          </w:p>
        </w:tc>
        <w:tc>
          <w:tcPr>
            <w:tcW w:w="3199" w:type="dxa"/>
            <w:shd w:val="clear" w:color="auto" w:fill="auto"/>
            <w:vAlign w:val="center"/>
          </w:tcPr>
          <w:p w14:paraId="13CD650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huayu@glpcd.com</w:t>
            </w:r>
          </w:p>
        </w:tc>
        <w:tc>
          <w:tcPr>
            <w:tcW w:w="1596" w:type="dxa"/>
            <w:shd w:val="clear" w:color="auto" w:fill="auto"/>
            <w:vAlign w:val="center"/>
          </w:tcPr>
          <w:p w14:paraId="4054070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028-85154334</w:t>
            </w:r>
          </w:p>
        </w:tc>
      </w:tr>
      <w:tr w14:paraId="1285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4E9382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E9675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成都劳恩普斯科技有限公司</w:t>
            </w:r>
          </w:p>
        </w:tc>
        <w:tc>
          <w:tcPr>
            <w:tcW w:w="1308" w:type="dxa"/>
            <w:shd w:val="clear" w:color="auto" w:fill="auto"/>
            <w:vAlign w:val="center"/>
          </w:tcPr>
          <w:p w14:paraId="5D080FA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  丹</w:t>
            </w:r>
          </w:p>
        </w:tc>
        <w:tc>
          <w:tcPr>
            <w:tcW w:w="3199" w:type="dxa"/>
            <w:shd w:val="clear" w:color="auto" w:fill="auto"/>
            <w:vAlign w:val="center"/>
          </w:tcPr>
          <w:p w14:paraId="069D164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49199970@qq.com</w:t>
            </w:r>
          </w:p>
        </w:tc>
        <w:tc>
          <w:tcPr>
            <w:tcW w:w="1596" w:type="dxa"/>
            <w:shd w:val="clear" w:color="auto" w:fill="auto"/>
            <w:vAlign w:val="center"/>
          </w:tcPr>
          <w:p w14:paraId="2246585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028-84388262</w:t>
            </w:r>
          </w:p>
        </w:tc>
      </w:tr>
      <w:tr w14:paraId="3DBF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5F826F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1AE09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成都千嘉科技股份有限公司</w:t>
            </w:r>
          </w:p>
        </w:tc>
        <w:tc>
          <w:tcPr>
            <w:tcW w:w="1308" w:type="dxa"/>
            <w:shd w:val="clear" w:color="auto" w:fill="auto"/>
            <w:vAlign w:val="center"/>
          </w:tcPr>
          <w:p w14:paraId="35E1AB0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卜龙飞</w:t>
            </w:r>
          </w:p>
        </w:tc>
        <w:tc>
          <w:tcPr>
            <w:tcW w:w="3199" w:type="dxa"/>
            <w:shd w:val="clear" w:color="auto" w:fill="auto"/>
            <w:vAlign w:val="center"/>
          </w:tcPr>
          <w:p w14:paraId="79CF9B0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bulongfei@cdqj.com</w:t>
            </w:r>
          </w:p>
        </w:tc>
        <w:tc>
          <w:tcPr>
            <w:tcW w:w="1596" w:type="dxa"/>
            <w:shd w:val="clear" w:color="auto" w:fill="auto"/>
            <w:vAlign w:val="center"/>
          </w:tcPr>
          <w:p w14:paraId="1A7B6E6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028-85874363</w:t>
            </w:r>
          </w:p>
        </w:tc>
      </w:tr>
      <w:tr w14:paraId="60B1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4814A8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E493FC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成都市第三人民医院</w:t>
            </w:r>
          </w:p>
        </w:tc>
        <w:tc>
          <w:tcPr>
            <w:tcW w:w="1308" w:type="dxa"/>
            <w:shd w:val="clear" w:color="auto" w:fill="auto"/>
            <w:vAlign w:val="center"/>
          </w:tcPr>
          <w:p w14:paraId="7BBC066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刘洋谷</w:t>
            </w:r>
          </w:p>
        </w:tc>
        <w:tc>
          <w:tcPr>
            <w:tcW w:w="3199" w:type="dxa"/>
            <w:shd w:val="clear" w:color="auto" w:fill="auto"/>
            <w:vAlign w:val="center"/>
          </w:tcPr>
          <w:p w14:paraId="2D00053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cdsyyzp@163.com</w:t>
            </w:r>
          </w:p>
        </w:tc>
        <w:tc>
          <w:tcPr>
            <w:tcW w:w="1596" w:type="dxa"/>
            <w:shd w:val="clear" w:color="auto" w:fill="auto"/>
            <w:vAlign w:val="center"/>
          </w:tcPr>
          <w:p w14:paraId="28C619B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028-61311875</w:t>
            </w:r>
          </w:p>
        </w:tc>
      </w:tr>
      <w:tr w14:paraId="4611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1" w:type="dxa"/>
            <w:shd w:val="clear" w:color="auto" w:fill="auto"/>
            <w:vAlign w:val="center"/>
          </w:tcPr>
          <w:p w14:paraId="47F8DBF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D6C7E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成都市龙泉驿区果技推广站</w:t>
            </w:r>
          </w:p>
        </w:tc>
        <w:tc>
          <w:tcPr>
            <w:tcW w:w="1308" w:type="dxa"/>
            <w:shd w:val="clear" w:color="auto" w:fill="auto"/>
            <w:vAlign w:val="center"/>
          </w:tcPr>
          <w:p w14:paraId="5739473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陶梦雪</w:t>
            </w:r>
          </w:p>
        </w:tc>
        <w:tc>
          <w:tcPr>
            <w:tcW w:w="3199" w:type="dxa"/>
            <w:shd w:val="clear" w:color="auto" w:fill="auto"/>
            <w:vAlign w:val="center"/>
          </w:tcPr>
          <w:p w14:paraId="1CD6F65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1615210183@qq.com</w:t>
            </w:r>
          </w:p>
        </w:tc>
        <w:tc>
          <w:tcPr>
            <w:tcW w:w="1596" w:type="dxa"/>
            <w:shd w:val="clear" w:color="auto" w:fill="auto"/>
            <w:vAlign w:val="center"/>
          </w:tcPr>
          <w:p w14:paraId="308723B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028-84872423</w:t>
            </w:r>
          </w:p>
        </w:tc>
      </w:tr>
      <w:tr w14:paraId="56F9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253F86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840EF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成都市食品检验研究院</w:t>
            </w:r>
          </w:p>
        </w:tc>
        <w:tc>
          <w:tcPr>
            <w:tcW w:w="1308" w:type="dxa"/>
            <w:shd w:val="clear" w:color="auto" w:fill="auto"/>
            <w:vAlign w:val="center"/>
          </w:tcPr>
          <w:p w14:paraId="54EBC06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吴文林</w:t>
            </w:r>
          </w:p>
        </w:tc>
        <w:tc>
          <w:tcPr>
            <w:tcW w:w="3199" w:type="dxa"/>
            <w:shd w:val="clear" w:color="auto" w:fill="auto"/>
            <w:vAlign w:val="center"/>
          </w:tcPr>
          <w:p w14:paraId="0F235C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2008802@qq.com</w:t>
            </w:r>
          </w:p>
        </w:tc>
        <w:tc>
          <w:tcPr>
            <w:tcW w:w="1596" w:type="dxa"/>
            <w:shd w:val="clear" w:color="auto" w:fill="auto"/>
            <w:vAlign w:val="center"/>
          </w:tcPr>
          <w:p w14:paraId="39C769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028-81258285</w:t>
            </w:r>
          </w:p>
        </w:tc>
      </w:tr>
      <w:tr w14:paraId="6EF7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83B093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6B374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成都索贝数码科技股份有限公司</w:t>
            </w:r>
          </w:p>
        </w:tc>
        <w:tc>
          <w:tcPr>
            <w:tcW w:w="1308" w:type="dxa"/>
            <w:shd w:val="clear" w:color="auto" w:fill="auto"/>
            <w:vAlign w:val="center"/>
          </w:tcPr>
          <w:p w14:paraId="7494E88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张  娇</w:t>
            </w:r>
          </w:p>
        </w:tc>
        <w:tc>
          <w:tcPr>
            <w:tcW w:w="3199" w:type="dxa"/>
            <w:shd w:val="clear" w:color="auto" w:fill="auto"/>
            <w:vAlign w:val="center"/>
          </w:tcPr>
          <w:p w14:paraId="21ABD59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lang w:val="en-US" w:eastAsia="zh-CN"/>
              </w:rPr>
              <w:t>Zhangjiao@sobey.com</w:t>
            </w:r>
          </w:p>
        </w:tc>
        <w:tc>
          <w:tcPr>
            <w:tcW w:w="1596" w:type="dxa"/>
            <w:shd w:val="clear" w:color="auto" w:fill="auto"/>
            <w:vAlign w:val="center"/>
          </w:tcPr>
          <w:p w14:paraId="06EB033E">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028-85173482</w:t>
            </w:r>
          </w:p>
        </w:tc>
      </w:tr>
      <w:tr w14:paraId="3BD0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F61AF1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1D235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成都体育学院附属体育医院</w:t>
            </w:r>
          </w:p>
        </w:tc>
        <w:tc>
          <w:tcPr>
            <w:tcW w:w="1308" w:type="dxa"/>
            <w:shd w:val="clear" w:color="auto" w:fill="auto"/>
            <w:vAlign w:val="center"/>
          </w:tcPr>
          <w:p w14:paraId="66FB0B3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涵</w:t>
            </w:r>
          </w:p>
        </w:tc>
        <w:tc>
          <w:tcPr>
            <w:tcW w:w="3199" w:type="dxa"/>
            <w:shd w:val="clear" w:color="auto" w:fill="auto"/>
            <w:vAlign w:val="center"/>
          </w:tcPr>
          <w:p w14:paraId="6B84376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hanyeung@163.com</w:t>
            </w:r>
          </w:p>
        </w:tc>
        <w:tc>
          <w:tcPr>
            <w:tcW w:w="1596" w:type="dxa"/>
            <w:shd w:val="clear" w:color="auto" w:fill="auto"/>
            <w:vAlign w:val="center"/>
          </w:tcPr>
          <w:p w14:paraId="03D4B1D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028-85052152</w:t>
            </w:r>
          </w:p>
        </w:tc>
      </w:tr>
      <w:tr w14:paraId="3B06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4B3652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A32A3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成都天奥集团有限公司</w:t>
            </w:r>
          </w:p>
        </w:tc>
        <w:tc>
          <w:tcPr>
            <w:tcW w:w="1308" w:type="dxa"/>
            <w:shd w:val="clear" w:color="auto" w:fill="auto"/>
            <w:vAlign w:val="center"/>
          </w:tcPr>
          <w:p w14:paraId="6EA07C3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赵兴宇</w:t>
            </w:r>
          </w:p>
        </w:tc>
        <w:tc>
          <w:tcPr>
            <w:tcW w:w="3199" w:type="dxa"/>
            <w:shd w:val="clear" w:color="auto" w:fill="auto"/>
            <w:vAlign w:val="center"/>
          </w:tcPr>
          <w:p w14:paraId="37A2A10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zdtahr@163.com</w:t>
            </w:r>
          </w:p>
        </w:tc>
        <w:tc>
          <w:tcPr>
            <w:tcW w:w="1596" w:type="dxa"/>
            <w:shd w:val="clear" w:color="auto" w:fill="auto"/>
            <w:vAlign w:val="center"/>
          </w:tcPr>
          <w:p w14:paraId="5EB7BEC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028-87555147</w:t>
            </w:r>
          </w:p>
        </w:tc>
      </w:tr>
      <w:tr w14:paraId="37CE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059BC5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6CEA3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lang w:val="en-US" w:eastAsia="zh-CN"/>
              </w:rPr>
              <w:t>成都先导药物开发股份有限公司</w:t>
            </w:r>
          </w:p>
        </w:tc>
        <w:tc>
          <w:tcPr>
            <w:tcW w:w="1308" w:type="dxa"/>
            <w:shd w:val="clear" w:color="auto" w:fill="auto"/>
            <w:vAlign w:val="center"/>
          </w:tcPr>
          <w:p w14:paraId="1F7899A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黎瑜琳</w:t>
            </w:r>
          </w:p>
        </w:tc>
        <w:tc>
          <w:tcPr>
            <w:tcW w:w="3199" w:type="dxa"/>
            <w:shd w:val="clear" w:color="auto" w:fill="auto"/>
            <w:vAlign w:val="center"/>
          </w:tcPr>
          <w:p w14:paraId="2E9371F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sz w:val="21"/>
                <w:szCs w:val="21"/>
              </w:rPr>
              <w:t>Yulin.Li@hitgen.com</w:t>
            </w:r>
          </w:p>
        </w:tc>
        <w:tc>
          <w:tcPr>
            <w:tcW w:w="1596" w:type="dxa"/>
            <w:shd w:val="clear" w:color="auto" w:fill="auto"/>
            <w:vAlign w:val="center"/>
          </w:tcPr>
          <w:p w14:paraId="761F38C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028-85197385</w:t>
            </w:r>
          </w:p>
          <w:p w14:paraId="44E4823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-8401</w:t>
            </w:r>
          </w:p>
        </w:tc>
      </w:tr>
      <w:tr w14:paraId="3391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E5E852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F0F0E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成都信息工程大学</w:t>
            </w:r>
          </w:p>
        </w:tc>
        <w:tc>
          <w:tcPr>
            <w:tcW w:w="1308" w:type="dxa"/>
            <w:shd w:val="clear" w:color="auto" w:fill="auto"/>
            <w:vAlign w:val="center"/>
          </w:tcPr>
          <w:p w14:paraId="084858F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史  朝</w:t>
            </w:r>
          </w:p>
        </w:tc>
        <w:tc>
          <w:tcPr>
            <w:tcW w:w="3199" w:type="dxa"/>
            <w:shd w:val="clear" w:color="auto" w:fill="auto"/>
            <w:vAlign w:val="center"/>
          </w:tcPr>
          <w:p w14:paraId="305C769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sxz@cuit.edu.cn</w:t>
            </w:r>
          </w:p>
        </w:tc>
        <w:tc>
          <w:tcPr>
            <w:tcW w:w="1596" w:type="dxa"/>
            <w:shd w:val="clear" w:color="auto" w:fill="auto"/>
            <w:vAlign w:val="center"/>
          </w:tcPr>
          <w:p w14:paraId="1FF14E3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028-85866036</w:t>
            </w:r>
          </w:p>
        </w:tc>
      </w:tr>
      <w:tr w14:paraId="252F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A79E21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757D9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rPr>
              <w:t>成都振芯科技股份有限公司</w:t>
            </w:r>
          </w:p>
        </w:tc>
        <w:tc>
          <w:tcPr>
            <w:tcW w:w="1308" w:type="dxa"/>
            <w:shd w:val="clear" w:color="auto" w:fill="auto"/>
            <w:vAlign w:val="center"/>
          </w:tcPr>
          <w:p w14:paraId="04CEF01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易永强</w:t>
            </w:r>
          </w:p>
        </w:tc>
        <w:tc>
          <w:tcPr>
            <w:tcW w:w="3199" w:type="dxa"/>
            <w:shd w:val="clear" w:color="auto" w:fill="auto"/>
            <w:vAlign w:val="center"/>
          </w:tcPr>
          <w:p w14:paraId="1A5502C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lang w:val="en-US" w:eastAsia="zh-CN"/>
              </w:rPr>
              <w:t>Zhaopin@zhenxinkj.cn</w:t>
            </w:r>
          </w:p>
        </w:tc>
        <w:tc>
          <w:tcPr>
            <w:tcW w:w="1596" w:type="dxa"/>
            <w:shd w:val="clear" w:color="auto" w:fill="auto"/>
            <w:vAlign w:val="center"/>
          </w:tcPr>
          <w:p w14:paraId="64EDC81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028-66251591</w:t>
            </w:r>
          </w:p>
        </w:tc>
      </w:tr>
      <w:tr w14:paraId="7E42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473FE6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E1359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东方电气风电股份有限公司</w:t>
            </w:r>
          </w:p>
        </w:tc>
        <w:tc>
          <w:tcPr>
            <w:tcW w:w="1308" w:type="dxa"/>
            <w:shd w:val="clear" w:color="auto" w:fill="auto"/>
            <w:vAlign w:val="center"/>
          </w:tcPr>
          <w:p w14:paraId="19217F3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贺  鹏</w:t>
            </w:r>
          </w:p>
        </w:tc>
        <w:tc>
          <w:tcPr>
            <w:tcW w:w="3199" w:type="dxa"/>
            <w:shd w:val="clear" w:color="auto" w:fill="auto"/>
            <w:vAlign w:val="center"/>
          </w:tcPr>
          <w:p w14:paraId="7CBA0F9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rPr>
              <w:t>dffd_hr@dongfang.com</w:t>
            </w:r>
          </w:p>
        </w:tc>
        <w:tc>
          <w:tcPr>
            <w:tcW w:w="1596" w:type="dxa"/>
            <w:shd w:val="clear" w:color="auto" w:fill="auto"/>
            <w:vAlign w:val="center"/>
          </w:tcPr>
          <w:p w14:paraId="2003D41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0838-2689195</w:t>
            </w:r>
          </w:p>
        </w:tc>
      </w:tr>
      <w:tr w14:paraId="1E5E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8A3B0E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94CE2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东方电气集团东方电机有限公司</w:t>
            </w:r>
          </w:p>
        </w:tc>
        <w:tc>
          <w:tcPr>
            <w:tcW w:w="1308" w:type="dxa"/>
            <w:shd w:val="clear" w:color="auto" w:fill="auto"/>
            <w:vAlign w:val="center"/>
          </w:tcPr>
          <w:p w14:paraId="27EB57B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韩浩月</w:t>
            </w:r>
          </w:p>
        </w:tc>
        <w:tc>
          <w:tcPr>
            <w:tcW w:w="3199" w:type="dxa"/>
            <w:shd w:val="clear" w:color="auto" w:fill="auto"/>
            <w:vAlign w:val="center"/>
          </w:tcPr>
          <w:p w14:paraId="682BCF6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lang w:val="en-US" w:eastAsia="zh-CN"/>
              </w:rPr>
              <w:t>Hanhy6317@dongfang.com</w:t>
            </w:r>
          </w:p>
        </w:tc>
        <w:tc>
          <w:tcPr>
            <w:tcW w:w="1596" w:type="dxa"/>
            <w:shd w:val="clear" w:color="auto" w:fill="auto"/>
            <w:vAlign w:val="center"/>
          </w:tcPr>
          <w:p w14:paraId="4470750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0838-2411397</w:t>
            </w:r>
          </w:p>
        </w:tc>
      </w:tr>
      <w:tr w14:paraId="60F6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ECC5B3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525052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spacing w:val="-4"/>
                <w:kern w:val="2"/>
                <w:sz w:val="21"/>
                <w:szCs w:val="21"/>
                <w:highlight w:val="none"/>
                <w:lang w:val="en-US" w:eastAsia="zh-CN" w:bidi="ar-SA"/>
              </w:rPr>
            </w:pPr>
            <w:r>
              <w:rPr>
                <w:rFonts w:eastAsia="宋体"/>
                <w:spacing w:val="-4"/>
                <w:sz w:val="21"/>
                <w:szCs w:val="21"/>
                <w:highlight w:val="none"/>
              </w:rPr>
              <w:t>东方电气集团东方锅炉股份有限公司</w:t>
            </w:r>
          </w:p>
        </w:tc>
        <w:tc>
          <w:tcPr>
            <w:tcW w:w="1308" w:type="dxa"/>
            <w:shd w:val="clear" w:color="auto" w:fill="auto"/>
            <w:vAlign w:val="center"/>
          </w:tcPr>
          <w:p w14:paraId="6B519D3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程  严</w:t>
            </w:r>
          </w:p>
        </w:tc>
        <w:tc>
          <w:tcPr>
            <w:tcW w:w="3199" w:type="dxa"/>
            <w:shd w:val="clear" w:color="auto" w:fill="auto"/>
            <w:vAlign w:val="center"/>
          </w:tcPr>
          <w:p w14:paraId="00DB6DE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w:t>
            </w:r>
            <w:r>
              <w:rPr>
                <w:rFonts w:hint="default" w:ascii="Times New Roman" w:hAnsi="Times New Roman" w:cs="Times New Roman" w:eastAsiaTheme="minorEastAsia"/>
                <w:b w:val="0"/>
                <w:bCs w:val="0"/>
                <w:sz w:val="21"/>
                <w:szCs w:val="21"/>
                <w:lang w:val="en-US" w:eastAsia="zh-CN"/>
              </w:rPr>
              <w:t>r@dbc.com.cn</w:t>
            </w:r>
          </w:p>
        </w:tc>
        <w:tc>
          <w:tcPr>
            <w:tcW w:w="1596" w:type="dxa"/>
            <w:shd w:val="clear" w:color="auto" w:fill="auto"/>
            <w:vAlign w:val="center"/>
          </w:tcPr>
          <w:p w14:paraId="76B5B26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w:t>
            </w:r>
            <w:r>
              <w:rPr>
                <w:rFonts w:hint="default" w:ascii="Times New Roman" w:hAnsi="Times New Roman" w:cs="Times New Roman" w:eastAsiaTheme="minorEastAsia"/>
                <w:b w:val="0"/>
                <w:bCs w:val="0"/>
                <w:sz w:val="21"/>
                <w:szCs w:val="21"/>
                <w:lang w:val="en-US" w:eastAsia="zh-CN"/>
              </w:rPr>
              <w:t>813-4735041</w:t>
            </w:r>
          </w:p>
        </w:tc>
      </w:tr>
      <w:tr w14:paraId="469F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512304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49199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东方电气集团东方汽轮机有限公司</w:t>
            </w:r>
          </w:p>
        </w:tc>
        <w:tc>
          <w:tcPr>
            <w:tcW w:w="1308" w:type="dxa"/>
            <w:shd w:val="clear" w:color="auto" w:fill="auto"/>
            <w:vAlign w:val="center"/>
          </w:tcPr>
          <w:p w14:paraId="6B49E3E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刘国洪</w:t>
            </w:r>
          </w:p>
        </w:tc>
        <w:tc>
          <w:tcPr>
            <w:tcW w:w="3199" w:type="dxa"/>
            <w:shd w:val="clear" w:color="auto" w:fill="auto"/>
            <w:vAlign w:val="center"/>
          </w:tcPr>
          <w:p w14:paraId="723FFC1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sz w:val="21"/>
                <w:szCs w:val="21"/>
                <w:lang w:val="en-US" w:eastAsia="zh-CN"/>
              </w:rPr>
              <w:t>Liuguohong@dongfang.com</w:t>
            </w:r>
          </w:p>
        </w:tc>
        <w:tc>
          <w:tcPr>
            <w:tcW w:w="1596" w:type="dxa"/>
            <w:shd w:val="clear" w:color="auto" w:fill="auto"/>
            <w:vAlign w:val="center"/>
          </w:tcPr>
          <w:p w14:paraId="3E4F330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0838-2688549</w:t>
            </w:r>
          </w:p>
        </w:tc>
      </w:tr>
      <w:tr w14:paraId="019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0E1FE2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E02B7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国网四川省电力公司</w:t>
            </w:r>
          </w:p>
        </w:tc>
        <w:tc>
          <w:tcPr>
            <w:tcW w:w="1308" w:type="dxa"/>
            <w:shd w:val="clear" w:color="auto" w:fill="auto"/>
            <w:vAlign w:val="center"/>
          </w:tcPr>
          <w:p w14:paraId="0C58D63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刚</w:t>
            </w:r>
          </w:p>
        </w:tc>
        <w:tc>
          <w:tcPr>
            <w:tcW w:w="3199" w:type="dxa"/>
            <w:shd w:val="clear" w:color="auto" w:fill="auto"/>
            <w:vAlign w:val="center"/>
          </w:tcPr>
          <w:p w14:paraId="64F5937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byz_sepc@163.com</w:t>
            </w:r>
          </w:p>
        </w:tc>
        <w:tc>
          <w:tcPr>
            <w:tcW w:w="1596" w:type="dxa"/>
            <w:shd w:val="clear" w:color="auto" w:fill="auto"/>
            <w:vAlign w:val="center"/>
          </w:tcPr>
          <w:p w14:paraId="3F7B618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028-69995380</w:t>
            </w:r>
          </w:p>
        </w:tc>
      </w:tr>
      <w:tr w14:paraId="6D4C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AC0815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51382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海天水务集团股份公司</w:t>
            </w:r>
          </w:p>
        </w:tc>
        <w:tc>
          <w:tcPr>
            <w:tcW w:w="1308" w:type="dxa"/>
            <w:shd w:val="clear" w:color="auto" w:fill="auto"/>
            <w:vAlign w:val="center"/>
          </w:tcPr>
          <w:p w14:paraId="02C2BAB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钟亚萍</w:t>
            </w:r>
          </w:p>
        </w:tc>
        <w:tc>
          <w:tcPr>
            <w:tcW w:w="3199" w:type="dxa"/>
            <w:shd w:val="clear" w:color="auto" w:fill="auto"/>
            <w:vAlign w:val="center"/>
          </w:tcPr>
          <w:p w14:paraId="1A1152E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595270446@qq.com</w:t>
            </w:r>
          </w:p>
        </w:tc>
        <w:tc>
          <w:tcPr>
            <w:tcW w:w="1596" w:type="dxa"/>
            <w:shd w:val="clear" w:color="auto" w:fill="auto"/>
            <w:vAlign w:val="center"/>
          </w:tcPr>
          <w:p w14:paraId="5A51D6C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028-85157318</w:t>
            </w:r>
          </w:p>
        </w:tc>
      </w:tr>
      <w:tr w14:paraId="6389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1285DD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74777D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嘉华特种水泥股份有限公司</w:t>
            </w:r>
          </w:p>
        </w:tc>
        <w:tc>
          <w:tcPr>
            <w:tcW w:w="1308" w:type="dxa"/>
            <w:shd w:val="clear" w:color="auto" w:fill="auto"/>
            <w:vAlign w:val="center"/>
          </w:tcPr>
          <w:p w14:paraId="5766702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钟  文</w:t>
            </w:r>
          </w:p>
        </w:tc>
        <w:tc>
          <w:tcPr>
            <w:tcW w:w="3199" w:type="dxa"/>
            <w:shd w:val="clear" w:color="auto" w:fill="auto"/>
            <w:vAlign w:val="center"/>
          </w:tcPr>
          <w:p w14:paraId="409E9D3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491304457@qq.com</w:t>
            </w:r>
          </w:p>
        </w:tc>
        <w:tc>
          <w:tcPr>
            <w:tcW w:w="1596" w:type="dxa"/>
            <w:shd w:val="clear" w:color="auto" w:fill="auto"/>
            <w:vAlign w:val="center"/>
          </w:tcPr>
          <w:p w14:paraId="2514068C">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3466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047CFCEF">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43955584">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49C79631">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0A7C04AC">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2155EC75">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1235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FE7C87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3FC2D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泸州老窖集团有限责任公司</w:t>
            </w:r>
          </w:p>
        </w:tc>
        <w:tc>
          <w:tcPr>
            <w:tcW w:w="1308" w:type="dxa"/>
            <w:shd w:val="clear" w:color="auto" w:fill="auto"/>
            <w:vAlign w:val="center"/>
          </w:tcPr>
          <w:p w14:paraId="4764961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  璇</w:t>
            </w:r>
          </w:p>
        </w:tc>
        <w:tc>
          <w:tcPr>
            <w:tcW w:w="3199" w:type="dxa"/>
            <w:shd w:val="clear" w:color="auto" w:fill="auto"/>
            <w:vAlign w:val="center"/>
          </w:tcPr>
          <w:p w14:paraId="399F907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273164333@qq.com</w:t>
            </w:r>
          </w:p>
        </w:tc>
        <w:tc>
          <w:tcPr>
            <w:tcW w:w="1596" w:type="dxa"/>
            <w:shd w:val="clear" w:color="auto" w:fill="auto"/>
            <w:vAlign w:val="center"/>
          </w:tcPr>
          <w:p w14:paraId="417814C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6BAA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F836F1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84440A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泸州智通自动化设备有限公司</w:t>
            </w:r>
          </w:p>
        </w:tc>
        <w:tc>
          <w:tcPr>
            <w:tcW w:w="1308" w:type="dxa"/>
            <w:shd w:val="clear" w:color="auto" w:fill="auto"/>
            <w:vAlign w:val="center"/>
          </w:tcPr>
          <w:p w14:paraId="5F0F64E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曾品梅</w:t>
            </w:r>
          </w:p>
        </w:tc>
        <w:tc>
          <w:tcPr>
            <w:tcW w:w="3199" w:type="dxa"/>
            <w:shd w:val="clear" w:color="auto" w:fill="auto"/>
            <w:vAlign w:val="center"/>
          </w:tcPr>
          <w:p w14:paraId="2E1886D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1742206803@qq.com</w:t>
            </w:r>
          </w:p>
        </w:tc>
        <w:tc>
          <w:tcPr>
            <w:tcW w:w="1596" w:type="dxa"/>
            <w:shd w:val="clear" w:color="auto" w:fill="auto"/>
            <w:vAlign w:val="center"/>
          </w:tcPr>
          <w:p w14:paraId="6468F4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0830-3192602</w:t>
            </w:r>
          </w:p>
        </w:tc>
      </w:tr>
      <w:tr w14:paraId="086B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E6351B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562DD6B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绵阳京东方光电科技有限公司</w:t>
            </w:r>
          </w:p>
        </w:tc>
        <w:tc>
          <w:tcPr>
            <w:tcW w:w="1308" w:type="dxa"/>
            <w:shd w:val="clear" w:color="auto" w:fill="auto"/>
            <w:vAlign w:val="center"/>
          </w:tcPr>
          <w:p w14:paraId="199C57B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彭麒宇</w:t>
            </w:r>
          </w:p>
        </w:tc>
        <w:tc>
          <w:tcPr>
            <w:tcW w:w="3199" w:type="dxa"/>
            <w:shd w:val="clear" w:color="auto" w:fill="auto"/>
            <w:vAlign w:val="center"/>
          </w:tcPr>
          <w:p w14:paraId="5E0D374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pengqiyu@boe.com.cn</w:t>
            </w:r>
          </w:p>
        </w:tc>
        <w:tc>
          <w:tcPr>
            <w:tcW w:w="1596" w:type="dxa"/>
            <w:shd w:val="clear" w:color="auto" w:fill="auto"/>
            <w:vAlign w:val="center"/>
          </w:tcPr>
          <w:p w14:paraId="668DEF9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0816-2127533</w:t>
            </w:r>
          </w:p>
        </w:tc>
      </w:tr>
      <w:tr w14:paraId="6EB4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27ED3D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1AF10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绵阳市农业科学研究院</w:t>
            </w:r>
          </w:p>
        </w:tc>
        <w:tc>
          <w:tcPr>
            <w:tcW w:w="1308" w:type="dxa"/>
            <w:shd w:val="clear" w:color="auto" w:fill="auto"/>
            <w:vAlign w:val="center"/>
          </w:tcPr>
          <w:p w14:paraId="0054B99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蒋晓芳</w:t>
            </w:r>
          </w:p>
        </w:tc>
        <w:tc>
          <w:tcPr>
            <w:tcW w:w="3199" w:type="dxa"/>
            <w:shd w:val="clear" w:color="auto" w:fill="auto"/>
            <w:vAlign w:val="center"/>
          </w:tcPr>
          <w:p w14:paraId="1B084DD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mnyrsk@163.com</w:t>
            </w:r>
          </w:p>
        </w:tc>
        <w:tc>
          <w:tcPr>
            <w:tcW w:w="1596" w:type="dxa"/>
            <w:shd w:val="clear" w:color="auto" w:fill="auto"/>
            <w:vAlign w:val="center"/>
          </w:tcPr>
          <w:p w14:paraId="2DC46B2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0816-2822112</w:t>
            </w:r>
          </w:p>
        </w:tc>
      </w:tr>
      <w:tr w14:paraId="473C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10E015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75B939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绵阳市中心医院</w:t>
            </w:r>
          </w:p>
        </w:tc>
        <w:tc>
          <w:tcPr>
            <w:tcW w:w="1308" w:type="dxa"/>
            <w:shd w:val="clear" w:color="auto" w:fill="auto"/>
            <w:vAlign w:val="center"/>
          </w:tcPr>
          <w:p w14:paraId="4E3A7DB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魏心源</w:t>
            </w:r>
          </w:p>
        </w:tc>
        <w:tc>
          <w:tcPr>
            <w:tcW w:w="3199" w:type="dxa"/>
            <w:shd w:val="clear" w:color="auto" w:fill="auto"/>
            <w:vAlign w:val="center"/>
          </w:tcPr>
          <w:p w14:paraId="2025C85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906294536@qq.com</w:t>
            </w:r>
          </w:p>
        </w:tc>
        <w:tc>
          <w:tcPr>
            <w:tcW w:w="1596" w:type="dxa"/>
            <w:shd w:val="clear" w:color="auto" w:fill="auto"/>
            <w:vAlign w:val="center"/>
          </w:tcPr>
          <w:p w14:paraId="238A9CB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0816-2242787</w:t>
            </w:r>
          </w:p>
        </w:tc>
      </w:tr>
      <w:tr w14:paraId="3AD8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2AB9CD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1986C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攀钢集团有限公司</w:t>
            </w:r>
          </w:p>
        </w:tc>
        <w:tc>
          <w:tcPr>
            <w:tcW w:w="1308" w:type="dxa"/>
            <w:shd w:val="clear" w:color="auto" w:fill="auto"/>
            <w:vAlign w:val="center"/>
          </w:tcPr>
          <w:p w14:paraId="3F86852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王莉娟</w:t>
            </w:r>
          </w:p>
        </w:tc>
        <w:tc>
          <w:tcPr>
            <w:tcW w:w="3199" w:type="dxa"/>
            <w:shd w:val="clear" w:color="auto" w:fill="auto"/>
            <w:vAlign w:val="center"/>
          </w:tcPr>
          <w:p w14:paraId="047BB42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 xml:space="preserve">pgjtyjyzp@163.com </w:t>
            </w:r>
          </w:p>
        </w:tc>
        <w:tc>
          <w:tcPr>
            <w:tcW w:w="1596" w:type="dxa"/>
            <w:shd w:val="clear" w:color="auto" w:fill="auto"/>
            <w:vAlign w:val="center"/>
          </w:tcPr>
          <w:p w14:paraId="25038FB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0812-3380512</w:t>
            </w:r>
          </w:p>
        </w:tc>
      </w:tr>
      <w:tr w14:paraId="76CE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3938E2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1F2F5D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清华四川能源互联网研究院</w:t>
            </w:r>
          </w:p>
        </w:tc>
        <w:tc>
          <w:tcPr>
            <w:tcW w:w="1308" w:type="dxa"/>
            <w:shd w:val="clear" w:color="auto" w:fill="auto"/>
            <w:vAlign w:val="center"/>
          </w:tcPr>
          <w:p w14:paraId="44B3DA6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杨开迪</w:t>
            </w:r>
          </w:p>
        </w:tc>
        <w:tc>
          <w:tcPr>
            <w:tcW w:w="3199" w:type="dxa"/>
            <w:shd w:val="clear" w:color="auto" w:fill="auto"/>
            <w:vAlign w:val="center"/>
          </w:tcPr>
          <w:p w14:paraId="21AA26D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yangkaidi@tsinghua-eiri.org</w:t>
            </w:r>
          </w:p>
        </w:tc>
        <w:tc>
          <w:tcPr>
            <w:tcW w:w="1596" w:type="dxa"/>
            <w:shd w:val="clear" w:color="auto" w:fill="auto"/>
            <w:vAlign w:val="center"/>
          </w:tcPr>
          <w:p w14:paraId="6C06EBF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028-64786600</w:t>
            </w:r>
          </w:p>
        </w:tc>
      </w:tr>
      <w:tr w14:paraId="0C37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0AEACB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9922CB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四川百利药业有限责任公司</w:t>
            </w:r>
          </w:p>
        </w:tc>
        <w:tc>
          <w:tcPr>
            <w:tcW w:w="1308" w:type="dxa"/>
            <w:shd w:val="clear" w:color="auto" w:fill="auto"/>
            <w:vAlign w:val="center"/>
          </w:tcPr>
          <w:p w14:paraId="1DB72CF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曾春红</w:t>
            </w:r>
          </w:p>
        </w:tc>
        <w:tc>
          <w:tcPr>
            <w:tcW w:w="3199" w:type="dxa"/>
            <w:shd w:val="clear" w:color="auto" w:fill="auto"/>
            <w:vAlign w:val="center"/>
          </w:tcPr>
          <w:p w14:paraId="6374621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rPr>
              <w:t>zengchunhong@baili-pharm.com</w:t>
            </w:r>
          </w:p>
        </w:tc>
        <w:tc>
          <w:tcPr>
            <w:tcW w:w="1596" w:type="dxa"/>
            <w:shd w:val="clear" w:color="auto" w:fill="auto"/>
            <w:vAlign w:val="center"/>
          </w:tcPr>
          <w:p w14:paraId="2A315A7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028-82631811</w:t>
            </w:r>
          </w:p>
        </w:tc>
      </w:tr>
      <w:tr w14:paraId="7E13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129CE5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88381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四川邦立重机有限责任公司</w:t>
            </w:r>
          </w:p>
        </w:tc>
        <w:tc>
          <w:tcPr>
            <w:tcW w:w="1308" w:type="dxa"/>
            <w:shd w:val="clear" w:color="auto" w:fill="auto"/>
            <w:vAlign w:val="center"/>
          </w:tcPr>
          <w:p w14:paraId="72BBDBA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祖力平</w:t>
            </w:r>
          </w:p>
        </w:tc>
        <w:tc>
          <w:tcPr>
            <w:tcW w:w="3199" w:type="dxa"/>
            <w:shd w:val="clear" w:color="auto" w:fill="auto"/>
            <w:vAlign w:val="center"/>
          </w:tcPr>
          <w:p w14:paraId="6D3898C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2211089959@qq.com</w:t>
            </w:r>
          </w:p>
        </w:tc>
        <w:tc>
          <w:tcPr>
            <w:tcW w:w="1596" w:type="dxa"/>
            <w:shd w:val="clear" w:color="auto" w:fill="auto"/>
            <w:vAlign w:val="center"/>
          </w:tcPr>
          <w:p w14:paraId="255A61A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0830-3582883</w:t>
            </w:r>
          </w:p>
        </w:tc>
      </w:tr>
      <w:tr w14:paraId="7364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72BFD5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6726A5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lang w:val="en-US" w:eastAsia="zh-CN"/>
              </w:rPr>
              <w:t>四川东材科技集团股份有限公司</w:t>
            </w:r>
          </w:p>
        </w:tc>
        <w:tc>
          <w:tcPr>
            <w:tcW w:w="1308" w:type="dxa"/>
            <w:shd w:val="clear" w:color="auto" w:fill="auto"/>
            <w:vAlign w:val="center"/>
          </w:tcPr>
          <w:p w14:paraId="5CC7F99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武琳琳</w:t>
            </w:r>
          </w:p>
        </w:tc>
        <w:tc>
          <w:tcPr>
            <w:tcW w:w="3199" w:type="dxa"/>
            <w:shd w:val="clear" w:color="auto" w:fill="auto"/>
            <w:vAlign w:val="center"/>
          </w:tcPr>
          <w:p w14:paraId="0A9A9CE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wulinlin@emtco.cn</w:t>
            </w:r>
          </w:p>
        </w:tc>
        <w:tc>
          <w:tcPr>
            <w:tcW w:w="1596" w:type="dxa"/>
            <w:shd w:val="clear" w:color="auto" w:fill="auto"/>
            <w:vAlign w:val="center"/>
          </w:tcPr>
          <w:p w14:paraId="00F2077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0816-2972292</w:t>
            </w:r>
          </w:p>
        </w:tc>
      </w:tr>
      <w:tr w14:paraId="7381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09CB0E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CA058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四川航天烽火伺服控制技术有限公司</w:t>
            </w:r>
          </w:p>
        </w:tc>
        <w:tc>
          <w:tcPr>
            <w:tcW w:w="1308" w:type="dxa"/>
            <w:shd w:val="clear" w:color="auto" w:fill="auto"/>
            <w:vAlign w:val="center"/>
          </w:tcPr>
          <w:p w14:paraId="5E2878A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璐</w:t>
            </w:r>
          </w:p>
        </w:tc>
        <w:tc>
          <w:tcPr>
            <w:tcW w:w="3199" w:type="dxa"/>
            <w:shd w:val="clear" w:color="auto" w:fill="auto"/>
            <w:vAlign w:val="center"/>
          </w:tcPr>
          <w:p w14:paraId="5C919C7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lrc7111@163.com</w:t>
            </w:r>
          </w:p>
        </w:tc>
        <w:tc>
          <w:tcPr>
            <w:tcW w:w="1596" w:type="dxa"/>
            <w:shd w:val="clear" w:color="auto" w:fill="auto"/>
            <w:vAlign w:val="center"/>
          </w:tcPr>
          <w:p w14:paraId="7911987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028-82793938</w:t>
            </w:r>
          </w:p>
        </w:tc>
      </w:tr>
      <w:tr w14:paraId="1966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BC3610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61A81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四川航天燎原科技有限公司</w:t>
            </w:r>
          </w:p>
        </w:tc>
        <w:tc>
          <w:tcPr>
            <w:tcW w:w="1308" w:type="dxa"/>
            <w:shd w:val="clear" w:color="auto" w:fill="auto"/>
            <w:vAlign w:val="center"/>
          </w:tcPr>
          <w:p w14:paraId="7E64C38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陈老师</w:t>
            </w:r>
          </w:p>
        </w:tc>
        <w:tc>
          <w:tcPr>
            <w:tcW w:w="3199" w:type="dxa"/>
            <w:shd w:val="clear" w:color="auto" w:fill="auto"/>
            <w:vAlign w:val="center"/>
          </w:tcPr>
          <w:p w14:paraId="1017281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120408723@qq.com</w:t>
            </w:r>
          </w:p>
        </w:tc>
        <w:tc>
          <w:tcPr>
            <w:tcW w:w="1596" w:type="dxa"/>
            <w:shd w:val="clear" w:color="auto" w:fill="auto"/>
            <w:vAlign w:val="center"/>
          </w:tcPr>
          <w:p w14:paraId="65AF3FD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028-84805007</w:t>
            </w:r>
          </w:p>
        </w:tc>
      </w:tr>
      <w:tr w14:paraId="4F16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D6DA7A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7F9F18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四川宏华石油设备有限公司</w:t>
            </w:r>
          </w:p>
        </w:tc>
        <w:tc>
          <w:tcPr>
            <w:tcW w:w="1308" w:type="dxa"/>
            <w:shd w:val="clear" w:color="auto" w:fill="auto"/>
            <w:vAlign w:val="center"/>
          </w:tcPr>
          <w:p w14:paraId="7EB8D0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黄默海</w:t>
            </w:r>
          </w:p>
        </w:tc>
        <w:tc>
          <w:tcPr>
            <w:tcW w:w="3199" w:type="dxa"/>
            <w:shd w:val="clear" w:color="auto" w:fill="auto"/>
            <w:vAlign w:val="center"/>
          </w:tcPr>
          <w:p w14:paraId="0ABEBE7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sz w:val="21"/>
                <w:szCs w:val="21"/>
              </w:rPr>
              <w:t>huangmh@hhcp.com.cn</w:t>
            </w:r>
          </w:p>
        </w:tc>
        <w:tc>
          <w:tcPr>
            <w:tcW w:w="1596" w:type="dxa"/>
            <w:shd w:val="clear" w:color="auto" w:fill="auto"/>
            <w:vAlign w:val="center"/>
          </w:tcPr>
          <w:p w14:paraId="3C1D50A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669A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2575F2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8F6AE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四川华川工业股份有限公司</w:t>
            </w:r>
          </w:p>
        </w:tc>
        <w:tc>
          <w:tcPr>
            <w:tcW w:w="1308" w:type="dxa"/>
            <w:shd w:val="clear" w:color="auto" w:fill="auto"/>
            <w:vAlign w:val="center"/>
          </w:tcPr>
          <w:p w14:paraId="44EF1947">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李雪梅</w:t>
            </w:r>
          </w:p>
        </w:tc>
        <w:tc>
          <w:tcPr>
            <w:tcW w:w="3199" w:type="dxa"/>
            <w:shd w:val="clear" w:color="auto" w:fill="auto"/>
            <w:vAlign w:val="center"/>
          </w:tcPr>
          <w:p w14:paraId="4AA0130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hcgyrlb@163.com</w:t>
            </w:r>
          </w:p>
        </w:tc>
        <w:tc>
          <w:tcPr>
            <w:tcW w:w="1596" w:type="dxa"/>
            <w:shd w:val="clear" w:color="auto" w:fill="auto"/>
            <w:vAlign w:val="center"/>
          </w:tcPr>
          <w:p w14:paraId="4DECC8C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028-84612400</w:t>
            </w:r>
          </w:p>
        </w:tc>
      </w:tr>
      <w:tr w14:paraId="36DB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057C0C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5D510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rPr>
              <w:t>四川汇宇制药股份有限公司</w:t>
            </w:r>
          </w:p>
        </w:tc>
        <w:tc>
          <w:tcPr>
            <w:tcW w:w="1308" w:type="dxa"/>
            <w:shd w:val="clear" w:color="auto" w:fill="auto"/>
            <w:vAlign w:val="center"/>
          </w:tcPr>
          <w:p w14:paraId="3794DBC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  丹</w:t>
            </w:r>
          </w:p>
        </w:tc>
        <w:tc>
          <w:tcPr>
            <w:tcW w:w="3199" w:type="dxa"/>
            <w:shd w:val="clear" w:color="auto" w:fill="auto"/>
            <w:vAlign w:val="center"/>
          </w:tcPr>
          <w:p w14:paraId="5FDEBF1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sz w:val="21"/>
                <w:szCs w:val="21"/>
              </w:rPr>
              <w:t>dan.li@huiyupharma.com</w:t>
            </w:r>
          </w:p>
        </w:tc>
        <w:tc>
          <w:tcPr>
            <w:tcW w:w="1596" w:type="dxa"/>
            <w:shd w:val="clear" w:color="auto" w:fill="auto"/>
            <w:vAlign w:val="center"/>
          </w:tcPr>
          <w:p w14:paraId="7B89D15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0832-8808104</w:t>
            </w:r>
          </w:p>
        </w:tc>
      </w:tr>
      <w:tr w14:paraId="590B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4054F0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F53CD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四川剑南春（集团）有限责任公司</w:t>
            </w:r>
          </w:p>
        </w:tc>
        <w:tc>
          <w:tcPr>
            <w:tcW w:w="1308" w:type="dxa"/>
            <w:shd w:val="clear" w:color="auto" w:fill="auto"/>
            <w:vAlign w:val="center"/>
          </w:tcPr>
          <w:p w14:paraId="7B926EC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李学琴</w:t>
            </w:r>
          </w:p>
        </w:tc>
        <w:tc>
          <w:tcPr>
            <w:tcW w:w="3199" w:type="dxa"/>
            <w:shd w:val="clear" w:color="auto" w:fill="auto"/>
            <w:vAlign w:val="center"/>
          </w:tcPr>
          <w:p w14:paraId="60FD4E0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dylixq@163.com</w:t>
            </w:r>
          </w:p>
        </w:tc>
        <w:tc>
          <w:tcPr>
            <w:tcW w:w="1596" w:type="dxa"/>
            <w:shd w:val="clear" w:color="auto" w:fill="auto"/>
            <w:vAlign w:val="center"/>
          </w:tcPr>
          <w:p w14:paraId="70BA44D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0838-6202206</w:t>
            </w:r>
          </w:p>
        </w:tc>
      </w:tr>
      <w:tr w14:paraId="2E04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AE6598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DAA6F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四川九洲投资控股集团有限公司</w:t>
            </w:r>
          </w:p>
        </w:tc>
        <w:tc>
          <w:tcPr>
            <w:tcW w:w="1308" w:type="dxa"/>
            <w:shd w:val="clear" w:color="auto" w:fill="auto"/>
            <w:vAlign w:val="center"/>
          </w:tcPr>
          <w:p w14:paraId="2A41A87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张  肖</w:t>
            </w:r>
          </w:p>
        </w:tc>
        <w:tc>
          <w:tcPr>
            <w:tcW w:w="3199" w:type="dxa"/>
            <w:shd w:val="clear" w:color="auto" w:fill="auto"/>
            <w:vAlign w:val="center"/>
          </w:tcPr>
          <w:p w14:paraId="3B858F6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jzzp@jezetek.cc</w:t>
            </w:r>
          </w:p>
        </w:tc>
        <w:tc>
          <w:tcPr>
            <w:tcW w:w="1596" w:type="dxa"/>
            <w:shd w:val="clear" w:color="auto" w:fill="auto"/>
            <w:vAlign w:val="center"/>
          </w:tcPr>
          <w:p w14:paraId="66E8419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0816-2468906</w:t>
            </w:r>
          </w:p>
        </w:tc>
      </w:tr>
      <w:tr w14:paraId="5BC8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A576DF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449D0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四川科伦药业股份有限公司</w:t>
            </w:r>
          </w:p>
        </w:tc>
        <w:tc>
          <w:tcPr>
            <w:tcW w:w="1308" w:type="dxa"/>
            <w:shd w:val="clear" w:color="auto" w:fill="auto"/>
            <w:vAlign w:val="center"/>
          </w:tcPr>
          <w:p w14:paraId="58B27A4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琪</w:t>
            </w:r>
          </w:p>
        </w:tc>
        <w:tc>
          <w:tcPr>
            <w:tcW w:w="3199" w:type="dxa"/>
            <w:shd w:val="clear" w:color="auto" w:fill="auto"/>
            <w:vAlign w:val="center"/>
          </w:tcPr>
          <w:p w14:paraId="56A514B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yangqi@kelun.com</w:t>
            </w:r>
          </w:p>
        </w:tc>
        <w:tc>
          <w:tcPr>
            <w:tcW w:w="1596" w:type="dxa"/>
            <w:shd w:val="clear" w:color="auto" w:fill="auto"/>
            <w:vAlign w:val="center"/>
          </w:tcPr>
          <w:p w14:paraId="510D53C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028-67255175</w:t>
            </w:r>
          </w:p>
        </w:tc>
      </w:tr>
      <w:tr w14:paraId="2CCB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2AB881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3ACE3F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四川灵通电讯有限公司</w:t>
            </w:r>
          </w:p>
        </w:tc>
        <w:tc>
          <w:tcPr>
            <w:tcW w:w="1308" w:type="dxa"/>
            <w:shd w:val="clear" w:color="auto" w:fill="auto"/>
            <w:vAlign w:val="center"/>
          </w:tcPr>
          <w:p w14:paraId="1CF0862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陈园丁</w:t>
            </w:r>
          </w:p>
        </w:tc>
        <w:tc>
          <w:tcPr>
            <w:tcW w:w="3199" w:type="dxa"/>
            <w:shd w:val="clear" w:color="auto" w:fill="auto"/>
            <w:vAlign w:val="center"/>
          </w:tcPr>
          <w:p w14:paraId="230998F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43990409@qq.com</w:t>
            </w:r>
          </w:p>
        </w:tc>
        <w:tc>
          <w:tcPr>
            <w:tcW w:w="1596" w:type="dxa"/>
            <w:shd w:val="clear" w:color="auto" w:fill="auto"/>
            <w:vAlign w:val="center"/>
          </w:tcPr>
          <w:p w14:paraId="401576F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0816-2545738</w:t>
            </w:r>
          </w:p>
        </w:tc>
      </w:tr>
      <w:tr w14:paraId="2938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015C04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0C7085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四川普什宁江机床有限公司</w:t>
            </w:r>
          </w:p>
        </w:tc>
        <w:tc>
          <w:tcPr>
            <w:tcW w:w="1308" w:type="dxa"/>
            <w:shd w:val="clear" w:color="auto" w:fill="auto"/>
            <w:vAlign w:val="center"/>
          </w:tcPr>
          <w:p w14:paraId="02B8A7E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贾禹沙</w:t>
            </w:r>
          </w:p>
        </w:tc>
        <w:tc>
          <w:tcPr>
            <w:tcW w:w="3199" w:type="dxa"/>
            <w:shd w:val="clear" w:color="auto" w:fill="auto"/>
            <w:vAlign w:val="center"/>
          </w:tcPr>
          <w:p w14:paraId="0D94AC4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1299548179@qq.com</w:t>
            </w:r>
          </w:p>
        </w:tc>
        <w:tc>
          <w:tcPr>
            <w:tcW w:w="1596" w:type="dxa"/>
            <w:shd w:val="clear" w:color="auto" w:fill="auto"/>
            <w:vAlign w:val="center"/>
          </w:tcPr>
          <w:p w14:paraId="7F12931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028-87132411</w:t>
            </w:r>
          </w:p>
          <w:p w14:paraId="451B1E9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-226</w:t>
            </w:r>
          </w:p>
        </w:tc>
      </w:tr>
      <w:tr w14:paraId="4A05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D54A24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4766D86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四川省安全科学技术研究院</w:t>
            </w:r>
          </w:p>
        </w:tc>
        <w:tc>
          <w:tcPr>
            <w:tcW w:w="1308" w:type="dxa"/>
            <w:shd w:val="clear" w:color="auto" w:fill="auto"/>
            <w:vAlign w:val="center"/>
          </w:tcPr>
          <w:p w14:paraId="1929B87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边  瑞</w:t>
            </w:r>
          </w:p>
        </w:tc>
        <w:tc>
          <w:tcPr>
            <w:tcW w:w="3199" w:type="dxa"/>
            <w:shd w:val="clear" w:color="auto" w:fill="auto"/>
            <w:vAlign w:val="center"/>
          </w:tcPr>
          <w:p w14:paraId="1F4A3EF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2802926499@qq.com</w:t>
            </w:r>
          </w:p>
        </w:tc>
        <w:tc>
          <w:tcPr>
            <w:tcW w:w="1596" w:type="dxa"/>
            <w:shd w:val="clear" w:color="auto" w:fill="auto"/>
            <w:vAlign w:val="center"/>
          </w:tcPr>
          <w:p w14:paraId="65758E2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028-61511225</w:t>
            </w:r>
          </w:p>
        </w:tc>
      </w:tr>
      <w:tr w14:paraId="369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B6D857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CC2C67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四川省川威集团有限公司</w:t>
            </w:r>
          </w:p>
        </w:tc>
        <w:tc>
          <w:tcPr>
            <w:tcW w:w="1308" w:type="dxa"/>
            <w:shd w:val="clear" w:color="auto" w:fill="auto"/>
            <w:vAlign w:val="center"/>
          </w:tcPr>
          <w:p w14:paraId="46035F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荆七一</w:t>
            </w:r>
          </w:p>
        </w:tc>
        <w:tc>
          <w:tcPr>
            <w:tcW w:w="3199" w:type="dxa"/>
            <w:shd w:val="clear" w:color="auto" w:fill="auto"/>
            <w:vAlign w:val="center"/>
          </w:tcPr>
          <w:p w14:paraId="34BDCAB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285127672@QQ.com</w:t>
            </w:r>
          </w:p>
        </w:tc>
        <w:tc>
          <w:tcPr>
            <w:tcW w:w="1596" w:type="dxa"/>
            <w:shd w:val="clear" w:color="auto" w:fill="auto"/>
            <w:vAlign w:val="center"/>
          </w:tcPr>
          <w:p w14:paraId="3D220F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028-88431076</w:t>
            </w:r>
          </w:p>
        </w:tc>
      </w:tr>
      <w:tr w14:paraId="6441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6F99AE04">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59554FC0">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744FFEBF">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4EE3262F">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4704A74E">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4448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BE6C9F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3D63F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四川省妇幼保健院</w:t>
            </w:r>
          </w:p>
        </w:tc>
        <w:tc>
          <w:tcPr>
            <w:tcW w:w="1308" w:type="dxa"/>
            <w:shd w:val="clear" w:color="auto" w:fill="auto"/>
            <w:vAlign w:val="center"/>
          </w:tcPr>
          <w:p w14:paraId="0D7AFFF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蒲星月</w:t>
            </w:r>
          </w:p>
        </w:tc>
        <w:tc>
          <w:tcPr>
            <w:tcW w:w="3199" w:type="dxa"/>
            <w:shd w:val="clear" w:color="auto" w:fill="auto"/>
            <w:vAlign w:val="center"/>
          </w:tcPr>
          <w:p w14:paraId="570FBEE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1229930403@qq.com</w:t>
            </w:r>
          </w:p>
        </w:tc>
        <w:tc>
          <w:tcPr>
            <w:tcW w:w="1596" w:type="dxa"/>
            <w:shd w:val="clear" w:color="auto" w:fill="auto"/>
            <w:vAlign w:val="center"/>
          </w:tcPr>
          <w:p w14:paraId="7201DE8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028-65978220</w:t>
            </w:r>
          </w:p>
        </w:tc>
      </w:tr>
      <w:tr w14:paraId="19A4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9F91D7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1AAA7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四川省公路规划勘察设计研究院有限公司</w:t>
            </w:r>
          </w:p>
        </w:tc>
        <w:tc>
          <w:tcPr>
            <w:tcW w:w="1308" w:type="dxa"/>
            <w:shd w:val="clear" w:color="auto" w:fill="auto"/>
            <w:vAlign w:val="center"/>
          </w:tcPr>
          <w:p w14:paraId="1DBF83C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谭盛宇</w:t>
            </w:r>
          </w:p>
        </w:tc>
        <w:tc>
          <w:tcPr>
            <w:tcW w:w="3199" w:type="dxa"/>
            <w:shd w:val="clear" w:color="auto" w:fill="auto"/>
            <w:vAlign w:val="center"/>
          </w:tcPr>
          <w:p w14:paraId="1B8E435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tanshengyu@schdri.com</w:t>
            </w:r>
          </w:p>
        </w:tc>
        <w:tc>
          <w:tcPr>
            <w:tcW w:w="1596" w:type="dxa"/>
            <w:shd w:val="clear" w:color="auto" w:fill="auto"/>
            <w:vAlign w:val="center"/>
          </w:tcPr>
          <w:p w14:paraId="165A90C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028-85527428</w:t>
            </w:r>
          </w:p>
        </w:tc>
      </w:tr>
      <w:tr w14:paraId="44E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D8450D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73C23C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宋体"/>
                <w:sz w:val="21"/>
                <w:szCs w:val="21"/>
                <w:highlight w:val="none"/>
              </w:rPr>
              <w:t>四川省建筑设计研究院有限公司</w:t>
            </w:r>
          </w:p>
        </w:tc>
        <w:tc>
          <w:tcPr>
            <w:tcW w:w="1308" w:type="dxa"/>
            <w:shd w:val="clear" w:color="auto" w:fill="auto"/>
            <w:vAlign w:val="center"/>
          </w:tcPr>
          <w:p w14:paraId="6E5CA81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唐丽娜</w:t>
            </w:r>
          </w:p>
        </w:tc>
        <w:tc>
          <w:tcPr>
            <w:tcW w:w="3199" w:type="dxa"/>
            <w:shd w:val="clear" w:color="auto" w:fill="auto"/>
            <w:vAlign w:val="center"/>
          </w:tcPr>
          <w:p w14:paraId="05D7999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95455799@qq.com</w:t>
            </w:r>
          </w:p>
        </w:tc>
        <w:tc>
          <w:tcPr>
            <w:tcW w:w="1596" w:type="dxa"/>
            <w:shd w:val="clear" w:color="auto" w:fill="auto"/>
            <w:vAlign w:val="center"/>
          </w:tcPr>
          <w:p w14:paraId="2550191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028-86957308</w:t>
            </w:r>
          </w:p>
        </w:tc>
      </w:tr>
      <w:tr w14:paraId="4B16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E93BF7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491A8A1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四川省农业科学院</w:t>
            </w:r>
          </w:p>
        </w:tc>
        <w:tc>
          <w:tcPr>
            <w:tcW w:w="1308" w:type="dxa"/>
            <w:shd w:val="clear" w:color="auto" w:fill="auto"/>
            <w:vAlign w:val="center"/>
          </w:tcPr>
          <w:p w14:paraId="6712444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姜力瑜</w:t>
            </w:r>
          </w:p>
        </w:tc>
        <w:tc>
          <w:tcPr>
            <w:tcW w:w="3199" w:type="dxa"/>
            <w:shd w:val="clear" w:color="auto" w:fill="auto"/>
            <w:vAlign w:val="center"/>
          </w:tcPr>
          <w:p w14:paraId="71E87B5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263576150@qq.com</w:t>
            </w:r>
          </w:p>
        </w:tc>
        <w:tc>
          <w:tcPr>
            <w:tcW w:w="1596" w:type="dxa"/>
            <w:shd w:val="clear" w:color="auto" w:fill="auto"/>
            <w:vAlign w:val="center"/>
          </w:tcPr>
          <w:p w14:paraId="24082DC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028-84504010</w:t>
            </w:r>
          </w:p>
        </w:tc>
      </w:tr>
      <w:tr w14:paraId="59A4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AFD63C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63B0149">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四川省社会科学院</w:t>
            </w:r>
          </w:p>
        </w:tc>
        <w:tc>
          <w:tcPr>
            <w:tcW w:w="1308" w:type="dxa"/>
            <w:shd w:val="clear" w:color="auto" w:fill="auto"/>
            <w:vAlign w:val="center"/>
          </w:tcPr>
          <w:p w14:paraId="7ED84A3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  崑</w:t>
            </w:r>
          </w:p>
        </w:tc>
        <w:tc>
          <w:tcPr>
            <w:tcW w:w="3199" w:type="dxa"/>
            <w:shd w:val="clear" w:color="auto" w:fill="auto"/>
            <w:vAlign w:val="center"/>
          </w:tcPr>
          <w:p w14:paraId="3E8AE64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tom.lee@163.com</w:t>
            </w:r>
          </w:p>
        </w:tc>
        <w:tc>
          <w:tcPr>
            <w:tcW w:w="1596" w:type="dxa"/>
            <w:shd w:val="clear" w:color="auto" w:fill="auto"/>
            <w:vAlign w:val="center"/>
          </w:tcPr>
          <w:p w14:paraId="42F6274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028-60896019</w:t>
            </w:r>
          </w:p>
        </w:tc>
      </w:tr>
      <w:tr w14:paraId="0F22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E58732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09DFCE7">
            <w:pPr>
              <w:pStyle w:val="5"/>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宋体"/>
                <w:sz w:val="21"/>
                <w:szCs w:val="21"/>
                <w:highlight w:val="none"/>
              </w:rPr>
              <w:t>四川省文物考古研究院</w:t>
            </w:r>
          </w:p>
        </w:tc>
        <w:tc>
          <w:tcPr>
            <w:tcW w:w="1308" w:type="dxa"/>
            <w:shd w:val="clear" w:color="auto" w:fill="auto"/>
            <w:vAlign w:val="center"/>
          </w:tcPr>
          <w:p w14:paraId="168D9AF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王建春</w:t>
            </w:r>
          </w:p>
        </w:tc>
        <w:tc>
          <w:tcPr>
            <w:tcW w:w="3199" w:type="dxa"/>
            <w:shd w:val="clear" w:color="auto" w:fill="auto"/>
            <w:vAlign w:val="center"/>
          </w:tcPr>
          <w:p w14:paraId="67EEE05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sckgky@163.com</w:t>
            </w:r>
          </w:p>
        </w:tc>
        <w:tc>
          <w:tcPr>
            <w:tcW w:w="1596" w:type="dxa"/>
            <w:shd w:val="clear" w:color="auto" w:fill="auto"/>
            <w:vAlign w:val="center"/>
          </w:tcPr>
          <w:p w14:paraId="4A139A2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79B4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35D5E4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01D8F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hint="eastAsia" w:eastAsiaTheme="minorEastAsia"/>
                <w:kern w:val="0"/>
                <w:sz w:val="21"/>
                <w:szCs w:val="21"/>
                <w:highlight w:val="none"/>
              </w:rPr>
              <w:t>四川省医学科学院·四川省人民医院</w:t>
            </w:r>
          </w:p>
        </w:tc>
        <w:tc>
          <w:tcPr>
            <w:tcW w:w="1308" w:type="dxa"/>
            <w:shd w:val="clear" w:color="auto" w:fill="auto"/>
            <w:vAlign w:val="center"/>
          </w:tcPr>
          <w:p w14:paraId="57256D7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  岚</w:t>
            </w:r>
          </w:p>
        </w:tc>
        <w:tc>
          <w:tcPr>
            <w:tcW w:w="3199" w:type="dxa"/>
            <w:shd w:val="clear" w:color="auto" w:fill="auto"/>
            <w:vAlign w:val="center"/>
          </w:tcPr>
          <w:p w14:paraId="61F9138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scsyyrcb@med.uestc.edu.cn</w:t>
            </w:r>
          </w:p>
        </w:tc>
        <w:tc>
          <w:tcPr>
            <w:tcW w:w="1596" w:type="dxa"/>
            <w:shd w:val="clear" w:color="auto" w:fill="auto"/>
            <w:vAlign w:val="center"/>
          </w:tcPr>
          <w:p w14:paraId="319A776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028-87393208</w:t>
            </w:r>
          </w:p>
        </w:tc>
      </w:tr>
      <w:tr w14:paraId="2330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FD86A2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8839CC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四川省宜宾五粮液集团有限公司</w:t>
            </w:r>
          </w:p>
        </w:tc>
        <w:tc>
          <w:tcPr>
            <w:tcW w:w="1308" w:type="dxa"/>
            <w:shd w:val="clear" w:color="auto" w:fill="auto"/>
            <w:vAlign w:val="center"/>
          </w:tcPr>
          <w:p w14:paraId="23186E0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冯  政</w:t>
            </w:r>
          </w:p>
        </w:tc>
        <w:tc>
          <w:tcPr>
            <w:tcW w:w="3199" w:type="dxa"/>
            <w:shd w:val="clear" w:color="auto" w:fill="auto"/>
            <w:vAlign w:val="center"/>
          </w:tcPr>
          <w:p w14:paraId="3C8815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544460820@qq.com</w:t>
            </w:r>
          </w:p>
        </w:tc>
        <w:tc>
          <w:tcPr>
            <w:tcW w:w="1596" w:type="dxa"/>
            <w:shd w:val="clear" w:color="auto" w:fill="auto"/>
            <w:vAlign w:val="center"/>
          </w:tcPr>
          <w:p w14:paraId="5AC29B0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0831-3566073</w:t>
            </w:r>
          </w:p>
        </w:tc>
      </w:tr>
      <w:tr w14:paraId="4FEB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084705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9F3258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四川省有色科技集团有限责任公司</w:t>
            </w:r>
          </w:p>
        </w:tc>
        <w:tc>
          <w:tcPr>
            <w:tcW w:w="1308" w:type="dxa"/>
            <w:shd w:val="clear" w:color="auto" w:fill="auto"/>
            <w:vAlign w:val="center"/>
          </w:tcPr>
          <w:p w14:paraId="40EE43C4">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万  宁</w:t>
            </w:r>
          </w:p>
        </w:tc>
        <w:tc>
          <w:tcPr>
            <w:tcW w:w="3199" w:type="dxa"/>
            <w:shd w:val="clear" w:color="auto" w:fill="auto"/>
            <w:vAlign w:val="center"/>
          </w:tcPr>
          <w:p w14:paraId="7CDFED5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630973149@qq.com</w:t>
            </w:r>
          </w:p>
        </w:tc>
        <w:tc>
          <w:tcPr>
            <w:tcW w:w="1596" w:type="dxa"/>
            <w:shd w:val="clear" w:color="auto" w:fill="auto"/>
            <w:vAlign w:val="center"/>
          </w:tcPr>
          <w:p w14:paraId="1E6806B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2214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6E6875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4D6F2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四川省肿瘤医院</w:t>
            </w:r>
          </w:p>
        </w:tc>
        <w:tc>
          <w:tcPr>
            <w:tcW w:w="1308" w:type="dxa"/>
            <w:shd w:val="clear" w:color="auto" w:fill="auto"/>
            <w:vAlign w:val="center"/>
          </w:tcPr>
          <w:p w14:paraId="3BF3F56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钟  捷</w:t>
            </w:r>
          </w:p>
        </w:tc>
        <w:tc>
          <w:tcPr>
            <w:tcW w:w="3199" w:type="dxa"/>
            <w:shd w:val="clear" w:color="auto" w:fill="auto"/>
            <w:vAlign w:val="center"/>
          </w:tcPr>
          <w:p w14:paraId="1083CC5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zhongjie@scszlyy.org.cn</w:t>
            </w:r>
          </w:p>
        </w:tc>
        <w:tc>
          <w:tcPr>
            <w:tcW w:w="1596" w:type="dxa"/>
            <w:shd w:val="clear" w:color="auto" w:fill="auto"/>
            <w:vAlign w:val="center"/>
          </w:tcPr>
          <w:p w14:paraId="5233C2D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028-85420503</w:t>
            </w:r>
          </w:p>
        </w:tc>
      </w:tr>
      <w:tr w14:paraId="5A4D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C53231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BF0681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四川特驱农牧科技集团有限公司</w:t>
            </w:r>
          </w:p>
        </w:tc>
        <w:tc>
          <w:tcPr>
            <w:tcW w:w="1308" w:type="dxa"/>
            <w:shd w:val="clear" w:color="auto" w:fill="auto"/>
            <w:vAlign w:val="center"/>
          </w:tcPr>
          <w:p w14:paraId="59578B3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  彬</w:t>
            </w:r>
          </w:p>
        </w:tc>
        <w:tc>
          <w:tcPr>
            <w:tcW w:w="3199" w:type="dxa"/>
            <w:shd w:val="clear" w:color="auto" w:fill="auto"/>
            <w:vAlign w:val="center"/>
          </w:tcPr>
          <w:p w14:paraId="4497D05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284392017@qq.com</w:t>
            </w:r>
          </w:p>
        </w:tc>
        <w:tc>
          <w:tcPr>
            <w:tcW w:w="1596" w:type="dxa"/>
            <w:shd w:val="clear" w:color="auto" w:fill="auto"/>
            <w:vAlign w:val="center"/>
          </w:tcPr>
          <w:p w14:paraId="70BABE0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35C6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3942FB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78E707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四川英创力电子科技股份有限公司</w:t>
            </w:r>
          </w:p>
        </w:tc>
        <w:tc>
          <w:tcPr>
            <w:tcW w:w="1308" w:type="dxa"/>
            <w:shd w:val="clear" w:color="auto" w:fill="auto"/>
            <w:vAlign w:val="center"/>
          </w:tcPr>
          <w:p w14:paraId="65C9E41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林  涛</w:t>
            </w:r>
          </w:p>
        </w:tc>
        <w:tc>
          <w:tcPr>
            <w:tcW w:w="3199" w:type="dxa"/>
            <w:shd w:val="clear" w:color="auto" w:fill="auto"/>
            <w:vAlign w:val="center"/>
          </w:tcPr>
          <w:p w14:paraId="4E3880F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fldChar w:fldCharType="begin"/>
            </w:r>
            <w:r>
              <w:rPr>
                <w:rFonts w:hint="eastAsia" w:ascii="Times New Roman" w:hAnsi="Times New Roman" w:cs="Times New Roman" w:eastAsiaTheme="minorEastAsia"/>
                <w:b w:val="0"/>
                <w:bCs w:val="0"/>
                <w:sz w:val="21"/>
                <w:szCs w:val="21"/>
                <w:lang w:val="en-US" w:eastAsia="zh-CN"/>
              </w:rPr>
              <w:instrText xml:space="preserve"> HYPERLINK "mailto:89029912@qq.com" </w:instrText>
            </w:r>
            <w:r>
              <w:rPr>
                <w:rFonts w:hint="eastAsia" w:ascii="Times New Roman" w:hAnsi="Times New Roman" w:cs="Times New Roman" w:eastAsiaTheme="minorEastAsia"/>
                <w:b w:val="0"/>
                <w:bCs w:val="0"/>
                <w:sz w:val="21"/>
                <w:szCs w:val="21"/>
                <w:lang w:val="en-US" w:eastAsia="zh-CN"/>
              </w:rPr>
              <w:fldChar w:fldCharType="separate"/>
            </w:r>
            <w:r>
              <w:rPr>
                <w:rFonts w:hint="eastAsia" w:ascii="Times New Roman" w:hAnsi="Times New Roman" w:cs="Times New Roman" w:eastAsiaTheme="minorEastAsia"/>
                <w:b w:val="0"/>
                <w:bCs w:val="0"/>
                <w:sz w:val="21"/>
                <w:szCs w:val="21"/>
                <w:lang w:val="en-US" w:eastAsia="zh-CN"/>
              </w:rPr>
              <w:t>89029912@qq.com</w:t>
            </w:r>
            <w:r>
              <w:rPr>
                <w:rFonts w:hint="eastAsia" w:ascii="Times New Roman" w:hAnsi="Times New Roman" w:cs="Times New Roman" w:eastAsiaTheme="minorEastAsia"/>
                <w:b w:val="0"/>
                <w:bCs w:val="0"/>
                <w:sz w:val="21"/>
                <w:szCs w:val="21"/>
                <w:lang w:val="en-US" w:eastAsia="zh-CN"/>
              </w:rPr>
              <w:fldChar w:fldCharType="end"/>
            </w:r>
          </w:p>
        </w:tc>
        <w:tc>
          <w:tcPr>
            <w:tcW w:w="1596" w:type="dxa"/>
            <w:shd w:val="clear" w:color="auto" w:fill="auto"/>
            <w:vAlign w:val="center"/>
          </w:tcPr>
          <w:p w14:paraId="3BF1904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5E79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8B97EE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E43AE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太行国家实验室</w:t>
            </w:r>
          </w:p>
        </w:tc>
        <w:tc>
          <w:tcPr>
            <w:tcW w:w="1308" w:type="dxa"/>
            <w:shd w:val="clear" w:color="auto" w:fill="auto"/>
            <w:vAlign w:val="center"/>
          </w:tcPr>
          <w:p w14:paraId="373D081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李老师</w:t>
            </w:r>
          </w:p>
        </w:tc>
        <w:tc>
          <w:tcPr>
            <w:tcW w:w="3199" w:type="dxa"/>
            <w:shd w:val="clear" w:color="auto" w:fill="auto"/>
            <w:vAlign w:val="center"/>
          </w:tcPr>
          <w:p w14:paraId="3C0BFB6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thbshgzz@163.com</w:t>
            </w:r>
          </w:p>
        </w:tc>
        <w:tc>
          <w:tcPr>
            <w:tcW w:w="1596" w:type="dxa"/>
            <w:shd w:val="clear" w:color="auto" w:fill="auto"/>
            <w:vAlign w:val="center"/>
          </w:tcPr>
          <w:p w14:paraId="53F0ACC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028-81280209</w:t>
            </w:r>
          </w:p>
        </w:tc>
      </w:tr>
      <w:tr w14:paraId="07C6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9A9DBD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C7F19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天府兴隆湖实验室</w:t>
            </w:r>
          </w:p>
        </w:tc>
        <w:tc>
          <w:tcPr>
            <w:tcW w:w="1308" w:type="dxa"/>
            <w:shd w:val="clear" w:color="auto" w:fill="auto"/>
            <w:vAlign w:val="center"/>
          </w:tcPr>
          <w:p w14:paraId="3EAF71C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  静</w:t>
            </w:r>
          </w:p>
        </w:tc>
        <w:tc>
          <w:tcPr>
            <w:tcW w:w="3199" w:type="dxa"/>
            <w:shd w:val="clear" w:color="auto" w:fill="auto"/>
            <w:vAlign w:val="center"/>
          </w:tcPr>
          <w:p w14:paraId="40DBFFA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wangjing@xlll.cn</w:t>
            </w:r>
          </w:p>
        </w:tc>
        <w:tc>
          <w:tcPr>
            <w:tcW w:w="1596" w:type="dxa"/>
            <w:shd w:val="clear" w:color="auto" w:fill="auto"/>
            <w:vAlign w:val="center"/>
          </w:tcPr>
          <w:p w14:paraId="20523B5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028-81208602</w:t>
            </w:r>
          </w:p>
        </w:tc>
      </w:tr>
      <w:tr w14:paraId="49E3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7744CE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428C7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西南医科大学附属医院</w:t>
            </w:r>
          </w:p>
        </w:tc>
        <w:tc>
          <w:tcPr>
            <w:tcW w:w="1308" w:type="dxa"/>
            <w:shd w:val="clear" w:color="auto" w:fill="auto"/>
            <w:vAlign w:val="center"/>
          </w:tcPr>
          <w:p w14:paraId="318A4EC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吴晓霜</w:t>
            </w:r>
          </w:p>
        </w:tc>
        <w:tc>
          <w:tcPr>
            <w:tcW w:w="3199" w:type="dxa"/>
            <w:shd w:val="clear" w:color="auto" w:fill="auto"/>
            <w:vAlign w:val="center"/>
          </w:tcPr>
          <w:p w14:paraId="201C6CD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xnykdfyrzb@126.com</w:t>
            </w:r>
          </w:p>
        </w:tc>
        <w:tc>
          <w:tcPr>
            <w:tcW w:w="1596" w:type="dxa"/>
            <w:shd w:val="clear" w:color="auto" w:fill="auto"/>
            <w:vAlign w:val="center"/>
          </w:tcPr>
          <w:p w14:paraId="774C146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0830-3165971</w:t>
            </w:r>
          </w:p>
        </w:tc>
      </w:tr>
      <w:tr w14:paraId="0D71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658C4E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21138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西南医科大学附属中医医院</w:t>
            </w:r>
          </w:p>
        </w:tc>
        <w:tc>
          <w:tcPr>
            <w:tcW w:w="1308" w:type="dxa"/>
            <w:shd w:val="clear" w:color="auto" w:fill="auto"/>
            <w:vAlign w:val="center"/>
          </w:tcPr>
          <w:p w14:paraId="43B4A2D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王光远</w:t>
            </w:r>
          </w:p>
        </w:tc>
        <w:tc>
          <w:tcPr>
            <w:tcW w:w="3199" w:type="dxa"/>
            <w:shd w:val="clear" w:color="auto" w:fill="auto"/>
            <w:vAlign w:val="center"/>
          </w:tcPr>
          <w:p w14:paraId="71C994F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403265312@qq.com</w:t>
            </w:r>
          </w:p>
        </w:tc>
        <w:tc>
          <w:tcPr>
            <w:tcW w:w="1596" w:type="dxa"/>
            <w:shd w:val="clear" w:color="auto" w:fill="auto"/>
            <w:vAlign w:val="center"/>
          </w:tcPr>
          <w:p w14:paraId="79741D4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0830-3161859</w:t>
            </w:r>
          </w:p>
        </w:tc>
      </w:tr>
      <w:tr w14:paraId="764F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D3C0DE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EA209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西南医科大学心血管医学研究所</w:t>
            </w:r>
          </w:p>
        </w:tc>
        <w:tc>
          <w:tcPr>
            <w:tcW w:w="1308" w:type="dxa"/>
            <w:shd w:val="clear" w:color="auto" w:fill="auto"/>
            <w:vAlign w:val="center"/>
          </w:tcPr>
          <w:p w14:paraId="0C86168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方</w:t>
            </w:r>
            <w:r>
              <w:rPr>
                <w:rFonts w:hint="eastAsia" w:ascii="Times New Roman" w:hAnsi="Times New Roman"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lang w:val="en-US" w:eastAsia="zh-CN"/>
              </w:rPr>
              <w:t>丹</w:t>
            </w:r>
          </w:p>
        </w:tc>
        <w:tc>
          <w:tcPr>
            <w:tcW w:w="3199" w:type="dxa"/>
            <w:shd w:val="clear" w:color="auto" w:fill="auto"/>
            <w:vAlign w:val="center"/>
          </w:tcPr>
          <w:p w14:paraId="41A2362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87693651@qq.com</w:t>
            </w:r>
          </w:p>
        </w:tc>
        <w:tc>
          <w:tcPr>
            <w:tcW w:w="1596" w:type="dxa"/>
            <w:shd w:val="clear" w:color="auto" w:fill="auto"/>
            <w:vAlign w:val="center"/>
          </w:tcPr>
          <w:p w14:paraId="0433AE1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0830-3160219</w:t>
            </w:r>
          </w:p>
        </w:tc>
      </w:tr>
      <w:tr w14:paraId="159E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21B1B6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6DB40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新华文轩出版传媒股份有限公司</w:t>
            </w:r>
          </w:p>
        </w:tc>
        <w:tc>
          <w:tcPr>
            <w:tcW w:w="1308" w:type="dxa"/>
            <w:shd w:val="clear" w:color="auto" w:fill="auto"/>
            <w:vAlign w:val="center"/>
          </w:tcPr>
          <w:p w14:paraId="5CD35DE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盛文文</w:t>
            </w:r>
          </w:p>
        </w:tc>
        <w:tc>
          <w:tcPr>
            <w:tcW w:w="3199" w:type="dxa"/>
            <w:shd w:val="clear" w:color="auto" w:fill="auto"/>
            <w:vAlign w:val="center"/>
          </w:tcPr>
          <w:p w14:paraId="2CFCB9D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shengwenwen</w:t>
            </w:r>
            <w:r>
              <w:rPr>
                <w:rFonts w:hint="eastAsia" w:ascii="Times New Roman" w:hAnsi="Times New Roman" w:cs="Times New Roman" w:eastAsiaTheme="minorEastAsia"/>
                <w:b w:val="0"/>
                <w:bCs w:val="0"/>
                <w:sz w:val="21"/>
                <w:szCs w:val="21"/>
                <w:lang w:val="en-US" w:eastAsia="zh-CN"/>
              </w:rPr>
              <w:t>@winshare.com.cn</w:t>
            </w:r>
          </w:p>
        </w:tc>
        <w:tc>
          <w:tcPr>
            <w:tcW w:w="1596" w:type="dxa"/>
            <w:shd w:val="clear" w:color="auto" w:fill="auto"/>
            <w:vAlign w:val="center"/>
          </w:tcPr>
          <w:p w14:paraId="141E9E6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028-86361223</w:t>
            </w:r>
          </w:p>
        </w:tc>
      </w:tr>
      <w:tr w14:paraId="11B1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EB4EF5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08906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新希望六和股份有限公司</w:t>
            </w:r>
          </w:p>
        </w:tc>
        <w:tc>
          <w:tcPr>
            <w:tcW w:w="1308" w:type="dxa"/>
            <w:shd w:val="clear" w:color="auto" w:fill="auto"/>
            <w:vAlign w:val="center"/>
          </w:tcPr>
          <w:p w14:paraId="493C03F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潘雯瑶</w:t>
            </w:r>
          </w:p>
        </w:tc>
        <w:tc>
          <w:tcPr>
            <w:tcW w:w="3199" w:type="dxa"/>
            <w:shd w:val="clear" w:color="auto" w:fill="auto"/>
            <w:vAlign w:val="center"/>
          </w:tcPr>
          <w:p w14:paraId="33C4A8E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panwy@newhope.cn</w:t>
            </w:r>
          </w:p>
        </w:tc>
        <w:tc>
          <w:tcPr>
            <w:tcW w:w="1596" w:type="dxa"/>
            <w:shd w:val="clear" w:color="auto" w:fill="auto"/>
            <w:vAlign w:val="center"/>
          </w:tcPr>
          <w:p w14:paraId="1920CA17">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637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AEF877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EF5702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兴储世纪科技股份有限公司</w:t>
            </w:r>
          </w:p>
        </w:tc>
        <w:tc>
          <w:tcPr>
            <w:tcW w:w="1308" w:type="dxa"/>
            <w:shd w:val="clear" w:color="auto" w:fill="auto"/>
            <w:vAlign w:val="center"/>
          </w:tcPr>
          <w:p w14:paraId="580C9A0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徐  莉</w:t>
            </w:r>
          </w:p>
        </w:tc>
        <w:tc>
          <w:tcPr>
            <w:tcW w:w="3199" w:type="dxa"/>
            <w:shd w:val="clear" w:color="auto" w:fill="auto"/>
            <w:vAlign w:val="center"/>
          </w:tcPr>
          <w:p w14:paraId="27BFF3C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bookmarkStart w:id="9" w:name="OLE_LINK6"/>
            <w:r>
              <w:rPr>
                <w:rFonts w:hint="eastAsia" w:ascii="Times New Roman" w:hAnsi="Times New Roman" w:cs="Times New Roman" w:eastAsiaTheme="minorEastAsia"/>
                <w:b w:val="0"/>
                <w:bCs w:val="0"/>
                <w:sz w:val="21"/>
                <w:szCs w:val="21"/>
                <w:lang w:val="en-US" w:eastAsia="zh-CN"/>
              </w:rPr>
              <w:t>469673742@qq.com</w:t>
            </w:r>
            <w:bookmarkEnd w:id="9"/>
          </w:p>
        </w:tc>
        <w:tc>
          <w:tcPr>
            <w:tcW w:w="1596" w:type="dxa"/>
            <w:shd w:val="clear" w:color="auto" w:fill="auto"/>
            <w:vAlign w:val="center"/>
          </w:tcPr>
          <w:p w14:paraId="4BEEE68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0813-5205566</w:t>
            </w:r>
          </w:p>
        </w:tc>
      </w:tr>
      <w:tr w14:paraId="72AB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5F0B92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DBFA39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雅砻江流域水电开发有限公司</w:t>
            </w:r>
          </w:p>
        </w:tc>
        <w:tc>
          <w:tcPr>
            <w:tcW w:w="1308" w:type="dxa"/>
            <w:shd w:val="clear" w:color="auto" w:fill="auto"/>
            <w:vAlign w:val="center"/>
          </w:tcPr>
          <w:p w14:paraId="5A87D5B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王义鑫</w:t>
            </w:r>
          </w:p>
        </w:tc>
        <w:tc>
          <w:tcPr>
            <w:tcW w:w="3199" w:type="dxa"/>
            <w:shd w:val="clear" w:color="auto" w:fill="auto"/>
            <w:vAlign w:val="center"/>
          </w:tcPr>
          <w:p w14:paraId="4D290D4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w:t>
            </w:r>
            <w:r>
              <w:rPr>
                <w:rFonts w:hint="default" w:ascii="Times New Roman" w:hAnsi="Times New Roman" w:cs="Times New Roman" w:eastAsiaTheme="minorEastAsia"/>
                <w:b w:val="0"/>
                <w:bCs w:val="0"/>
                <w:sz w:val="21"/>
                <w:szCs w:val="21"/>
                <w:lang w:val="en-US" w:eastAsia="zh-CN"/>
              </w:rPr>
              <w:t>0098750@sdic.com.cn</w:t>
            </w:r>
          </w:p>
        </w:tc>
        <w:tc>
          <w:tcPr>
            <w:tcW w:w="1596" w:type="dxa"/>
            <w:shd w:val="clear" w:color="auto" w:fill="auto"/>
            <w:vAlign w:val="center"/>
          </w:tcPr>
          <w:p w14:paraId="35FAADB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028-82907894</w:t>
            </w:r>
          </w:p>
        </w:tc>
      </w:tr>
      <w:tr w14:paraId="7567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8C7AE0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45127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宜宾丝丽雅集团有限公司</w:t>
            </w:r>
          </w:p>
        </w:tc>
        <w:tc>
          <w:tcPr>
            <w:tcW w:w="1308" w:type="dxa"/>
            <w:shd w:val="clear" w:color="auto" w:fill="auto"/>
            <w:vAlign w:val="center"/>
          </w:tcPr>
          <w:p w14:paraId="3D2B8E5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李斌华</w:t>
            </w:r>
          </w:p>
        </w:tc>
        <w:tc>
          <w:tcPr>
            <w:tcW w:w="3199" w:type="dxa"/>
            <w:shd w:val="clear" w:color="auto" w:fill="auto"/>
            <w:vAlign w:val="center"/>
          </w:tcPr>
          <w:p w14:paraId="142444C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hr@cn-grace.com</w:t>
            </w:r>
          </w:p>
        </w:tc>
        <w:tc>
          <w:tcPr>
            <w:tcW w:w="1596" w:type="dxa"/>
            <w:shd w:val="clear" w:color="auto" w:fill="auto"/>
            <w:vAlign w:val="center"/>
          </w:tcPr>
          <w:p w14:paraId="30629CC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0831-2360108</w:t>
            </w:r>
          </w:p>
        </w:tc>
      </w:tr>
      <w:tr w14:paraId="26EB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74AF53DB">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5DA43946">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313B5897">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457CA8EF">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42789141">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0EFA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494E50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ED513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应急管理部四川消防研究所</w:t>
            </w:r>
          </w:p>
        </w:tc>
        <w:tc>
          <w:tcPr>
            <w:tcW w:w="1308" w:type="dxa"/>
            <w:shd w:val="clear" w:color="auto" w:fill="auto"/>
            <w:vAlign w:val="center"/>
          </w:tcPr>
          <w:p w14:paraId="5C11726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汤静怡</w:t>
            </w:r>
          </w:p>
        </w:tc>
        <w:tc>
          <w:tcPr>
            <w:tcW w:w="3199" w:type="dxa"/>
            <w:shd w:val="clear" w:color="auto" w:fill="auto"/>
            <w:vAlign w:val="center"/>
          </w:tcPr>
          <w:p w14:paraId="37D37D6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scfri_hiring@163.com</w:t>
            </w:r>
          </w:p>
        </w:tc>
        <w:tc>
          <w:tcPr>
            <w:tcW w:w="1596" w:type="dxa"/>
            <w:shd w:val="clear" w:color="auto" w:fill="auto"/>
            <w:vAlign w:val="center"/>
          </w:tcPr>
          <w:p w14:paraId="36A6C2A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028-87510331</w:t>
            </w:r>
          </w:p>
        </w:tc>
      </w:tr>
      <w:tr w14:paraId="51F0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7CF1D0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958D9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中储粮成都储藏研究院有限公司</w:t>
            </w:r>
          </w:p>
        </w:tc>
        <w:tc>
          <w:tcPr>
            <w:tcW w:w="1308" w:type="dxa"/>
            <w:shd w:val="clear" w:color="auto" w:fill="auto"/>
            <w:vAlign w:val="center"/>
          </w:tcPr>
          <w:p w14:paraId="279C32F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秦静雯</w:t>
            </w:r>
          </w:p>
        </w:tc>
        <w:tc>
          <w:tcPr>
            <w:tcW w:w="3199" w:type="dxa"/>
            <w:shd w:val="clear" w:color="auto" w:fill="auto"/>
            <w:vAlign w:val="center"/>
          </w:tcPr>
          <w:p w14:paraId="1DACA82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2418468948@qq.com</w:t>
            </w:r>
          </w:p>
        </w:tc>
        <w:tc>
          <w:tcPr>
            <w:tcW w:w="1596" w:type="dxa"/>
            <w:shd w:val="clear" w:color="auto" w:fill="auto"/>
            <w:vAlign w:val="center"/>
          </w:tcPr>
          <w:p w14:paraId="0F11751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028-87402903</w:t>
            </w:r>
          </w:p>
        </w:tc>
      </w:tr>
      <w:tr w14:paraId="28DA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8046C7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F688C4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中电科网络安全科技股份有限公司</w:t>
            </w:r>
          </w:p>
        </w:tc>
        <w:tc>
          <w:tcPr>
            <w:tcW w:w="1308" w:type="dxa"/>
            <w:shd w:val="clear" w:color="auto" w:fill="auto"/>
            <w:vAlign w:val="center"/>
          </w:tcPr>
          <w:p w14:paraId="4597722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陈紫灵</w:t>
            </w:r>
          </w:p>
        </w:tc>
        <w:tc>
          <w:tcPr>
            <w:tcW w:w="3199" w:type="dxa"/>
            <w:shd w:val="clear" w:color="auto" w:fill="auto"/>
            <w:vAlign w:val="center"/>
          </w:tcPr>
          <w:p w14:paraId="2401445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chen.ziling08444@cetccst.com.cn</w:t>
            </w:r>
          </w:p>
        </w:tc>
        <w:tc>
          <w:tcPr>
            <w:tcW w:w="1596" w:type="dxa"/>
            <w:shd w:val="clear" w:color="auto" w:fill="auto"/>
            <w:vAlign w:val="center"/>
          </w:tcPr>
          <w:p w14:paraId="2E4D61B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028-62386037</w:t>
            </w:r>
          </w:p>
        </w:tc>
      </w:tr>
      <w:tr w14:paraId="469A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373607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4D630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中国兵器装备集团自动化研究所有限公司</w:t>
            </w:r>
          </w:p>
        </w:tc>
        <w:tc>
          <w:tcPr>
            <w:tcW w:w="1308" w:type="dxa"/>
            <w:shd w:val="clear" w:color="auto" w:fill="auto"/>
            <w:vAlign w:val="center"/>
          </w:tcPr>
          <w:p w14:paraId="2A33EAB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李雨珂</w:t>
            </w:r>
          </w:p>
        </w:tc>
        <w:tc>
          <w:tcPr>
            <w:tcW w:w="3199" w:type="dxa"/>
            <w:shd w:val="clear" w:color="auto" w:fill="auto"/>
            <w:vAlign w:val="center"/>
          </w:tcPr>
          <w:p w14:paraId="6B3638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913062302@qq.com</w:t>
            </w:r>
          </w:p>
        </w:tc>
        <w:tc>
          <w:tcPr>
            <w:tcW w:w="1596" w:type="dxa"/>
            <w:shd w:val="clear" w:color="auto" w:fill="auto"/>
            <w:vAlign w:val="center"/>
          </w:tcPr>
          <w:p w14:paraId="2D231B2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0816-29773392</w:t>
            </w:r>
          </w:p>
        </w:tc>
      </w:tr>
      <w:tr w14:paraId="4A94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63C1EF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E1D0B9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中国测试技术研究院</w:t>
            </w:r>
          </w:p>
        </w:tc>
        <w:tc>
          <w:tcPr>
            <w:tcW w:w="1308" w:type="dxa"/>
            <w:shd w:val="clear" w:color="auto" w:fill="auto"/>
            <w:vAlign w:val="center"/>
          </w:tcPr>
          <w:p w14:paraId="3BDD028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黄慎敏</w:t>
            </w:r>
          </w:p>
        </w:tc>
        <w:tc>
          <w:tcPr>
            <w:tcW w:w="3199" w:type="dxa"/>
            <w:shd w:val="clear" w:color="auto" w:fill="auto"/>
            <w:vAlign w:val="center"/>
          </w:tcPr>
          <w:p w14:paraId="7DD359C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123555574@qq.com</w:t>
            </w:r>
          </w:p>
        </w:tc>
        <w:tc>
          <w:tcPr>
            <w:tcW w:w="1596" w:type="dxa"/>
            <w:shd w:val="clear" w:color="auto" w:fill="auto"/>
            <w:vAlign w:val="center"/>
          </w:tcPr>
          <w:p w14:paraId="4E75DE8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028-84404623</w:t>
            </w:r>
          </w:p>
        </w:tc>
      </w:tr>
      <w:tr w14:paraId="5214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E27FDF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7C5CE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中国地质调查局成都地质调查中心</w:t>
            </w:r>
          </w:p>
        </w:tc>
        <w:tc>
          <w:tcPr>
            <w:tcW w:w="1308" w:type="dxa"/>
            <w:shd w:val="clear" w:color="auto" w:fill="auto"/>
            <w:vAlign w:val="center"/>
          </w:tcPr>
          <w:p w14:paraId="14E0048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关俊雷</w:t>
            </w:r>
          </w:p>
        </w:tc>
        <w:tc>
          <w:tcPr>
            <w:tcW w:w="3199" w:type="dxa"/>
            <w:shd w:val="clear" w:color="auto" w:fill="auto"/>
            <w:vAlign w:val="center"/>
          </w:tcPr>
          <w:p w14:paraId="4D915FF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272503043@qq.com</w:t>
            </w:r>
          </w:p>
        </w:tc>
        <w:tc>
          <w:tcPr>
            <w:tcW w:w="1596" w:type="dxa"/>
            <w:shd w:val="clear" w:color="auto" w:fill="auto"/>
            <w:vAlign w:val="center"/>
          </w:tcPr>
          <w:p w14:paraId="75452C9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028-66677215</w:t>
            </w:r>
          </w:p>
        </w:tc>
      </w:tr>
      <w:tr w14:paraId="5882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8346FE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840E2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中国第二重型机械集团有限公司</w:t>
            </w:r>
          </w:p>
        </w:tc>
        <w:tc>
          <w:tcPr>
            <w:tcW w:w="1308" w:type="dxa"/>
            <w:shd w:val="clear" w:color="auto" w:fill="auto"/>
            <w:vAlign w:val="center"/>
          </w:tcPr>
          <w:p w14:paraId="46FDAA7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廖昌华</w:t>
            </w:r>
          </w:p>
        </w:tc>
        <w:tc>
          <w:tcPr>
            <w:tcW w:w="3199" w:type="dxa"/>
            <w:shd w:val="clear" w:color="auto" w:fill="auto"/>
            <w:vAlign w:val="center"/>
          </w:tcPr>
          <w:p w14:paraId="781EDA4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liaochanghua@sinomach-he.cn</w:t>
            </w:r>
          </w:p>
        </w:tc>
        <w:tc>
          <w:tcPr>
            <w:tcW w:w="1596" w:type="dxa"/>
            <w:shd w:val="clear" w:color="auto" w:fill="auto"/>
            <w:vAlign w:val="center"/>
          </w:tcPr>
          <w:p w14:paraId="3CEDA2B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0838-2342888</w:t>
            </w:r>
          </w:p>
        </w:tc>
      </w:tr>
      <w:tr w14:paraId="0088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A14172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A772C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中国电工程顾问集团西南电力设计院有限公司</w:t>
            </w:r>
          </w:p>
        </w:tc>
        <w:tc>
          <w:tcPr>
            <w:tcW w:w="1308" w:type="dxa"/>
            <w:shd w:val="clear" w:color="auto" w:fill="auto"/>
            <w:vAlign w:val="center"/>
          </w:tcPr>
          <w:p w14:paraId="1FE524A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庄  众</w:t>
            </w:r>
          </w:p>
        </w:tc>
        <w:tc>
          <w:tcPr>
            <w:tcW w:w="3199" w:type="dxa"/>
            <w:shd w:val="clear" w:color="auto" w:fill="auto"/>
            <w:vAlign w:val="center"/>
          </w:tcPr>
          <w:p w14:paraId="0EDF9E1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zhuangzhong@swepdi.com</w:t>
            </w:r>
          </w:p>
        </w:tc>
        <w:tc>
          <w:tcPr>
            <w:tcW w:w="1596" w:type="dxa"/>
            <w:shd w:val="clear" w:color="auto" w:fill="auto"/>
            <w:vAlign w:val="center"/>
          </w:tcPr>
          <w:p w14:paraId="27A2B69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028-81724634</w:t>
            </w:r>
          </w:p>
        </w:tc>
      </w:tr>
      <w:tr w14:paraId="7A0A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DD246C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5E5E20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中国电建集团成都勘测设计研究院有限公司</w:t>
            </w:r>
          </w:p>
        </w:tc>
        <w:tc>
          <w:tcPr>
            <w:tcW w:w="1308" w:type="dxa"/>
            <w:shd w:val="clear" w:color="auto" w:fill="auto"/>
            <w:vAlign w:val="center"/>
          </w:tcPr>
          <w:p w14:paraId="0F2C57E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冯学敏</w:t>
            </w:r>
          </w:p>
        </w:tc>
        <w:tc>
          <w:tcPr>
            <w:tcW w:w="3199" w:type="dxa"/>
            <w:shd w:val="clear" w:color="auto" w:fill="auto"/>
            <w:vAlign w:val="center"/>
          </w:tcPr>
          <w:p w14:paraId="0531149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2006074@chidi.com.cn</w:t>
            </w:r>
          </w:p>
        </w:tc>
        <w:tc>
          <w:tcPr>
            <w:tcW w:w="1596" w:type="dxa"/>
            <w:shd w:val="clear" w:color="auto" w:fill="auto"/>
            <w:vAlign w:val="center"/>
          </w:tcPr>
          <w:p w14:paraId="61D1745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028-60158731</w:t>
            </w:r>
          </w:p>
        </w:tc>
      </w:tr>
      <w:tr w14:paraId="2D4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641269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C6F3A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中国电子科技集团公司第二十九研究所</w:t>
            </w:r>
          </w:p>
        </w:tc>
        <w:tc>
          <w:tcPr>
            <w:tcW w:w="1308" w:type="dxa"/>
            <w:shd w:val="clear" w:color="auto" w:fill="auto"/>
            <w:vAlign w:val="center"/>
          </w:tcPr>
          <w:p w14:paraId="78B98D2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黎先生</w:t>
            </w:r>
          </w:p>
        </w:tc>
        <w:tc>
          <w:tcPr>
            <w:tcW w:w="3199" w:type="dxa"/>
            <w:shd w:val="clear" w:color="auto" w:fill="auto"/>
            <w:vAlign w:val="center"/>
          </w:tcPr>
          <w:p w14:paraId="6905364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swieepx@163.com</w:t>
            </w:r>
          </w:p>
        </w:tc>
        <w:tc>
          <w:tcPr>
            <w:tcW w:w="1596" w:type="dxa"/>
            <w:shd w:val="clear" w:color="auto" w:fill="auto"/>
            <w:vAlign w:val="center"/>
          </w:tcPr>
          <w:p w14:paraId="775B725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028-87550583</w:t>
            </w:r>
          </w:p>
        </w:tc>
      </w:tr>
      <w:tr w14:paraId="6DE7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02E21A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309CE5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中国电子科技网络信息安全有限公司</w:t>
            </w:r>
          </w:p>
        </w:tc>
        <w:tc>
          <w:tcPr>
            <w:tcW w:w="1308" w:type="dxa"/>
            <w:shd w:val="clear" w:color="auto" w:fill="auto"/>
            <w:vAlign w:val="center"/>
          </w:tcPr>
          <w:p w14:paraId="17CCB01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洁</w:t>
            </w:r>
          </w:p>
        </w:tc>
        <w:tc>
          <w:tcPr>
            <w:tcW w:w="3199" w:type="dxa"/>
            <w:shd w:val="clear" w:color="auto" w:fill="auto"/>
            <w:vAlign w:val="center"/>
          </w:tcPr>
          <w:p w14:paraId="13C1266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yj_30hr@sina.com</w:t>
            </w:r>
          </w:p>
        </w:tc>
        <w:tc>
          <w:tcPr>
            <w:tcW w:w="1596" w:type="dxa"/>
            <w:shd w:val="clear" w:color="auto" w:fill="auto"/>
            <w:vAlign w:val="center"/>
          </w:tcPr>
          <w:p w14:paraId="67167AE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028-85169364</w:t>
            </w:r>
          </w:p>
        </w:tc>
      </w:tr>
      <w:tr w14:paraId="284F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2CCF5B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92609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lang w:val="en-US" w:eastAsia="zh-CN"/>
              </w:rPr>
              <w:t>中国航发四川燃气涡轮研究院</w:t>
            </w:r>
          </w:p>
        </w:tc>
        <w:tc>
          <w:tcPr>
            <w:tcW w:w="1308" w:type="dxa"/>
            <w:shd w:val="clear" w:color="auto" w:fill="auto"/>
            <w:vAlign w:val="center"/>
          </w:tcPr>
          <w:p w14:paraId="2F27A6C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杨松萍</w:t>
            </w:r>
          </w:p>
        </w:tc>
        <w:tc>
          <w:tcPr>
            <w:tcW w:w="3199" w:type="dxa"/>
            <w:shd w:val="clear" w:color="auto" w:fill="auto"/>
            <w:vAlign w:val="center"/>
          </w:tcPr>
          <w:p w14:paraId="4BC2D6B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244351019@qq.com</w:t>
            </w:r>
          </w:p>
        </w:tc>
        <w:tc>
          <w:tcPr>
            <w:tcW w:w="1596" w:type="dxa"/>
            <w:shd w:val="clear" w:color="auto" w:fill="auto"/>
            <w:vAlign w:val="center"/>
          </w:tcPr>
          <w:p w14:paraId="0C892A2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028-80260510</w:t>
            </w:r>
          </w:p>
        </w:tc>
      </w:tr>
      <w:tr w14:paraId="0F02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B9B906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5D6F9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中国航空工业集团公司成都飞机设计研究所</w:t>
            </w:r>
          </w:p>
        </w:tc>
        <w:tc>
          <w:tcPr>
            <w:tcW w:w="1308" w:type="dxa"/>
            <w:shd w:val="clear" w:color="auto" w:fill="auto"/>
            <w:vAlign w:val="center"/>
          </w:tcPr>
          <w:p w14:paraId="6CE4E7D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汪  亮</w:t>
            </w:r>
          </w:p>
        </w:tc>
        <w:tc>
          <w:tcPr>
            <w:tcW w:w="3199" w:type="dxa"/>
            <w:shd w:val="clear" w:color="auto" w:fill="auto"/>
            <w:vAlign w:val="center"/>
          </w:tcPr>
          <w:p w14:paraId="3A6BAE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hr611s@163.com</w:t>
            </w:r>
          </w:p>
        </w:tc>
        <w:tc>
          <w:tcPr>
            <w:tcW w:w="1596" w:type="dxa"/>
            <w:shd w:val="clear" w:color="auto" w:fill="auto"/>
            <w:vAlign w:val="center"/>
          </w:tcPr>
          <w:p w14:paraId="4BAAF0E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028-85509469</w:t>
            </w:r>
          </w:p>
        </w:tc>
      </w:tr>
      <w:tr w14:paraId="74A4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18B932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8B110F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rPr>
              <w:t>中国石油化工股份有限公司西南油气分公司</w:t>
            </w:r>
          </w:p>
        </w:tc>
        <w:tc>
          <w:tcPr>
            <w:tcW w:w="1308" w:type="dxa"/>
            <w:shd w:val="clear" w:color="auto" w:fill="auto"/>
            <w:vAlign w:val="center"/>
          </w:tcPr>
          <w:p w14:paraId="0EDB5E8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黄筱琳</w:t>
            </w:r>
          </w:p>
          <w:p w14:paraId="6908D12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袁  华</w:t>
            </w:r>
          </w:p>
        </w:tc>
        <w:tc>
          <w:tcPr>
            <w:tcW w:w="3199" w:type="dxa"/>
            <w:shd w:val="clear" w:color="auto" w:fill="auto"/>
            <w:vAlign w:val="center"/>
          </w:tcPr>
          <w:p w14:paraId="51FD597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zshxnbsh@163.com</w:t>
            </w:r>
          </w:p>
        </w:tc>
        <w:tc>
          <w:tcPr>
            <w:tcW w:w="1596" w:type="dxa"/>
            <w:shd w:val="clear" w:color="auto" w:fill="auto"/>
            <w:vAlign w:val="center"/>
          </w:tcPr>
          <w:p w14:paraId="729CE4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028-65286526</w:t>
            </w:r>
          </w:p>
          <w:p w14:paraId="03B1382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028-65286577</w:t>
            </w:r>
          </w:p>
        </w:tc>
      </w:tr>
      <w:tr w14:paraId="228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9D3938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59F93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中国石油集团川庆钻探工程有限公司</w:t>
            </w:r>
          </w:p>
        </w:tc>
        <w:tc>
          <w:tcPr>
            <w:tcW w:w="1308" w:type="dxa"/>
            <w:shd w:val="clear" w:color="auto" w:fill="auto"/>
            <w:vAlign w:val="center"/>
          </w:tcPr>
          <w:p w14:paraId="33444BF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毛  斌</w:t>
            </w:r>
          </w:p>
        </w:tc>
        <w:tc>
          <w:tcPr>
            <w:tcW w:w="3199" w:type="dxa"/>
            <w:shd w:val="clear" w:color="auto" w:fill="auto"/>
            <w:vAlign w:val="center"/>
          </w:tcPr>
          <w:p w14:paraId="1CCFA5D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maobin_yj@cnpc.com.cn</w:t>
            </w:r>
          </w:p>
        </w:tc>
        <w:tc>
          <w:tcPr>
            <w:tcW w:w="1596" w:type="dxa"/>
            <w:shd w:val="clear" w:color="auto" w:fill="auto"/>
            <w:vAlign w:val="center"/>
          </w:tcPr>
          <w:p w14:paraId="0B7AB9F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028-86011600</w:t>
            </w:r>
          </w:p>
        </w:tc>
      </w:tr>
      <w:tr w14:paraId="583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91393F8">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3FE71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rPr>
              <w:t>中国石油四川石油管理局西南油气田分公司</w:t>
            </w:r>
          </w:p>
        </w:tc>
        <w:tc>
          <w:tcPr>
            <w:tcW w:w="1308" w:type="dxa"/>
            <w:shd w:val="clear" w:color="auto" w:fill="auto"/>
            <w:vAlign w:val="center"/>
          </w:tcPr>
          <w:p w14:paraId="621CB6C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郭杰一</w:t>
            </w:r>
          </w:p>
        </w:tc>
        <w:tc>
          <w:tcPr>
            <w:tcW w:w="3199" w:type="dxa"/>
            <w:shd w:val="clear" w:color="auto" w:fill="auto"/>
            <w:vAlign w:val="center"/>
          </w:tcPr>
          <w:p w14:paraId="1BB89E7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guejiyi@petrochina.com.cn</w:t>
            </w:r>
          </w:p>
        </w:tc>
        <w:tc>
          <w:tcPr>
            <w:tcW w:w="1596" w:type="dxa"/>
            <w:shd w:val="clear" w:color="auto" w:fill="auto"/>
            <w:vAlign w:val="center"/>
          </w:tcPr>
          <w:p w14:paraId="4A6EA49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028-86018559</w:t>
            </w:r>
          </w:p>
        </w:tc>
      </w:tr>
      <w:tr w14:paraId="0D52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4F1653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44BE8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ascii="Times New Roman" w:hAnsi="Times New Roman" w:cs="Times New Roman" w:eastAsiaTheme="minorEastAsia"/>
                <w:kern w:val="0"/>
                <w:sz w:val="21"/>
                <w:szCs w:val="21"/>
                <w:highlight w:val="none"/>
                <w:lang w:val="en-US" w:eastAsia="zh-CN"/>
              </w:rPr>
              <w:t>中国市政工程西南设计研究总院有限公司</w:t>
            </w:r>
          </w:p>
        </w:tc>
        <w:tc>
          <w:tcPr>
            <w:tcW w:w="1308" w:type="dxa"/>
            <w:shd w:val="clear" w:color="auto" w:fill="auto"/>
            <w:vAlign w:val="center"/>
          </w:tcPr>
          <w:p w14:paraId="52EA7B8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卢  薇</w:t>
            </w:r>
          </w:p>
        </w:tc>
        <w:tc>
          <w:tcPr>
            <w:tcW w:w="3199" w:type="dxa"/>
            <w:shd w:val="clear" w:color="auto" w:fill="auto"/>
            <w:vAlign w:val="center"/>
          </w:tcPr>
          <w:p w14:paraId="4D75455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474290103@qq.com</w:t>
            </w:r>
          </w:p>
        </w:tc>
        <w:tc>
          <w:tcPr>
            <w:tcW w:w="1596" w:type="dxa"/>
            <w:shd w:val="clear" w:color="auto" w:fill="auto"/>
            <w:vAlign w:val="center"/>
          </w:tcPr>
          <w:p w14:paraId="1D412902">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6788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3421FD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B3CD6C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中昊黑元化工研究设计院有限公司</w:t>
            </w:r>
          </w:p>
        </w:tc>
        <w:tc>
          <w:tcPr>
            <w:tcW w:w="1308" w:type="dxa"/>
            <w:shd w:val="clear" w:color="auto" w:fill="auto"/>
            <w:vAlign w:val="center"/>
          </w:tcPr>
          <w:p w14:paraId="70C76A9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史瑞杰</w:t>
            </w:r>
          </w:p>
        </w:tc>
        <w:tc>
          <w:tcPr>
            <w:tcW w:w="3199" w:type="dxa"/>
            <w:shd w:val="clear" w:color="auto" w:fill="auto"/>
            <w:vAlign w:val="center"/>
          </w:tcPr>
          <w:p w14:paraId="19CADDE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rlzybfkc@163.com</w:t>
            </w:r>
          </w:p>
        </w:tc>
        <w:tc>
          <w:tcPr>
            <w:tcW w:w="1596" w:type="dxa"/>
            <w:shd w:val="clear" w:color="auto" w:fill="auto"/>
            <w:vAlign w:val="center"/>
          </w:tcPr>
          <w:p w14:paraId="779102A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0813-8213160</w:t>
            </w:r>
          </w:p>
        </w:tc>
      </w:tr>
      <w:tr w14:paraId="272B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F42C4D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8DAD9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中蓝晨光化工研究设计院有限公司</w:t>
            </w:r>
          </w:p>
        </w:tc>
        <w:tc>
          <w:tcPr>
            <w:tcW w:w="1308" w:type="dxa"/>
            <w:shd w:val="clear" w:color="auto" w:fill="auto"/>
            <w:vAlign w:val="center"/>
          </w:tcPr>
          <w:p w14:paraId="4135137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余  淼</w:t>
            </w:r>
          </w:p>
        </w:tc>
        <w:tc>
          <w:tcPr>
            <w:tcW w:w="3199" w:type="dxa"/>
            <w:shd w:val="clear" w:color="auto" w:fill="auto"/>
            <w:vAlign w:val="center"/>
          </w:tcPr>
          <w:p w14:paraId="5888017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yumiao3@sinochem.com</w:t>
            </w:r>
          </w:p>
        </w:tc>
        <w:tc>
          <w:tcPr>
            <w:tcW w:w="1596" w:type="dxa"/>
            <w:shd w:val="clear" w:color="auto" w:fill="auto"/>
            <w:vAlign w:val="center"/>
          </w:tcPr>
          <w:p w14:paraId="422890B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028-85543182</w:t>
            </w:r>
          </w:p>
        </w:tc>
      </w:tr>
      <w:tr w14:paraId="43F3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BA859C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05D2EC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中密控股股份有限公司</w:t>
            </w:r>
          </w:p>
        </w:tc>
        <w:tc>
          <w:tcPr>
            <w:tcW w:w="1308" w:type="dxa"/>
            <w:shd w:val="clear" w:color="auto" w:fill="auto"/>
            <w:vAlign w:val="center"/>
          </w:tcPr>
          <w:p w14:paraId="09C9E0A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高丽萍</w:t>
            </w:r>
          </w:p>
        </w:tc>
        <w:tc>
          <w:tcPr>
            <w:tcW w:w="3199" w:type="dxa"/>
            <w:shd w:val="clear" w:color="auto" w:fill="auto"/>
            <w:vAlign w:val="center"/>
          </w:tcPr>
          <w:p w14:paraId="49CAA41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1355091235@qq.com</w:t>
            </w:r>
          </w:p>
        </w:tc>
        <w:tc>
          <w:tcPr>
            <w:tcW w:w="1596" w:type="dxa"/>
            <w:shd w:val="clear" w:color="auto" w:fill="auto"/>
            <w:vAlign w:val="center"/>
          </w:tcPr>
          <w:p w14:paraId="7CB09C6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028-61516751</w:t>
            </w:r>
          </w:p>
        </w:tc>
      </w:tr>
      <w:tr w14:paraId="7F7A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3550827">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9096F7A">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中铁二院工程集团有限责任公司</w:t>
            </w:r>
          </w:p>
        </w:tc>
        <w:tc>
          <w:tcPr>
            <w:tcW w:w="1308" w:type="dxa"/>
            <w:shd w:val="clear" w:color="auto" w:fill="auto"/>
            <w:vAlign w:val="center"/>
          </w:tcPr>
          <w:p w14:paraId="73639DE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傅丽霖</w:t>
            </w:r>
          </w:p>
        </w:tc>
        <w:tc>
          <w:tcPr>
            <w:tcW w:w="3199" w:type="dxa"/>
            <w:shd w:val="clear" w:color="auto" w:fill="auto"/>
            <w:vAlign w:val="center"/>
          </w:tcPr>
          <w:p w14:paraId="5A95810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Liner1@qq.com</w:t>
            </w:r>
          </w:p>
        </w:tc>
        <w:tc>
          <w:tcPr>
            <w:tcW w:w="1596" w:type="dxa"/>
            <w:shd w:val="clear" w:color="auto" w:fill="auto"/>
            <w:vAlign w:val="center"/>
          </w:tcPr>
          <w:p w14:paraId="6D5390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028-86446408</w:t>
            </w:r>
          </w:p>
        </w:tc>
      </w:tr>
      <w:tr w14:paraId="5AF2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988EBC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2680A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中移（成都）信息通信科技有限公司</w:t>
            </w:r>
          </w:p>
        </w:tc>
        <w:tc>
          <w:tcPr>
            <w:tcW w:w="1308" w:type="dxa"/>
            <w:shd w:val="clear" w:color="auto" w:fill="auto"/>
            <w:vAlign w:val="center"/>
          </w:tcPr>
          <w:p w14:paraId="2A2120F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简  晨</w:t>
            </w:r>
          </w:p>
        </w:tc>
        <w:tc>
          <w:tcPr>
            <w:tcW w:w="3199" w:type="dxa"/>
            <w:shd w:val="clear" w:color="auto" w:fill="auto"/>
            <w:vAlign w:val="center"/>
          </w:tcPr>
          <w:p w14:paraId="0F26C9D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jianchen@cmii.chinamobile.com</w:t>
            </w:r>
          </w:p>
        </w:tc>
        <w:tc>
          <w:tcPr>
            <w:tcW w:w="1596" w:type="dxa"/>
            <w:shd w:val="clear" w:color="auto" w:fill="auto"/>
            <w:vAlign w:val="center"/>
          </w:tcPr>
          <w:p w14:paraId="128B83C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2E7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5C55A5AD">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09B043D7">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75CE0C3D">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7200B09F">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7C764F1D">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61F4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8E8817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r>
              <w:rPr>
                <w:rFonts w:hint="eastAsia" w:cs="Times New Roman" w:eastAsiaTheme="minorEastAsia"/>
                <w:b/>
                <w:bCs/>
                <w:kern w:val="0"/>
                <w:sz w:val="21"/>
                <w:szCs w:val="21"/>
                <w:lang w:val="en-US" w:eastAsia="zh-CN" w:bidi="ar-SA"/>
              </w:rPr>
              <w:t xml:space="preserve">                 </w:t>
            </w:r>
          </w:p>
        </w:tc>
        <w:tc>
          <w:tcPr>
            <w:tcW w:w="3151" w:type="dxa"/>
            <w:shd w:val="clear" w:color="auto" w:fill="auto"/>
            <w:vAlign w:val="center"/>
          </w:tcPr>
          <w:p w14:paraId="4492BC3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自贡硬质合金有限责任公司</w:t>
            </w:r>
          </w:p>
        </w:tc>
        <w:tc>
          <w:tcPr>
            <w:tcW w:w="1308" w:type="dxa"/>
            <w:shd w:val="clear" w:color="auto" w:fill="auto"/>
            <w:vAlign w:val="center"/>
          </w:tcPr>
          <w:p w14:paraId="0CFDBAE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阮忠永</w:t>
            </w:r>
          </w:p>
        </w:tc>
        <w:tc>
          <w:tcPr>
            <w:tcW w:w="3199" w:type="dxa"/>
            <w:shd w:val="clear" w:color="auto" w:fill="auto"/>
            <w:vAlign w:val="center"/>
          </w:tcPr>
          <w:p w14:paraId="656CB2E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train@zgcc.com</w:t>
            </w:r>
          </w:p>
        </w:tc>
        <w:tc>
          <w:tcPr>
            <w:tcW w:w="1596" w:type="dxa"/>
            <w:shd w:val="clear" w:color="auto" w:fill="auto"/>
            <w:vAlign w:val="center"/>
          </w:tcPr>
          <w:p w14:paraId="371733B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0813-5516440</w:t>
            </w:r>
          </w:p>
        </w:tc>
      </w:tr>
      <w:tr w14:paraId="4295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579ED5B">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8FCDFF2">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爱斯特（成都）生物制药股份有限公司</w:t>
            </w:r>
          </w:p>
        </w:tc>
        <w:tc>
          <w:tcPr>
            <w:tcW w:w="1308" w:type="dxa"/>
            <w:shd w:val="clear" w:color="auto" w:fill="auto"/>
            <w:vAlign w:val="center"/>
          </w:tcPr>
          <w:p w14:paraId="4F5D39B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廖  磊</w:t>
            </w:r>
          </w:p>
        </w:tc>
        <w:tc>
          <w:tcPr>
            <w:tcW w:w="3199" w:type="dxa"/>
            <w:shd w:val="clear" w:color="auto" w:fill="auto"/>
            <w:vAlign w:val="center"/>
          </w:tcPr>
          <w:p w14:paraId="6233609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liaolei@astatech.cn</w:t>
            </w:r>
          </w:p>
        </w:tc>
        <w:tc>
          <w:tcPr>
            <w:tcW w:w="1596" w:type="dxa"/>
            <w:shd w:val="clear" w:color="auto" w:fill="auto"/>
            <w:vAlign w:val="center"/>
          </w:tcPr>
          <w:p w14:paraId="7B1FCB8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028-82666523</w:t>
            </w:r>
          </w:p>
        </w:tc>
      </w:tr>
      <w:tr w14:paraId="04A7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8CFA3F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176FD0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安岳县柠檬产业展中心</w:t>
            </w:r>
          </w:p>
        </w:tc>
        <w:tc>
          <w:tcPr>
            <w:tcW w:w="1308" w:type="dxa"/>
            <w:shd w:val="clear" w:color="auto" w:fill="auto"/>
            <w:vAlign w:val="center"/>
          </w:tcPr>
          <w:p w14:paraId="1976F96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肖平安</w:t>
            </w:r>
          </w:p>
        </w:tc>
        <w:tc>
          <w:tcPr>
            <w:tcW w:w="3199" w:type="dxa"/>
            <w:shd w:val="clear" w:color="auto" w:fill="auto"/>
            <w:vAlign w:val="center"/>
          </w:tcPr>
          <w:p w14:paraId="2FF06B7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990102474@qq.com</w:t>
            </w:r>
          </w:p>
        </w:tc>
        <w:tc>
          <w:tcPr>
            <w:tcW w:w="1596" w:type="dxa"/>
            <w:shd w:val="clear" w:color="auto" w:fill="auto"/>
            <w:vAlign w:val="center"/>
          </w:tcPr>
          <w:p w14:paraId="4B7D4CD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028-24502358</w:t>
            </w:r>
          </w:p>
        </w:tc>
      </w:tr>
      <w:tr w14:paraId="7ACE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AC370A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4BD32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奥泰医疗系统有限责任公司</w:t>
            </w:r>
          </w:p>
        </w:tc>
        <w:tc>
          <w:tcPr>
            <w:tcW w:w="1308" w:type="dxa"/>
            <w:shd w:val="clear" w:color="auto" w:fill="auto"/>
            <w:vAlign w:val="center"/>
          </w:tcPr>
          <w:p w14:paraId="00D8F71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江腾达</w:t>
            </w:r>
          </w:p>
        </w:tc>
        <w:tc>
          <w:tcPr>
            <w:tcW w:w="3199" w:type="dxa"/>
            <w:shd w:val="clear" w:color="auto" w:fill="auto"/>
            <w:vAlign w:val="center"/>
          </w:tcPr>
          <w:p w14:paraId="13CFEC5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tengda.jiang@alltechmed.com</w:t>
            </w:r>
          </w:p>
        </w:tc>
        <w:tc>
          <w:tcPr>
            <w:tcW w:w="1596" w:type="dxa"/>
            <w:shd w:val="clear" w:color="auto" w:fill="auto"/>
            <w:vAlign w:val="center"/>
          </w:tcPr>
          <w:p w14:paraId="46E5D1C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028-87809200</w:t>
            </w:r>
          </w:p>
        </w:tc>
      </w:tr>
      <w:tr w14:paraId="65EE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FACE37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779AE4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巴中市南江黄羊科学研究所</w:t>
            </w:r>
          </w:p>
        </w:tc>
        <w:tc>
          <w:tcPr>
            <w:tcW w:w="1308" w:type="dxa"/>
            <w:shd w:val="clear" w:color="auto" w:fill="auto"/>
            <w:vAlign w:val="center"/>
          </w:tcPr>
          <w:p w14:paraId="17DBC82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蒋  康</w:t>
            </w:r>
          </w:p>
        </w:tc>
        <w:tc>
          <w:tcPr>
            <w:tcW w:w="3199" w:type="dxa"/>
            <w:shd w:val="clear" w:color="auto" w:fill="auto"/>
            <w:vAlign w:val="center"/>
          </w:tcPr>
          <w:p w14:paraId="4D0B796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365724128@qq.com</w:t>
            </w:r>
          </w:p>
        </w:tc>
        <w:tc>
          <w:tcPr>
            <w:tcW w:w="1596" w:type="dxa"/>
            <w:shd w:val="clear" w:color="auto" w:fill="auto"/>
            <w:vAlign w:val="center"/>
          </w:tcPr>
          <w:p w14:paraId="76AF9A1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0827-8230377</w:t>
            </w:r>
          </w:p>
        </w:tc>
      </w:tr>
      <w:tr w14:paraId="479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88571B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756C9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巴中市通江银耳（食用菌）产业发展中心</w:t>
            </w:r>
          </w:p>
        </w:tc>
        <w:tc>
          <w:tcPr>
            <w:tcW w:w="1308" w:type="dxa"/>
            <w:shd w:val="clear" w:color="auto" w:fill="auto"/>
            <w:vAlign w:val="center"/>
          </w:tcPr>
          <w:p w14:paraId="36186C1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侯  华</w:t>
            </w:r>
          </w:p>
        </w:tc>
        <w:tc>
          <w:tcPr>
            <w:tcW w:w="3199" w:type="dxa"/>
            <w:shd w:val="clear" w:color="auto" w:fill="auto"/>
            <w:vAlign w:val="center"/>
          </w:tcPr>
          <w:p w14:paraId="2459E3C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123877589@qq.com</w:t>
            </w:r>
          </w:p>
        </w:tc>
        <w:tc>
          <w:tcPr>
            <w:tcW w:w="1596" w:type="dxa"/>
            <w:shd w:val="clear" w:color="auto" w:fill="auto"/>
            <w:vAlign w:val="center"/>
          </w:tcPr>
          <w:p w14:paraId="6837251B">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0CD8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9D1C59D">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7F76024">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成都大学</w:t>
            </w:r>
          </w:p>
        </w:tc>
        <w:tc>
          <w:tcPr>
            <w:tcW w:w="1308" w:type="dxa"/>
            <w:shd w:val="clear" w:color="auto" w:fill="auto"/>
            <w:vAlign w:val="center"/>
          </w:tcPr>
          <w:p w14:paraId="209285F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燕</w:t>
            </w:r>
          </w:p>
        </w:tc>
        <w:tc>
          <w:tcPr>
            <w:tcW w:w="3199" w:type="dxa"/>
            <w:shd w:val="clear" w:color="auto" w:fill="auto"/>
            <w:vAlign w:val="center"/>
          </w:tcPr>
          <w:p w14:paraId="0ABE5A5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cdrsc_szk@cdu.edu.cn</w:t>
            </w:r>
          </w:p>
        </w:tc>
        <w:tc>
          <w:tcPr>
            <w:tcW w:w="1596" w:type="dxa"/>
            <w:shd w:val="clear" w:color="auto" w:fill="auto"/>
            <w:vAlign w:val="center"/>
          </w:tcPr>
          <w:p w14:paraId="3157414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028-84616355</w:t>
            </w:r>
          </w:p>
        </w:tc>
      </w:tr>
      <w:tr w14:paraId="7842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CCA994A">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3B087D2">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成都东软学院</w:t>
            </w:r>
          </w:p>
        </w:tc>
        <w:tc>
          <w:tcPr>
            <w:tcW w:w="1308" w:type="dxa"/>
            <w:shd w:val="clear" w:color="auto" w:fill="auto"/>
            <w:vAlign w:val="center"/>
          </w:tcPr>
          <w:p w14:paraId="63A8921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  轩</w:t>
            </w:r>
          </w:p>
        </w:tc>
        <w:tc>
          <w:tcPr>
            <w:tcW w:w="3199" w:type="dxa"/>
            <w:shd w:val="clear" w:color="auto" w:fill="auto"/>
            <w:vAlign w:val="center"/>
          </w:tcPr>
          <w:p w14:paraId="3100C7C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liuxuan@nsu.edu.cn</w:t>
            </w:r>
          </w:p>
        </w:tc>
        <w:tc>
          <w:tcPr>
            <w:tcW w:w="1596" w:type="dxa"/>
            <w:shd w:val="clear" w:color="auto" w:fill="auto"/>
            <w:vAlign w:val="center"/>
          </w:tcPr>
          <w:p w14:paraId="5BF3266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028-64888096</w:t>
            </w:r>
          </w:p>
        </w:tc>
      </w:tr>
      <w:tr w14:paraId="0D6E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2071B5B">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93D0315">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成都纺织高等专科学校</w:t>
            </w:r>
          </w:p>
        </w:tc>
        <w:tc>
          <w:tcPr>
            <w:tcW w:w="1308" w:type="dxa"/>
            <w:shd w:val="clear" w:color="auto" w:fill="auto"/>
            <w:vAlign w:val="center"/>
          </w:tcPr>
          <w:p w14:paraId="7A9A1D6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李远贵</w:t>
            </w:r>
          </w:p>
        </w:tc>
        <w:tc>
          <w:tcPr>
            <w:tcW w:w="3199" w:type="dxa"/>
            <w:shd w:val="clear" w:color="auto" w:fill="auto"/>
            <w:vAlign w:val="center"/>
          </w:tcPr>
          <w:p w14:paraId="0D674C0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cdfzygl@126.com</w:t>
            </w:r>
          </w:p>
        </w:tc>
        <w:tc>
          <w:tcPr>
            <w:tcW w:w="1596" w:type="dxa"/>
            <w:shd w:val="clear" w:color="auto" w:fill="auto"/>
            <w:vAlign w:val="center"/>
          </w:tcPr>
          <w:p w14:paraId="3EC3D12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028-87843597</w:t>
            </w:r>
          </w:p>
        </w:tc>
      </w:tr>
      <w:tr w14:paraId="5224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99BBCF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B3943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成都工业学院国营成都无线电专用设备厂</w:t>
            </w:r>
          </w:p>
        </w:tc>
        <w:tc>
          <w:tcPr>
            <w:tcW w:w="1308" w:type="dxa"/>
            <w:shd w:val="clear" w:color="auto" w:fill="auto"/>
            <w:vAlign w:val="center"/>
          </w:tcPr>
          <w:p w14:paraId="63E7A55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徐绍娟</w:t>
            </w:r>
          </w:p>
        </w:tc>
        <w:tc>
          <w:tcPr>
            <w:tcW w:w="3199" w:type="dxa"/>
            <w:shd w:val="clear" w:color="auto" w:fill="auto"/>
            <w:vAlign w:val="center"/>
          </w:tcPr>
          <w:p w14:paraId="26C9750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Yangzhimeng12@163.com</w:t>
            </w:r>
          </w:p>
        </w:tc>
        <w:tc>
          <w:tcPr>
            <w:tcW w:w="1596" w:type="dxa"/>
            <w:shd w:val="clear" w:color="auto" w:fill="auto"/>
            <w:vAlign w:val="center"/>
          </w:tcPr>
          <w:p w14:paraId="2B2DA2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028-87992230</w:t>
            </w:r>
          </w:p>
        </w:tc>
      </w:tr>
      <w:tr w14:paraId="5980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86E4DC1">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545E709F">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成都国光电气股份有限公司</w:t>
            </w:r>
          </w:p>
        </w:tc>
        <w:tc>
          <w:tcPr>
            <w:tcW w:w="1308" w:type="dxa"/>
            <w:shd w:val="clear" w:color="auto" w:fill="auto"/>
            <w:vAlign w:val="center"/>
          </w:tcPr>
          <w:p w14:paraId="689DBD7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雷薪颖</w:t>
            </w:r>
          </w:p>
        </w:tc>
        <w:tc>
          <w:tcPr>
            <w:tcW w:w="3199" w:type="dxa"/>
            <w:shd w:val="clear" w:color="auto" w:fill="auto"/>
            <w:vAlign w:val="center"/>
          </w:tcPr>
          <w:p w14:paraId="05A7853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1040161434@qq.com</w:t>
            </w:r>
          </w:p>
        </w:tc>
        <w:tc>
          <w:tcPr>
            <w:tcW w:w="1596" w:type="dxa"/>
            <w:shd w:val="clear" w:color="auto" w:fill="auto"/>
            <w:vAlign w:val="center"/>
          </w:tcPr>
          <w:p w14:paraId="499C700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028-84360922</w:t>
            </w:r>
          </w:p>
        </w:tc>
      </w:tr>
      <w:tr w14:paraId="15E0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B05E01B">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5348106C">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成都航空职业技术学院</w:t>
            </w:r>
          </w:p>
        </w:tc>
        <w:tc>
          <w:tcPr>
            <w:tcW w:w="1308" w:type="dxa"/>
            <w:shd w:val="clear" w:color="auto" w:fill="auto"/>
            <w:vAlign w:val="center"/>
          </w:tcPr>
          <w:p w14:paraId="5E05F9E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田宏宇</w:t>
            </w:r>
          </w:p>
        </w:tc>
        <w:tc>
          <w:tcPr>
            <w:tcW w:w="3199" w:type="dxa"/>
            <w:shd w:val="clear" w:color="auto" w:fill="auto"/>
            <w:vAlign w:val="center"/>
          </w:tcPr>
          <w:p w14:paraId="26A7F85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956042141@qq.com</w:t>
            </w:r>
          </w:p>
        </w:tc>
        <w:tc>
          <w:tcPr>
            <w:tcW w:w="1596" w:type="dxa"/>
            <w:shd w:val="clear" w:color="auto" w:fill="auto"/>
            <w:vAlign w:val="center"/>
          </w:tcPr>
          <w:p w14:paraId="6AAB43DA">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47A0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EEA4B7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D445CD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成都宏明电子股份有限公司</w:t>
            </w:r>
          </w:p>
        </w:tc>
        <w:tc>
          <w:tcPr>
            <w:tcW w:w="1308" w:type="dxa"/>
            <w:shd w:val="clear" w:color="auto" w:fill="auto"/>
            <w:vAlign w:val="center"/>
          </w:tcPr>
          <w:p w14:paraId="48EB500A">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米  超</w:t>
            </w:r>
          </w:p>
        </w:tc>
        <w:tc>
          <w:tcPr>
            <w:tcW w:w="3199" w:type="dxa"/>
            <w:shd w:val="clear" w:color="auto" w:fill="auto"/>
            <w:vAlign w:val="center"/>
          </w:tcPr>
          <w:p w14:paraId="4A3084D7">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michao@chinahongm.com</w:t>
            </w:r>
          </w:p>
        </w:tc>
        <w:tc>
          <w:tcPr>
            <w:tcW w:w="1596" w:type="dxa"/>
            <w:shd w:val="clear" w:color="auto" w:fill="auto"/>
            <w:vAlign w:val="center"/>
          </w:tcPr>
          <w:p w14:paraId="6F685FD2">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028-84383761</w:t>
            </w:r>
          </w:p>
        </w:tc>
      </w:tr>
      <w:tr w14:paraId="419E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4BFBB2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90C4C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成都交子金融控股集团有限公司</w:t>
            </w:r>
          </w:p>
        </w:tc>
        <w:tc>
          <w:tcPr>
            <w:tcW w:w="1308" w:type="dxa"/>
            <w:shd w:val="clear" w:color="auto" w:fill="auto"/>
            <w:vAlign w:val="center"/>
          </w:tcPr>
          <w:p w14:paraId="52D925D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季成龙</w:t>
            </w:r>
          </w:p>
        </w:tc>
        <w:tc>
          <w:tcPr>
            <w:tcW w:w="3199" w:type="dxa"/>
            <w:shd w:val="clear" w:color="auto" w:fill="auto"/>
            <w:vAlign w:val="center"/>
          </w:tcPr>
          <w:p w14:paraId="5FCD9A1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cdjkhr@cd-jk.com</w:t>
            </w:r>
          </w:p>
        </w:tc>
        <w:tc>
          <w:tcPr>
            <w:tcW w:w="1596" w:type="dxa"/>
            <w:shd w:val="clear" w:color="auto" w:fill="auto"/>
            <w:vAlign w:val="center"/>
          </w:tcPr>
          <w:p w14:paraId="2DD9AC8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028-83330327</w:t>
            </w:r>
          </w:p>
        </w:tc>
      </w:tr>
      <w:tr w14:paraId="0E4B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95B80B4">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B6268CB">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成都锦欣生殖医学与遗传学研究所</w:t>
            </w:r>
          </w:p>
        </w:tc>
        <w:tc>
          <w:tcPr>
            <w:tcW w:w="1308" w:type="dxa"/>
            <w:shd w:val="clear" w:color="auto" w:fill="auto"/>
            <w:vAlign w:val="center"/>
          </w:tcPr>
          <w:p w14:paraId="0917B42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邓忠越</w:t>
            </w:r>
          </w:p>
        </w:tc>
        <w:tc>
          <w:tcPr>
            <w:tcW w:w="3199" w:type="dxa"/>
            <w:shd w:val="clear" w:color="auto" w:fill="auto"/>
            <w:vAlign w:val="center"/>
          </w:tcPr>
          <w:p w14:paraId="5B31556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dengzy@jxr-fertility.com</w:t>
            </w:r>
          </w:p>
        </w:tc>
        <w:tc>
          <w:tcPr>
            <w:tcW w:w="1596" w:type="dxa"/>
            <w:shd w:val="clear" w:color="auto" w:fill="auto"/>
            <w:vAlign w:val="center"/>
          </w:tcPr>
          <w:p w14:paraId="1692387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028-62256436</w:t>
            </w:r>
          </w:p>
        </w:tc>
      </w:tr>
      <w:tr w14:paraId="4F1A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2B83622">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457F2CB">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成都龙之泉科技股份有限公司</w:t>
            </w:r>
          </w:p>
        </w:tc>
        <w:tc>
          <w:tcPr>
            <w:tcW w:w="1308" w:type="dxa"/>
            <w:shd w:val="clear" w:color="auto" w:fill="auto"/>
            <w:vAlign w:val="center"/>
          </w:tcPr>
          <w:p w14:paraId="262D880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谢  纯</w:t>
            </w:r>
          </w:p>
        </w:tc>
        <w:tc>
          <w:tcPr>
            <w:tcW w:w="3199" w:type="dxa"/>
            <w:shd w:val="clear" w:color="auto" w:fill="auto"/>
            <w:vAlign w:val="center"/>
          </w:tcPr>
          <w:p w14:paraId="51F81D8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390141706@qq.com</w:t>
            </w:r>
          </w:p>
        </w:tc>
        <w:tc>
          <w:tcPr>
            <w:tcW w:w="1596" w:type="dxa"/>
            <w:shd w:val="clear" w:color="auto" w:fill="auto"/>
            <w:vAlign w:val="center"/>
          </w:tcPr>
          <w:p w14:paraId="17223B3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028-69269319</w:t>
            </w:r>
          </w:p>
        </w:tc>
      </w:tr>
      <w:tr w14:paraId="71A3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0680E2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D42CFA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成都清科生物科技有限公司</w:t>
            </w:r>
          </w:p>
        </w:tc>
        <w:tc>
          <w:tcPr>
            <w:tcW w:w="1308" w:type="dxa"/>
            <w:shd w:val="clear" w:color="auto" w:fill="auto"/>
            <w:vAlign w:val="center"/>
          </w:tcPr>
          <w:p w14:paraId="7AA8AF9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蒲  丹</w:t>
            </w:r>
          </w:p>
        </w:tc>
        <w:tc>
          <w:tcPr>
            <w:tcW w:w="3199" w:type="dxa"/>
            <w:shd w:val="clear" w:color="auto" w:fill="auto"/>
            <w:vAlign w:val="center"/>
          </w:tcPr>
          <w:p w14:paraId="45C3D4D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412623231@qq.com</w:t>
            </w:r>
          </w:p>
        </w:tc>
        <w:tc>
          <w:tcPr>
            <w:tcW w:w="1596" w:type="dxa"/>
            <w:shd w:val="clear" w:color="auto" w:fill="auto"/>
            <w:vAlign w:val="center"/>
          </w:tcPr>
          <w:p w14:paraId="248E5DF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028-81146520</w:t>
            </w:r>
          </w:p>
        </w:tc>
      </w:tr>
      <w:tr w14:paraId="1878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03D8D00">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ED8D65F">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成都生物制品研究所有限责任公司</w:t>
            </w:r>
          </w:p>
        </w:tc>
        <w:tc>
          <w:tcPr>
            <w:tcW w:w="1308" w:type="dxa"/>
            <w:shd w:val="clear" w:color="auto" w:fill="auto"/>
            <w:vAlign w:val="center"/>
          </w:tcPr>
          <w:p w14:paraId="50EA545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白老师</w:t>
            </w:r>
          </w:p>
        </w:tc>
        <w:tc>
          <w:tcPr>
            <w:tcW w:w="3199" w:type="dxa"/>
            <w:shd w:val="clear" w:color="auto" w:fill="auto"/>
            <w:vAlign w:val="center"/>
          </w:tcPr>
          <w:p w14:paraId="24E414C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cdibphr@sinopharm.com</w:t>
            </w:r>
          </w:p>
        </w:tc>
        <w:tc>
          <w:tcPr>
            <w:tcW w:w="1596" w:type="dxa"/>
            <w:shd w:val="clear" w:color="auto" w:fill="auto"/>
            <w:vAlign w:val="center"/>
          </w:tcPr>
          <w:p w14:paraId="2ECB472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028-84418695</w:t>
            </w:r>
          </w:p>
        </w:tc>
      </w:tr>
      <w:tr w14:paraId="4257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038D8A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9353B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成都市中西医结合医院</w:t>
            </w:r>
          </w:p>
        </w:tc>
        <w:tc>
          <w:tcPr>
            <w:tcW w:w="1308" w:type="dxa"/>
            <w:shd w:val="clear" w:color="auto" w:fill="auto"/>
            <w:vAlign w:val="center"/>
          </w:tcPr>
          <w:p w14:paraId="71F4425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吴  平</w:t>
            </w:r>
          </w:p>
        </w:tc>
        <w:tc>
          <w:tcPr>
            <w:tcW w:w="3199" w:type="dxa"/>
            <w:shd w:val="clear" w:color="auto" w:fill="auto"/>
            <w:vAlign w:val="center"/>
          </w:tcPr>
          <w:p w14:paraId="5C60026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cdsyyyxkb@163.com</w:t>
            </w:r>
          </w:p>
        </w:tc>
        <w:tc>
          <w:tcPr>
            <w:tcW w:w="1596" w:type="dxa"/>
            <w:shd w:val="clear" w:color="auto" w:fill="auto"/>
            <w:vAlign w:val="center"/>
          </w:tcPr>
          <w:p w14:paraId="49345CC7">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028-85311468</w:t>
            </w:r>
          </w:p>
        </w:tc>
      </w:tr>
      <w:tr w14:paraId="56AE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A2053E8">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08C2BE03">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spacing w:val="-10"/>
                <w:kern w:val="2"/>
                <w:sz w:val="21"/>
                <w:szCs w:val="21"/>
                <w:highlight w:val="none"/>
                <w:lang w:val="en-US" w:eastAsia="zh-CN" w:bidi="ar-SA"/>
              </w:rPr>
            </w:pPr>
            <w:r>
              <w:rPr>
                <w:rFonts w:eastAsia="宋体"/>
                <w:spacing w:val="-10"/>
                <w:sz w:val="21"/>
                <w:szCs w:val="21"/>
                <w:highlight w:val="none"/>
              </w:rPr>
              <w:t>成都西南石油大学科技园发展有限公司</w:t>
            </w:r>
          </w:p>
        </w:tc>
        <w:tc>
          <w:tcPr>
            <w:tcW w:w="1308" w:type="dxa"/>
            <w:shd w:val="clear" w:color="auto" w:fill="auto"/>
            <w:vAlign w:val="center"/>
          </w:tcPr>
          <w:p w14:paraId="2A2298B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李含成</w:t>
            </w:r>
          </w:p>
        </w:tc>
        <w:tc>
          <w:tcPr>
            <w:tcW w:w="3199" w:type="dxa"/>
            <w:shd w:val="clear" w:color="auto" w:fill="auto"/>
            <w:vAlign w:val="center"/>
          </w:tcPr>
          <w:p w14:paraId="5FB592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862002974@qq.com</w:t>
            </w:r>
          </w:p>
        </w:tc>
        <w:tc>
          <w:tcPr>
            <w:tcW w:w="1596" w:type="dxa"/>
            <w:shd w:val="clear" w:color="auto" w:fill="auto"/>
            <w:vAlign w:val="center"/>
          </w:tcPr>
          <w:p w14:paraId="7AAD2E7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028-83035198</w:t>
            </w:r>
          </w:p>
        </w:tc>
      </w:tr>
      <w:tr w14:paraId="2B1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1629CC8">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72687CC">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成都易态科技有限公司</w:t>
            </w:r>
          </w:p>
        </w:tc>
        <w:tc>
          <w:tcPr>
            <w:tcW w:w="1308" w:type="dxa"/>
            <w:shd w:val="clear" w:color="auto" w:fill="auto"/>
            <w:vAlign w:val="center"/>
          </w:tcPr>
          <w:p w14:paraId="7993925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陈小姐</w:t>
            </w:r>
          </w:p>
        </w:tc>
        <w:tc>
          <w:tcPr>
            <w:tcW w:w="3199" w:type="dxa"/>
            <w:shd w:val="clear" w:color="auto" w:fill="auto"/>
            <w:vAlign w:val="center"/>
          </w:tcPr>
          <w:p w14:paraId="6C95013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chenx@yitaicd.com</w:t>
            </w:r>
          </w:p>
        </w:tc>
        <w:tc>
          <w:tcPr>
            <w:tcW w:w="1596" w:type="dxa"/>
            <w:shd w:val="clear" w:color="auto" w:fill="auto"/>
            <w:vAlign w:val="center"/>
          </w:tcPr>
          <w:p w14:paraId="28FEFFD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028-87838193</w:t>
            </w:r>
          </w:p>
        </w:tc>
      </w:tr>
      <w:tr w14:paraId="6B23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EDD0E57">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3CFCE2E">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成都职业技术学院</w:t>
            </w:r>
          </w:p>
        </w:tc>
        <w:tc>
          <w:tcPr>
            <w:tcW w:w="1308" w:type="dxa"/>
            <w:shd w:val="clear" w:color="auto" w:fill="auto"/>
            <w:vAlign w:val="center"/>
          </w:tcPr>
          <w:p w14:paraId="2CE2C9A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梁桃华</w:t>
            </w:r>
          </w:p>
        </w:tc>
        <w:tc>
          <w:tcPr>
            <w:tcW w:w="3199" w:type="dxa"/>
            <w:shd w:val="clear" w:color="auto" w:fill="auto"/>
            <w:vAlign w:val="center"/>
          </w:tcPr>
          <w:p w14:paraId="5BFC2CB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445636977@qq.com</w:t>
            </w:r>
          </w:p>
        </w:tc>
        <w:tc>
          <w:tcPr>
            <w:tcW w:w="1596" w:type="dxa"/>
            <w:shd w:val="clear" w:color="auto" w:fill="auto"/>
            <w:vAlign w:val="center"/>
          </w:tcPr>
          <w:p w14:paraId="6B80FAD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028-85326023</w:t>
            </w:r>
          </w:p>
        </w:tc>
      </w:tr>
      <w:tr w14:paraId="70B0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123F650E">
            <w:pPr>
              <w:widowControl/>
              <w:numPr>
                <w:ilvl w:val="0"/>
                <w:numId w:val="0"/>
              </w:numPr>
              <w:adjustRightInd w:val="0"/>
              <w:snapToGrid w:val="0"/>
              <w:spacing w:line="240" w:lineRule="auto"/>
              <w:ind w:leftChars="0"/>
              <w:jc w:val="both"/>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2C3882F8">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1094B056">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1E282BB7">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76467E70">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64C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1F1C28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ascii="宋体" w:hAnsi="宋体" w:eastAsia="宋体" w:cs="宋体"/>
                <w:b w:val="0"/>
                <w:bCs w:val="0"/>
                <w:kern w:val="0"/>
                <w:sz w:val="21"/>
                <w:szCs w:val="21"/>
                <w:lang w:val="en-US" w:eastAsia="zh-CN" w:bidi="ar-SA"/>
              </w:rPr>
            </w:pPr>
          </w:p>
        </w:tc>
        <w:tc>
          <w:tcPr>
            <w:tcW w:w="3151" w:type="dxa"/>
            <w:shd w:val="clear" w:color="auto" w:fill="auto"/>
            <w:vAlign w:val="center"/>
          </w:tcPr>
          <w:p w14:paraId="34A3D2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重庆大学锂电及新材料遂宁研究院</w:t>
            </w:r>
          </w:p>
        </w:tc>
        <w:tc>
          <w:tcPr>
            <w:tcW w:w="1308" w:type="dxa"/>
            <w:shd w:val="clear" w:color="auto" w:fill="auto"/>
            <w:vAlign w:val="center"/>
          </w:tcPr>
          <w:p w14:paraId="551CB9A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val="en-US" w:eastAsia="zh-CN"/>
              </w:rPr>
              <w:t>童  成</w:t>
            </w:r>
          </w:p>
        </w:tc>
        <w:tc>
          <w:tcPr>
            <w:tcW w:w="3199" w:type="dxa"/>
            <w:shd w:val="clear" w:color="auto" w:fill="auto"/>
            <w:vAlign w:val="center"/>
          </w:tcPr>
          <w:p w14:paraId="281F334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val="en-US" w:eastAsia="zh-CN"/>
              </w:rPr>
              <w:t>740521793@qq.com</w:t>
            </w:r>
          </w:p>
        </w:tc>
        <w:tc>
          <w:tcPr>
            <w:tcW w:w="1596" w:type="dxa"/>
            <w:shd w:val="clear" w:color="auto" w:fill="auto"/>
            <w:vAlign w:val="center"/>
          </w:tcPr>
          <w:p w14:paraId="455C0EA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val="en-US" w:eastAsia="zh-CN"/>
              </w:rPr>
              <w:t>/</w:t>
            </w:r>
          </w:p>
        </w:tc>
      </w:tr>
      <w:tr w14:paraId="1917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E01782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3BFBC7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达州市农业科学研究院</w:t>
            </w:r>
          </w:p>
        </w:tc>
        <w:tc>
          <w:tcPr>
            <w:tcW w:w="1308" w:type="dxa"/>
            <w:shd w:val="clear" w:color="auto" w:fill="auto"/>
            <w:vAlign w:val="center"/>
          </w:tcPr>
          <w:p w14:paraId="2A03AF3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彭杨杨</w:t>
            </w:r>
          </w:p>
        </w:tc>
        <w:tc>
          <w:tcPr>
            <w:tcW w:w="3199" w:type="dxa"/>
            <w:shd w:val="clear" w:color="auto" w:fill="auto"/>
            <w:vAlign w:val="center"/>
          </w:tcPr>
          <w:p w14:paraId="5010B2E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122625727@qq.com</w:t>
            </w:r>
          </w:p>
        </w:tc>
        <w:tc>
          <w:tcPr>
            <w:tcW w:w="1596" w:type="dxa"/>
            <w:shd w:val="clear" w:color="auto" w:fill="auto"/>
            <w:vAlign w:val="center"/>
          </w:tcPr>
          <w:p w14:paraId="33EED34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1F37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D79DD2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DCCC2C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德阳市人民医院</w:t>
            </w:r>
          </w:p>
        </w:tc>
        <w:tc>
          <w:tcPr>
            <w:tcW w:w="1308" w:type="dxa"/>
            <w:shd w:val="clear" w:color="auto" w:fill="auto"/>
            <w:vAlign w:val="center"/>
          </w:tcPr>
          <w:p w14:paraId="0D34F01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谢亚莉</w:t>
            </w:r>
          </w:p>
          <w:p w14:paraId="68CE85B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王倩倩</w:t>
            </w:r>
          </w:p>
        </w:tc>
        <w:tc>
          <w:tcPr>
            <w:tcW w:w="3199" w:type="dxa"/>
            <w:shd w:val="clear" w:color="auto" w:fill="auto"/>
            <w:vAlign w:val="center"/>
          </w:tcPr>
          <w:p w14:paraId="0C89D83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502746164@qq.com</w:t>
            </w:r>
          </w:p>
        </w:tc>
        <w:tc>
          <w:tcPr>
            <w:tcW w:w="1596" w:type="dxa"/>
            <w:shd w:val="clear" w:color="auto" w:fill="auto"/>
            <w:vAlign w:val="center"/>
          </w:tcPr>
          <w:p w14:paraId="3575C97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0838-2418012</w:t>
            </w:r>
          </w:p>
        </w:tc>
      </w:tr>
      <w:tr w14:paraId="1025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835816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CB5F0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电子科技大学成都研究院</w:t>
            </w:r>
          </w:p>
        </w:tc>
        <w:tc>
          <w:tcPr>
            <w:tcW w:w="1308" w:type="dxa"/>
            <w:shd w:val="clear" w:color="auto" w:fill="auto"/>
            <w:vAlign w:val="center"/>
          </w:tcPr>
          <w:p w14:paraId="4C986CF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才  珊</w:t>
            </w:r>
          </w:p>
        </w:tc>
        <w:tc>
          <w:tcPr>
            <w:tcW w:w="3199" w:type="dxa"/>
            <w:shd w:val="clear" w:color="auto" w:fill="auto"/>
            <w:vAlign w:val="center"/>
          </w:tcPr>
          <w:p w14:paraId="4AFD873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Shan.cai@uestc.edu.cn</w:t>
            </w:r>
          </w:p>
        </w:tc>
        <w:tc>
          <w:tcPr>
            <w:tcW w:w="1596" w:type="dxa"/>
            <w:shd w:val="clear" w:color="auto" w:fill="auto"/>
            <w:vAlign w:val="center"/>
          </w:tcPr>
          <w:p w14:paraId="187E14F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028-85807608</w:t>
            </w:r>
          </w:p>
        </w:tc>
      </w:tr>
      <w:tr w14:paraId="7B5B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4C2A3A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006A9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电子科技大学天府协同创新中心</w:t>
            </w:r>
          </w:p>
        </w:tc>
        <w:tc>
          <w:tcPr>
            <w:tcW w:w="1308" w:type="dxa"/>
            <w:shd w:val="clear" w:color="auto" w:fill="auto"/>
            <w:vAlign w:val="center"/>
          </w:tcPr>
          <w:p w14:paraId="237F6C3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才  珊</w:t>
            </w:r>
          </w:p>
        </w:tc>
        <w:tc>
          <w:tcPr>
            <w:tcW w:w="3199" w:type="dxa"/>
            <w:shd w:val="clear" w:color="auto" w:fill="auto"/>
            <w:vAlign w:val="center"/>
          </w:tcPr>
          <w:p w14:paraId="419446A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Shan.cai@uestc.edu.cn</w:t>
            </w:r>
          </w:p>
        </w:tc>
        <w:tc>
          <w:tcPr>
            <w:tcW w:w="1596" w:type="dxa"/>
            <w:shd w:val="clear" w:color="auto" w:fill="auto"/>
            <w:vAlign w:val="center"/>
          </w:tcPr>
          <w:p w14:paraId="77B5E21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028-85807608</w:t>
            </w:r>
          </w:p>
        </w:tc>
      </w:tr>
      <w:tr w14:paraId="01E0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0A1C8BE">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46148BD">
            <w:pPr>
              <w:keepNext w:val="0"/>
              <w:keepLines w:val="0"/>
              <w:pageBreakBefore w:val="0"/>
              <w:widowControl/>
              <w:kinsoku/>
              <w:wordWrap/>
              <w:overflowPunct/>
              <w:topLinePunct w:val="0"/>
              <w:autoSpaceDE/>
              <w:autoSpaceDN/>
              <w:bidi w:val="0"/>
              <w:adjustRightInd w:val="0"/>
              <w:snapToGrid w:val="0"/>
              <w:spacing w:line="240" w:lineRule="auto"/>
              <w:ind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富临精工股份有限公司</w:t>
            </w:r>
          </w:p>
        </w:tc>
        <w:tc>
          <w:tcPr>
            <w:tcW w:w="1308" w:type="dxa"/>
            <w:shd w:val="clear" w:color="auto" w:fill="auto"/>
            <w:vAlign w:val="center"/>
          </w:tcPr>
          <w:p w14:paraId="59794D4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梁宇成</w:t>
            </w:r>
          </w:p>
        </w:tc>
        <w:tc>
          <w:tcPr>
            <w:tcW w:w="3199" w:type="dxa"/>
            <w:shd w:val="clear" w:color="auto" w:fill="auto"/>
            <w:vAlign w:val="center"/>
          </w:tcPr>
          <w:p w14:paraId="29DA7E0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hr@fulinpm.com</w:t>
            </w:r>
          </w:p>
        </w:tc>
        <w:tc>
          <w:tcPr>
            <w:tcW w:w="1596" w:type="dxa"/>
            <w:shd w:val="clear" w:color="auto" w:fill="auto"/>
            <w:vAlign w:val="center"/>
          </w:tcPr>
          <w:p w14:paraId="55C3EFE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0816-8376263</w:t>
            </w:r>
          </w:p>
        </w:tc>
      </w:tr>
      <w:tr w14:paraId="19D3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7F4DD7E">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FE393CA">
            <w:pPr>
              <w:keepNext w:val="0"/>
              <w:keepLines w:val="0"/>
              <w:pageBreakBefore w:val="0"/>
              <w:widowControl/>
              <w:kinsoku/>
              <w:wordWrap/>
              <w:overflowPunct/>
              <w:topLinePunct w:val="0"/>
              <w:autoSpaceDE/>
              <w:autoSpaceDN/>
              <w:bidi w:val="0"/>
              <w:adjustRightInd w:val="0"/>
              <w:snapToGrid w:val="0"/>
              <w:spacing w:line="240" w:lineRule="auto"/>
              <w:ind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甘孜藏族自治州海螺沟智慧景区信息中心</w:t>
            </w:r>
          </w:p>
        </w:tc>
        <w:tc>
          <w:tcPr>
            <w:tcW w:w="1308" w:type="dxa"/>
            <w:shd w:val="clear" w:color="auto" w:fill="auto"/>
            <w:vAlign w:val="center"/>
          </w:tcPr>
          <w:p w14:paraId="7F43696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曹龙武</w:t>
            </w:r>
          </w:p>
        </w:tc>
        <w:tc>
          <w:tcPr>
            <w:tcW w:w="3199" w:type="dxa"/>
            <w:shd w:val="clear" w:color="auto" w:fill="auto"/>
            <w:vAlign w:val="center"/>
          </w:tcPr>
          <w:p w14:paraId="4085F48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282594606@qq.com</w:t>
            </w:r>
          </w:p>
        </w:tc>
        <w:tc>
          <w:tcPr>
            <w:tcW w:w="1596" w:type="dxa"/>
            <w:shd w:val="clear" w:color="auto" w:fill="auto"/>
            <w:vAlign w:val="center"/>
          </w:tcPr>
          <w:p w14:paraId="524D142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0836-3269333</w:t>
            </w:r>
          </w:p>
        </w:tc>
      </w:tr>
      <w:tr w14:paraId="2DD5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8F13B5C">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AB77A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广安市人民医院</w:t>
            </w:r>
          </w:p>
        </w:tc>
        <w:tc>
          <w:tcPr>
            <w:tcW w:w="1308" w:type="dxa"/>
            <w:shd w:val="clear" w:color="auto" w:fill="auto"/>
            <w:vAlign w:val="center"/>
          </w:tcPr>
          <w:p w14:paraId="126F291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刘钟熙</w:t>
            </w:r>
          </w:p>
        </w:tc>
        <w:tc>
          <w:tcPr>
            <w:tcW w:w="3199" w:type="dxa"/>
            <w:shd w:val="clear" w:color="auto" w:fill="auto"/>
            <w:vAlign w:val="center"/>
          </w:tcPr>
          <w:p w14:paraId="4C32185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329821582@qq.com</w:t>
            </w:r>
          </w:p>
        </w:tc>
        <w:tc>
          <w:tcPr>
            <w:tcW w:w="1596" w:type="dxa"/>
            <w:shd w:val="clear" w:color="auto" w:fill="auto"/>
            <w:vAlign w:val="center"/>
          </w:tcPr>
          <w:p w14:paraId="008E06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0826-2600013</w:t>
            </w:r>
          </w:p>
        </w:tc>
      </w:tr>
      <w:tr w14:paraId="7E18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A69053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CBE5FF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核工业二八0研究所</w:t>
            </w:r>
          </w:p>
        </w:tc>
        <w:tc>
          <w:tcPr>
            <w:tcW w:w="1308" w:type="dxa"/>
            <w:shd w:val="clear" w:color="auto" w:fill="auto"/>
            <w:vAlign w:val="center"/>
          </w:tcPr>
          <w:p w14:paraId="36ED835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黎丕林</w:t>
            </w:r>
          </w:p>
        </w:tc>
        <w:tc>
          <w:tcPr>
            <w:tcW w:w="3199" w:type="dxa"/>
            <w:shd w:val="clear" w:color="auto" w:fill="auto"/>
            <w:vAlign w:val="center"/>
          </w:tcPr>
          <w:p w14:paraId="1AE255C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hgy280rlzy@163.com</w:t>
            </w:r>
          </w:p>
        </w:tc>
        <w:tc>
          <w:tcPr>
            <w:tcW w:w="1596" w:type="dxa"/>
            <w:shd w:val="clear" w:color="auto" w:fill="auto"/>
            <w:vAlign w:val="center"/>
          </w:tcPr>
          <w:p w14:paraId="0C68621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0838-5105080</w:t>
            </w:r>
          </w:p>
        </w:tc>
      </w:tr>
      <w:tr w14:paraId="020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606DC94">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6D9FF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宏图智能物流股份有限公司</w:t>
            </w:r>
          </w:p>
        </w:tc>
        <w:tc>
          <w:tcPr>
            <w:tcW w:w="1308" w:type="dxa"/>
            <w:shd w:val="clear" w:color="auto" w:fill="auto"/>
            <w:vAlign w:val="center"/>
          </w:tcPr>
          <w:p w14:paraId="30C9391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邓晓芮</w:t>
            </w:r>
          </w:p>
        </w:tc>
        <w:tc>
          <w:tcPr>
            <w:tcW w:w="3199" w:type="dxa"/>
            <w:shd w:val="clear" w:color="auto" w:fill="auto"/>
            <w:vAlign w:val="center"/>
          </w:tcPr>
          <w:p w14:paraId="2A890A6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xiaoruid@hongtu56.com</w:t>
            </w:r>
          </w:p>
        </w:tc>
        <w:tc>
          <w:tcPr>
            <w:tcW w:w="1596" w:type="dxa"/>
            <w:shd w:val="clear" w:color="auto" w:fill="auto"/>
            <w:vAlign w:val="center"/>
          </w:tcPr>
          <w:p w14:paraId="2E39E3AC">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5D4C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0967BB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19501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洪雅峨眉半山健康管理有限公司</w:t>
            </w:r>
          </w:p>
        </w:tc>
        <w:tc>
          <w:tcPr>
            <w:tcW w:w="1308" w:type="dxa"/>
            <w:shd w:val="clear" w:color="auto" w:fill="auto"/>
            <w:vAlign w:val="center"/>
          </w:tcPr>
          <w:p w14:paraId="18837E7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祝  洁</w:t>
            </w:r>
          </w:p>
        </w:tc>
        <w:tc>
          <w:tcPr>
            <w:tcW w:w="3199" w:type="dxa"/>
            <w:shd w:val="clear" w:color="auto" w:fill="auto"/>
            <w:vAlign w:val="center"/>
          </w:tcPr>
          <w:p w14:paraId="4C4A3B5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935825720@qq.com</w:t>
            </w:r>
          </w:p>
        </w:tc>
        <w:tc>
          <w:tcPr>
            <w:tcW w:w="1596" w:type="dxa"/>
            <w:shd w:val="clear" w:color="auto" w:fill="auto"/>
            <w:vAlign w:val="center"/>
          </w:tcPr>
          <w:p w14:paraId="09E6C71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028-86952953</w:t>
            </w:r>
          </w:p>
        </w:tc>
      </w:tr>
      <w:tr w14:paraId="03C9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E920E15">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C9A3CC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乐山职业技术学院</w:t>
            </w:r>
          </w:p>
        </w:tc>
        <w:tc>
          <w:tcPr>
            <w:tcW w:w="1308" w:type="dxa"/>
            <w:shd w:val="clear" w:color="auto" w:fill="auto"/>
            <w:vAlign w:val="center"/>
          </w:tcPr>
          <w:p w14:paraId="56858A6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周书来</w:t>
            </w:r>
          </w:p>
        </w:tc>
        <w:tc>
          <w:tcPr>
            <w:tcW w:w="3199" w:type="dxa"/>
            <w:shd w:val="clear" w:color="auto" w:fill="auto"/>
            <w:vAlign w:val="center"/>
          </w:tcPr>
          <w:p w14:paraId="3F77335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80497031@qq.com</w:t>
            </w:r>
          </w:p>
        </w:tc>
        <w:tc>
          <w:tcPr>
            <w:tcW w:w="1596" w:type="dxa"/>
            <w:shd w:val="clear" w:color="auto" w:fill="auto"/>
            <w:vAlign w:val="center"/>
          </w:tcPr>
          <w:p w14:paraId="335445F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0833-2272644</w:t>
            </w:r>
          </w:p>
        </w:tc>
      </w:tr>
      <w:tr w14:paraId="3D5D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370727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6C54A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龙佰四川矿冶有限公司</w:t>
            </w:r>
          </w:p>
        </w:tc>
        <w:tc>
          <w:tcPr>
            <w:tcW w:w="1308" w:type="dxa"/>
            <w:shd w:val="clear" w:color="auto" w:fill="auto"/>
            <w:vAlign w:val="center"/>
          </w:tcPr>
          <w:p w14:paraId="51053E9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卢女士</w:t>
            </w:r>
          </w:p>
        </w:tc>
        <w:tc>
          <w:tcPr>
            <w:tcW w:w="3199" w:type="dxa"/>
            <w:shd w:val="clear" w:color="auto" w:fill="auto"/>
            <w:vAlign w:val="center"/>
          </w:tcPr>
          <w:p w14:paraId="35984B9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c>
          <w:tcPr>
            <w:tcW w:w="1596" w:type="dxa"/>
            <w:shd w:val="clear" w:color="auto" w:fill="auto"/>
            <w:vAlign w:val="center"/>
          </w:tcPr>
          <w:p w14:paraId="57656D0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0812-8751299</w:t>
            </w:r>
          </w:p>
        </w:tc>
      </w:tr>
      <w:tr w14:paraId="69CE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2ACB76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08515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龙佰四川钛业有限公司</w:t>
            </w:r>
          </w:p>
        </w:tc>
        <w:tc>
          <w:tcPr>
            <w:tcW w:w="1308" w:type="dxa"/>
            <w:shd w:val="clear" w:color="auto" w:fill="auto"/>
            <w:vAlign w:val="center"/>
          </w:tcPr>
          <w:p w14:paraId="6B23426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何  俊</w:t>
            </w:r>
          </w:p>
        </w:tc>
        <w:tc>
          <w:tcPr>
            <w:tcW w:w="3199" w:type="dxa"/>
            <w:shd w:val="clear" w:color="auto" w:fill="auto"/>
            <w:vAlign w:val="center"/>
          </w:tcPr>
          <w:p w14:paraId="4DF9530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hejun@lomonbillions.com</w:t>
            </w:r>
          </w:p>
        </w:tc>
        <w:tc>
          <w:tcPr>
            <w:tcW w:w="1596" w:type="dxa"/>
            <w:shd w:val="clear" w:color="auto" w:fill="auto"/>
            <w:vAlign w:val="center"/>
          </w:tcPr>
          <w:p w14:paraId="3E53D0C7">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2508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79411BF">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4CB6E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上海交通大学四川研究院</w:t>
            </w:r>
          </w:p>
        </w:tc>
        <w:tc>
          <w:tcPr>
            <w:tcW w:w="1308" w:type="dxa"/>
            <w:shd w:val="clear" w:color="auto" w:fill="auto"/>
            <w:vAlign w:val="center"/>
          </w:tcPr>
          <w:p w14:paraId="1462523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周  睿</w:t>
            </w:r>
          </w:p>
        </w:tc>
        <w:tc>
          <w:tcPr>
            <w:tcW w:w="3199" w:type="dxa"/>
            <w:shd w:val="clear" w:color="auto" w:fill="auto"/>
            <w:vAlign w:val="center"/>
          </w:tcPr>
          <w:p w14:paraId="524831D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sjtugd@sjtu.sc.cn</w:t>
            </w:r>
          </w:p>
        </w:tc>
        <w:tc>
          <w:tcPr>
            <w:tcW w:w="1596" w:type="dxa"/>
            <w:shd w:val="clear" w:color="auto" w:fill="auto"/>
            <w:vAlign w:val="center"/>
          </w:tcPr>
          <w:p w14:paraId="5A446C0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028-61455227</w:t>
            </w:r>
          </w:p>
        </w:tc>
      </w:tr>
      <w:tr w14:paraId="25C1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F28C34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74C60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四川安宁铁钛股份有限公司</w:t>
            </w:r>
          </w:p>
        </w:tc>
        <w:tc>
          <w:tcPr>
            <w:tcW w:w="1308" w:type="dxa"/>
            <w:shd w:val="clear" w:color="auto" w:fill="auto"/>
            <w:vAlign w:val="center"/>
          </w:tcPr>
          <w:p w14:paraId="3C94B8A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伍红霖</w:t>
            </w:r>
          </w:p>
        </w:tc>
        <w:tc>
          <w:tcPr>
            <w:tcW w:w="3199" w:type="dxa"/>
            <w:shd w:val="clear" w:color="auto" w:fill="auto"/>
            <w:vAlign w:val="center"/>
          </w:tcPr>
          <w:p w14:paraId="2F82425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hr@scantt.com</w:t>
            </w:r>
          </w:p>
        </w:tc>
        <w:tc>
          <w:tcPr>
            <w:tcW w:w="1596" w:type="dxa"/>
            <w:shd w:val="clear" w:color="auto" w:fill="auto"/>
            <w:vAlign w:val="center"/>
          </w:tcPr>
          <w:p w14:paraId="79A7498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0812-3122536</w:t>
            </w:r>
          </w:p>
        </w:tc>
      </w:tr>
      <w:tr w14:paraId="0174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7BFC0F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DADDB7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四川奥邦古得药业有限公司</w:t>
            </w:r>
          </w:p>
        </w:tc>
        <w:tc>
          <w:tcPr>
            <w:tcW w:w="1308" w:type="dxa"/>
            <w:shd w:val="clear" w:color="auto" w:fill="auto"/>
            <w:vAlign w:val="center"/>
          </w:tcPr>
          <w:p w14:paraId="75733D3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林  勇</w:t>
            </w:r>
          </w:p>
        </w:tc>
        <w:tc>
          <w:tcPr>
            <w:tcW w:w="3199" w:type="dxa"/>
            <w:shd w:val="clear" w:color="auto" w:fill="auto"/>
            <w:vAlign w:val="center"/>
          </w:tcPr>
          <w:p w14:paraId="5804270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hr@aupone.com</w:t>
            </w:r>
          </w:p>
        </w:tc>
        <w:tc>
          <w:tcPr>
            <w:tcW w:w="1596" w:type="dxa"/>
            <w:shd w:val="clear" w:color="auto" w:fill="auto"/>
            <w:vAlign w:val="center"/>
          </w:tcPr>
          <w:p w14:paraId="4DB046F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028-87843998</w:t>
            </w:r>
          </w:p>
        </w:tc>
      </w:tr>
      <w:tr w14:paraId="31F8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4DF7C8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0FE64F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四川博物院</w:t>
            </w:r>
          </w:p>
        </w:tc>
        <w:tc>
          <w:tcPr>
            <w:tcW w:w="1308" w:type="dxa"/>
            <w:shd w:val="clear" w:color="auto" w:fill="auto"/>
            <w:vAlign w:val="center"/>
          </w:tcPr>
          <w:p w14:paraId="1ECFA28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张  琴</w:t>
            </w:r>
          </w:p>
        </w:tc>
        <w:tc>
          <w:tcPr>
            <w:tcW w:w="3199" w:type="dxa"/>
            <w:shd w:val="clear" w:color="auto" w:fill="auto"/>
            <w:vAlign w:val="center"/>
          </w:tcPr>
          <w:p w14:paraId="56F678D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2839970048@qq.com</w:t>
            </w:r>
          </w:p>
        </w:tc>
        <w:tc>
          <w:tcPr>
            <w:tcW w:w="1596" w:type="dxa"/>
            <w:shd w:val="clear" w:color="auto" w:fill="auto"/>
            <w:vAlign w:val="center"/>
          </w:tcPr>
          <w:p w14:paraId="57369B5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028-65521511</w:t>
            </w:r>
          </w:p>
        </w:tc>
      </w:tr>
      <w:tr w14:paraId="6278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74E438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F87B2E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四川超迪电器实业有限公司</w:t>
            </w:r>
          </w:p>
        </w:tc>
        <w:tc>
          <w:tcPr>
            <w:tcW w:w="1308" w:type="dxa"/>
            <w:shd w:val="clear" w:color="auto" w:fill="auto"/>
            <w:vAlign w:val="center"/>
          </w:tcPr>
          <w:p w14:paraId="6E51793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  彬</w:t>
            </w:r>
          </w:p>
        </w:tc>
        <w:tc>
          <w:tcPr>
            <w:tcW w:w="3199" w:type="dxa"/>
            <w:shd w:val="clear" w:color="auto" w:fill="auto"/>
            <w:vAlign w:val="center"/>
          </w:tcPr>
          <w:p w14:paraId="68C5116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154186502@qq.com</w:t>
            </w:r>
          </w:p>
        </w:tc>
        <w:tc>
          <w:tcPr>
            <w:tcW w:w="1596" w:type="dxa"/>
            <w:shd w:val="clear" w:color="auto" w:fill="auto"/>
            <w:vAlign w:val="center"/>
          </w:tcPr>
          <w:p w14:paraId="068F464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028-23225096</w:t>
            </w:r>
          </w:p>
        </w:tc>
      </w:tr>
      <w:tr w14:paraId="00D4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FAEEFF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806DC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四川川东电缆有限责任公司</w:t>
            </w:r>
          </w:p>
        </w:tc>
        <w:tc>
          <w:tcPr>
            <w:tcW w:w="1308" w:type="dxa"/>
            <w:shd w:val="clear" w:color="auto" w:fill="auto"/>
            <w:vAlign w:val="center"/>
          </w:tcPr>
          <w:p w14:paraId="1F55564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徐  旭</w:t>
            </w:r>
          </w:p>
        </w:tc>
        <w:tc>
          <w:tcPr>
            <w:tcW w:w="3199" w:type="dxa"/>
            <w:shd w:val="clear" w:color="auto" w:fill="auto"/>
            <w:vAlign w:val="center"/>
          </w:tcPr>
          <w:p w14:paraId="18628DA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550683861@qq.com</w:t>
            </w:r>
          </w:p>
        </w:tc>
        <w:tc>
          <w:tcPr>
            <w:tcW w:w="1596" w:type="dxa"/>
            <w:shd w:val="clear" w:color="auto" w:fill="auto"/>
            <w:vAlign w:val="center"/>
          </w:tcPr>
          <w:p w14:paraId="5ECEA52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0818-6016102</w:t>
            </w:r>
          </w:p>
        </w:tc>
      </w:tr>
      <w:tr w14:paraId="7C2B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2BE4A19">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5E6FEA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四川大西洋焊接材料股份有限公司</w:t>
            </w:r>
          </w:p>
        </w:tc>
        <w:tc>
          <w:tcPr>
            <w:tcW w:w="1308" w:type="dxa"/>
            <w:shd w:val="clear" w:color="auto" w:fill="auto"/>
            <w:vAlign w:val="center"/>
          </w:tcPr>
          <w:p w14:paraId="0AB2429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廖  芬</w:t>
            </w:r>
          </w:p>
        </w:tc>
        <w:tc>
          <w:tcPr>
            <w:tcW w:w="3199" w:type="dxa"/>
            <w:shd w:val="clear" w:color="auto" w:fill="auto"/>
            <w:vAlign w:val="center"/>
          </w:tcPr>
          <w:p w14:paraId="3ED0331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dxyzxb@163.com</w:t>
            </w:r>
          </w:p>
        </w:tc>
        <w:tc>
          <w:tcPr>
            <w:tcW w:w="1596" w:type="dxa"/>
            <w:shd w:val="clear" w:color="auto" w:fill="auto"/>
            <w:vAlign w:val="center"/>
          </w:tcPr>
          <w:p w14:paraId="27AF5C8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0813-8253829</w:t>
            </w:r>
          </w:p>
        </w:tc>
      </w:tr>
      <w:tr w14:paraId="6B1F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05BB314">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5BC813B">
            <w:pPr>
              <w:keepNext w:val="0"/>
              <w:keepLines w:val="0"/>
              <w:pageBreakBefore w:val="0"/>
              <w:widowControl/>
              <w:kinsoku/>
              <w:wordWrap/>
              <w:overflowPunct/>
              <w:topLinePunct w:val="0"/>
              <w:autoSpaceDE/>
              <w:autoSpaceDN/>
              <w:bidi w:val="0"/>
              <w:adjustRightInd w:val="0"/>
              <w:snapToGrid w:val="0"/>
              <w:spacing w:line="240" w:lineRule="auto"/>
              <w:ind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四川德博尔生物科技股份有限公司</w:t>
            </w:r>
          </w:p>
        </w:tc>
        <w:tc>
          <w:tcPr>
            <w:tcW w:w="1308" w:type="dxa"/>
            <w:shd w:val="clear" w:color="auto" w:fill="auto"/>
            <w:vAlign w:val="center"/>
          </w:tcPr>
          <w:p w14:paraId="5B78024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李婧雯</w:t>
            </w:r>
          </w:p>
        </w:tc>
        <w:tc>
          <w:tcPr>
            <w:tcW w:w="3199" w:type="dxa"/>
            <w:shd w:val="clear" w:color="auto" w:fill="auto"/>
            <w:vAlign w:val="center"/>
          </w:tcPr>
          <w:p w14:paraId="1A94F4F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569978289@qq.com</w:t>
            </w:r>
          </w:p>
        </w:tc>
        <w:tc>
          <w:tcPr>
            <w:tcW w:w="1596" w:type="dxa"/>
            <w:shd w:val="clear" w:color="auto" w:fill="auto"/>
            <w:vAlign w:val="center"/>
          </w:tcPr>
          <w:p w14:paraId="368DD16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0838-5703009</w:t>
            </w:r>
          </w:p>
        </w:tc>
      </w:tr>
      <w:tr w14:paraId="49BA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06FF2BA3">
            <w:pPr>
              <w:widowControl/>
              <w:numPr>
                <w:ilvl w:val="0"/>
                <w:numId w:val="0"/>
              </w:numPr>
              <w:adjustRightInd w:val="0"/>
              <w:snapToGrid w:val="0"/>
              <w:spacing w:line="240" w:lineRule="auto"/>
              <w:ind w:leftChars="0"/>
              <w:jc w:val="both"/>
              <w:rPr>
                <w:rFonts w:hint="default"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3803E8B4">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38519E90">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7BA88545">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0B450E7F">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30B0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B8DEBE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CFBF3D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四川德赛尔新材料科技有限公司</w:t>
            </w:r>
          </w:p>
        </w:tc>
        <w:tc>
          <w:tcPr>
            <w:tcW w:w="1308" w:type="dxa"/>
            <w:shd w:val="clear" w:color="auto" w:fill="auto"/>
            <w:vAlign w:val="center"/>
          </w:tcPr>
          <w:p w14:paraId="0960CB0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李丹丹</w:t>
            </w:r>
          </w:p>
        </w:tc>
        <w:tc>
          <w:tcPr>
            <w:tcW w:w="3199" w:type="dxa"/>
            <w:shd w:val="clear" w:color="auto" w:fill="auto"/>
            <w:vAlign w:val="center"/>
          </w:tcPr>
          <w:p w14:paraId="2788384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HR@decision.cn</w:t>
            </w:r>
          </w:p>
        </w:tc>
        <w:tc>
          <w:tcPr>
            <w:tcW w:w="1596" w:type="dxa"/>
            <w:shd w:val="clear" w:color="auto" w:fill="auto"/>
            <w:vAlign w:val="center"/>
          </w:tcPr>
          <w:p w14:paraId="71713F0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0838-3680269</w:t>
            </w:r>
          </w:p>
        </w:tc>
      </w:tr>
      <w:tr w14:paraId="382F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C8BFB5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AAE1B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四川横竖生物科技股份有限公司</w:t>
            </w:r>
          </w:p>
        </w:tc>
        <w:tc>
          <w:tcPr>
            <w:tcW w:w="1308" w:type="dxa"/>
            <w:shd w:val="clear" w:color="auto" w:fill="auto"/>
            <w:vAlign w:val="center"/>
          </w:tcPr>
          <w:p w14:paraId="6D61A98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夏道林</w:t>
            </w:r>
          </w:p>
        </w:tc>
        <w:tc>
          <w:tcPr>
            <w:tcW w:w="3199" w:type="dxa"/>
            <w:shd w:val="clear" w:color="auto" w:fill="auto"/>
            <w:vAlign w:val="center"/>
          </w:tcPr>
          <w:p w14:paraId="19572C7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1797457311@qq.com</w:t>
            </w:r>
          </w:p>
        </w:tc>
        <w:tc>
          <w:tcPr>
            <w:tcW w:w="1596" w:type="dxa"/>
            <w:shd w:val="clear" w:color="auto" w:fill="auto"/>
            <w:vAlign w:val="center"/>
          </w:tcPr>
          <w:p w14:paraId="522F978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0831-6479666</w:t>
            </w:r>
          </w:p>
        </w:tc>
      </w:tr>
      <w:tr w14:paraId="5557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6A26B6E">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333FA6A4">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四川建筑职业技术学院</w:t>
            </w:r>
          </w:p>
        </w:tc>
        <w:tc>
          <w:tcPr>
            <w:tcW w:w="1308" w:type="dxa"/>
            <w:shd w:val="clear" w:color="auto" w:fill="auto"/>
            <w:vAlign w:val="center"/>
          </w:tcPr>
          <w:p w14:paraId="06832F7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黎佳静</w:t>
            </w:r>
          </w:p>
        </w:tc>
        <w:tc>
          <w:tcPr>
            <w:tcW w:w="3199" w:type="dxa"/>
            <w:shd w:val="clear" w:color="auto" w:fill="auto"/>
            <w:vAlign w:val="center"/>
          </w:tcPr>
          <w:p w14:paraId="7C1F216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757593297@qq.com</w:t>
            </w:r>
          </w:p>
        </w:tc>
        <w:tc>
          <w:tcPr>
            <w:tcW w:w="1596" w:type="dxa"/>
            <w:shd w:val="clear" w:color="auto" w:fill="auto"/>
            <w:vAlign w:val="center"/>
          </w:tcPr>
          <w:p w14:paraId="77AAC1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0838-2658120</w:t>
            </w:r>
          </w:p>
        </w:tc>
      </w:tr>
      <w:tr w14:paraId="531D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1C2727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ACB4A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四川江口醇隆鼎酒业有限公司</w:t>
            </w:r>
          </w:p>
        </w:tc>
        <w:tc>
          <w:tcPr>
            <w:tcW w:w="1308" w:type="dxa"/>
            <w:shd w:val="clear" w:color="auto" w:fill="auto"/>
            <w:vAlign w:val="center"/>
          </w:tcPr>
          <w:p w14:paraId="05387E63">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吕娅芸</w:t>
            </w:r>
          </w:p>
        </w:tc>
        <w:tc>
          <w:tcPr>
            <w:tcW w:w="3199" w:type="dxa"/>
            <w:shd w:val="clear" w:color="auto" w:fill="auto"/>
            <w:vAlign w:val="center"/>
          </w:tcPr>
          <w:p w14:paraId="57B2F9B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368071492@qq.com</w:t>
            </w:r>
          </w:p>
        </w:tc>
        <w:tc>
          <w:tcPr>
            <w:tcW w:w="1596" w:type="dxa"/>
            <w:shd w:val="clear" w:color="auto" w:fill="auto"/>
            <w:vAlign w:val="center"/>
          </w:tcPr>
          <w:p w14:paraId="6A2A208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0827-6297528</w:t>
            </w:r>
          </w:p>
        </w:tc>
      </w:tr>
      <w:tr w14:paraId="5103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C4F64B8">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1574CF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四川捷贝通能源科技有限公司</w:t>
            </w:r>
          </w:p>
        </w:tc>
        <w:tc>
          <w:tcPr>
            <w:tcW w:w="1308" w:type="dxa"/>
            <w:shd w:val="clear" w:color="auto" w:fill="auto"/>
            <w:vAlign w:val="center"/>
          </w:tcPr>
          <w:p w14:paraId="53C3796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古  茜</w:t>
            </w:r>
          </w:p>
        </w:tc>
        <w:tc>
          <w:tcPr>
            <w:tcW w:w="3199" w:type="dxa"/>
            <w:shd w:val="clear" w:color="auto" w:fill="auto"/>
            <w:vAlign w:val="center"/>
          </w:tcPr>
          <w:p w14:paraId="4E7B455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guqian@gepetto-oil.com</w:t>
            </w:r>
          </w:p>
        </w:tc>
        <w:tc>
          <w:tcPr>
            <w:tcW w:w="1596" w:type="dxa"/>
            <w:shd w:val="clear" w:color="auto" w:fill="auto"/>
            <w:vAlign w:val="center"/>
          </w:tcPr>
          <w:p w14:paraId="1837DF29">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09B5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A74018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96926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四川金象赛瑞化工股份有限公司</w:t>
            </w:r>
          </w:p>
        </w:tc>
        <w:tc>
          <w:tcPr>
            <w:tcW w:w="1308" w:type="dxa"/>
            <w:shd w:val="clear" w:color="auto" w:fill="auto"/>
            <w:vAlign w:val="center"/>
          </w:tcPr>
          <w:p w14:paraId="5BD6378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黄张林</w:t>
            </w:r>
          </w:p>
        </w:tc>
        <w:tc>
          <w:tcPr>
            <w:tcW w:w="3199" w:type="dxa"/>
            <w:shd w:val="clear" w:color="auto" w:fill="auto"/>
            <w:vAlign w:val="center"/>
          </w:tcPr>
          <w:p w14:paraId="61251FCE">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c>
          <w:tcPr>
            <w:tcW w:w="1596" w:type="dxa"/>
            <w:shd w:val="clear" w:color="auto" w:fill="auto"/>
            <w:vAlign w:val="center"/>
          </w:tcPr>
          <w:p w14:paraId="2D7931B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028-38183770</w:t>
            </w:r>
          </w:p>
        </w:tc>
      </w:tr>
      <w:tr w14:paraId="47B5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0F1ED9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58E25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四川精控阀门制造有限公司</w:t>
            </w:r>
          </w:p>
        </w:tc>
        <w:tc>
          <w:tcPr>
            <w:tcW w:w="1308" w:type="dxa"/>
            <w:shd w:val="clear" w:color="auto" w:fill="auto"/>
            <w:vAlign w:val="center"/>
          </w:tcPr>
          <w:p w14:paraId="4920B23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滕宇杰</w:t>
            </w:r>
          </w:p>
        </w:tc>
        <w:tc>
          <w:tcPr>
            <w:tcW w:w="3199" w:type="dxa"/>
            <w:shd w:val="clear" w:color="auto" w:fill="auto"/>
            <w:vAlign w:val="center"/>
          </w:tcPr>
          <w:p w14:paraId="361D359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tengyujie@kconvalve.com</w:t>
            </w:r>
          </w:p>
        </w:tc>
        <w:tc>
          <w:tcPr>
            <w:tcW w:w="1596" w:type="dxa"/>
            <w:shd w:val="clear" w:color="auto" w:fill="auto"/>
            <w:vAlign w:val="center"/>
          </w:tcPr>
          <w:p w14:paraId="41518D3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0838-5108066</w:t>
            </w:r>
          </w:p>
        </w:tc>
      </w:tr>
      <w:tr w14:paraId="38D5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9198E12">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163D3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四川科伦博泰生物医药股份有限公司</w:t>
            </w:r>
          </w:p>
        </w:tc>
        <w:tc>
          <w:tcPr>
            <w:tcW w:w="1308" w:type="dxa"/>
            <w:shd w:val="clear" w:color="auto" w:fill="auto"/>
            <w:vAlign w:val="center"/>
          </w:tcPr>
          <w:p w14:paraId="1434050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白  雪</w:t>
            </w:r>
          </w:p>
        </w:tc>
        <w:tc>
          <w:tcPr>
            <w:tcW w:w="3199" w:type="dxa"/>
            <w:shd w:val="clear" w:color="auto" w:fill="auto"/>
            <w:vAlign w:val="center"/>
          </w:tcPr>
          <w:p w14:paraId="56BA867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baixue@kelun.com</w:t>
            </w:r>
          </w:p>
        </w:tc>
        <w:tc>
          <w:tcPr>
            <w:tcW w:w="1596" w:type="dxa"/>
            <w:shd w:val="clear" w:color="auto" w:fill="auto"/>
            <w:vAlign w:val="center"/>
          </w:tcPr>
          <w:p w14:paraId="427EB8B6">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028-67255296</w:t>
            </w:r>
          </w:p>
        </w:tc>
      </w:tr>
      <w:tr w14:paraId="6FA8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10B4C3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2A158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四川科特检测技术有限公司</w:t>
            </w:r>
          </w:p>
        </w:tc>
        <w:tc>
          <w:tcPr>
            <w:tcW w:w="1308" w:type="dxa"/>
            <w:shd w:val="clear" w:color="auto" w:fill="auto"/>
            <w:vAlign w:val="center"/>
          </w:tcPr>
          <w:p w14:paraId="6D001C9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李盛林</w:t>
            </w:r>
          </w:p>
        </w:tc>
        <w:tc>
          <w:tcPr>
            <w:tcW w:w="3199" w:type="dxa"/>
            <w:shd w:val="clear" w:color="auto" w:fill="auto"/>
            <w:vAlign w:val="center"/>
          </w:tcPr>
          <w:p w14:paraId="35E2781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listening@cnpc.com.cn</w:t>
            </w:r>
          </w:p>
        </w:tc>
        <w:tc>
          <w:tcPr>
            <w:tcW w:w="1596" w:type="dxa"/>
            <w:shd w:val="clear" w:color="auto" w:fill="auto"/>
            <w:vAlign w:val="center"/>
          </w:tcPr>
          <w:p w14:paraId="3BDCA8C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028-86017150</w:t>
            </w:r>
          </w:p>
        </w:tc>
      </w:tr>
      <w:tr w14:paraId="3431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79E60FD">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3B46D8C">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四川煤矿安全监察局安全技术中心</w:t>
            </w:r>
          </w:p>
        </w:tc>
        <w:tc>
          <w:tcPr>
            <w:tcW w:w="1308" w:type="dxa"/>
            <w:shd w:val="clear" w:color="auto" w:fill="auto"/>
            <w:vAlign w:val="center"/>
          </w:tcPr>
          <w:p w14:paraId="41BB607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闫丽丽</w:t>
            </w:r>
          </w:p>
        </w:tc>
        <w:tc>
          <w:tcPr>
            <w:tcW w:w="3199" w:type="dxa"/>
            <w:shd w:val="clear" w:color="auto" w:fill="auto"/>
            <w:vAlign w:val="center"/>
          </w:tcPr>
          <w:p w14:paraId="791D7FA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515256066@qq.com</w:t>
            </w:r>
          </w:p>
        </w:tc>
        <w:tc>
          <w:tcPr>
            <w:tcW w:w="1596" w:type="dxa"/>
            <w:shd w:val="clear" w:color="auto" w:fill="auto"/>
            <w:vAlign w:val="center"/>
          </w:tcPr>
          <w:p w14:paraId="14BD607C">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584B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D43537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1228BC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四川启明星铝业有限责任公司</w:t>
            </w:r>
          </w:p>
        </w:tc>
        <w:tc>
          <w:tcPr>
            <w:tcW w:w="1308" w:type="dxa"/>
            <w:shd w:val="clear" w:color="auto" w:fill="auto"/>
            <w:vAlign w:val="center"/>
          </w:tcPr>
          <w:p w14:paraId="6B84294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李子光</w:t>
            </w:r>
          </w:p>
        </w:tc>
        <w:tc>
          <w:tcPr>
            <w:tcW w:w="3199" w:type="dxa"/>
            <w:shd w:val="clear" w:color="auto" w:fill="auto"/>
            <w:vAlign w:val="center"/>
          </w:tcPr>
          <w:p w14:paraId="2AC878A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123365471@qq.com</w:t>
            </w:r>
          </w:p>
        </w:tc>
        <w:tc>
          <w:tcPr>
            <w:tcW w:w="1596" w:type="dxa"/>
            <w:shd w:val="clear" w:color="auto" w:fill="auto"/>
            <w:vAlign w:val="center"/>
          </w:tcPr>
          <w:p w14:paraId="74DB0A8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028-38563027</w:t>
            </w:r>
          </w:p>
        </w:tc>
      </w:tr>
      <w:tr w14:paraId="2706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B84396D">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794683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四川轻化工大学</w:t>
            </w:r>
          </w:p>
        </w:tc>
        <w:tc>
          <w:tcPr>
            <w:tcW w:w="1308" w:type="dxa"/>
            <w:shd w:val="clear" w:color="auto" w:fill="auto"/>
            <w:vAlign w:val="center"/>
          </w:tcPr>
          <w:p w14:paraId="1D34144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高彦芳</w:t>
            </w:r>
          </w:p>
        </w:tc>
        <w:tc>
          <w:tcPr>
            <w:tcW w:w="3199" w:type="dxa"/>
            <w:shd w:val="clear" w:color="auto" w:fill="auto"/>
            <w:vAlign w:val="center"/>
          </w:tcPr>
          <w:p w14:paraId="5D80C02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rsc@.suse.edu.cn</w:t>
            </w:r>
          </w:p>
        </w:tc>
        <w:tc>
          <w:tcPr>
            <w:tcW w:w="1596" w:type="dxa"/>
            <w:shd w:val="clear" w:color="auto" w:fill="auto"/>
            <w:vAlign w:val="center"/>
          </w:tcPr>
          <w:p w14:paraId="15E297D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0813-5505308</w:t>
            </w:r>
          </w:p>
        </w:tc>
      </w:tr>
      <w:tr w14:paraId="1478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2B880F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36355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 xml:space="preserve">四川上之登新材料科技有限公司 </w:t>
            </w:r>
          </w:p>
        </w:tc>
        <w:tc>
          <w:tcPr>
            <w:tcW w:w="1308" w:type="dxa"/>
            <w:shd w:val="clear" w:color="auto" w:fill="auto"/>
            <w:vAlign w:val="center"/>
          </w:tcPr>
          <w:p w14:paraId="31EB185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江长洪</w:t>
            </w:r>
          </w:p>
        </w:tc>
        <w:tc>
          <w:tcPr>
            <w:tcW w:w="3199" w:type="dxa"/>
            <w:shd w:val="clear" w:color="auto" w:fill="auto"/>
            <w:vAlign w:val="center"/>
          </w:tcPr>
          <w:p w14:paraId="477761B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1031818861@qq.com</w:t>
            </w:r>
          </w:p>
        </w:tc>
        <w:tc>
          <w:tcPr>
            <w:tcW w:w="1596" w:type="dxa"/>
            <w:shd w:val="clear" w:color="auto" w:fill="auto"/>
            <w:vAlign w:val="center"/>
          </w:tcPr>
          <w:p w14:paraId="5F204E2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0838-5227023</w:t>
            </w:r>
          </w:p>
        </w:tc>
      </w:tr>
      <w:tr w14:paraId="4CCE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8860E43">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A9A090E">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四川省地质环境调查研究中心</w:t>
            </w:r>
          </w:p>
        </w:tc>
        <w:tc>
          <w:tcPr>
            <w:tcW w:w="1308" w:type="dxa"/>
            <w:shd w:val="clear" w:color="auto" w:fill="auto"/>
            <w:vAlign w:val="center"/>
          </w:tcPr>
          <w:p w14:paraId="0BCD4BB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涛</w:t>
            </w:r>
          </w:p>
        </w:tc>
        <w:tc>
          <w:tcPr>
            <w:tcW w:w="3199" w:type="dxa"/>
            <w:shd w:val="clear" w:color="auto" w:fill="auto"/>
            <w:vAlign w:val="center"/>
          </w:tcPr>
          <w:p w14:paraId="43C4E01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1029193228@qq.com</w:t>
            </w:r>
          </w:p>
        </w:tc>
        <w:tc>
          <w:tcPr>
            <w:tcW w:w="1596" w:type="dxa"/>
            <w:shd w:val="clear" w:color="auto" w:fill="auto"/>
            <w:vAlign w:val="center"/>
          </w:tcPr>
          <w:p w14:paraId="5A2E8F7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028-83198668</w:t>
            </w:r>
          </w:p>
        </w:tc>
      </w:tr>
      <w:tr w14:paraId="0D21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0F35460">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81133F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spacing w:val="-4"/>
                <w:kern w:val="0"/>
                <w:sz w:val="21"/>
                <w:szCs w:val="21"/>
                <w:highlight w:val="none"/>
                <w:lang w:val="en-US" w:eastAsia="zh-CN" w:bidi="ar-SA"/>
              </w:rPr>
            </w:pPr>
            <w:r>
              <w:rPr>
                <w:rFonts w:eastAsiaTheme="minorEastAsia"/>
                <w:color w:val="auto"/>
                <w:kern w:val="0"/>
                <w:sz w:val="21"/>
                <w:szCs w:val="21"/>
                <w:highlight w:val="none"/>
              </w:rPr>
              <w:t>四川省国土空间生态修复与地质灾害防治研究院</w:t>
            </w:r>
          </w:p>
        </w:tc>
        <w:tc>
          <w:tcPr>
            <w:tcW w:w="1308" w:type="dxa"/>
            <w:shd w:val="clear" w:color="auto" w:fill="auto"/>
            <w:vAlign w:val="center"/>
          </w:tcPr>
          <w:p w14:paraId="047CE7A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周  琼</w:t>
            </w:r>
          </w:p>
        </w:tc>
        <w:tc>
          <w:tcPr>
            <w:tcW w:w="3199" w:type="dxa"/>
            <w:shd w:val="clear" w:color="auto" w:fill="auto"/>
            <w:vAlign w:val="center"/>
          </w:tcPr>
          <w:p w14:paraId="676CDDD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18583692662@126.com</w:t>
            </w:r>
          </w:p>
        </w:tc>
        <w:tc>
          <w:tcPr>
            <w:tcW w:w="1596" w:type="dxa"/>
            <w:shd w:val="clear" w:color="auto" w:fill="auto"/>
            <w:vAlign w:val="center"/>
          </w:tcPr>
          <w:p w14:paraId="31635F0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028-87409357</w:t>
            </w:r>
          </w:p>
        </w:tc>
      </w:tr>
      <w:tr w14:paraId="3B2D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E281211">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C778DE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四川省交通勘察设计研究院有限公司</w:t>
            </w:r>
          </w:p>
        </w:tc>
        <w:tc>
          <w:tcPr>
            <w:tcW w:w="1308" w:type="dxa"/>
            <w:shd w:val="clear" w:color="auto" w:fill="auto"/>
            <w:vAlign w:val="center"/>
          </w:tcPr>
          <w:p w14:paraId="56A28ED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李小丽</w:t>
            </w:r>
          </w:p>
        </w:tc>
        <w:tc>
          <w:tcPr>
            <w:tcW w:w="3199" w:type="dxa"/>
            <w:shd w:val="clear" w:color="auto" w:fill="auto"/>
            <w:vAlign w:val="center"/>
          </w:tcPr>
          <w:p w14:paraId="72A547B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lixiaoli@scodi.cn</w:t>
            </w:r>
          </w:p>
        </w:tc>
        <w:tc>
          <w:tcPr>
            <w:tcW w:w="1596" w:type="dxa"/>
            <w:shd w:val="clear" w:color="auto" w:fill="auto"/>
            <w:vAlign w:val="center"/>
          </w:tcPr>
          <w:p w14:paraId="4879C26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7E36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A36782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34C8B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四川省内江市农业科学院</w:t>
            </w:r>
          </w:p>
        </w:tc>
        <w:tc>
          <w:tcPr>
            <w:tcW w:w="1308" w:type="dxa"/>
            <w:shd w:val="clear" w:color="auto" w:fill="auto"/>
            <w:vAlign w:val="center"/>
          </w:tcPr>
          <w:p w14:paraId="4CDF18B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彭琪胜</w:t>
            </w:r>
          </w:p>
        </w:tc>
        <w:tc>
          <w:tcPr>
            <w:tcW w:w="3199" w:type="dxa"/>
            <w:shd w:val="clear" w:color="auto" w:fill="auto"/>
            <w:vAlign w:val="center"/>
          </w:tcPr>
          <w:p w14:paraId="3669DCD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23239616@qq.com</w:t>
            </w:r>
          </w:p>
        </w:tc>
        <w:tc>
          <w:tcPr>
            <w:tcW w:w="1596" w:type="dxa"/>
            <w:shd w:val="clear" w:color="auto" w:fill="auto"/>
            <w:vAlign w:val="center"/>
          </w:tcPr>
          <w:p w14:paraId="48F255D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0832-5867269</w:t>
            </w:r>
          </w:p>
        </w:tc>
      </w:tr>
      <w:tr w14:paraId="4AE0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9EE249A">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1C3D0EA6">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Theme="minorEastAsia"/>
                <w:kern w:val="0"/>
                <w:sz w:val="21"/>
                <w:szCs w:val="21"/>
                <w:highlight w:val="none"/>
              </w:rPr>
              <w:t>四川省人工智能研究院（宜宾）</w:t>
            </w:r>
          </w:p>
        </w:tc>
        <w:tc>
          <w:tcPr>
            <w:tcW w:w="1308" w:type="dxa"/>
            <w:shd w:val="clear" w:color="auto" w:fill="auto"/>
            <w:vAlign w:val="center"/>
          </w:tcPr>
          <w:p w14:paraId="7799098F">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封先蓉</w:t>
            </w:r>
          </w:p>
        </w:tc>
        <w:tc>
          <w:tcPr>
            <w:tcW w:w="3199" w:type="dxa"/>
            <w:shd w:val="clear" w:color="auto" w:fill="auto"/>
            <w:vAlign w:val="center"/>
          </w:tcPr>
          <w:p w14:paraId="50107AB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10926399@qq.com</w:t>
            </w:r>
          </w:p>
        </w:tc>
        <w:tc>
          <w:tcPr>
            <w:tcW w:w="1596" w:type="dxa"/>
            <w:shd w:val="clear" w:color="auto" w:fill="auto"/>
            <w:vAlign w:val="center"/>
          </w:tcPr>
          <w:p w14:paraId="1F39C82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0831-8239222</w:t>
            </w:r>
          </w:p>
        </w:tc>
      </w:tr>
      <w:tr w14:paraId="5905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AD09646">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83A06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四川省图书馆</w:t>
            </w:r>
          </w:p>
        </w:tc>
        <w:tc>
          <w:tcPr>
            <w:tcW w:w="1308" w:type="dxa"/>
            <w:shd w:val="clear" w:color="auto" w:fill="auto"/>
            <w:vAlign w:val="center"/>
          </w:tcPr>
          <w:p w14:paraId="6033FDD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温若均</w:t>
            </w:r>
          </w:p>
        </w:tc>
        <w:tc>
          <w:tcPr>
            <w:tcW w:w="3199" w:type="dxa"/>
            <w:shd w:val="clear" w:color="auto" w:fill="auto"/>
            <w:vAlign w:val="center"/>
          </w:tcPr>
          <w:p w14:paraId="268B0B8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sclib_bsh@sclib.org</w:t>
            </w:r>
          </w:p>
        </w:tc>
        <w:tc>
          <w:tcPr>
            <w:tcW w:w="1596" w:type="dxa"/>
            <w:shd w:val="clear" w:color="auto" w:fill="auto"/>
            <w:vAlign w:val="center"/>
          </w:tcPr>
          <w:p w14:paraId="2DFCF58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028-86659653</w:t>
            </w:r>
          </w:p>
        </w:tc>
      </w:tr>
      <w:tr w14:paraId="2045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45CCD4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F3D9F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四川省宜宾惠美线业有限责任公司</w:t>
            </w:r>
          </w:p>
        </w:tc>
        <w:tc>
          <w:tcPr>
            <w:tcW w:w="1308" w:type="dxa"/>
            <w:shd w:val="clear" w:color="auto" w:fill="auto"/>
            <w:vAlign w:val="center"/>
          </w:tcPr>
          <w:p w14:paraId="4C00061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杨  浩</w:t>
            </w:r>
          </w:p>
        </w:tc>
        <w:tc>
          <w:tcPr>
            <w:tcW w:w="3199" w:type="dxa"/>
            <w:shd w:val="clear" w:color="auto" w:fill="auto"/>
            <w:vAlign w:val="center"/>
          </w:tcPr>
          <w:p w14:paraId="332249F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522963209@qq.com</w:t>
            </w:r>
          </w:p>
        </w:tc>
        <w:tc>
          <w:tcPr>
            <w:tcW w:w="1596" w:type="dxa"/>
            <w:shd w:val="clear" w:color="auto" w:fill="auto"/>
            <w:vAlign w:val="center"/>
          </w:tcPr>
          <w:p w14:paraId="131642B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0831-2400250</w:t>
            </w:r>
          </w:p>
        </w:tc>
      </w:tr>
      <w:tr w14:paraId="37ED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EA665F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80161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四川省银河化学股份有限公司</w:t>
            </w:r>
          </w:p>
        </w:tc>
        <w:tc>
          <w:tcPr>
            <w:tcW w:w="1308" w:type="dxa"/>
            <w:shd w:val="clear" w:color="auto" w:fill="auto"/>
            <w:vAlign w:val="center"/>
          </w:tcPr>
          <w:p w14:paraId="1FADB5B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谢友才</w:t>
            </w:r>
          </w:p>
        </w:tc>
        <w:tc>
          <w:tcPr>
            <w:tcW w:w="3199" w:type="dxa"/>
            <w:shd w:val="clear" w:color="auto" w:fill="auto"/>
            <w:vAlign w:val="center"/>
          </w:tcPr>
          <w:p w14:paraId="2E5B6728">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c>
          <w:tcPr>
            <w:tcW w:w="1596" w:type="dxa"/>
            <w:shd w:val="clear" w:color="auto" w:fill="auto"/>
            <w:vAlign w:val="center"/>
          </w:tcPr>
          <w:p w14:paraId="5AA5BFFE">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0816-4672289</w:t>
            </w:r>
          </w:p>
        </w:tc>
      </w:tr>
      <w:tr w14:paraId="6074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6FADC34">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8DB4DFD">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四川省中医药科学院</w:t>
            </w:r>
          </w:p>
        </w:tc>
        <w:tc>
          <w:tcPr>
            <w:tcW w:w="1308" w:type="dxa"/>
            <w:shd w:val="clear" w:color="auto" w:fill="auto"/>
            <w:vAlign w:val="center"/>
          </w:tcPr>
          <w:p w14:paraId="1C6CF30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秦登云</w:t>
            </w:r>
          </w:p>
        </w:tc>
        <w:tc>
          <w:tcPr>
            <w:tcW w:w="3199" w:type="dxa"/>
            <w:shd w:val="clear" w:color="auto" w:fill="auto"/>
            <w:vAlign w:val="center"/>
          </w:tcPr>
          <w:p w14:paraId="5595114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sczyyrsc@163.com</w:t>
            </w:r>
          </w:p>
        </w:tc>
        <w:tc>
          <w:tcPr>
            <w:tcW w:w="1596" w:type="dxa"/>
            <w:shd w:val="clear" w:color="auto" w:fill="auto"/>
            <w:vAlign w:val="center"/>
          </w:tcPr>
          <w:p w14:paraId="4359ACC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028-85223428</w:t>
            </w:r>
          </w:p>
        </w:tc>
      </w:tr>
      <w:tr w14:paraId="5D58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E7E6E6" w:themeFill="background2"/>
            <w:vAlign w:val="center"/>
          </w:tcPr>
          <w:p w14:paraId="4A387A76">
            <w:pPr>
              <w:widowControl/>
              <w:numPr>
                <w:ilvl w:val="0"/>
                <w:numId w:val="0"/>
              </w:numPr>
              <w:adjustRightInd w:val="0"/>
              <w:snapToGrid w:val="0"/>
              <w:spacing w:line="240" w:lineRule="auto"/>
              <w:ind w:leftChars="0"/>
              <w:jc w:val="both"/>
              <w:rPr>
                <w:rFonts w:hint="default"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序号</w:t>
            </w:r>
          </w:p>
        </w:tc>
        <w:tc>
          <w:tcPr>
            <w:tcW w:w="3151" w:type="dxa"/>
            <w:shd w:val="clear" w:color="auto" w:fill="E7E6E6" w:themeFill="background2"/>
            <w:vAlign w:val="center"/>
          </w:tcPr>
          <w:p w14:paraId="00381411">
            <w:pPr>
              <w:widowControl/>
              <w:adjustRightInd w:val="0"/>
              <w:snapToGrid w:val="0"/>
              <w:spacing w:line="240" w:lineRule="auto"/>
              <w:ind w:left="-64" w:leftChars="-20" w:right="-64" w:rightChars="-20" w:firstLine="0" w:firstLineChars="0"/>
              <w:jc w:val="center"/>
              <w:rPr>
                <w:rFonts w:hint="eastAsia" w:asciiTheme="minorEastAsia" w:hAnsiTheme="minorEastAsia" w:eastAsiaTheme="minorEastAsia" w:cstheme="minorEastAsia"/>
                <w:b w:val="0"/>
                <w:bCs w:val="0"/>
                <w:kern w:val="0"/>
                <w:sz w:val="21"/>
                <w:szCs w:val="21"/>
                <w:lang w:val="en-US" w:eastAsia="zh-CN" w:bidi="ar-SA"/>
              </w:rPr>
            </w:pPr>
            <w:r>
              <w:rPr>
                <w:rFonts w:hint="eastAsia" w:asciiTheme="minorEastAsia" w:hAnsiTheme="minorEastAsia" w:eastAsiaTheme="minorEastAsia" w:cstheme="minorEastAsia"/>
                <w:b/>
                <w:bCs/>
                <w:kern w:val="0"/>
                <w:sz w:val="21"/>
                <w:szCs w:val="21"/>
              </w:rPr>
              <w:t>招引单位</w:t>
            </w:r>
          </w:p>
        </w:tc>
        <w:tc>
          <w:tcPr>
            <w:tcW w:w="1308" w:type="dxa"/>
            <w:shd w:val="clear" w:color="auto" w:fill="E7E6E6" w:themeFill="background2"/>
            <w:vAlign w:val="center"/>
          </w:tcPr>
          <w:p w14:paraId="26A6A40A">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联系人</w:t>
            </w:r>
          </w:p>
        </w:tc>
        <w:tc>
          <w:tcPr>
            <w:tcW w:w="3199" w:type="dxa"/>
            <w:shd w:val="clear" w:color="auto" w:fill="E7E6E6" w:themeFill="background2"/>
            <w:vAlign w:val="center"/>
          </w:tcPr>
          <w:p w14:paraId="0225B05A">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电子邮箱</w:t>
            </w:r>
          </w:p>
        </w:tc>
        <w:tc>
          <w:tcPr>
            <w:tcW w:w="1596" w:type="dxa"/>
            <w:shd w:val="clear" w:color="auto" w:fill="E7E6E6" w:themeFill="background2"/>
            <w:vAlign w:val="center"/>
          </w:tcPr>
          <w:p w14:paraId="683D604E">
            <w:pPr>
              <w:widowControl/>
              <w:adjustRightInd w:val="0"/>
              <w:snapToGrid w:val="0"/>
              <w:spacing w:line="240" w:lineRule="auto"/>
              <w:ind w:firstLine="0" w:firstLineChars="0"/>
              <w:jc w:val="center"/>
              <w:rPr>
                <w:rFonts w:hint="eastAsia" w:asciiTheme="minorEastAsia" w:hAnsiTheme="minorEastAsia" w:eastAsiaTheme="minorEastAsia" w:cstheme="minorEastAsia"/>
                <w:b/>
                <w:bCs/>
                <w:kern w:val="0"/>
                <w:sz w:val="21"/>
                <w:szCs w:val="21"/>
                <w:lang w:val="en-US" w:eastAsia="zh-CN" w:bidi="ar-SA"/>
              </w:rPr>
            </w:pPr>
            <w:r>
              <w:rPr>
                <w:rFonts w:hint="eastAsia" w:asciiTheme="minorEastAsia" w:hAnsiTheme="minorEastAsia" w:eastAsiaTheme="minorEastAsia" w:cstheme="minorEastAsia"/>
                <w:b/>
                <w:bCs/>
                <w:kern w:val="0"/>
                <w:sz w:val="21"/>
                <w:szCs w:val="21"/>
                <w:lang w:val="en-US" w:eastAsia="zh-CN"/>
              </w:rPr>
              <w:t>座机</w:t>
            </w:r>
          </w:p>
        </w:tc>
      </w:tr>
      <w:tr w14:paraId="5A9A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24A12C9">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FA804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四川省综合地质调查研究所</w:t>
            </w:r>
          </w:p>
        </w:tc>
        <w:tc>
          <w:tcPr>
            <w:tcW w:w="1308" w:type="dxa"/>
            <w:shd w:val="clear" w:color="auto" w:fill="auto"/>
            <w:vAlign w:val="center"/>
          </w:tcPr>
          <w:p w14:paraId="0B7AAB6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刘应平</w:t>
            </w:r>
          </w:p>
        </w:tc>
        <w:tc>
          <w:tcPr>
            <w:tcW w:w="3199" w:type="dxa"/>
            <w:shd w:val="clear" w:color="auto" w:fill="auto"/>
            <w:vAlign w:val="center"/>
          </w:tcPr>
          <w:p w14:paraId="631352D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445214009@qq.com</w:t>
            </w:r>
          </w:p>
        </w:tc>
        <w:tc>
          <w:tcPr>
            <w:tcW w:w="1596" w:type="dxa"/>
            <w:shd w:val="clear" w:color="auto" w:fill="auto"/>
            <w:vAlign w:val="center"/>
          </w:tcPr>
          <w:p w14:paraId="2F56FB8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028-23223280</w:t>
            </w:r>
          </w:p>
        </w:tc>
      </w:tr>
      <w:tr w14:paraId="5EF2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443290D">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383CA09F">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rPr>
              <w:t>四川天府新区宇宙线研究中心</w:t>
            </w:r>
          </w:p>
        </w:tc>
        <w:tc>
          <w:tcPr>
            <w:tcW w:w="1308" w:type="dxa"/>
            <w:shd w:val="clear" w:color="auto" w:fill="auto"/>
            <w:vAlign w:val="center"/>
          </w:tcPr>
          <w:p w14:paraId="661A974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袁小红</w:t>
            </w:r>
          </w:p>
        </w:tc>
        <w:tc>
          <w:tcPr>
            <w:tcW w:w="3199" w:type="dxa"/>
            <w:shd w:val="clear" w:color="auto" w:fill="auto"/>
            <w:vAlign w:val="center"/>
          </w:tcPr>
          <w:p w14:paraId="52AD6DD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yuanxh@ihep.ac.cn</w:t>
            </w:r>
          </w:p>
        </w:tc>
        <w:tc>
          <w:tcPr>
            <w:tcW w:w="1596" w:type="dxa"/>
            <w:shd w:val="clear" w:color="auto" w:fill="auto"/>
            <w:vAlign w:val="center"/>
          </w:tcPr>
          <w:p w14:paraId="768BF0A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028-60796885</w:t>
            </w:r>
          </w:p>
        </w:tc>
      </w:tr>
      <w:tr w14:paraId="1DD8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0E72D8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0B665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四川雅化实业集团股份有限公司</w:t>
            </w:r>
          </w:p>
        </w:tc>
        <w:tc>
          <w:tcPr>
            <w:tcW w:w="1308" w:type="dxa"/>
            <w:vAlign w:val="center"/>
          </w:tcPr>
          <w:p w14:paraId="4CBC60F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刘鸿雁</w:t>
            </w:r>
          </w:p>
        </w:tc>
        <w:tc>
          <w:tcPr>
            <w:tcW w:w="3199" w:type="dxa"/>
            <w:vAlign w:val="center"/>
          </w:tcPr>
          <w:p w14:paraId="48940160">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c>
          <w:tcPr>
            <w:tcW w:w="1596" w:type="dxa"/>
            <w:vAlign w:val="center"/>
          </w:tcPr>
          <w:p w14:paraId="64861F6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0835-2362067</w:t>
            </w:r>
          </w:p>
        </w:tc>
      </w:tr>
      <w:tr w14:paraId="5B4B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47CBE2C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04005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四川依科制药有限公司</w:t>
            </w:r>
          </w:p>
        </w:tc>
        <w:tc>
          <w:tcPr>
            <w:tcW w:w="1308" w:type="dxa"/>
            <w:vAlign w:val="center"/>
          </w:tcPr>
          <w:p w14:paraId="21C613F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陈雅雪</w:t>
            </w:r>
          </w:p>
        </w:tc>
        <w:tc>
          <w:tcPr>
            <w:tcW w:w="3199" w:type="dxa"/>
            <w:vAlign w:val="center"/>
          </w:tcPr>
          <w:p w14:paraId="2614F48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651524137@qq.com</w:t>
            </w:r>
          </w:p>
        </w:tc>
        <w:tc>
          <w:tcPr>
            <w:tcW w:w="1596" w:type="dxa"/>
            <w:vAlign w:val="center"/>
          </w:tcPr>
          <w:p w14:paraId="662DC134">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0838-5581887</w:t>
            </w:r>
          </w:p>
        </w:tc>
      </w:tr>
      <w:tr w14:paraId="3F59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D4AF8C3">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231B75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四川音乐学院</w:t>
            </w:r>
          </w:p>
        </w:tc>
        <w:tc>
          <w:tcPr>
            <w:tcW w:w="1308" w:type="dxa"/>
            <w:vAlign w:val="center"/>
          </w:tcPr>
          <w:p w14:paraId="65376A2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吴翔宇</w:t>
            </w:r>
          </w:p>
        </w:tc>
        <w:tc>
          <w:tcPr>
            <w:tcW w:w="3199" w:type="dxa"/>
            <w:vAlign w:val="center"/>
          </w:tcPr>
          <w:p w14:paraId="413692B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214885239@qq.com</w:t>
            </w:r>
          </w:p>
        </w:tc>
        <w:tc>
          <w:tcPr>
            <w:tcW w:w="1596" w:type="dxa"/>
            <w:vAlign w:val="center"/>
          </w:tcPr>
          <w:p w14:paraId="0DA99B8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028-85430086</w:t>
            </w:r>
          </w:p>
        </w:tc>
      </w:tr>
      <w:tr w14:paraId="7F4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E082B01">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5194A5F">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四川永星电子有限公司</w:t>
            </w:r>
          </w:p>
        </w:tc>
        <w:tc>
          <w:tcPr>
            <w:tcW w:w="1308" w:type="dxa"/>
            <w:vAlign w:val="center"/>
          </w:tcPr>
          <w:p w14:paraId="5C4D2F3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武露平</w:t>
            </w:r>
          </w:p>
        </w:tc>
        <w:tc>
          <w:tcPr>
            <w:tcW w:w="3199" w:type="dxa"/>
            <w:vAlign w:val="center"/>
          </w:tcPr>
          <w:p w14:paraId="0EFA6F4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wuluping@china-yongxing.com</w:t>
            </w:r>
          </w:p>
        </w:tc>
        <w:tc>
          <w:tcPr>
            <w:tcW w:w="1596" w:type="dxa"/>
            <w:vAlign w:val="center"/>
          </w:tcPr>
          <w:p w14:paraId="7D77FCF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028-83962212</w:t>
            </w:r>
          </w:p>
        </w:tc>
      </w:tr>
      <w:tr w14:paraId="3160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C816946">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69EE0BA1">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四川长虹电子控股集团有限公司</w:t>
            </w:r>
          </w:p>
        </w:tc>
        <w:tc>
          <w:tcPr>
            <w:tcW w:w="1308" w:type="dxa"/>
            <w:vAlign w:val="center"/>
          </w:tcPr>
          <w:p w14:paraId="72567FF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谭松林</w:t>
            </w:r>
          </w:p>
        </w:tc>
        <w:tc>
          <w:tcPr>
            <w:tcW w:w="3199" w:type="dxa"/>
            <w:vAlign w:val="center"/>
          </w:tcPr>
          <w:p w14:paraId="0312063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1247337589@qq.com</w:t>
            </w:r>
          </w:p>
        </w:tc>
        <w:tc>
          <w:tcPr>
            <w:tcW w:w="1596" w:type="dxa"/>
            <w:vAlign w:val="center"/>
          </w:tcPr>
          <w:p w14:paraId="00F84818">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1715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645F0A0">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78C304C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遂宁市中心医院</w:t>
            </w:r>
          </w:p>
        </w:tc>
        <w:tc>
          <w:tcPr>
            <w:tcW w:w="1308" w:type="dxa"/>
            <w:vAlign w:val="center"/>
          </w:tcPr>
          <w:p w14:paraId="4435B0D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龙</w:t>
            </w:r>
          </w:p>
        </w:tc>
        <w:tc>
          <w:tcPr>
            <w:tcW w:w="3199" w:type="dxa"/>
            <w:vAlign w:val="center"/>
          </w:tcPr>
          <w:p w14:paraId="70E8BA9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245424575@qq.com</w:t>
            </w:r>
          </w:p>
        </w:tc>
        <w:tc>
          <w:tcPr>
            <w:tcW w:w="1596" w:type="dxa"/>
            <w:vAlign w:val="center"/>
          </w:tcPr>
          <w:p w14:paraId="13DE14E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0825-2292068</w:t>
            </w:r>
          </w:p>
        </w:tc>
      </w:tr>
      <w:tr w14:paraId="1D03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2C062EF">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05E16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台沃科技集团股份有限公司</w:t>
            </w:r>
          </w:p>
        </w:tc>
        <w:tc>
          <w:tcPr>
            <w:tcW w:w="1308" w:type="dxa"/>
            <w:vAlign w:val="center"/>
          </w:tcPr>
          <w:p w14:paraId="4E59B77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郑  镜</w:t>
            </w:r>
          </w:p>
        </w:tc>
        <w:tc>
          <w:tcPr>
            <w:tcW w:w="3199" w:type="dxa"/>
            <w:vAlign w:val="center"/>
          </w:tcPr>
          <w:p w14:paraId="31C4DA1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690085901@qq.com</w:t>
            </w:r>
          </w:p>
        </w:tc>
        <w:tc>
          <w:tcPr>
            <w:tcW w:w="1596" w:type="dxa"/>
            <w:vAlign w:val="center"/>
          </w:tcPr>
          <w:p w14:paraId="1F5904D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0816-2754088</w:t>
            </w:r>
          </w:p>
        </w:tc>
      </w:tr>
      <w:tr w14:paraId="1177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2ED68AA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49F22AE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天府永兴实验室</w:t>
            </w:r>
          </w:p>
        </w:tc>
        <w:tc>
          <w:tcPr>
            <w:tcW w:w="1308" w:type="dxa"/>
            <w:vAlign w:val="center"/>
          </w:tcPr>
          <w:p w14:paraId="5D48FB6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钲</w:t>
            </w:r>
          </w:p>
        </w:tc>
        <w:tc>
          <w:tcPr>
            <w:tcW w:w="3199" w:type="dxa"/>
            <w:vAlign w:val="center"/>
          </w:tcPr>
          <w:p w14:paraId="1F23CA1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hr@tfyxlab.cn</w:t>
            </w:r>
          </w:p>
        </w:tc>
        <w:tc>
          <w:tcPr>
            <w:tcW w:w="1596" w:type="dxa"/>
            <w:vAlign w:val="center"/>
          </w:tcPr>
          <w:p w14:paraId="798824F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028-60667706</w:t>
            </w:r>
          </w:p>
        </w:tc>
      </w:tr>
      <w:tr w14:paraId="5E57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E9FF9A2">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53CCBE1F">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宜宾凯翼汽车有限公司</w:t>
            </w:r>
          </w:p>
        </w:tc>
        <w:tc>
          <w:tcPr>
            <w:tcW w:w="1308" w:type="dxa"/>
            <w:vAlign w:val="center"/>
          </w:tcPr>
          <w:p w14:paraId="5417B83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陈新群</w:t>
            </w:r>
          </w:p>
        </w:tc>
        <w:tc>
          <w:tcPr>
            <w:tcW w:w="3199" w:type="dxa"/>
            <w:vAlign w:val="center"/>
          </w:tcPr>
          <w:p w14:paraId="09EC5BBE">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chenxinqun@newcowin.com</w:t>
            </w:r>
          </w:p>
        </w:tc>
        <w:tc>
          <w:tcPr>
            <w:tcW w:w="1596" w:type="dxa"/>
            <w:vAlign w:val="center"/>
          </w:tcPr>
          <w:p w14:paraId="32899F5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0831-8737777转3101</w:t>
            </w:r>
          </w:p>
        </w:tc>
      </w:tr>
      <w:tr w14:paraId="7108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7228A1E">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489A521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浙江大学自贡创新中心</w:t>
            </w:r>
          </w:p>
        </w:tc>
        <w:tc>
          <w:tcPr>
            <w:tcW w:w="1308" w:type="dxa"/>
            <w:vAlign w:val="center"/>
          </w:tcPr>
          <w:p w14:paraId="2A799D6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余  科</w:t>
            </w:r>
          </w:p>
        </w:tc>
        <w:tc>
          <w:tcPr>
            <w:tcW w:w="3199" w:type="dxa"/>
            <w:vAlign w:val="center"/>
          </w:tcPr>
          <w:p w14:paraId="3CA0E25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yut@zjuzg.com</w:t>
            </w:r>
          </w:p>
        </w:tc>
        <w:tc>
          <w:tcPr>
            <w:tcW w:w="1596" w:type="dxa"/>
            <w:vAlign w:val="center"/>
          </w:tcPr>
          <w:p w14:paraId="04ADD8F2">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0813-5193226</w:t>
            </w:r>
          </w:p>
        </w:tc>
      </w:tr>
      <w:tr w14:paraId="170E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1C8783A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636701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中国农业科学院都市农业研究所</w:t>
            </w:r>
          </w:p>
        </w:tc>
        <w:tc>
          <w:tcPr>
            <w:tcW w:w="1308" w:type="dxa"/>
            <w:vAlign w:val="center"/>
          </w:tcPr>
          <w:p w14:paraId="4930A051">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张  甜</w:t>
            </w:r>
          </w:p>
        </w:tc>
        <w:tc>
          <w:tcPr>
            <w:tcW w:w="3199" w:type="dxa"/>
            <w:vAlign w:val="center"/>
          </w:tcPr>
          <w:p w14:paraId="51A937D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dsszp@caas.cn</w:t>
            </w:r>
          </w:p>
        </w:tc>
        <w:tc>
          <w:tcPr>
            <w:tcW w:w="1596" w:type="dxa"/>
            <w:vAlign w:val="center"/>
          </w:tcPr>
          <w:p w14:paraId="1AB864FF">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w:t>
            </w:r>
          </w:p>
        </w:tc>
      </w:tr>
      <w:tr w14:paraId="7422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B9D5FC1">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0149E334">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eastAsia="宋体" w:cs="Times New Roman"/>
                <w:kern w:val="2"/>
                <w:sz w:val="21"/>
                <w:szCs w:val="21"/>
                <w:highlight w:val="none"/>
                <w:lang w:val="en-US" w:eastAsia="zh-CN" w:bidi="ar-SA"/>
              </w:rPr>
            </w:pPr>
            <w:r>
              <w:rPr>
                <w:rFonts w:eastAsia="宋体"/>
                <w:sz w:val="21"/>
                <w:szCs w:val="21"/>
                <w:highlight w:val="none"/>
              </w:rPr>
              <w:t>中昊晨光化工研究院有限公司</w:t>
            </w:r>
          </w:p>
        </w:tc>
        <w:tc>
          <w:tcPr>
            <w:tcW w:w="1308" w:type="dxa"/>
            <w:vAlign w:val="center"/>
          </w:tcPr>
          <w:p w14:paraId="09869C09">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陈  鑫</w:t>
            </w:r>
          </w:p>
        </w:tc>
        <w:tc>
          <w:tcPr>
            <w:tcW w:w="3199" w:type="dxa"/>
            <w:vAlign w:val="center"/>
          </w:tcPr>
          <w:p w14:paraId="77BBD37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chenxin14@sinochem.com</w:t>
            </w:r>
          </w:p>
        </w:tc>
        <w:tc>
          <w:tcPr>
            <w:tcW w:w="1596" w:type="dxa"/>
            <w:vAlign w:val="center"/>
          </w:tcPr>
          <w:p w14:paraId="6ACFDAEC">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0813-7806057</w:t>
            </w:r>
          </w:p>
        </w:tc>
      </w:tr>
      <w:tr w14:paraId="1649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378B1F66">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2F7B8577">
            <w:pPr>
              <w:keepNext w:val="0"/>
              <w:keepLines w:val="0"/>
              <w:pageBreakBefore w:val="0"/>
              <w:widowControl/>
              <w:kinsoku/>
              <w:wordWrap/>
              <w:overflowPunct/>
              <w:topLinePunct w:val="0"/>
              <w:autoSpaceDE/>
              <w:autoSpaceDN/>
              <w:bidi w:val="0"/>
              <w:adjustRightInd w:val="0"/>
              <w:snapToGrid w:val="0"/>
              <w:spacing w:line="240" w:lineRule="auto"/>
              <w:ind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中铁二十三局集团有限公司</w:t>
            </w:r>
          </w:p>
        </w:tc>
        <w:tc>
          <w:tcPr>
            <w:tcW w:w="1308" w:type="dxa"/>
            <w:vAlign w:val="center"/>
          </w:tcPr>
          <w:p w14:paraId="323CA8A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奚  成</w:t>
            </w:r>
          </w:p>
        </w:tc>
        <w:tc>
          <w:tcPr>
            <w:tcW w:w="3199" w:type="dxa"/>
            <w:vAlign w:val="center"/>
          </w:tcPr>
          <w:p w14:paraId="1AFCEE9D">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43531536@qq.com</w:t>
            </w:r>
          </w:p>
        </w:tc>
        <w:tc>
          <w:tcPr>
            <w:tcW w:w="1596" w:type="dxa"/>
            <w:vAlign w:val="center"/>
          </w:tcPr>
          <w:p w14:paraId="0AB0449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028-68311057</w:t>
            </w:r>
          </w:p>
        </w:tc>
      </w:tr>
      <w:tr w14:paraId="333C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06BD8963">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val="0"/>
                <w:bCs w:val="0"/>
                <w:kern w:val="0"/>
                <w:sz w:val="21"/>
                <w:szCs w:val="21"/>
                <w:lang w:val="en-US" w:eastAsia="zh-CN" w:bidi="ar-SA"/>
              </w:rPr>
            </w:pPr>
          </w:p>
        </w:tc>
        <w:tc>
          <w:tcPr>
            <w:tcW w:w="3151" w:type="dxa"/>
            <w:shd w:val="clear" w:color="auto" w:fill="auto"/>
            <w:vAlign w:val="center"/>
          </w:tcPr>
          <w:p w14:paraId="194698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hint="eastAsia" w:eastAsiaTheme="minorEastAsia"/>
                <w:kern w:val="0"/>
                <w:sz w:val="21"/>
                <w:szCs w:val="21"/>
                <w:highlight w:val="none"/>
                <w:lang w:val="en-US" w:eastAsia="zh-CN"/>
              </w:rPr>
              <w:t>中铁信托有限责任公司</w:t>
            </w:r>
          </w:p>
        </w:tc>
        <w:tc>
          <w:tcPr>
            <w:tcW w:w="1308" w:type="dxa"/>
            <w:vAlign w:val="center"/>
          </w:tcPr>
          <w:p w14:paraId="44A16A41">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凯文莹</w:t>
            </w:r>
          </w:p>
        </w:tc>
        <w:tc>
          <w:tcPr>
            <w:tcW w:w="3199" w:type="dxa"/>
            <w:vAlign w:val="center"/>
          </w:tcPr>
          <w:p w14:paraId="13B060AC">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kwy@crtrust.com</w:t>
            </w:r>
          </w:p>
        </w:tc>
        <w:tc>
          <w:tcPr>
            <w:tcW w:w="1596" w:type="dxa"/>
            <w:vAlign w:val="center"/>
          </w:tcPr>
          <w:p w14:paraId="2AC3AEB6">
            <w:pPr>
              <w:widowControl/>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028-82570590</w:t>
            </w:r>
          </w:p>
        </w:tc>
      </w:tr>
      <w:tr w14:paraId="6527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52862F25">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5F272E9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kern w:val="0"/>
                <w:sz w:val="21"/>
                <w:szCs w:val="21"/>
                <w:highlight w:val="none"/>
                <w:lang w:val="en-US" w:eastAsia="zh-CN" w:bidi="ar-SA"/>
              </w:rPr>
            </w:pPr>
            <w:r>
              <w:rPr>
                <w:rFonts w:eastAsiaTheme="minorEastAsia"/>
                <w:kern w:val="0"/>
                <w:sz w:val="21"/>
                <w:szCs w:val="21"/>
                <w:highlight w:val="none"/>
              </w:rPr>
              <w:t>自贡市第四人民医院</w:t>
            </w:r>
          </w:p>
        </w:tc>
        <w:tc>
          <w:tcPr>
            <w:tcW w:w="1308" w:type="dxa"/>
            <w:vAlign w:val="center"/>
          </w:tcPr>
          <w:p w14:paraId="14E82A5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熊翔宇</w:t>
            </w:r>
          </w:p>
        </w:tc>
        <w:tc>
          <w:tcPr>
            <w:tcW w:w="3199" w:type="dxa"/>
            <w:vAlign w:val="center"/>
          </w:tcPr>
          <w:p w14:paraId="590BB58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249518891@qq.com</w:t>
            </w:r>
          </w:p>
        </w:tc>
        <w:tc>
          <w:tcPr>
            <w:tcW w:w="1596" w:type="dxa"/>
            <w:vAlign w:val="center"/>
          </w:tcPr>
          <w:p w14:paraId="3579E005">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0813-2301145</w:t>
            </w:r>
          </w:p>
        </w:tc>
      </w:tr>
      <w:tr w14:paraId="3A72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77161434">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4331950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自贡市第一人民医院</w:t>
            </w:r>
          </w:p>
        </w:tc>
        <w:tc>
          <w:tcPr>
            <w:tcW w:w="1308" w:type="dxa"/>
            <w:vAlign w:val="center"/>
          </w:tcPr>
          <w:p w14:paraId="1C7E84FB">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黄  莉</w:t>
            </w:r>
          </w:p>
        </w:tc>
        <w:tc>
          <w:tcPr>
            <w:tcW w:w="3199" w:type="dxa"/>
            <w:vAlign w:val="center"/>
          </w:tcPr>
          <w:p w14:paraId="112424E7">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2507006537@qq.com</w:t>
            </w:r>
          </w:p>
        </w:tc>
        <w:tc>
          <w:tcPr>
            <w:tcW w:w="1596" w:type="dxa"/>
            <w:vAlign w:val="center"/>
          </w:tcPr>
          <w:p w14:paraId="05D63766">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0813-2121556</w:t>
            </w:r>
          </w:p>
        </w:tc>
      </w:tr>
      <w:tr w14:paraId="2CE6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shd w:val="clear" w:color="auto" w:fill="auto"/>
            <w:vAlign w:val="center"/>
          </w:tcPr>
          <w:p w14:paraId="680D7968">
            <w:pPr>
              <w:widowControl/>
              <w:numPr>
                <w:ilvl w:val="0"/>
                <w:numId w:val="3"/>
              </w:numPr>
              <w:adjustRightInd w:val="0"/>
              <w:snapToGrid w:val="0"/>
              <w:spacing w:line="240" w:lineRule="auto"/>
              <w:ind w:left="425" w:leftChars="0" w:hanging="425" w:firstLineChars="0"/>
              <w:jc w:val="center"/>
              <w:rPr>
                <w:rFonts w:hint="eastAsia" w:ascii="Times New Roman" w:hAnsi="Times New Roman" w:cs="Times New Roman" w:eastAsiaTheme="minorEastAsia"/>
                <w:b/>
                <w:bCs/>
                <w:kern w:val="0"/>
                <w:sz w:val="21"/>
                <w:szCs w:val="21"/>
                <w:lang w:val="en-US" w:eastAsia="zh-CN" w:bidi="ar-SA"/>
              </w:rPr>
            </w:pPr>
          </w:p>
        </w:tc>
        <w:tc>
          <w:tcPr>
            <w:tcW w:w="3151" w:type="dxa"/>
            <w:shd w:val="clear" w:color="auto" w:fill="auto"/>
            <w:vAlign w:val="center"/>
          </w:tcPr>
          <w:p w14:paraId="4093FB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eastAsiaTheme="minorEastAsia"/>
                <w:color w:val="auto"/>
                <w:kern w:val="0"/>
                <w:sz w:val="21"/>
                <w:szCs w:val="21"/>
                <w:highlight w:val="none"/>
              </w:rPr>
              <w:t>自贡市精神卫生中心</w:t>
            </w:r>
          </w:p>
        </w:tc>
        <w:tc>
          <w:tcPr>
            <w:tcW w:w="1308" w:type="dxa"/>
            <w:vAlign w:val="center"/>
          </w:tcPr>
          <w:p w14:paraId="4667BCD0">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蔡端芳</w:t>
            </w:r>
          </w:p>
        </w:tc>
        <w:tc>
          <w:tcPr>
            <w:tcW w:w="3199" w:type="dxa"/>
            <w:vAlign w:val="center"/>
          </w:tcPr>
          <w:p w14:paraId="0D839058">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807171548@qq.com</w:t>
            </w:r>
          </w:p>
        </w:tc>
        <w:tc>
          <w:tcPr>
            <w:tcW w:w="1596" w:type="dxa"/>
            <w:vAlign w:val="center"/>
          </w:tcPr>
          <w:p w14:paraId="4309828A">
            <w:pPr>
              <w:widowControl/>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0813-8325005</w:t>
            </w:r>
          </w:p>
        </w:tc>
      </w:tr>
    </w:tbl>
    <w:p w14:paraId="20C97D9A">
      <w:pPr>
        <w:pStyle w:val="5"/>
        <w:rPr>
          <w:rFonts w:eastAsia="方正小标宋简体"/>
          <w:sz w:val="44"/>
          <w:szCs w:val="44"/>
        </w:rPr>
      </w:pPr>
    </w:p>
    <w:p w14:paraId="3C7DE711">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eastAsia="方正小标宋简体"/>
          <w:sz w:val="44"/>
          <w:szCs w:val="44"/>
        </w:rPr>
      </w:pPr>
    </w:p>
    <w:p w14:paraId="64612A8C">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eastAsia="方正小标宋简体"/>
          <w:sz w:val="44"/>
          <w:szCs w:val="44"/>
          <w:highlight w:val="none"/>
        </w:rPr>
      </w:pPr>
      <w:bookmarkStart w:id="10" w:name="_Toc12392"/>
      <w:bookmarkStart w:id="11" w:name="_Toc19371"/>
    </w:p>
    <w:p w14:paraId="2DED0F75">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eastAsia="方正小标宋简体"/>
          <w:sz w:val="44"/>
          <w:szCs w:val="44"/>
          <w:highlight w:val="none"/>
        </w:rPr>
      </w:pPr>
    </w:p>
    <w:p w14:paraId="2E16F9E9">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eastAsia="方正小标宋简体"/>
          <w:sz w:val="44"/>
          <w:szCs w:val="44"/>
          <w:highlight w:val="none"/>
        </w:rPr>
      </w:pPr>
    </w:p>
    <w:p w14:paraId="4FD6A98B">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0"/>
        <w:rPr>
          <w:rFonts w:eastAsia="方正小标宋简体"/>
          <w:sz w:val="44"/>
          <w:szCs w:val="44"/>
        </w:rPr>
      </w:pPr>
      <w:bookmarkStart w:id="12" w:name="_Toc28258"/>
      <w:bookmarkStart w:id="13" w:name="_Toc27453"/>
      <w:bookmarkStart w:id="14" w:name="_Toc5341"/>
      <w:bookmarkStart w:id="15" w:name="_Toc22566"/>
      <w:r>
        <w:rPr>
          <w:rFonts w:eastAsia="方正小标宋简体"/>
          <w:sz w:val="44"/>
          <w:szCs w:val="44"/>
          <w:highlight w:val="none"/>
        </w:rPr>
        <w:t>成都理工大学</w:t>
      </w:r>
      <w:bookmarkEnd w:id="10"/>
      <w:bookmarkEnd w:id="12"/>
      <w:bookmarkEnd w:id="13"/>
      <w:bookmarkEnd w:id="14"/>
      <w:bookmarkEnd w:id="15"/>
    </w:p>
    <w:p w14:paraId="7BFA59DA">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方正小标宋简体"/>
          <w:sz w:val="21"/>
          <w:szCs w:val="21"/>
        </w:rPr>
      </w:pPr>
    </w:p>
    <w:tbl>
      <w:tblPr>
        <w:tblStyle w:val="2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4"/>
        <w:gridCol w:w="733"/>
        <w:gridCol w:w="636"/>
        <w:gridCol w:w="357"/>
        <w:gridCol w:w="1323"/>
        <w:gridCol w:w="1770"/>
        <w:gridCol w:w="1417"/>
        <w:gridCol w:w="149"/>
        <w:gridCol w:w="1978"/>
      </w:tblGrid>
      <w:tr w14:paraId="72F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549CFD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53" w:type="dxa"/>
            <w:gridSpan w:val="3"/>
            <w:shd w:val="clear" w:color="000000" w:fill="FFFFFF"/>
            <w:noWrap/>
            <w:vAlign w:val="center"/>
          </w:tcPr>
          <w:p w14:paraId="7F5FC92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80" w:type="dxa"/>
            <w:gridSpan w:val="2"/>
            <w:shd w:val="clear" w:color="auto" w:fill="E7E6E6" w:themeFill="background2"/>
            <w:noWrap/>
            <w:vAlign w:val="center"/>
          </w:tcPr>
          <w:p w14:paraId="366D75F3">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70" w:type="dxa"/>
            <w:shd w:val="clear" w:color="000000" w:fill="FFFFFF"/>
            <w:noWrap/>
            <w:vAlign w:val="center"/>
          </w:tcPr>
          <w:p w14:paraId="59416AA7">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66" w:type="dxa"/>
            <w:gridSpan w:val="2"/>
            <w:shd w:val="clear" w:color="auto" w:fill="E7E6E6" w:themeFill="background2"/>
            <w:noWrap/>
            <w:vAlign w:val="center"/>
          </w:tcPr>
          <w:p w14:paraId="6BB055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8" w:type="dxa"/>
            <w:shd w:val="clear" w:color="000000" w:fill="FFFFFF"/>
            <w:noWrap/>
            <w:vAlign w:val="center"/>
          </w:tcPr>
          <w:p w14:paraId="59C278B5">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243B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0806F744">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647" w:type="dxa"/>
            <w:gridSpan w:val="9"/>
            <w:shd w:val="clear" w:color="000000" w:fill="FFFFFF"/>
            <w:noWrap/>
            <w:vAlign w:val="center"/>
          </w:tcPr>
          <w:p w14:paraId="75CBCBC1">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成都市成华区二仙桥东三路1号</w:t>
            </w:r>
          </w:p>
        </w:tc>
      </w:tr>
      <w:tr w14:paraId="5AD3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1129" w:type="dxa"/>
            <w:shd w:val="clear" w:color="auto" w:fill="E7E6E6" w:themeFill="background2"/>
            <w:noWrap/>
            <w:vAlign w:val="center"/>
          </w:tcPr>
          <w:p w14:paraId="0BECF9AB">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647" w:type="dxa"/>
            <w:gridSpan w:val="9"/>
            <w:shd w:val="clear" w:color="000000" w:fill="FFFFFF"/>
            <w:vAlign w:val="center"/>
          </w:tcPr>
          <w:p w14:paraId="68072010">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成都理工大学是国家首批“双一流”建设高校。学校学科优势特色鲜明，以理工为主，地质、石油、资源、核技术、环境为优势，土木、化工、材料、电子、机械、信息、管理为特色，经管、文法、外语、艺术、体育等协调发展。</w:t>
            </w:r>
          </w:p>
          <w:p w14:paraId="33B714B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学校现有7个一级学科博士学位授权点，1个博士专业学位授权点，26个一级学科硕士学位授权点，17个硕士专业学位授权点，6个博士后科研流动站，1个四川省博士后创新实践基地。5个学科（地球科学、工程学、环境科学/生态学、化学、材料科学）进入ESI全球排名前1%。现有1个一级国家重点学科、3个二级国家重点学科、1个国家重点（培育）学科、14个省级重点学科。地质资源与地质工程入选国家第二轮“双一流”建设学科行列，地球科学、环境科学与生态学入选四川省首轮“一流学科”建设行列，6个学科入选四川省“双一流”建设贡嘎计划建设行列。</w:t>
            </w:r>
          </w:p>
        </w:tc>
      </w:tr>
      <w:tr w14:paraId="074C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1129" w:type="dxa"/>
            <w:shd w:val="clear" w:color="auto" w:fill="E7E6E6" w:themeFill="background2"/>
            <w:noWrap/>
            <w:vAlign w:val="center"/>
          </w:tcPr>
          <w:p w14:paraId="5893CDA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647" w:type="dxa"/>
            <w:gridSpan w:val="9"/>
            <w:shd w:val="clear" w:color="000000" w:fill="FFFFFF"/>
            <w:vAlign w:val="center"/>
          </w:tcPr>
          <w:p w14:paraId="320DB55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1.享受学校教职工同等福利待遇；</w:t>
            </w:r>
          </w:p>
          <w:p w14:paraId="5EF42016">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2.可按规定认定中级职称；可参加高校教师岗前培训，申请认定教师资格证；</w:t>
            </w:r>
          </w:p>
          <w:p w14:paraId="068BB881">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3.学校提供2年博士后公寓，或给予每月800元住房补贴；</w:t>
            </w:r>
          </w:p>
          <w:p w14:paraId="6DFBA5F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4.超额完成在站工作任务，可按规定领取成果奖励；</w:t>
            </w:r>
          </w:p>
          <w:p w14:paraId="7EA15525">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5.鼓励申报各类博士后基金项目，叠加发放国家、省市相关博士后经费补贴；</w:t>
            </w:r>
          </w:p>
          <w:p w14:paraId="00ABB07C">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6.按期完成中期、出站考核并考核合格者，给予一次性考核奖励；</w:t>
            </w:r>
          </w:p>
          <w:p w14:paraId="1A0B2E4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7.</w:t>
            </w:r>
            <w:r>
              <w:rPr>
                <w:rFonts w:hint="eastAsia" w:eastAsiaTheme="minorEastAsia"/>
                <w:sz w:val="21"/>
                <w:szCs w:val="21"/>
              </w:rPr>
              <w:t>师资博士后出站考核优秀，可申请入编</w:t>
            </w:r>
            <w:r>
              <w:rPr>
                <w:rFonts w:hint="eastAsia" w:eastAsiaTheme="minorEastAsia"/>
                <w:sz w:val="21"/>
                <w:szCs w:val="21"/>
                <w:lang w:eastAsia="zh-CN"/>
              </w:rPr>
              <w:t>。</w:t>
            </w:r>
          </w:p>
        </w:tc>
      </w:tr>
      <w:tr w14:paraId="7F53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3" w:type="dxa"/>
            <w:gridSpan w:val="2"/>
            <w:shd w:val="clear" w:color="auto" w:fill="E7E6E6" w:themeFill="background2"/>
            <w:noWrap/>
            <w:vAlign w:val="center"/>
          </w:tcPr>
          <w:p w14:paraId="4438D94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33" w:type="dxa"/>
            <w:shd w:val="clear" w:color="auto" w:fill="E7E6E6" w:themeFill="background2"/>
            <w:vAlign w:val="center"/>
          </w:tcPr>
          <w:p w14:paraId="0D4C2A2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3" w:type="dxa"/>
            <w:gridSpan w:val="2"/>
            <w:shd w:val="clear" w:color="auto" w:fill="E7E6E6" w:themeFill="background2"/>
            <w:vAlign w:val="center"/>
          </w:tcPr>
          <w:p w14:paraId="6A82C014">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7EE4FB18">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3093" w:type="dxa"/>
            <w:gridSpan w:val="2"/>
            <w:shd w:val="clear" w:color="auto" w:fill="E7E6E6" w:themeFill="background2"/>
            <w:vAlign w:val="center"/>
          </w:tcPr>
          <w:p w14:paraId="4136804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所需专业方向（一级学科）</w:t>
            </w:r>
          </w:p>
        </w:tc>
        <w:tc>
          <w:tcPr>
            <w:tcW w:w="1417" w:type="dxa"/>
            <w:shd w:val="clear" w:color="auto" w:fill="E7E6E6" w:themeFill="background2"/>
            <w:vAlign w:val="center"/>
          </w:tcPr>
          <w:p w14:paraId="03AE3123">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7521D141">
            <w:pPr>
              <w:adjustRightInd w:val="0"/>
              <w:snapToGrid w:val="0"/>
              <w:spacing w:line="240" w:lineRule="auto"/>
              <w:ind w:firstLine="0"/>
              <w:jc w:val="center"/>
              <w:rPr>
                <w:rFonts w:eastAsiaTheme="minorEastAsia"/>
                <w:b/>
                <w:bCs/>
                <w:sz w:val="21"/>
                <w:szCs w:val="21"/>
              </w:rPr>
            </w:pPr>
            <w:r>
              <w:rPr>
                <w:rFonts w:eastAsiaTheme="minorEastAsia"/>
                <w:b/>
                <w:bCs/>
                <w:sz w:val="21"/>
                <w:szCs w:val="21"/>
              </w:rPr>
              <w:t>（万元/年）</w:t>
            </w:r>
          </w:p>
        </w:tc>
        <w:tc>
          <w:tcPr>
            <w:tcW w:w="2127" w:type="dxa"/>
            <w:gridSpan w:val="2"/>
            <w:shd w:val="clear" w:color="auto" w:fill="E7E6E6" w:themeFill="background2"/>
            <w:vAlign w:val="center"/>
          </w:tcPr>
          <w:p w14:paraId="34B561B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1D1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413" w:type="dxa"/>
            <w:gridSpan w:val="2"/>
            <w:shd w:val="clear" w:color="000000" w:fill="FFFFFF"/>
            <w:noWrap/>
            <w:vAlign w:val="center"/>
          </w:tcPr>
          <w:p w14:paraId="67D1DEE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师资博士后</w:t>
            </w:r>
          </w:p>
        </w:tc>
        <w:tc>
          <w:tcPr>
            <w:tcW w:w="733" w:type="dxa"/>
            <w:shd w:val="clear" w:color="000000" w:fill="FFFFFF"/>
            <w:vAlign w:val="center"/>
          </w:tcPr>
          <w:p w14:paraId="15D8C42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993" w:type="dxa"/>
            <w:gridSpan w:val="2"/>
            <w:shd w:val="clear" w:color="000000" w:fill="FFFFFF"/>
            <w:vAlign w:val="center"/>
          </w:tcPr>
          <w:p w14:paraId="3E0AD3B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3093" w:type="dxa"/>
            <w:gridSpan w:val="2"/>
            <w:vMerge w:val="restart"/>
            <w:shd w:val="clear" w:color="000000" w:fill="FFFFFF"/>
            <w:vAlign w:val="center"/>
          </w:tcPr>
          <w:p w14:paraId="2C099E9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地质学、地质资源与地质工程、地球物理学、管理科学与工程、土木工程、核科学与技术、仪器科学与技术</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矿业工程、水利工程、石油与天然气工程、机械工程、力学、测绘科学与技术、动力工程及工程热物理、计算机科学与技术、软件工程</w:t>
            </w:r>
            <w:r>
              <w:rPr>
                <w:rFonts w:hint="default" w:ascii="Times New Roman" w:hAnsi="Times New Roman" w:cs="Times New Roman" w:eastAsiaTheme="minorEastAsia"/>
                <w:sz w:val="21"/>
                <w:szCs w:val="21"/>
                <w:lang w:eastAsia="zh-CN"/>
              </w:rPr>
              <w:t>、控制科学与工程、电子信息、</w:t>
            </w:r>
            <w:r>
              <w:rPr>
                <w:rFonts w:hint="default" w:ascii="Times New Roman" w:hAnsi="Times New Roman" w:cs="Times New Roman" w:eastAsiaTheme="minorEastAsia"/>
                <w:sz w:val="21"/>
                <w:szCs w:val="21"/>
              </w:rPr>
              <w:t>材料科学与工程、化学工程与技术</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化学、</w:t>
            </w:r>
            <w:r>
              <w:rPr>
                <w:rFonts w:hint="default" w:ascii="Times New Roman" w:hAnsi="Times New Roman" w:cs="Times New Roman" w:eastAsiaTheme="minorEastAsia"/>
                <w:sz w:val="21"/>
                <w:szCs w:val="21"/>
              </w:rPr>
              <w:t>环境科学与工程、工商管理</w:t>
            </w:r>
            <w:r>
              <w:rPr>
                <w:rFonts w:hint="default" w:ascii="Times New Roman" w:hAnsi="Times New Roman" w:cs="Times New Roman" w:eastAsiaTheme="minorEastAsia"/>
                <w:sz w:val="21"/>
                <w:szCs w:val="21"/>
                <w:lang w:eastAsia="zh-CN"/>
              </w:rPr>
              <w:t>、数学、物理学、地理学、海洋科学</w:t>
            </w:r>
            <w:r>
              <w:rPr>
                <w:rFonts w:hint="default" w:ascii="Times New Roman" w:hAnsi="Times New Roman" w:cs="Times New Roman" w:eastAsiaTheme="minorEastAsia"/>
                <w:sz w:val="21"/>
                <w:szCs w:val="21"/>
              </w:rPr>
              <w:t>等</w:t>
            </w:r>
          </w:p>
        </w:tc>
        <w:tc>
          <w:tcPr>
            <w:tcW w:w="1417" w:type="dxa"/>
            <w:shd w:val="clear" w:color="000000" w:fill="FFFFFF"/>
            <w:vAlign w:val="center"/>
          </w:tcPr>
          <w:p w14:paraId="058D9A0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7" w:type="dxa"/>
            <w:gridSpan w:val="2"/>
            <w:shd w:val="clear" w:color="000000" w:fill="FFFFFF"/>
            <w:vAlign w:val="center"/>
          </w:tcPr>
          <w:p w14:paraId="4E0DCDAE">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满足其一：</w:t>
            </w:r>
          </w:p>
          <w:p w14:paraId="71DFC437">
            <w:pPr>
              <w:numPr>
                <w:ilvl w:val="0"/>
                <w:numId w:val="4"/>
              </w:num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软科或QS排名前200高校；</w:t>
            </w:r>
          </w:p>
          <w:p w14:paraId="076F3E06">
            <w:pPr>
              <w:numPr>
                <w:ilvl w:val="0"/>
                <w:numId w:val="4"/>
              </w:num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“双一流”建设高校及建设学科且学科评估A-及以上取得博士学位或博士后出站人员；</w:t>
            </w:r>
          </w:p>
          <w:p w14:paraId="285F74BB">
            <w:pPr>
              <w:numPr>
                <w:ilvl w:val="0"/>
                <w:numId w:val="0"/>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具体条件需求参见学校博士后招收公告</w:t>
            </w:r>
          </w:p>
        </w:tc>
      </w:tr>
      <w:tr w14:paraId="4B5D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413" w:type="dxa"/>
            <w:gridSpan w:val="2"/>
            <w:shd w:val="clear" w:color="000000" w:fill="FFFFFF"/>
            <w:noWrap/>
            <w:vAlign w:val="center"/>
          </w:tcPr>
          <w:p w14:paraId="66029D5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专职博士后</w:t>
            </w:r>
          </w:p>
        </w:tc>
        <w:tc>
          <w:tcPr>
            <w:tcW w:w="733" w:type="dxa"/>
            <w:shd w:val="clear" w:color="000000" w:fill="FFFFFF"/>
            <w:vAlign w:val="center"/>
          </w:tcPr>
          <w:p w14:paraId="0082D38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不限</w:t>
            </w:r>
          </w:p>
        </w:tc>
        <w:tc>
          <w:tcPr>
            <w:tcW w:w="993" w:type="dxa"/>
            <w:gridSpan w:val="2"/>
            <w:shd w:val="clear" w:color="000000" w:fill="FFFFFF"/>
            <w:vAlign w:val="center"/>
          </w:tcPr>
          <w:p w14:paraId="24C67EE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3093" w:type="dxa"/>
            <w:gridSpan w:val="2"/>
            <w:vMerge w:val="continue"/>
            <w:shd w:val="clear" w:color="000000" w:fill="FFFFFF"/>
            <w:vAlign w:val="center"/>
          </w:tcPr>
          <w:p w14:paraId="50DD715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1417" w:type="dxa"/>
            <w:shd w:val="clear" w:color="000000" w:fill="FFFFFF"/>
            <w:vAlign w:val="center"/>
          </w:tcPr>
          <w:p w14:paraId="6622171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20-30</w:t>
            </w:r>
          </w:p>
        </w:tc>
        <w:tc>
          <w:tcPr>
            <w:tcW w:w="2127" w:type="dxa"/>
            <w:gridSpan w:val="2"/>
            <w:shd w:val="clear" w:color="000000" w:fill="FFFFFF"/>
            <w:vAlign w:val="center"/>
          </w:tcPr>
          <w:p w14:paraId="22500BB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00A8B66B">
      <w:pPr>
        <w:spacing w:line="240" w:lineRule="auto"/>
      </w:pPr>
      <w:r>
        <w:br w:type="page"/>
      </w:r>
    </w:p>
    <w:p w14:paraId="41B82BA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2AFFB832">
      <w:pPr>
        <w:adjustRightInd w:val="0"/>
        <w:snapToGrid w:val="0"/>
        <w:spacing w:line="240" w:lineRule="auto"/>
        <w:ind w:firstLine="0"/>
        <w:jc w:val="center"/>
        <w:outlineLvl w:val="0"/>
        <w:rPr>
          <w:rFonts w:eastAsia="方正小标宋简体"/>
          <w:sz w:val="44"/>
          <w:szCs w:val="44"/>
        </w:rPr>
      </w:pPr>
      <w:bookmarkStart w:id="16" w:name="_Toc9910"/>
      <w:bookmarkStart w:id="17" w:name="_Toc17264"/>
      <w:bookmarkStart w:id="18" w:name="_Toc30454"/>
      <w:bookmarkStart w:id="19" w:name="_Toc32088"/>
      <w:bookmarkStart w:id="20" w:name="_Toc26146"/>
      <w:r>
        <w:rPr>
          <w:rFonts w:eastAsia="方正小标宋简体"/>
          <w:sz w:val="44"/>
          <w:szCs w:val="44"/>
          <w:highlight w:val="none"/>
        </w:rPr>
        <w:t>成都体育学院</w:t>
      </w:r>
      <w:bookmarkEnd w:id="16"/>
      <w:bookmarkEnd w:id="17"/>
      <w:bookmarkEnd w:id="18"/>
      <w:bookmarkEnd w:id="19"/>
      <w:bookmarkEnd w:id="20"/>
    </w:p>
    <w:p w14:paraId="4C96516F">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191"/>
        <w:gridCol w:w="114"/>
        <w:gridCol w:w="1275"/>
        <w:gridCol w:w="312"/>
        <w:gridCol w:w="1401"/>
        <w:gridCol w:w="447"/>
        <w:gridCol w:w="1289"/>
        <w:gridCol w:w="283"/>
        <w:gridCol w:w="2153"/>
      </w:tblGrid>
      <w:tr w14:paraId="0FA7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C1E0ED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290" w:type="dxa"/>
            <w:gridSpan w:val="2"/>
            <w:shd w:val="clear" w:color="auto" w:fill="auto"/>
            <w:noWrap/>
            <w:vAlign w:val="center"/>
          </w:tcPr>
          <w:p w14:paraId="7E561255">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高等院校</w:t>
            </w:r>
          </w:p>
        </w:tc>
        <w:tc>
          <w:tcPr>
            <w:tcW w:w="1568" w:type="dxa"/>
            <w:gridSpan w:val="2"/>
            <w:shd w:val="clear" w:color="auto" w:fill="E7E6E6" w:themeFill="background2"/>
            <w:noWrap/>
            <w:vAlign w:val="center"/>
          </w:tcPr>
          <w:p w14:paraId="2DEABBC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826" w:type="dxa"/>
            <w:gridSpan w:val="2"/>
            <w:shd w:val="clear" w:color="auto" w:fill="auto"/>
            <w:noWrap/>
            <w:vAlign w:val="center"/>
          </w:tcPr>
          <w:p w14:paraId="0A294EDC">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流动站</w:t>
            </w:r>
          </w:p>
        </w:tc>
        <w:tc>
          <w:tcPr>
            <w:tcW w:w="1553" w:type="dxa"/>
            <w:gridSpan w:val="2"/>
            <w:shd w:val="clear" w:color="auto" w:fill="E7E6E6" w:themeFill="background2"/>
            <w:noWrap/>
            <w:vAlign w:val="center"/>
          </w:tcPr>
          <w:p w14:paraId="7959944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2126" w:type="dxa"/>
            <w:shd w:val="clear" w:color="auto" w:fill="auto"/>
            <w:noWrap/>
            <w:vAlign w:val="center"/>
          </w:tcPr>
          <w:p w14:paraId="70B167F7">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0646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3E9249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363" w:type="dxa"/>
            <w:gridSpan w:val="9"/>
            <w:shd w:val="clear" w:color="auto" w:fill="auto"/>
            <w:noWrap/>
            <w:vAlign w:val="center"/>
          </w:tcPr>
          <w:p w14:paraId="49AA5BCE">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四川省成都市东部新区环湖北路1942号</w:t>
            </w:r>
          </w:p>
        </w:tc>
      </w:tr>
      <w:tr w14:paraId="7BB9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jc w:val="center"/>
        </w:trPr>
        <w:tc>
          <w:tcPr>
            <w:tcW w:w="1271" w:type="dxa"/>
            <w:shd w:val="clear" w:color="auto" w:fill="E7E6E6" w:themeFill="background2"/>
            <w:noWrap/>
            <w:vAlign w:val="center"/>
          </w:tcPr>
          <w:p w14:paraId="0978377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3" w:type="dxa"/>
            <w:gridSpan w:val="9"/>
            <w:shd w:val="clear" w:color="auto" w:fill="auto"/>
            <w:noWrap/>
            <w:vAlign w:val="center"/>
          </w:tcPr>
          <w:p w14:paraId="7F11DB6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成都体育学院是国家部署在西南地区唯一的高等体育学府，原国家体育总局直属的六所体育院校之一，现为四川省与国家体育总局共建院校。学校为博士学位授权单位，设有体育学一级学科博士后科研流动站，四川省博士后创新实践基地和全国博士后科研工作站。拥有体育学博士学位授权一级学科和4个硕士学位授权一级学科，14个硕士学位授权二级学科，4个硕士专业学位授权点，学科专业涵盖教、医、文、管、经、艺、史等7大学科门类，体育学和运动医学为四川省“双一流”建设学科。</w:t>
            </w:r>
          </w:p>
        </w:tc>
      </w:tr>
      <w:tr w14:paraId="4E3C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1271" w:type="dxa"/>
            <w:shd w:val="clear" w:color="auto" w:fill="E7E6E6" w:themeFill="background2"/>
            <w:noWrap/>
            <w:vAlign w:val="center"/>
          </w:tcPr>
          <w:p w14:paraId="362F9D8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3" w:type="dxa"/>
            <w:gridSpan w:val="9"/>
            <w:shd w:val="clear" w:color="auto" w:fill="auto"/>
            <w:noWrap/>
            <w:vAlign w:val="center"/>
          </w:tcPr>
          <w:p w14:paraId="0BE4DB4C">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学校博士后管理工作主要由人事处牵头负责，博士后在站时间一般为3年，最长不超过6年，根据申请人进站前个人科研情况，学校对博士后进行分类资助，并分别设置出站考核条件，博士后超额完成出站要求的业绩成果，可按学校相关规定享受科研奖励。全职博士后在站期间，可租住学校公寓，学校按规定为其购买社保和公积金。</w:t>
            </w:r>
          </w:p>
        </w:tc>
      </w:tr>
      <w:tr w14:paraId="35F0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1" w:type="dxa"/>
            <w:shd w:val="clear" w:color="auto" w:fill="E7E6E6" w:themeFill="background2"/>
            <w:noWrap/>
            <w:vAlign w:val="center"/>
          </w:tcPr>
          <w:p w14:paraId="257D62E8">
            <w:pPr>
              <w:adjustRightInd w:val="0"/>
              <w:snapToGrid w:val="0"/>
              <w:spacing w:line="240" w:lineRule="auto"/>
              <w:ind w:firstLine="0" w:firstLineChars="0"/>
              <w:jc w:val="center"/>
              <w:rPr>
                <w:rFonts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177" w:type="dxa"/>
            <w:shd w:val="clear" w:color="auto" w:fill="E7E6E6" w:themeFill="background2"/>
            <w:noWrap/>
            <w:vAlign w:val="center"/>
          </w:tcPr>
          <w:p w14:paraId="0E6BE7C9">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需求人数</w:t>
            </w:r>
          </w:p>
        </w:tc>
        <w:tc>
          <w:tcPr>
            <w:tcW w:w="1373" w:type="dxa"/>
            <w:gridSpan w:val="2"/>
            <w:shd w:val="clear" w:color="auto" w:fill="E7E6E6" w:themeFill="background2"/>
            <w:noWrap/>
            <w:vAlign w:val="center"/>
          </w:tcPr>
          <w:p w14:paraId="22C8E43E">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岗位编号</w:t>
            </w:r>
          </w:p>
        </w:tc>
        <w:tc>
          <w:tcPr>
            <w:tcW w:w="1692" w:type="dxa"/>
            <w:gridSpan w:val="2"/>
            <w:shd w:val="clear" w:color="auto" w:fill="E7E6E6" w:themeFill="background2"/>
            <w:noWrap/>
            <w:vAlign w:val="center"/>
          </w:tcPr>
          <w:p w14:paraId="6610571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458F71D">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一级学科</w:t>
            </w:r>
            <w:r>
              <w:rPr>
                <w:rFonts w:hint="eastAsia" w:eastAsiaTheme="minorEastAsia"/>
                <w:b/>
                <w:bCs/>
                <w:sz w:val="21"/>
                <w:szCs w:val="21"/>
                <w:lang w:eastAsia="zh-CN"/>
              </w:rPr>
              <w:t>）</w:t>
            </w:r>
          </w:p>
        </w:tc>
        <w:tc>
          <w:tcPr>
            <w:tcW w:w="1716" w:type="dxa"/>
            <w:gridSpan w:val="2"/>
            <w:shd w:val="clear" w:color="auto" w:fill="E7E6E6" w:themeFill="background2"/>
            <w:noWrap/>
            <w:vAlign w:val="center"/>
          </w:tcPr>
          <w:p w14:paraId="38A11147">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567AA660">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405" w:type="dxa"/>
            <w:gridSpan w:val="2"/>
            <w:shd w:val="clear" w:color="auto" w:fill="E7E6E6" w:themeFill="background2"/>
            <w:noWrap/>
            <w:vAlign w:val="center"/>
          </w:tcPr>
          <w:p w14:paraId="7316B845">
            <w:pPr>
              <w:adjustRightInd w:val="0"/>
              <w:snapToGrid w:val="0"/>
              <w:spacing w:line="240" w:lineRule="auto"/>
              <w:ind w:firstLine="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562D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1" w:type="dxa"/>
            <w:shd w:val="clear" w:color="auto" w:fill="FFFFFF"/>
            <w:noWrap/>
            <w:vAlign w:val="center"/>
          </w:tcPr>
          <w:p w14:paraId="1292F10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运动促进健康</w:t>
            </w:r>
          </w:p>
        </w:tc>
        <w:tc>
          <w:tcPr>
            <w:tcW w:w="1177" w:type="dxa"/>
            <w:shd w:val="clear" w:color="auto" w:fill="FFFFFF"/>
            <w:noWrap/>
            <w:vAlign w:val="center"/>
          </w:tcPr>
          <w:p w14:paraId="7A73A94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373" w:type="dxa"/>
            <w:gridSpan w:val="2"/>
            <w:shd w:val="clear" w:color="auto" w:fill="FFFFFF"/>
            <w:noWrap/>
            <w:vAlign w:val="center"/>
          </w:tcPr>
          <w:p w14:paraId="3CE91E0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692" w:type="dxa"/>
            <w:gridSpan w:val="2"/>
            <w:shd w:val="clear" w:color="auto" w:fill="FFFFFF"/>
            <w:noWrap/>
            <w:vAlign w:val="center"/>
          </w:tcPr>
          <w:p w14:paraId="402C67C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体育学、基础医学、临床医学</w:t>
            </w:r>
          </w:p>
        </w:tc>
        <w:tc>
          <w:tcPr>
            <w:tcW w:w="1716" w:type="dxa"/>
            <w:gridSpan w:val="2"/>
            <w:shd w:val="clear" w:color="auto" w:fill="FFFFFF"/>
            <w:noWrap/>
            <w:vAlign w:val="center"/>
          </w:tcPr>
          <w:p w14:paraId="7D7AB05A">
            <w:pPr>
              <w:adjustRightInd w:val="0"/>
              <w:snapToGrid w:val="0"/>
              <w:spacing w:line="240" w:lineRule="auto"/>
              <w:ind w:firstLine="0" w:firstLineChars="0"/>
              <w:jc w:val="center"/>
              <w:rPr>
                <w:rFonts w:ascii="Times New Roman" w:hAnsi="Times New Roman" w:cs="Times New Roman" w:eastAsiaTheme="minorEastAsia"/>
                <w:kern w:val="2"/>
                <w:sz w:val="21"/>
                <w:szCs w:val="21"/>
                <w:lang w:val="en-US" w:eastAsia="zh-CN" w:bidi="ar-SA"/>
              </w:rPr>
            </w:pPr>
            <w:r>
              <w:rPr>
                <w:rFonts w:eastAsiaTheme="minorEastAsia"/>
                <w:sz w:val="21"/>
                <w:szCs w:val="21"/>
              </w:rPr>
              <w:t>20-28</w:t>
            </w:r>
          </w:p>
        </w:tc>
        <w:tc>
          <w:tcPr>
            <w:tcW w:w="2405" w:type="dxa"/>
            <w:gridSpan w:val="2"/>
            <w:vMerge w:val="restart"/>
            <w:shd w:val="clear" w:color="auto" w:fill="FFFFFF"/>
            <w:noWrap/>
            <w:vAlign w:val="center"/>
          </w:tcPr>
          <w:p w14:paraId="4F699F03">
            <w:pPr>
              <w:adjustRightInd w:val="0"/>
              <w:snapToGrid w:val="0"/>
              <w:spacing w:line="360" w:lineRule="auto"/>
              <w:ind w:firstLine="0" w:firstLineChars="0"/>
              <w:jc w:val="both"/>
              <w:rPr>
                <w:rFonts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科研院所、高校教师、近三年毕业博士且年龄在35岁以下</w:t>
            </w:r>
          </w:p>
        </w:tc>
      </w:tr>
      <w:tr w14:paraId="066E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1" w:type="dxa"/>
            <w:shd w:val="clear" w:color="auto" w:fill="FFFFFF"/>
            <w:noWrap/>
            <w:vAlign w:val="center"/>
          </w:tcPr>
          <w:p w14:paraId="67E9BDF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体育史与体育文化</w:t>
            </w:r>
          </w:p>
        </w:tc>
        <w:tc>
          <w:tcPr>
            <w:tcW w:w="1177" w:type="dxa"/>
            <w:shd w:val="clear" w:color="auto" w:fill="FFFFFF"/>
            <w:noWrap/>
            <w:vAlign w:val="center"/>
          </w:tcPr>
          <w:p w14:paraId="7623710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373" w:type="dxa"/>
            <w:gridSpan w:val="2"/>
            <w:shd w:val="clear" w:color="auto" w:fill="FFFFFF"/>
            <w:noWrap/>
            <w:vAlign w:val="center"/>
          </w:tcPr>
          <w:p w14:paraId="26392F5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692" w:type="dxa"/>
            <w:gridSpan w:val="2"/>
            <w:shd w:val="clear" w:color="auto" w:fill="FFFFFF"/>
            <w:noWrap/>
            <w:vAlign w:val="center"/>
          </w:tcPr>
          <w:p w14:paraId="286A71F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体育学、历史学</w:t>
            </w:r>
          </w:p>
        </w:tc>
        <w:tc>
          <w:tcPr>
            <w:tcW w:w="1716" w:type="dxa"/>
            <w:gridSpan w:val="2"/>
            <w:shd w:val="clear" w:color="auto" w:fill="FFFFFF"/>
            <w:noWrap/>
            <w:vAlign w:val="center"/>
          </w:tcPr>
          <w:p w14:paraId="37528B87">
            <w:pPr>
              <w:adjustRightInd w:val="0"/>
              <w:snapToGrid w:val="0"/>
              <w:spacing w:line="240" w:lineRule="auto"/>
              <w:ind w:firstLine="0" w:firstLineChars="0"/>
              <w:jc w:val="center"/>
              <w:rPr>
                <w:rFonts w:ascii="Times New Roman" w:hAnsi="Times New Roman" w:cs="Times New Roman" w:eastAsiaTheme="minorEastAsia"/>
                <w:kern w:val="2"/>
                <w:sz w:val="21"/>
                <w:szCs w:val="21"/>
                <w:lang w:val="en-US" w:eastAsia="zh-CN" w:bidi="ar-SA"/>
              </w:rPr>
            </w:pPr>
            <w:r>
              <w:rPr>
                <w:rFonts w:eastAsiaTheme="minorEastAsia"/>
                <w:sz w:val="21"/>
                <w:szCs w:val="21"/>
              </w:rPr>
              <w:t>20-28</w:t>
            </w:r>
          </w:p>
        </w:tc>
        <w:tc>
          <w:tcPr>
            <w:tcW w:w="2405" w:type="dxa"/>
            <w:gridSpan w:val="2"/>
            <w:vMerge w:val="continue"/>
            <w:shd w:val="clear" w:color="auto" w:fill="auto"/>
            <w:noWrap/>
            <w:vAlign w:val="center"/>
          </w:tcPr>
          <w:p w14:paraId="4B0B2EDB">
            <w:pPr>
              <w:adjustRightInd w:val="0"/>
              <w:snapToGrid w:val="0"/>
              <w:spacing w:line="240" w:lineRule="auto"/>
              <w:ind w:firstLine="0" w:firstLineChars="0"/>
              <w:jc w:val="center"/>
              <w:rPr>
                <w:rFonts w:eastAsiaTheme="minorEastAsia"/>
                <w:b/>
                <w:bCs/>
                <w:sz w:val="21"/>
                <w:szCs w:val="21"/>
              </w:rPr>
            </w:pPr>
          </w:p>
        </w:tc>
      </w:tr>
      <w:tr w14:paraId="5DEA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1" w:type="dxa"/>
            <w:shd w:val="clear" w:color="auto" w:fill="FFFFFF"/>
            <w:noWrap/>
            <w:vAlign w:val="center"/>
          </w:tcPr>
          <w:p w14:paraId="486F5D8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运动项目教学训练理论与实践</w:t>
            </w:r>
          </w:p>
        </w:tc>
        <w:tc>
          <w:tcPr>
            <w:tcW w:w="1177" w:type="dxa"/>
            <w:shd w:val="clear" w:color="auto" w:fill="FFFFFF"/>
            <w:noWrap/>
            <w:vAlign w:val="center"/>
          </w:tcPr>
          <w:p w14:paraId="243E25D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373" w:type="dxa"/>
            <w:gridSpan w:val="2"/>
            <w:shd w:val="clear" w:color="auto" w:fill="FFFFFF"/>
            <w:noWrap/>
            <w:vAlign w:val="center"/>
          </w:tcPr>
          <w:p w14:paraId="26A035A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692" w:type="dxa"/>
            <w:gridSpan w:val="2"/>
            <w:shd w:val="clear" w:color="auto" w:fill="FFFFFF"/>
            <w:noWrap/>
            <w:vAlign w:val="center"/>
          </w:tcPr>
          <w:p w14:paraId="3113E0B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体育学</w:t>
            </w:r>
          </w:p>
        </w:tc>
        <w:tc>
          <w:tcPr>
            <w:tcW w:w="1716" w:type="dxa"/>
            <w:gridSpan w:val="2"/>
            <w:shd w:val="clear" w:color="auto" w:fill="FFFFFF"/>
            <w:noWrap/>
            <w:vAlign w:val="center"/>
          </w:tcPr>
          <w:p w14:paraId="55C29105">
            <w:pPr>
              <w:adjustRightInd w:val="0"/>
              <w:snapToGrid w:val="0"/>
              <w:spacing w:line="240" w:lineRule="auto"/>
              <w:ind w:firstLine="0" w:firstLineChars="0"/>
              <w:jc w:val="center"/>
              <w:rPr>
                <w:rFonts w:ascii="Times New Roman" w:hAnsi="Times New Roman" w:cs="Times New Roman" w:eastAsiaTheme="minorEastAsia"/>
                <w:kern w:val="2"/>
                <w:sz w:val="21"/>
                <w:szCs w:val="21"/>
                <w:lang w:val="en-US" w:eastAsia="zh-CN" w:bidi="ar-SA"/>
              </w:rPr>
            </w:pPr>
            <w:r>
              <w:rPr>
                <w:rFonts w:eastAsiaTheme="minorEastAsia"/>
                <w:sz w:val="21"/>
                <w:szCs w:val="21"/>
              </w:rPr>
              <w:t>20-28</w:t>
            </w:r>
          </w:p>
        </w:tc>
        <w:tc>
          <w:tcPr>
            <w:tcW w:w="2405" w:type="dxa"/>
            <w:gridSpan w:val="2"/>
            <w:vMerge w:val="continue"/>
            <w:shd w:val="clear" w:color="auto" w:fill="auto"/>
            <w:noWrap/>
            <w:vAlign w:val="center"/>
          </w:tcPr>
          <w:p w14:paraId="0F506737">
            <w:pPr>
              <w:adjustRightInd w:val="0"/>
              <w:snapToGrid w:val="0"/>
              <w:spacing w:line="240" w:lineRule="auto"/>
              <w:ind w:firstLine="0" w:firstLineChars="0"/>
              <w:jc w:val="center"/>
              <w:rPr>
                <w:rFonts w:eastAsiaTheme="minorEastAsia"/>
                <w:b/>
                <w:bCs/>
                <w:sz w:val="21"/>
                <w:szCs w:val="21"/>
              </w:rPr>
            </w:pPr>
          </w:p>
        </w:tc>
      </w:tr>
    </w:tbl>
    <w:p w14:paraId="1EB43997">
      <w:pPr>
        <w:adjustRightInd w:val="0"/>
        <w:snapToGrid w:val="0"/>
        <w:spacing w:line="20" w:lineRule="exact"/>
        <w:ind w:firstLine="0"/>
        <w:rPr>
          <w:sz w:val="21"/>
          <w:szCs w:val="21"/>
        </w:rPr>
      </w:pPr>
    </w:p>
    <w:p w14:paraId="5A978819">
      <w:pPr>
        <w:pStyle w:val="5"/>
        <w:adjustRightInd w:val="0"/>
        <w:snapToGrid w:val="0"/>
        <w:spacing w:line="240" w:lineRule="auto"/>
        <w:ind w:firstLine="0"/>
        <w:rPr>
          <w:sz w:val="21"/>
          <w:szCs w:val="21"/>
        </w:rPr>
      </w:pPr>
      <w:r>
        <w:rPr>
          <w:sz w:val="21"/>
          <w:szCs w:val="21"/>
        </w:rPr>
        <w:br w:type="page"/>
      </w:r>
    </w:p>
    <w:p w14:paraId="507929A1">
      <w:pPr>
        <w:adjustRightInd w:val="0"/>
        <w:snapToGrid w:val="0"/>
        <w:spacing w:line="240" w:lineRule="auto"/>
        <w:ind w:firstLine="0"/>
        <w:jc w:val="center"/>
        <w:rPr>
          <w:rFonts w:hint="eastAsia" w:eastAsia="方正小标宋简体"/>
          <w:sz w:val="44"/>
          <w:szCs w:val="44"/>
          <w:highlight w:val="yellow"/>
        </w:rPr>
      </w:pPr>
    </w:p>
    <w:p w14:paraId="78C2B7BE">
      <w:pPr>
        <w:adjustRightInd w:val="0"/>
        <w:snapToGrid w:val="0"/>
        <w:spacing w:line="240" w:lineRule="auto"/>
        <w:ind w:firstLine="0"/>
        <w:jc w:val="center"/>
        <w:outlineLvl w:val="0"/>
        <w:rPr>
          <w:rFonts w:eastAsia="方正小标宋简体"/>
          <w:sz w:val="44"/>
          <w:szCs w:val="44"/>
          <w:highlight w:val="yellow"/>
        </w:rPr>
      </w:pPr>
      <w:bookmarkStart w:id="21" w:name="_Toc14069"/>
      <w:bookmarkStart w:id="22" w:name="_Toc5744"/>
      <w:bookmarkStart w:id="23" w:name="_Toc19670"/>
      <w:bookmarkStart w:id="24" w:name="_Toc6080"/>
      <w:bookmarkStart w:id="25" w:name="_Toc5423"/>
      <w:r>
        <w:rPr>
          <w:rFonts w:hint="eastAsia" w:ascii="方正小标宋_GBK" w:hAnsi="方正小标宋_GBK" w:eastAsia="方正小标宋_GBK" w:cs="方正小标宋_GBK"/>
          <w:sz w:val="44"/>
          <w:szCs w:val="44"/>
          <w:highlight w:val="none"/>
        </w:rPr>
        <w:t>成都中医药大学</w:t>
      </w:r>
      <w:bookmarkEnd w:id="21"/>
      <w:bookmarkEnd w:id="22"/>
      <w:bookmarkEnd w:id="23"/>
      <w:bookmarkEnd w:id="24"/>
      <w:bookmarkEnd w:id="25"/>
    </w:p>
    <w:p w14:paraId="4E75366F">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697"/>
        <w:gridCol w:w="1728"/>
        <w:gridCol w:w="1464"/>
        <w:gridCol w:w="1737"/>
        <w:gridCol w:w="1740"/>
      </w:tblGrid>
      <w:tr w14:paraId="2097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shd w:val="clear" w:color="auto" w:fill="E7E6E6" w:themeFill="background2"/>
            <w:noWrap/>
            <w:vAlign w:val="center"/>
          </w:tcPr>
          <w:p w14:paraId="6916295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7" w:type="dxa"/>
            <w:shd w:val="clear" w:color="000000" w:fill="FFFFFF"/>
            <w:noWrap/>
            <w:vAlign w:val="center"/>
          </w:tcPr>
          <w:p w14:paraId="35E97260">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728" w:type="dxa"/>
            <w:shd w:val="clear" w:color="auto" w:fill="E7E6E6" w:themeFill="background2"/>
            <w:noWrap/>
            <w:vAlign w:val="center"/>
          </w:tcPr>
          <w:p w14:paraId="6068D30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64" w:type="dxa"/>
            <w:shd w:val="clear" w:color="000000" w:fill="FFFFFF"/>
            <w:noWrap/>
            <w:vAlign w:val="center"/>
          </w:tcPr>
          <w:p w14:paraId="0FBAE3D8">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37" w:type="dxa"/>
            <w:shd w:val="clear" w:color="auto" w:fill="E7E6E6" w:themeFill="background2"/>
            <w:noWrap/>
            <w:vAlign w:val="center"/>
          </w:tcPr>
          <w:p w14:paraId="173EB2A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40" w:type="dxa"/>
            <w:shd w:val="clear" w:color="000000" w:fill="FFFFFF"/>
            <w:noWrap/>
            <w:vAlign w:val="center"/>
          </w:tcPr>
          <w:p w14:paraId="254C0D49">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7701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85" w:type="dxa"/>
            <w:shd w:val="clear" w:color="auto" w:fill="E7E6E6" w:themeFill="background2"/>
            <w:noWrap/>
            <w:vAlign w:val="center"/>
          </w:tcPr>
          <w:p w14:paraId="0D0D7F2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6" w:type="dxa"/>
            <w:gridSpan w:val="5"/>
            <w:shd w:val="clear" w:color="000000" w:fill="FFFFFF"/>
            <w:noWrap/>
            <w:vAlign w:val="center"/>
          </w:tcPr>
          <w:p w14:paraId="7AC0A67F">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四川省成都市温江区柳台大道1166号</w:t>
            </w:r>
          </w:p>
        </w:tc>
      </w:tr>
      <w:tr w14:paraId="58E3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0" w:hRule="atLeast"/>
          <w:jc w:val="center"/>
        </w:trPr>
        <w:tc>
          <w:tcPr>
            <w:tcW w:w="1385" w:type="dxa"/>
            <w:shd w:val="clear" w:color="auto" w:fill="E7E6E6" w:themeFill="background2"/>
            <w:noWrap/>
            <w:vAlign w:val="center"/>
          </w:tcPr>
          <w:p w14:paraId="1D44867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w:t>
            </w:r>
          </w:p>
          <w:p w14:paraId="7C6E3259">
            <w:pPr>
              <w:adjustRightInd w:val="0"/>
              <w:snapToGrid w:val="0"/>
              <w:spacing w:line="240" w:lineRule="auto"/>
              <w:ind w:firstLine="0"/>
              <w:jc w:val="center"/>
              <w:rPr>
                <w:rFonts w:eastAsiaTheme="minorEastAsia"/>
                <w:b/>
                <w:bCs/>
                <w:sz w:val="21"/>
                <w:szCs w:val="21"/>
              </w:rPr>
            </w:pPr>
            <w:r>
              <w:rPr>
                <w:rFonts w:eastAsiaTheme="minorEastAsia"/>
                <w:b/>
                <w:bCs/>
                <w:sz w:val="21"/>
                <w:szCs w:val="21"/>
              </w:rPr>
              <w:t>简介</w:t>
            </w:r>
          </w:p>
        </w:tc>
        <w:tc>
          <w:tcPr>
            <w:tcW w:w="8366" w:type="dxa"/>
            <w:gridSpan w:val="5"/>
            <w:shd w:val="clear" w:color="000000" w:fill="FFFFFF"/>
            <w:vAlign w:val="center"/>
          </w:tcPr>
          <w:p w14:paraId="3337D1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成都中医药大学创建于1956年，是教育部、国家中医药管理局与四川省人民政府共建高校，国家“双一流”学科建设高校，ESI前1%学科高校，是我国最早的四所中医药高等院校之一。学校是全国首批中医药学博士、硕士学位授权点，现有博士后流动站3个，国家“双一流”建设学科1个，国家重点学科4个。在2020年全国博士后工作综合评估中获得“1个优秀、2个良好”，优良率100%。我校至今招收博士后累计371人，目前在站博士后总人数183人。</w:t>
            </w:r>
          </w:p>
          <w:p w14:paraId="509DD3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学校有中国工程院院士1人，国医大师4人，全国名中医5人，国家级教学名师5人，全国中医药杰出贡献奖获得者2人，国家“973计划”项目首席科学家1人，全国优秀科技工作者3人，“岐黄工程”专家14人；入选国家杰出青年科学基金、国家自然科学基金优秀青年基金、国家级特聘专家等国家级高层次人才20人；全国杰出专业技术人才1人，国务院学科评议组成员2人，享受国务院特殊津贴专家98人；获批国家高等学校学科创新引智基地。入选全国高校黄大年式教师团队2个，全国中医药创新团队3个，全国老中医药专家学术经验继承工作指导老师49人。</w:t>
            </w:r>
          </w:p>
        </w:tc>
      </w:tr>
      <w:tr w14:paraId="03C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1385" w:type="dxa"/>
            <w:shd w:val="clear" w:color="auto" w:fill="E7E6E6" w:themeFill="background2"/>
            <w:noWrap/>
            <w:vAlign w:val="center"/>
          </w:tcPr>
          <w:p w14:paraId="16A673D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6" w:type="dxa"/>
            <w:gridSpan w:val="5"/>
            <w:shd w:val="clear" w:color="000000" w:fill="FFFFFF"/>
            <w:vAlign w:val="center"/>
          </w:tcPr>
          <w:p w14:paraId="60C5CC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1.薪酬：基础年薪不低于66万元/3年。同时叠加学术积分奖励、学校高水平成果奖励，薪酬上不封顶。出站留校工作，享受金牛区人才补贴10万元/人。</w:t>
            </w:r>
          </w:p>
          <w:p w14:paraId="43DF0C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2.国家资助博士后研究人员计划，其中国家“博新计划资助56万元+科研资助经费8万元，B档资助36万元，C档资助24万。</w:t>
            </w:r>
          </w:p>
          <w:p w14:paraId="44313B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3.四川省“博新”项目资助40万元。</w:t>
            </w:r>
          </w:p>
          <w:p w14:paraId="0D4D56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4.成都市补贴“博新”项目入选者40万元。</w:t>
            </w:r>
          </w:p>
          <w:p w14:paraId="6AB326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5.科研经费：学校为每位博士后博士后专项经费6-12万元。</w:t>
            </w:r>
          </w:p>
          <w:p w14:paraId="4CCEAD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6.项目激励。支持在站博士后积极申报国家级和省级人才项目和科研项目。</w:t>
            </w:r>
          </w:p>
          <w:p w14:paraId="09F99B7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7.考核合格可进入事业编制；特别优秀者可进入学校“1313人体系”。</w:t>
            </w:r>
          </w:p>
          <w:p w14:paraId="1EC4C8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8.享受五险一金、全省最优质的中西医结合医疗资源。在站期间可申请职称晋升；享受子女择校优惠政策。</w:t>
            </w:r>
          </w:p>
        </w:tc>
      </w:tr>
    </w:tbl>
    <w:p w14:paraId="28F36D1E">
      <w:pPr>
        <w:adjustRightInd w:val="0"/>
        <w:snapToGrid w:val="0"/>
        <w:spacing w:line="14"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200"/>
        <w:gridCol w:w="1176"/>
        <w:gridCol w:w="1560"/>
        <w:gridCol w:w="1345"/>
        <w:gridCol w:w="2326"/>
      </w:tblGrid>
      <w:tr w14:paraId="3187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079" w:type="dxa"/>
            <w:shd w:val="clear" w:color="auto" w:fill="E7E6E6" w:themeFill="background2"/>
            <w:noWrap/>
            <w:vAlign w:val="center"/>
          </w:tcPr>
          <w:p w14:paraId="28A5E9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eastAsiaTheme="minorEastAsia"/>
                <w:b/>
                <w:bCs/>
                <w:sz w:val="21"/>
                <w:szCs w:val="21"/>
              </w:rPr>
              <w:t>项目名称</w:t>
            </w:r>
          </w:p>
        </w:tc>
        <w:tc>
          <w:tcPr>
            <w:tcW w:w="1163" w:type="dxa"/>
            <w:shd w:val="clear" w:color="auto" w:fill="E7E6E6" w:themeFill="background2"/>
            <w:vAlign w:val="center"/>
          </w:tcPr>
          <w:p w14:paraId="39A222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eastAsiaTheme="minorEastAsia"/>
                <w:b/>
                <w:bCs/>
                <w:sz w:val="21"/>
                <w:szCs w:val="21"/>
              </w:rPr>
              <w:t>需求人数</w:t>
            </w:r>
          </w:p>
        </w:tc>
        <w:tc>
          <w:tcPr>
            <w:tcW w:w="1140" w:type="dxa"/>
            <w:shd w:val="clear" w:color="auto" w:fill="E7E6E6" w:themeFill="background2"/>
            <w:vAlign w:val="center"/>
          </w:tcPr>
          <w:p w14:paraId="706E1C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eastAsiaTheme="minorEastAsia"/>
                <w:b/>
                <w:bCs/>
                <w:sz w:val="21"/>
                <w:szCs w:val="21"/>
              </w:rPr>
              <w:t>岗位编号</w:t>
            </w:r>
          </w:p>
        </w:tc>
        <w:tc>
          <w:tcPr>
            <w:tcW w:w="1512" w:type="dxa"/>
            <w:shd w:val="clear" w:color="auto" w:fill="E7E6E6" w:themeFill="background2"/>
            <w:vAlign w:val="center"/>
          </w:tcPr>
          <w:p w14:paraId="3CE838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pPr>
            <w:r>
              <w:rPr>
                <w:rFonts w:eastAsiaTheme="minorEastAsia"/>
                <w:b/>
                <w:bCs/>
                <w:sz w:val="21"/>
                <w:szCs w:val="21"/>
              </w:rPr>
              <w:t>所需专业方向</w:t>
            </w:r>
          </w:p>
          <w:p w14:paraId="22EAC6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一级学科</w:t>
            </w:r>
            <w:r>
              <w:rPr>
                <w:rFonts w:hint="eastAsia" w:eastAsiaTheme="minorEastAsia"/>
                <w:b/>
                <w:bCs/>
                <w:sz w:val="21"/>
                <w:szCs w:val="21"/>
                <w:lang w:eastAsia="zh-CN"/>
              </w:rPr>
              <w:t>）</w:t>
            </w:r>
          </w:p>
        </w:tc>
        <w:tc>
          <w:tcPr>
            <w:tcW w:w="1304" w:type="dxa"/>
            <w:shd w:val="clear" w:color="auto" w:fill="E7E6E6" w:themeFill="background2"/>
            <w:vAlign w:val="center"/>
          </w:tcPr>
          <w:p w14:paraId="19745C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eastAsiaTheme="minorEastAsia"/>
                <w:b/>
                <w:bCs/>
                <w:sz w:val="21"/>
                <w:szCs w:val="21"/>
              </w:rPr>
              <w:t>拟提供经费</w:t>
            </w:r>
          </w:p>
          <w:p w14:paraId="65B4F048">
            <w:pPr>
              <w:pStyle w:val="5"/>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55" w:type="dxa"/>
            <w:shd w:val="clear" w:color="auto" w:fill="E7E6E6" w:themeFill="background2"/>
            <w:vAlign w:val="center"/>
          </w:tcPr>
          <w:p w14:paraId="184E1E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eastAsiaTheme="minorEastAsia"/>
                <w:b/>
                <w:bCs/>
                <w:sz w:val="21"/>
                <w:szCs w:val="21"/>
              </w:rPr>
            </w:pPr>
            <w:r>
              <w:rPr>
                <w:rFonts w:eastAsiaTheme="minorEastAsia"/>
                <w:b/>
                <w:bCs/>
                <w:sz w:val="21"/>
                <w:szCs w:val="21"/>
              </w:rPr>
              <w:t>博士生源单位等要求</w:t>
            </w:r>
          </w:p>
        </w:tc>
      </w:tr>
      <w:tr w14:paraId="56F5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41D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中医药防治代谢性疾病的研究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542C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1854A6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9CEC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4AA382B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FCD21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须中医学、中西医结合博士</w:t>
            </w:r>
          </w:p>
        </w:tc>
      </w:tr>
      <w:tr w14:paraId="4019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DF1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中医名家理论现代研究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FBBFD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A9F0A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5D36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555B717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7554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中医学，基础医学，中西医结合，生物学等相关专业博士</w:t>
            </w:r>
          </w:p>
        </w:tc>
      </w:tr>
      <w:tr w14:paraId="52CD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B11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中医经典理论与感染病防治</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D36A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2B3B41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8916F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5FEF503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7362A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在国家博士后统一待遇基础上，根据课题申报与研究的贡献度，给予额外科研绩效</w:t>
            </w:r>
          </w:p>
        </w:tc>
      </w:tr>
      <w:tr w14:paraId="516F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646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中医经典理论与感染病防治</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6984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5DF0C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4DA6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907C77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4F2D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在国家博士后统一待遇基础上，根据课题申报与研究的贡献度，给予额外科研绩效</w:t>
            </w:r>
          </w:p>
        </w:tc>
      </w:tr>
      <w:tr w14:paraId="3F03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CB79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中医药防治老年病应用基础研究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99F5D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24ED36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3934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686E8E3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0E4F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须中医学、中西医结合博士</w:t>
            </w:r>
          </w:p>
        </w:tc>
      </w:tr>
      <w:tr w14:paraId="15C1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60343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中医药防治老年病应用基础研究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CCA2F35">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586C1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713BC69">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0EF44A4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531A74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须中医学、中西医结合博士</w:t>
            </w:r>
          </w:p>
        </w:tc>
      </w:tr>
      <w:tr w14:paraId="06BA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82D9DD">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各家理论研究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93C43F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4850EE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B02FD1F">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60CCF11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DB6E51E">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须中医学博士</w:t>
            </w:r>
          </w:p>
        </w:tc>
      </w:tr>
      <w:tr w14:paraId="0913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A15568">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中医体质心理学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BB8313C">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04068E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6FF1C07">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73C029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E58CD90">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中医药学背景，有生物学实验研究基础者优先</w:t>
            </w:r>
          </w:p>
        </w:tc>
      </w:tr>
      <w:tr w14:paraId="3E4B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879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出土医学文献与文物研究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4420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6F7715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985A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70FB16A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950B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熟知中医文献学、中国医学史以及中国历史、古文字等</w:t>
            </w:r>
          </w:p>
        </w:tc>
      </w:tr>
      <w:tr w14:paraId="208E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73C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健康状态辨识与内分泌病证研究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DBA4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25F38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1A65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67D3E06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7562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须中医学、中西医结合博士</w:t>
            </w:r>
          </w:p>
        </w:tc>
      </w:tr>
      <w:tr w14:paraId="6168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2B26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老年病证治与方剂配伍运用研究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4A6FD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32FA5D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419E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D927C1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85D55A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在国家博士后统一待遇基础上，根据课题申报与研究的贡献度，给予额外科研绩效</w:t>
            </w:r>
          </w:p>
        </w:tc>
      </w:tr>
      <w:tr w14:paraId="0FD8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7F9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中药复方物质基础与配伍规律研究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AC7C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78A1E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3B961BF">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中西医结合</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0ACF452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81E2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国内双一流建设高校毕业，擅长现代分子生物学、生物信息学、AI+中医药，最好具有国外留学经历</w:t>
            </w:r>
          </w:p>
        </w:tc>
      </w:tr>
      <w:tr w14:paraId="1F34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EB5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代谢与免疫</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477F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0E16B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0E57ADC">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中西医结合</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3F963ED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D2EF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全日制理学及医学博士毕业，具有较强的独立科研能力，并以第一作者身份发表SCI论文；在国家博士后统一待遇基础上，给每位博士后提供科研经费5万元左右</w:t>
            </w:r>
          </w:p>
        </w:tc>
      </w:tr>
      <w:tr w14:paraId="7F0D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7219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中医药抗肿瘤基础与应用研究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21D3A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5821BC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CEFACC7">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中西医结合</w:t>
            </w:r>
          </w:p>
        </w:tc>
        <w:tc>
          <w:tcPr>
            <w:tcW w:w="1304" w:type="dxa"/>
            <w:vMerge w:val="continue"/>
            <w:tcBorders>
              <w:left w:val="single" w:color="auto" w:sz="4" w:space="0"/>
              <w:right w:val="single" w:color="auto" w:sz="4" w:space="0"/>
            </w:tcBorders>
            <w:shd w:val="clear" w:color="auto" w:fill="FFFFFF"/>
            <w:vAlign w:val="center"/>
          </w:tcPr>
          <w:p w14:paraId="226AF75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EB4C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中药学、药学、生物信息学、细胞生物学、肿瘤分子生物学相关专业</w:t>
            </w:r>
          </w:p>
        </w:tc>
      </w:tr>
      <w:tr w14:paraId="4A1E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053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风湿免疫性疾病的中西医临床研究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19E16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FC8EC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E0AF2C4">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中西医结合</w:t>
            </w:r>
          </w:p>
        </w:tc>
        <w:tc>
          <w:tcPr>
            <w:tcW w:w="1304" w:type="dxa"/>
            <w:vMerge w:val="continue"/>
            <w:tcBorders>
              <w:left w:val="single" w:color="auto" w:sz="4" w:space="0"/>
              <w:right w:val="single" w:color="auto" w:sz="4" w:space="0"/>
            </w:tcBorders>
            <w:shd w:val="clear" w:color="auto" w:fill="FFFFFF"/>
            <w:vAlign w:val="center"/>
          </w:tcPr>
          <w:p w14:paraId="4379F27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83C8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医学类、药学类博士；以第一作者/通讯作者身份已公开发表SCI文章影响因子＞5.0；或北大核心期刊发表2篇以上</w:t>
            </w:r>
          </w:p>
        </w:tc>
      </w:tr>
      <w:tr w14:paraId="343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773E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中医药防治肾病的病理学机制研究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1B4A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7581FD8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0EB2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698986D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2A50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F4A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817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中医药调控胃肠干细胞机制研究；中医药对胃肠损伤修复的基础和临床研究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74F2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490E7A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9504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6F77033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2022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具有中医药学、细胞生物学、分子生物学等相关专业背景，有相关课题研究经验者优先；博士后纳入学校中医药与干细胞研究院管理，在国家博士后统一待遇基础上，联合培养的企业给每位博士后提供科研经费50万元左右</w:t>
            </w:r>
          </w:p>
        </w:tc>
      </w:tr>
      <w:tr w14:paraId="41BD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CDB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中医药防治老年病</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4535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CB9F2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6D8C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CB726A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FF32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1.申请人必须获得博士学位，获得学位时间不超过3年</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2.品学兼优、身体健康、年龄35岁以下</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3.中医学或中西结合，研究方向为中医药防治阿尔茨海默病</w:t>
            </w:r>
          </w:p>
        </w:tc>
      </w:tr>
      <w:tr w14:paraId="0B19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6057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中医药防治老年病</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A1D1B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AFFD4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BSH019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FCE3E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2410A22C">
            <w:pPr>
              <w:widowControl/>
              <w:adjustRightInd w:val="0"/>
              <w:snapToGrid w:val="0"/>
              <w:spacing w:line="240" w:lineRule="auto"/>
              <w:ind w:firstLine="0"/>
              <w:jc w:val="center"/>
              <w:textAlignment w:val="center"/>
              <w:rPr>
                <w:rFonts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7F722DC">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无</w:t>
            </w:r>
          </w:p>
        </w:tc>
      </w:tr>
      <w:tr w14:paraId="774D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700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中医药防治风湿免疫病的基础与临床研究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E359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62F19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8E9E9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31A5DAC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3DA5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中医、中西医结合、中药学、临床医学博士毕业</w:t>
            </w:r>
          </w:p>
        </w:tc>
      </w:tr>
      <w:tr w14:paraId="5156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970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中医药防治内分泌代谢疾病的基础与临床研究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0BED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F7263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5C77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5873086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5884C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 xml:space="preserve">1.满足学校专职博士后招聘条件                  </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2.中西结合或中医学博士毕业</w:t>
            </w:r>
          </w:p>
        </w:tc>
      </w:tr>
      <w:tr w14:paraId="5A77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DB1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糖尿病及其血管病变中医药调控研究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C7096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00EBC3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E0D9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F14B8B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CD4C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7BA3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984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糖尿病及其血管病变中医药调控研究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4934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3F671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8E7C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751E1BA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02E4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884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517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中医药防治呼吸病与老年病的基础与临床研究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D2D2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3DA0F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25B0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1D93FBB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0D58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 xml:space="preserve">1.满足学校专职博士后招聘条件          </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2.中西结合或中医学博士毕业</w:t>
            </w:r>
          </w:p>
        </w:tc>
      </w:tr>
      <w:tr w14:paraId="46F0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A15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中医药防治呼吸病的临床研究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962A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58291E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AA12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4A7852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FCC6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0501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CE6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生殖代谢障碍中医药调控研究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72AD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5BC17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7468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56116ED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EDAF5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C65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36A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生殖代谢障碍中医药调控研究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D566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3FBB74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8956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6E16CB3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BC68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47FD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776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中医药调控代谢性疾病药物发现评价与转化</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8736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60595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415E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0B27E4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CDBE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5D5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ED46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中医药调控代谢性疾病药物发现评价与转化</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1193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AC425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BSH029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ED01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1EF4DD3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DFD2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AB7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12B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癌症代谢重编程中医药调控研究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8868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060E2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292CF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1BAAA86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BE0B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0CDD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F03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癌症代谢重编程中医药调控研究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17356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D737AE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6491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6A13938F">
            <w:pPr>
              <w:widowControl/>
              <w:adjustRightInd w:val="0"/>
              <w:snapToGrid w:val="0"/>
              <w:spacing w:line="240" w:lineRule="auto"/>
              <w:ind w:firstLine="0"/>
              <w:jc w:val="center"/>
              <w:textAlignment w:val="center"/>
              <w:rPr>
                <w:rFonts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6A40ECE">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无</w:t>
            </w:r>
          </w:p>
        </w:tc>
      </w:tr>
      <w:tr w14:paraId="5476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F1C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中医药防治肿瘤病证的临床研究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BF5E8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8306C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48D4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3C80DCC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2D51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2BA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08D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中医药防治耳鼻咽喉疾病的研究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8435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B6C57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2CFA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659EC57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CA45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中医五官科学博士，符合学校专职博士后招聘条件</w:t>
            </w:r>
          </w:p>
        </w:tc>
      </w:tr>
      <w:tr w14:paraId="54DF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743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中医药干预女性生殖器官肿瘤的临床与实验研究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F47E5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CFABD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w:t>
            </w:r>
            <w:r>
              <w:rPr>
                <w:rFonts w:hint="eastAsia" w:ascii="Times New Roman" w:hAnsi="Times New Roman" w:cs="Times New Roman" w:eastAsiaTheme="minorEastAsia"/>
                <w:kern w:val="0"/>
                <w:sz w:val="21"/>
                <w:szCs w:val="21"/>
                <w:lang w:val="en-US" w:eastAsia="zh-CN"/>
              </w:rPr>
              <w:t>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ABDB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73D7F0EE">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F25C7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中医学或中西结合专业博士毕业，满足学校专职博士后招聘条件</w:t>
            </w:r>
          </w:p>
        </w:tc>
      </w:tr>
      <w:tr w14:paraId="4FB3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2292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中西医结合防治肿瘤疾病的基础研究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9FBA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CD01B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w:t>
            </w:r>
            <w:r>
              <w:rPr>
                <w:rFonts w:hint="eastAsia" w:ascii="Times New Roman" w:hAnsi="Times New Roman" w:cs="Times New Roman" w:eastAsiaTheme="minorEastAsia"/>
                <w:kern w:val="0"/>
                <w:sz w:val="21"/>
                <w:szCs w:val="21"/>
                <w:lang w:val="en-US" w:eastAsia="zh-CN"/>
              </w:rPr>
              <w:t>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9913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7B2B3C6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45C3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698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C80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中西医结合防治肿瘤疾病的临床研究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DEAB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A550D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w:t>
            </w:r>
            <w:r>
              <w:rPr>
                <w:rFonts w:hint="eastAsia" w:ascii="Times New Roman" w:hAnsi="Times New Roman" w:cs="Times New Roman" w:eastAsiaTheme="minorEastAsia"/>
                <w:kern w:val="0"/>
                <w:sz w:val="21"/>
                <w:szCs w:val="21"/>
                <w:lang w:val="en-US" w:eastAsia="zh-CN"/>
              </w:rPr>
              <w:t>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0331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0156804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2251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522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498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中西医结合防治肿瘤疾病的临床研究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023E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E8F85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BSH03</w:t>
            </w:r>
            <w:r>
              <w:rPr>
                <w:rFonts w:hint="eastAsia" w:ascii="Times New Roman" w:hAnsi="Times New Roman" w:cs="Times New Roman" w:eastAsiaTheme="minorEastAsia"/>
                <w:kern w:val="0"/>
                <w:sz w:val="21"/>
                <w:szCs w:val="21"/>
                <w:lang w:val="en-US" w:eastAsia="zh-CN"/>
              </w:rPr>
              <w:t>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9E3E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0AE07CA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8732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4CD9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05F9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中西医结合内分泌代谢性疾病的基础与临床研究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941F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A249C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38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C4E1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110DE9A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2928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r>
              <w:rPr>
                <w:rStyle w:val="35"/>
                <w:rFonts w:hint="default" w:ascii="Times New Roman" w:hAnsi="Times New Roman" w:cs="Times New Roman" w:eastAsiaTheme="minorEastAsia"/>
                <w:sz w:val="21"/>
                <w:szCs w:val="21"/>
                <w:lang w:val="en-US" w:eastAsia="zh-CN" w:bidi="ar"/>
              </w:rPr>
              <w:t>名临床医学博士，</w:t>
            </w:r>
            <w:r>
              <w:rPr>
                <w:rStyle w:val="34"/>
                <w:rFonts w:hint="default" w:ascii="Times New Roman" w:hAnsi="Times New Roman" w:cs="Times New Roman" w:eastAsiaTheme="minorEastAsia"/>
                <w:sz w:val="21"/>
                <w:szCs w:val="21"/>
                <w:lang w:val="en-US" w:eastAsia="zh-CN" w:bidi="ar"/>
              </w:rPr>
              <w:t>1</w:t>
            </w:r>
            <w:r>
              <w:rPr>
                <w:rStyle w:val="35"/>
                <w:rFonts w:hint="default" w:ascii="Times New Roman" w:hAnsi="Times New Roman" w:cs="Times New Roman" w:eastAsiaTheme="minorEastAsia"/>
                <w:sz w:val="21"/>
                <w:szCs w:val="21"/>
                <w:lang w:val="en-US" w:eastAsia="zh-CN" w:bidi="ar"/>
              </w:rPr>
              <w:t>名中医学或中西医结合的博士</w:t>
            </w:r>
          </w:p>
        </w:tc>
      </w:tr>
      <w:tr w14:paraId="2300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72F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中西结合防治内分泌代谢疾病的基础与临床研究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7A5A4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B6111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39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4B6B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006F03F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DB87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 xml:space="preserve">1.满足学校专职博士后招聘条件                  </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2.中医内科学博士毕业</w:t>
            </w:r>
          </w:p>
        </w:tc>
      </w:tr>
      <w:tr w14:paraId="2C0A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86C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中西医结合呼吸疾病的基础与临床研究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BA32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ABF4C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DC44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3599B12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DB63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中医学、中西医结合临床、中药学、分子生物学、细胞生物学</w:t>
            </w:r>
          </w:p>
        </w:tc>
      </w:tr>
      <w:tr w14:paraId="7BA1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3F5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慢性性肝病的中西医结合基础研究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0519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27934A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1D1B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68E4935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37DC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以第一作者发表SCI文章（article），有分子生物学实验基础，掌握细胞培养、WB、PCR、免疫组化等实验技术，能进行动物实验，能独立撰写标书</w:t>
            </w:r>
          </w:p>
        </w:tc>
      </w:tr>
      <w:tr w14:paraId="3985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34B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急性肾损伤的临床及实验研究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2D89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81F86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6432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6843FC2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B3CDC03">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无</w:t>
            </w:r>
          </w:p>
        </w:tc>
      </w:tr>
      <w:tr w14:paraId="6BD7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FA3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中西医结合脑病方向</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7D19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77A13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1F2D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33C8CA3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51B9788">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6CB6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C77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中西医结合脑病方向</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A386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4E026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8B33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52B7B2A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38B5072">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A25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16F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眼底病</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AAFB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4EFEC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3AAF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6AB36FC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1BAC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临床医学、中医学、中西医结合，博士研究生</w:t>
            </w:r>
          </w:p>
        </w:tc>
      </w:tr>
      <w:tr w14:paraId="368B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8B4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中西医结合护理</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7272C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2DBFF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BSH04</w:t>
            </w:r>
            <w:r>
              <w:rPr>
                <w:rFonts w:hint="eastAsia" w:ascii="Times New Roman" w:hAnsi="Times New Roman" w:cs="Times New Roman" w:eastAsiaTheme="minorEastAsia"/>
                <w:kern w:val="0"/>
                <w:sz w:val="21"/>
                <w:szCs w:val="21"/>
                <w:lang w:val="en-US" w:eastAsia="zh-CN"/>
              </w:rPr>
              <w:t>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3BED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550243C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CD4B8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中西医结合护理临床与基础研究</w:t>
            </w:r>
          </w:p>
        </w:tc>
      </w:tr>
      <w:tr w14:paraId="5A38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A54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中西医结合防治消化系统疾病</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A89D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90113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47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F3F9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5F7BC8D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631D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中医学、中西结合专业、临床医学专业</w:t>
            </w:r>
          </w:p>
        </w:tc>
      </w:tr>
      <w:tr w14:paraId="33B7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662F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中西医结合防治溃疡性结肠炎及肠易激综合征基础与临床研究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B172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C2CB2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48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7B68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590B102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8D0A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中医学、中西医结合专业、临床医学专业</w:t>
            </w:r>
          </w:p>
        </w:tc>
      </w:tr>
      <w:tr w14:paraId="73AF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C7F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中西医结合心血管病研究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B760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329E3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49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BAD7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7841E1C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F027F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B70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2C8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中西医结合高原病研究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7F78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915A7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BSH05</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592A1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37503BC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B2842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275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C78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针灸与内稳态调节</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E6CA7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CD37D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BSH05</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E37B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2F208EA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25B2B7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有强烈进取心，熟练掌握电生理、神经生物、基因编辑或生物信息学等领域的现代技术（至少一项），开展“针灸与内稳态调节”研究领域的前沿研究</w:t>
            </w:r>
          </w:p>
        </w:tc>
      </w:tr>
      <w:tr w14:paraId="0C23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4E2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针灸生殖调控的机制研究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7B0B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77FF30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BSH05</w:t>
            </w:r>
            <w:r>
              <w:rPr>
                <w:rFonts w:hint="eastAsia" w:ascii="Times New Roman" w:hAnsi="Times New Roman" w:cs="Times New Roman" w:eastAsiaTheme="minorEastAsia"/>
                <w:kern w:val="0"/>
                <w:sz w:val="21"/>
                <w:szCs w:val="21"/>
                <w:lang w:val="en-US" w:eastAsia="zh-CN"/>
              </w:rPr>
              <w:t>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85841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7939F7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85B1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从事针灸生殖调控的机制研究相关</w:t>
            </w:r>
          </w:p>
        </w:tc>
      </w:tr>
      <w:tr w14:paraId="7C15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456E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针灸时间效应及其机制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C626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99830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BSH05</w:t>
            </w:r>
            <w:r>
              <w:rPr>
                <w:rFonts w:hint="eastAsia" w:ascii="Times New Roman" w:hAnsi="Times New Roman" w:cs="Times New Roman" w:eastAsiaTheme="minorEastAsia"/>
                <w:kern w:val="0"/>
                <w:sz w:val="21"/>
                <w:szCs w:val="21"/>
                <w:lang w:val="en-US" w:eastAsia="zh-CN"/>
              </w:rPr>
              <w:t>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C343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2405DA4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E248F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医学及相关专业；有英文文章撰写及发表经历</w:t>
            </w:r>
          </w:p>
        </w:tc>
      </w:tr>
      <w:tr w14:paraId="4A6A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7FE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针刺效应中枢机制研究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D4C7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F9DB0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BSH05</w:t>
            </w:r>
            <w:r>
              <w:rPr>
                <w:rFonts w:hint="eastAsia" w:ascii="Times New Roman" w:hAnsi="Times New Roman" w:cs="Times New Roman" w:eastAsiaTheme="minorEastAsia"/>
                <w:kern w:val="0"/>
                <w:sz w:val="21"/>
                <w:szCs w:val="21"/>
                <w:lang w:val="en-US" w:eastAsia="zh-CN"/>
              </w:rPr>
              <w:t>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C8DA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1D8CB10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5A59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神经科学、生物信息学、循证医学、流行病学、中医药学</w:t>
            </w:r>
          </w:p>
        </w:tc>
      </w:tr>
      <w:tr w14:paraId="51AA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8E4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循证医学和针灸临床疗效评价研究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DB5C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550D1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55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D31F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CB3D7C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D5E3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获得中医学、针灸推拿学、循证医学或流行病学相关博士学位，既往主要从事临床研究</w:t>
            </w:r>
          </w:p>
        </w:tc>
      </w:tr>
      <w:tr w14:paraId="3D3B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4BA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脑-体互作机制及其穴位功能可塑性</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89F2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B91E7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56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6024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339CD8A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8941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生物学或医学背景，有生物信息学、疼痛医学或免疫学研究背景者优先</w:t>
            </w:r>
          </w:p>
        </w:tc>
      </w:tr>
      <w:tr w14:paraId="6124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CBB8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嘌呤信号</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1F943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95B2B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57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974EF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5B00E28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0D1F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博士学位，医学或生命科学专业、中医学，中药学等相关专业</w:t>
            </w:r>
          </w:p>
        </w:tc>
      </w:tr>
      <w:tr w14:paraId="1A35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9D2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胶质细胞</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7264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630101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58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8189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142CC15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1811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博士学位，医学或生命科学专业、中医学，中药学等相关专业</w:t>
            </w:r>
          </w:p>
        </w:tc>
      </w:tr>
      <w:tr w14:paraId="5ABE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C73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氧化应激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5E88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5107FE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59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DA79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2EC57DC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1D62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博士学位，医学或生命科学专业、中医学，中药学等相关专业</w:t>
            </w:r>
          </w:p>
        </w:tc>
      </w:tr>
      <w:tr w14:paraId="3B53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9B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脑科学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F372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5B26D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BSH06</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E58D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DBB0C6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E08E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博士期间发表SCI两篇，每篇大于3分，原始研究优先</w:t>
            </w:r>
          </w:p>
        </w:tc>
      </w:tr>
      <w:tr w14:paraId="5625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6BB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养生治未病理论及应用</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31A5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F32830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BSH06</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6C98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49E7B24E">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4219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r>
              <w:rPr>
                <w:rStyle w:val="35"/>
                <w:rFonts w:hint="default" w:ascii="Times New Roman" w:hAnsi="Times New Roman" w:cs="Times New Roman" w:eastAsiaTheme="minorEastAsia"/>
                <w:sz w:val="21"/>
                <w:szCs w:val="21"/>
                <w:lang w:val="en-US" w:eastAsia="zh-CN" w:bidi="ar"/>
              </w:rPr>
              <w:t>.博士专业为中医学</w:t>
            </w:r>
            <w:r>
              <w:rPr>
                <w:rStyle w:val="34"/>
                <w:rFonts w:hint="default" w:ascii="Times New Roman" w:hAnsi="Times New Roman" w:cs="Times New Roman" w:eastAsiaTheme="minorEastAsia"/>
                <w:sz w:val="21"/>
                <w:szCs w:val="21"/>
                <w:lang w:val="en-US" w:eastAsia="zh-CN" w:bidi="ar"/>
              </w:rPr>
              <w:br w:type="textWrapping"/>
            </w:r>
            <w:r>
              <w:rPr>
                <w:rStyle w:val="34"/>
                <w:rFonts w:hint="default" w:ascii="Times New Roman" w:hAnsi="Times New Roman" w:cs="Times New Roman" w:eastAsiaTheme="minorEastAsia"/>
                <w:sz w:val="21"/>
                <w:szCs w:val="21"/>
                <w:lang w:val="en-US" w:eastAsia="zh-CN" w:bidi="ar"/>
              </w:rPr>
              <w:t>2</w:t>
            </w:r>
            <w:r>
              <w:rPr>
                <w:rStyle w:val="35"/>
                <w:rFonts w:hint="default" w:ascii="Times New Roman" w:hAnsi="Times New Roman" w:cs="Times New Roman" w:eastAsiaTheme="minorEastAsia"/>
                <w:sz w:val="21"/>
                <w:szCs w:val="21"/>
                <w:lang w:val="en-US" w:eastAsia="zh-CN" w:bidi="ar"/>
              </w:rPr>
              <w:t>.男性年龄不超过</w:t>
            </w:r>
            <w:r>
              <w:rPr>
                <w:rStyle w:val="34"/>
                <w:rFonts w:hint="default" w:ascii="Times New Roman" w:hAnsi="Times New Roman" w:cs="Times New Roman" w:eastAsiaTheme="minorEastAsia"/>
                <w:sz w:val="21"/>
                <w:szCs w:val="21"/>
                <w:lang w:val="en-US" w:eastAsia="zh-CN" w:bidi="ar"/>
              </w:rPr>
              <w:t>32</w:t>
            </w:r>
            <w:r>
              <w:rPr>
                <w:rStyle w:val="35"/>
                <w:rFonts w:hint="default" w:ascii="Times New Roman" w:hAnsi="Times New Roman" w:cs="Times New Roman" w:eastAsiaTheme="minorEastAsia"/>
                <w:sz w:val="21"/>
                <w:szCs w:val="21"/>
                <w:lang w:val="en-US" w:eastAsia="zh-CN" w:bidi="ar"/>
              </w:rPr>
              <w:t>岁；女性年龄不超过</w:t>
            </w:r>
            <w:r>
              <w:rPr>
                <w:rStyle w:val="34"/>
                <w:rFonts w:hint="default" w:ascii="Times New Roman" w:hAnsi="Times New Roman" w:cs="Times New Roman" w:eastAsiaTheme="minorEastAsia"/>
                <w:sz w:val="21"/>
                <w:szCs w:val="21"/>
                <w:lang w:val="en-US" w:eastAsia="zh-CN" w:bidi="ar"/>
              </w:rPr>
              <w:t>35</w:t>
            </w:r>
            <w:r>
              <w:rPr>
                <w:rStyle w:val="35"/>
                <w:rFonts w:hint="default" w:ascii="Times New Roman" w:hAnsi="Times New Roman" w:cs="Times New Roman" w:eastAsiaTheme="minorEastAsia"/>
                <w:sz w:val="21"/>
                <w:szCs w:val="21"/>
                <w:lang w:val="en-US" w:eastAsia="zh-CN" w:bidi="ar"/>
              </w:rPr>
              <w:t>岁</w:t>
            </w:r>
          </w:p>
        </w:tc>
      </w:tr>
      <w:tr w14:paraId="0A24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250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嘌呤信号</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F0E7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0F7CF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BSH06</w:t>
            </w:r>
            <w:r>
              <w:rPr>
                <w:rFonts w:hint="eastAsia" w:ascii="Times New Roman" w:hAnsi="Times New Roman" w:cs="Times New Roman" w:eastAsiaTheme="minorEastAsia"/>
                <w:kern w:val="0"/>
                <w:sz w:val="21"/>
                <w:szCs w:val="21"/>
                <w:lang w:val="en-US" w:eastAsia="zh-CN"/>
              </w:rPr>
              <w:t>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76AB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2E7F85C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85CB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博士学位，专业不限</w:t>
            </w:r>
          </w:p>
        </w:tc>
      </w:tr>
      <w:tr w14:paraId="058C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F2F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胶质细胞</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50C7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52D9B0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BSH06</w:t>
            </w:r>
            <w:r>
              <w:rPr>
                <w:rFonts w:hint="eastAsia" w:ascii="Times New Roman" w:hAnsi="Times New Roman" w:cs="Times New Roman" w:eastAsiaTheme="minorEastAsia"/>
                <w:kern w:val="0"/>
                <w:sz w:val="21"/>
                <w:szCs w:val="21"/>
                <w:lang w:val="en-US" w:eastAsia="zh-CN"/>
              </w:rPr>
              <w:t>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10198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7AEF37E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1B40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博士学位，医学或生命科学专业、中医学，中药学等相关专业</w:t>
            </w:r>
          </w:p>
        </w:tc>
      </w:tr>
      <w:tr w14:paraId="7E14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386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中西医结合肿瘤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CE6E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BC24A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B668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continue"/>
            <w:tcBorders>
              <w:left w:val="single" w:color="auto" w:sz="4" w:space="0"/>
              <w:right w:val="single" w:color="auto" w:sz="4" w:space="0"/>
            </w:tcBorders>
            <w:shd w:val="clear" w:color="auto" w:fill="FFFFFF"/>
            <w:vAlign w:val="center"/>
          </w:tcPr>
          <w:p w14:paraId="09E3BEC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8A0DB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博士学位，医学或生命科学专业、中医学，中药学等相关专业</w:t>
            </w:r>
          </w:p>
        </w:tc>
      </w:tr>
      <w:tr w14:paraId="15E8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D22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民族药药效物质基础及作用机制研究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4A88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2FB5A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4495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54FEFAF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3CBA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民族药学、中药学、生药学、药理学、药物分析学等相关专业</w:t>
            </w:r>
          </w:p>
        </w:tc>
      </w:tr>
      <w:tr w14:paraId="1233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963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民族药资源开发与可持续利用</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A6DA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5565B9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C1F8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5E8D8F4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05C6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民族药学、中药学、生药学、药理学、药物分析学等相关专业</w:t>
            </w:r>
          </w:p>
        </w:tc>
      </w:tr>
      <w:tr w14:paraId="4144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431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中医文化与生命哲学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538D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BC6A9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C2FA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32DC1D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B5C7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具有文、史、哲方向或中医专业背景或中医药文献研究背景</w:t>
            </w:r>
          </w:p>
        </w:tc>
      </w:tr>
      <w:tr w14:paraId="0D5E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ED2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中医文献、文化、文字、文物与哲学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0CA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AFADA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D2C1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1128CC2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90C884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具有文、史、哲方向或中医专业背景或中医药文献研究背景</w:t>
            </w:r>
          </w:p>
        </w:tc>
      </w:tr>
      <w:tr w14:paraId="0D50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F4B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中药资源学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AA6A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64620A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69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2C797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6905A64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5539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1.35</w:t>
            </w:r>
            <w:r>
              <w:rPr>
                <w:rStyle w:val="35"/>
                <w:rFonts w:hint="default" w:ascii="Times New Roman" w:hAnsi="Times New Roman" w:cs="Times New Roman" w:eastAsiaTheme="minorEastAsia"/>
                <w:sz w:val="21"/>
                <w:szCs w:val="21"/>
                <w:lang w:val="en-US" w:eastAsia="zh-CN" w:bidi="ar"/>
              </w:rPr>
              <w:t>周岁及以下；</w:t>
            </w:r>
            <w:r>
              <w:rPr>
                <w:rStyle w:val="34"/>
                <w:rFonts w:hint="default" w:ascii="Times New Roman" w:hAnsi="Times New Roman" w:cs="Times New Roman" w:eastAsiaTheme="minorEastAsia"/>
                <w:sz w:val="21"/>
                <w:szCs w:val="21"/>
                <w:lang w:val="en-US" w:eastAsia="zh-CN" w:bidi="ar"/>
              </w:rPr>
              <w:br w:type="textWrapping"/>
            </w:r>
            <w:r>
              <w:rPr>
                <w:rStyle w:val="34"/>
                <w:rFonts w:hint="default" w:ascii="Times New Roman" w:hAnsi="Times New Roman" w:cs="Times New Roman" w:eastAsiaTheme="minorEastAsia"/>
                <w:sz w:val="21"/>
                <w:szCs w:val="21"/>
                <w:lang w:val="en-US" w:eastAsia="zh-CN" w:bidi="ar"/>
              </w:rPr>
              <w:t>2.</w:t>
            </w:r>
            <w:r>
              <w:rPr>
                <w:rStyle w:val="35"/>
                <w:rFonts w:hint="default" w:ascii="Times New Roman" w:hAnsi="Times New Roman" w:cs="Times New Roman" w:eastAsiaTheme="minorEastAsia"/>
                <w:sz w:val="21"/>
                <w:szCs w:val="21"/>
                <w:lang w:val="en-US" w:eastAsia="zh-CN" w:bidi="ar"/>
              </w:rPr>
              <w:t>既往有开展药用植物栽培、智慧农业、人工智能医药等方面的研究经历；</w:t>
            </w:r>
            <w:r>
              <w:rPr>
                <w:rStyle w:val="34"/>
                <w:rFonts w:hint="default" w:ascii="Times New Roman" w:hAnsi="Times New Roman" w:cs="Times New Roman" w:eastAsiaTheme="minorEastAsia"/>
                <w:sz w:val="21"/>
                <w:szCs w:val="21"/>
                <w:lang w:val="en-US" w:eastAsia="zh-CN" w:bidi="ar"/>
              </w:rPr>
              <w:t xml:space="preserve">          </w:t>
            </w:r>
            <w:r>
              <w:rPr>
                <w:rStyle w:val="34"/>
                <w:rFonts w:hint="default" w:ascii="Times New Roman" w:hAnsi="Times New Roman" w:cs="Times New Roman" w:eastAsiaTheme="minorEastAsia"/>
                <w:sz w:val="21"/>
                <w:szCs w:val="21"/>
                <w:lang w:val="en-US" w:eastAsia="zh-CN" w:bidi="ar"/>
              </w:rPr>
              <w:br w:type="textWrapping"/>
            </w:r>
            <w:r>
              <w:rPr>
                <w:rStyle w:val="34"/>
                <w:rFonts w:hint="default" w:ascii="Times New Roman" w:hAnsi="Times New Roman" w:cs="Times New Roman" w:eastAsiaTheme="minorEastAsia"/>
                <w:sz w:val="21"/>
                <w:szCs w:val="21"/>
                <w:lang w:val="en-US" w:eastAsia="zh-CN" w:bidi="ar"/>
              </w:rPr>
              <w:t>3.</w:t>
            </w:r>
            <w:r>
              <w:rPr>
                <w:rStyle w:val="35"/>
                <w:rFonts w:hint="default" w:ascii="Times New Roman" w:hAnsi="Times New Roman" w:cs="Times New Roman" w:eastAsiaTheme="minorEastAsia"/>
                <w:sz w:val="21"/>
                <w:szCs w:val="21"/>
                <w:lang w:val="en-US" w:eastAsia="zh-CN" w:bidi="ar"/>
              </w:rPr>
              <w:t>能独立开展中药资源相关科研项目；</w:t>
            </w:r>
            <w:r>
              <w:rPr>
                <w:rStyle w:val="34"/>
                <w:rFonts w:hint="default" w:ascii="Times New Roman" w:hAnsi="Times New Roman" w:cs="Times New Roman" w:eastAsiaTheme="minorEastAsia"/>
                <w:sz w:val="21"/>
                <w:szCs w:val="21"/>
                <w:lang w:val="en-US" w:eastAsia="zh-CN" w:bidi="ar"/>
              </w:rPr>
              <w:br w:type="textWrapping"/>
            </w:r>
            <w:r>
              <w:rPr>
                <w:rStyle w:val="34"/>
                <w:rFonts w:hint="default" w:ascii="Times New Roman" w:hAnsi="Times New Roman" w:cs="Times New Roman" w:eastAsiaTheme="minorEastAsia"/>
                <w:sz w:val="21"/>
                <w:szCs w:val="21"/>
                <w:lang w:val="en-US" w:eastAsia="zh-CN" w:bidi="ar"/>
              </w:rPr>
              <w:t>4.</w:t>
            </w:r>
            <w:r>
              <w:rPr>
                <w:rStyle w:val="35"/>
                <w:rFonts w:hint="default" w:ascii="Times New Roman" w:hAnsi="Times New Roman" w:cs="Times New Roman" w:eastAsiaTheme="minorEastAsia"/>
                <w:sz w:val="21"/>
                <w:szCs w:val="21"/>
                <w:lang w:val="en-US" w:eastAsia="zh-CN" w:bidi="ar"/>
              </w:rPr>
              <w:t>具有良好的英文写作能力；</w:t>
            </w:r>
            <w:r>
              <w:rPr>
                <w:rStyle w:val="34"/>
                <w:rFonts w:hint="default" w:ascii="Times New Roman" w:hAnsi="Times New Roman" w:cs="Times New Roman" w:eastAsiaTheme="minorEastAsia"/>
                <w:sz w:val="21"/>
                <w:szCs w:val="21"/>
                <w:lang w:val="en-US" w:eastAsia="zh-CN" w:bidi="ar"/>
              </w:rPr>
              <w:br w:type="textWrapping"/>
            </w:r>
            <w:r>
              <w:rPr>
                <w:rStyle w:val="34"/>
                <w:rFonts w:hint="default" w:ascii="Times New Roman" w:hAnsi="Times New Roman" w:cs="Times New Roman" w:eastAsiaTheme="minorEastAsia"/>
                <w:sz w:val="21"/>
                <w:szCs w:val="21"/>
                <w:lang w:val="en-US" w:eastAsia="zh-CN" w:bidi="ar"/>
              </w:rPr>
              <w:t>5.</w:t>
            </w:r>
            <w:r>
              <w:rPr>
                <w:rStyle w:val="35"/>
                <w:rFonts w:hint="default" w:ascii="Times New Roman" w:hAnsi="Times New Roman" w:cs="Times New Roman" w:eastAsiaTheme="minorEastAsia"/>
                <w:sz w:val="21"/>
                <w:szCs w:val="21"/>
                <w:lang w:val="en-US" w:eastAsia="zh-CN" w:bidi="ar"/>
              </w:rPr>
              <w:t>具有团队合作精神，正直向上。</w:t>
            </w:r>
          </w:p>
        </w:tc>
      </w:tr>
      <w:tr w14:paraId="4D3D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963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药用植物活性天然产物与生物合成研究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D756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4ED39F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BSH07</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C586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1F26A7D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8DF5D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中药学、中药化学、天然药物化学、药理学、生物化学、植物学等相关专业</w:t>
            </w:r>
          </w:p>
        </w:tc>
      </w:tr>
      <w:tr w14:paraId="28F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9A17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药用植物活性天然产物与生物合成研究</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CCE3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06FB58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BSH07</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4ADB9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7A968DE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2724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中药学、合成生物学、分子生物学、生物信息学、细胞生物学等相关专业</w:t>
            </w:r>
          </w:p>
        </w:tc>
      </w:tr>
      <w:tr w14:paraId="3405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1F8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中药药理学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1734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4EB7C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C07C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131FCB6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3EF5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中药学、药学、生物学、影像学、医学、中医学、中西医结合</w:t>
            </w:r>
          </w:p>
        </w:tc>
      </w:tr>
      <w:tr w14:paraId="3948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835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代谢组学，中药分析</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6882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F1245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AAF7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62648AB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6CE7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以第一作者或通讯作者发表高水平SCI论文，熟悉核磁共振技术或液质联用技术或数据分析方法开发、机器学习等</w:t>
            </w:r>
          </w:p>
        </w:tc>
      </w:tr>
      <w:tr w14:paraId="4044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A45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结构生物学，药物筛选</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7DFD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4868B4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C2B7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6130B2C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2CE3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以第一作者或通讯作者发表高水平SCI论文，熟悉核磁共振技术</w:t>
            </w:r>
          </w:p>
        </w:tc>
      </w:tr>
      <w:tr w14:paraId="736C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51C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本草基因组学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9B1D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1140" w:type="dxa"/>
            <w:tcBorders>
              <w:top w:val="single" w:color="auto" w:sz="4" w:space="0"/>
              <w:left w:val="nil"/>
              <w:bottom w:val="single" w:color="auto" w:sz="4" w:space="0"/>
              <w:right w:val="nil"/>
            </w:tcBorders>
            <w:shd w:val="clear" w:color="auto" w:fill="auto"/>
            <w:vAlign w:val="center"/>
          </w:tcPr>
          <w:p w14:paraId="223E84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E2B6F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05D6E63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E8A6A8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药学、药理学、中药学、医学、计算机科学与技术、生物信息学、分子生物学等相关专业</w:t>
            </w:r>
          </w:p>
        </w:tc>
      </w:tr>
      <w:tr w14:paraId="1994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591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本草基因组学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EB26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7587F2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F4E9A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2E385C8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102145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药学、药理学、中药学、医学、计算机科学与技术、生物信息学、分子生物学等相关专业</w:t>
            </w:r>
          </w:p>
        </w:tc>
      </w:tr>
      <w:tr w14:paraId="40FF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DA6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结构药理学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18DA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99A23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96E8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6F01E06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213B14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药学、药理学、中药学、医学、计算机科学与技术、生物信息学、分子生物学等相关专业</w:t>
            </w:r>
            <w:r>
              <w:rPr>
                <w:rFonts w:hint="default" w:ascii="Times New Roman" w:hAnsi="Times New Roman" w:cs="Times New Roman" w:eastAsiaTheme="minorEastAsia"/>
                <w:sz w:val="21"/>
                <w:szCs w:val="21"/>
              </w:rPr>
              <w:t>正派、学风严谨</w:t>
            </w:r>
          </w:p>
        </w:tc>
      </w:tr>
      <w:tr w14:paraId="7351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288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心血管药理学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4A33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8AFDE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AFEF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中西医结合</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028661D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65DD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药学、药理学、中药学、医学、计算机科学与技术、生物信息学、分子生物学等相关专业</w:t>
            </w:r>
          </w:p>
        </w:tc>
      </w:tr>
      <w:tr w14:paraId="6387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FD3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中医药生物信息学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A4A8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584F10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79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1970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中药学</w:t>
            </w:r>
          </w:p>
        </w:tc>
        <w:tc>
          <w:tcPr>
            <w:tcW w:w="1304" w:type="dxa"/>
            <w:vMerge w:val="continue"/>
            <w:tcBorders>
              <w:left w:val="single" w:color="auto" w:sz="4" w:space="0"/>
              <w:right w:val="single" w:color="auto" w:sz="4" w:space="0"/>
            </w:tcBorders>
            <w:shd w:val="clear" w:color="auto" w:fill="FFFFFF"/>
            <w:vAlign w:val="center"/>
          </w:tcPr>
          <w:p w14:paraId="126CD9B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C5D7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药学、药理学、中药学、医学、计算机科学与技术、生物信息学等相关专业</w:t>
            </w:r>
          </w:p>
        </w:tc>
      </w:tr>
      <w:tr w14:paraId="0909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D05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师资博士后（中医基础理论教研室）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6986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2943A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BSH08</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F91DD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中医基础理论、中医临床基础</w:t>
            </w:r>
          </w:p>
        </w:tc>
        <w:tc>
          <w:tcPr>
            <w:tcW w:w="1304" w:type="dxa"/>
            <w:vMerge w:val="continue"/>
            <w:tcBorders>
              <w:left w:val="single" w:color="auto" w:sz="4" w:space="0"/>
              <w:right w:val="single" w:color="auto" w:sz="4" w:space="0"/>
            </w:tcBorders>
            <w:shd w:val="clear" w:color="auto" w:fill="FFFFFF"/>
            <w:vAlign w:val="center"/>
          </w:tcPr>
          <w:p w14:paraId="50405F4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9FF60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87D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2DA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师资博士后（中医诊断学教研室）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6F6F3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5681D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BSH08</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7801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中医诊断学、中医基础理论、中医临床基础</w:t>
            </w:r>
          </w:p>
        </w:tc>
        <w:tc>
          <w:tcPr>
            <w:tcW w:w="1304" w:type="dxa"/>
            <w:vMerge w:val="continue"/>
            <w:tcBorders>
              <w:left w:val="single" w:color="auto" w:sz="4" w:space="0"/>
              <w:right w:val="single" w:color="auto" w:sz="4" w:space="0"/>
            </w:tcBorders>
            <w:shd w:val="clear" w:color="auto" w:fill="FFFFFF"/>
            <w:vAlign w:val="center"/>
          </w:tcPr>
          <w:p w14:paraId="4F720CD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2F0E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C16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808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师资博士后（伤寒论教研室）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ADDD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54CE0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F6D0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中医临床基础</w:t>
            </w:r>
          </w:p>
        </w:tc>
        <w:tc>
          <w:tcPr>
            <w:tcW w:w="1304" w:type="dxa"/>
            <w:vMerge w:val="continue"/>
            <w:tcBorders>
              <w:left w:val="single" w:color="auto" w:sz="4" w:space="0"/>
              <w:right w:val="single" w:color="auto" w:sz="4" w:space="0"/>
            </w:tcBorders>
            <w:shd w:val="clear" w:color="auto" w:fill="FFFFFF"/>
            <w:vAlign w:val="center"/>
          </w:tcPr>
          <w:p w14:paraId="164851E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DDB4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04FC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00B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师资博士后（中医经典类、医史文献教研室）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6F45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4C93D6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5596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中医基础理论、黄帝内经、中医临床基础、中医医史文献</w:t>
            </w:r>
          </w:p>
        </w:tc>
        <w:tc>
          <w:tcPr>
            <w:tcW w:w="1304" w:type="dxa"/>
            <w:vMerge w:val="continue"/>
            <w:tcBorders>
              <w:left w:val="single" w:color="auto" w:sz="4" w:space="0"/>
              <w:right w:val="single" w:color="auto" w:sz="4" w:space="0"/>
            </w:tcBorders>
            <w:shd w:val="clear" w:color="auto" w:fill="FFFFFF"/>
            <w:vAlign w:val="center"/>
          </w:tcPr>
          <w:p w14:paraId="0300806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59B3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772A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319A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师资博士后（生理学教研室）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548E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773515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0C1D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生理学、基础医学、临床医学</w:t>
            </w:r>
          </w:p>
        </w:tc>
        <w:tc>
          <w:tcPr>
            <w:tcW w:w="1304" w:type="dxa"/>
            <w:vMerge w:val="continue"/>
            <w:tcBorders>
              <w:left w:val="single" w:color="auto" w:sz="4" w:space="0"/>
              <w:right w:val="single" w:color="auto" w:sz="4" w:space="0"/>
            </w:tcBorders>
            <w:shd w:val="clear" w:color="auto" w:fill="FFFFFF"/>
            <w:vAlign w:val="center"/>
          </w:tcPr>
          <w:p w14:paraId="6CE537B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0828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D0E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16D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师资博士后（病理生理学教研室）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2093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2FED1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52BE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生理学、基础医学、临床医学</w:t>
            </w:r>
          </w:p>
        </w:tc>
        <w:tc>
          <w:tcPr>
            <w:tcW w:w="1304" w:type="dxa"/>
            <w:vMerge w:val="continue"/>
            <w:tcBorders>
              <w:left w:val="single" w:color="auto" w:sz="4" w:space="0"/>
              <w:right w:val="single" w:color="auto" w:sz="4" w:space="0"/>
            </w:tcBorders>
            <w:shd w:val="clear" w:color="auto" w:fill="FFFFFF"/>
            <w:vAlign w:val="center"/>
          </w:tcPr>
          <w:p w14:paraId="783BE69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D56B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314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2E8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师资博士后（人体解剖学与组织胚胎学教研室）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4597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40AA86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9D04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基础医学、法医学、临床医学</w:t>
            </w:r>
          </w:p>
        </w:tc>
        <w:tc>
          <w:tcPr>
            <w:tcW w:w="1304" w:type="dxa"/>
            <w:vMerge w:val="continue"/>
            <w:tcBorders>
              <w:left w:val="single" w:color="auto" w:sz="4" w:space="0"/>
              <w:right w:val="single" w:color="auto" w:sz="4" w:space="0"/>
            </w:tcBorders>
            <w:shd w:val="clear" w:color="auto" w:fill="FFFFFF"/>
            <w:vAlign w:val="center"/>
          </w:tcPr>
          <w:p w14:paraId="38B26D8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1DB6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05ED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F6C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师资博士后（病原生物学与免疫学教研室）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630D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A856E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78B30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医学免疫学、医学微生物学</w:t>
            </w:r>
          </w:p>
        </w:tc>
        <w:tc>
          <w:tcPr>
            <w:tcW w:w="1304" w:type="dxa"/>
            <w:vMerge w:val="continue"/>
            <w:tcBorders>
              <w:left w:val="single" w:color="auto" w:sz="4" w:space="0"/>
              <w:right w:val="single" w:color="auto" w:sz="4" w:space="0"/>
            </w:tcBorders>
            <w:shd w:val="clear" w:color="auto" w:fill="FFFFFF"/>
            <w:vAlign w:val="center"/>
          </w:tcPr>
          <w:p w14:paraId="1DB4072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4B2D27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181F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190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师资博士后（心理学教研室）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0B36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DA7BF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9D71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心理学、临床医学、中医学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5BD0B2B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16538F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5ED8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454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师资博士后（中医基础与临床协同创新研究所）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1607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F35AF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w:t>
            </w:r>
            <w:r>
              <w:rPr>
                <w:rFonts w:hint="eastAsia" w:ascii="Times New Roman" w:hAnsi="Times New Roman" w:cs="Times New Roman" w:eastAsiaTheme="minorEastAsia"/>
                <w:kern w:val="0"/>
                <w:sz w:val="21"/>
                <w:szCs w:val="21"/>
                <w:lang w:val="en-US" w:eastAsia="zh-CN"/>
              </w:rPr>
              <w:t>89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1F5A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中医医史文献、中医临床基础</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339D7B6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35C7A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CF3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D27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师资博士后（病证结合的感染病精准诊疗创新研究所）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6E0F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1E598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BSH09</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DE59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中医基础理论、中医临床基础</w:t>
            </w:r>
          </w:p>
        </w:tc>
        <w:tc>
          <w:tcPr>
            <w:tcW w:w="1304" w:type="dxa"/>
            <w:vMerge w:val="continue"/>
            <w:tcBorders>
              <w:left w:val="single" w:color="auto" w:sz="4" w:space="0"/>
              <w:right w:val="single" w:color="auto" w:sz="4" w:space="0"/>
            </w:tcBorders>
            <w:shd w:val="clear" w:color="auto" w:fill="FFFFFF"/>
            <w:vAlign w:val="center"/>
          </w:tcPr>
          <w:p w14:paraId="064DA18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46CC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F66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021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师资博士后（中医药与免疫学交叉科学研究所）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EE169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46447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BSH09</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9EBE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医学免疫学、医学微生物学、中西医结合基础</w:t>
            </w:r>
          </w:p>
        </w:tc>
        <w:tc>
          <w:tcPr>
            <w:tcW w:w="1304" w:type="dxa"/>
            <w:vMerge w:val="continue"/>
            <w:tcBorders>
              <w:left w:val="single" w:color="auto" w:sz="4" w:space="0"/>
              <w:right w:val="single" w:color="auto" w:sz="4" w:space="0"/>
            </w:tcBorders>
            <w:shd w:val="clear" w:color="auto" w:fill="FFFFFF"/>
            <w:vAlign w:val="center"/>
          </w:tcPr>
          <w:p w14:paraId="6047572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84EA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708C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02C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师资博士后（中医证候与精准医学研究所）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3C97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E2C6B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B653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基础医学、临床医学、动物学、生物信息学、中医学、中西医结合基础</w:t>
            </w:r>
          </w:p>
        </w:tc>
        <w:tc>
          <w:tcPr>
            <w:tcW w:w="1304" w:type="dxa"/>
            <w:vMerge w:val="continue"/>
            <w:tcBorders>
              <w:left w:val="single" w:color="auto" w:sz="4" w:space="0"/>
              <w:right w:val="single" w:color="auto" w:sz="4" w:space="0"/>
            </w:tcBorders>
            <w:shd w:val="clear" w:color="auto" w:fill="FFFFFF"/>
            <w:vAlign w:val="center"/>
          </w:tcPr>
          <w:p w14:paraId="1909D2B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BAAE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BF7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748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师资博士后（中医内科学教研室）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5763D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6B3AAC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7688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38E4FCA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D35B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6885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B27F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师资博士后（方药量效研究院/中医内科学教研室）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2DDF2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6F9387A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BAB5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中医学、中药学、药学</w:t>
            </w:r>
          </w:p>
        </w:tc>
        <w:tc>
          <w:tcPr>
            <w:tcW w:w="1304" w:type="dxa"/>
            <w:vMerge w:val="continue"/>
            <w:tcBorders>
              <w:left w:val="single" w:color="auto" w:sz="4" w:space="0"/>
              <w:right w:val="single" w:color="auto" w:sz="4" w:space="0"/>
            </w:tcBorders>
            <w:shd w:val="clear" w:color="auto" w:fill="FFFFFF"/>
            <w:vAlign w:val="center"/>
          </w:tcPr>
          <w:p w14:paraId="4DBF200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3F5E4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6D65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0EF5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师资博士后（代谢性疾病中医药调控四川省重点实验室）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F6B1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5</w:t>
            </w:r>
          </w:p>
        </w:tc>
        <w:tc>
          <w:tcPr>
            <w:tcW w:w="1140" w:type="dxa"/>
            <w:tcBorders>
              <w:top w:val="single" w:color="auto" w:sz="4" w:space="0"/>
              <w:left w:val="nil"/>
              <w:bottom w:val="single" w:color="auto" w:sz="4" w:space="0"/>
              <w:right w:val="nil"/>
            </w:tcBorders>
            <w:shd w:val="clear" w:color="auto" w:fill="auto"/>
            <w:vAlign w:val="center"/>
          </w:tcPr>
          <w:p w14:paraId="285A97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F49F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中医学、中西医结合、临床医学、基础医学、生物学、计算机科学与技术、生物医学工程、公共卫生与预防医学、生物医学工程、药学、中药学、物理学、仪器科学与技术、材料科学与工程、智能科学与技术、纳米科学与工程</w:t>
            </w:r>
          </w:p>
        </w:tc>
        <w:tc>
          <w:tcPr>
            <w:tcW w:w="1304" w:type="dxa"/>
            <w:vMerge w:val="continue"/>
            <w:tcBorders>
              <w:left w:val="single" w:color="auto" w:sz="4" w:space="0"/>
              <w:right w:val="single" w:color="auto" w:sz="4" w:space="0"/>
            </w:tcBorders>
            <w:shd w:val="clear" w:color="auto" w:fill="FFFFFF"/>
            <w:vAlign w:val="center"/>
          </w:tcPr>
          <w:p w14:paraId="637D208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96910B7">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DDD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85C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师资博士后（临床技能中心）</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61F1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98A7C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1920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中西医结合、中医学</w:t>
            </w:r>
          </w:p>
        </w:tc>
        <w:tc>
          <w:tcPr>
            <w:tcW w:w="1304" w:type="dxa"/>
            <w:vMerge w:val="continue"/>
            <w:tcBorders>
              <w:left w:val="single" w:color="auto" w:sz="4" w:space="0"/>
              <w:bottom w:val="single" w:color="auto" w:sz="4" w:space="0"/>
              <w:right w:val="single" w:color="auto" w:sz="4" w:space="0"/>
            </w:tcBorders>
            <w:shd w:val="clear" w:color="auto" w:fill="FFFFFF"/>
            <w:vAlign w:val="center"/>
          </w:tcPr>
          <w:p w14:paraId="6FAD03E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257576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128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082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师资博士后（流行病与循证医学教研室）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B56E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78CAAD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863B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中医学、中西医结合、公共卫生与预防医学、临床医学</w:t>
            </w:r>
          </w:p>
        </w:tc>
        <w:tc>
          <w:tcPr>
            <w:tcW w:w="1304" w:type="dxa"/>
            <w:vMerge w:val="restart"/>
            <w:tcBorders>
              <w:top w:val="single" w:color="auto" w:sz="4" w:space="0"/>
              <w:left w:val="single" w:color="auto" w:sz="4" w:space="0"/>
              <w:right w:val="single" w:color="auto" w:sz="4" w:space="0"/>
            </w:tcBorders>
            <w:shd w:val="clear" w:color="auto" w:fill="FFFFFF"/>
            <w:vAlign w:val="center"/>
          </w:tcPr>
          <w:p w14:paraId="4B8A4A7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4B47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1.清华大学、北京大学、浙江大学、上海交通大学等ARWU排名前100的国内外高校</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2.具有循证医学经验，发表论文累计影响因子大于5</w:t>
            </w:r>
          </w:p>
        </w:tc>
      </w:tr>
      <w:tr w14:paraId="3056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5D1D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师资博士后（中医外科学教研室）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967D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1FC012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21F1D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中医学</w:t>
            </w:r>
          </w:p>
        </w:tc>
        <w:tc>
          <w:tcPr>
            <w:tcW w:w="1304" w:type="dxa"/>
            <w:vMerge w:val="continue"/>
            <w:tcBorders>
              <w:left w:val="single" w:color="auto" w:sz="4" w:space="0"/>
              <w:right w:val="single" w:color="auto" w:sz="4" w:space="0"/>
            </w:tcBorders>
            <w:shd w:val="clear" w:color="auto" w:fill="FFFFFF"/>
            <w:vAlign w:val="center"/>
          </w:tcPr>
          <w:p w14:paraId="4DE7372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C5BE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7689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E24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师资博士后（西诊西内教研室）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EEFB2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1140" w:type="dxa"/>
            <w:tcBorders>
              <w:top w:val="single" w:color="auto" w:sz="4" w:space="0"/>
              <w:left w:val="nil"/>
              <w:bottom w:val="single" w:color="auto" w:sz="4" w:space="0"/>
              <w:right w:val="nil"/>
            </w:tcBorders>
            <w:shd w:val="clear" w:color="auto" w:fill="auto"/>
            <w:vAlign w:val="center"/>
          </w:tcPr>
          <w:p w14:paraId="5C7985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w:t>
            </w:r>
            <w:r>
              <w:rPr>
                <w:rFonts w:hint="eastAsia" w:ascii="Times New Roman" w:hAnsi="Times New Roman" w:cs="Times New Roman" w:eastAsiaTheme="minorEastAsia"/>
                <w:kern w:val="0"/>
                <w:sz w:val="21"/>
                <w:szCs w:val="21"/>
                <w:lang w:val="en-US" w:eastAsia="zh-CN"/>
              </w:rPr>
              <w:t>099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8313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临床医学、中西医结合</w:t>
            </w:r>
          </w:p>
        </w:tc>
        <w:tc>
          <w:tcPr>
            <w:tcW w:w="1304" w:type="dxa"/>
            <w:vMerge w:val="continue"/>
            <w:tcBorders>
              <w:left w:val="single" w:color="auto" w:sz="4" w:space="0"/>
              <w:right w:val="single" w:color="auto" w:sz="4" w:space="0"/>
            </w:tcBorders>
            <w:shd w:val="clear" w:color="auto" w:fill="FFFFFF"/>
            <w:vAlign w:val="center"/>
          </w:tcPr>
          <w:p w14:paraId="188D41D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0F49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FC7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2439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师资博士后（代谢病研究院/西诊西内教研室）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EE109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77F047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BSH10</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0C96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中西医结合临床</w:t>
            </w:r>
          </w:p>
        </w:tc>
        <w:tc>
          <w:tcPr>
            <w:tcW w:w="1304" w:type="dxa"/>
            <w:vMerge w:val="continue"/>
            <w:tcBorders>
              <w:left w:val="single" w:color="auto" w:sz="4" w:space="0"/>
              <w:right w:val="single" w:color="auto" w:sz="4" w:space="0"/>
            </w:tcBorders>
            <w:shd w:val="clear" w:color="auto" w:fill="FFFFFF"/>
            <w:vAlign w:val="center"/>
          </w:tcPr>
          <w:p w14:paraId="3D74BA7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D129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EC8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7EB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师资博士后（中医妇科教研室）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3779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5A98EB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BSH10</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B1F1C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中医学、临床医学、中西医结合</w:t>
            </w:r>
          </w:p>
        </w:tc>
        <w:tc>
          <w:tcPr>
            <w:tcW w:w="1304" w:type="dxa"/>
            <w:vMerge w:val="continue"/>
            <w:tcBorders>
              <w:left w:val="single" w:color="auto" w:sz="4" w:space="0"/>
              <w:right w:val="single" w:color="auto" w:sz="4" w:space="0"/>
            </w:tcBorders>
            <w:shd w:val="clear" w:color="auto" w:fill="FFFFFF"/>
            <w:vAlign w:val="center"/>
          </w:tcPr>
          <w:p w14:paraId="36E9FB1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9A28D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5CA7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133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师资博士后（男科教研室）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F25C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92564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BEFE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sz w:val="21"/>
                <w:szCs w:val="21"/>
              </w:rPr>
            </w:pPr>
            <w:r>
              <w:rPr>
                <w:rStyle w:val="42"/>
                <w:rFonts w:hint="default" w:ascii="Times New Roman" w:hAnsi="Times New Roman" w:cs="Times New Roman" w:eastAsiaTheme="minorEastAsia"/>
                <w:sz w:val="21"/>
                <w:szCs w:val="21"/>
                <w:lang w:val="en-US" w:eastAsia="zh-CN" w:bidi="ar"/>
              </w:rPr>
              <w:t>中医学、中西医结合、临床医学</w:t>
            </w:r>
          </w:p>
        </w:tc>
        <w:tc>
          <w:tcPr>
            <w:tcW w:w="1304" w:type="dxa"/>
            <w:vMerge w:val="continue"/>
            <w:tcBorders>
              <w:left w:val="single" w:color="auto" w:sz="4" w:space="0"/>
              <w:right w:val="single" w:color="auto" w:sz="4" w:space="0"/>
            </w:tcBorders>
            <w:shd w:val="clear" w:color="auto" w:fill="FFFFFF"/>
            <w:vAlign w:val="center"/>
          </w:tcPr>
          <w:p w14:paraId="3F415B8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E933B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0976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C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师资博士后（中医骨伤科学教研室）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98CE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auto"/>
            <w:vAlign w:val="center"/>
          </w:tcPr>
          <w:p w14:paraId="387651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BF031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中医学、临床医学</w:t>
            </w:r>
          </w:p>
        </w:tc>
        <w:tc>
          <w:tcPr>
            <w:tcW w:w="1304" w:type="dxa"/>
            <w:vMerge w:val="continue"/>
            <w:tcBorders>
              <w:left w:val="single" w:color="auto" w:sz="4" w:space="0"/>
              <w:right w:val="single" w:color="auto" w:sz="4" w:space="0"/>
            </w:tcBorders>
            <w:shd w:val="clear" w:color="auto" w:fill="FFFFFF"/>
            <w:vAlign w:val="center"/>
          </w:tcPr>
          <w:p w14:paraId="514137A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098A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773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005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师资博士后（急诊学教研室）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797B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1140" w:type="dxa"/>
            <w:tcBorders>
              <w:top w:val="single" w:color="auto" w:sz="4" w:space="0"/>
              <w:left w:val="nil"/>
              <w:bottom w:val="single" w:color="auto" w:sz="4" w:space="0"/>
              <w:right w:val="nil"/>
            </w:tcBorders>
            <w:shd w:val="clear" w:color="auto" w:fill="auto"/>
            <w:vAlign w:val="center"/>
          </w:tcPr>
          <w:p w14:paraId="0248A7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6DC9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中医学、中西医结合、临床医学</w:t>
            </w:r>
          </w:p>
        </w:tc>
        <w:tc>
          <w:tcPr>
            <w:tcW w:w="1304" w:type="dxa"/>
            <w:vMerge w:val="continue"/>
            <w:tcBorders>
              <w:left w:val="single" w:color="auto" w:sz="4" w:space="0"/>
              <w:right w:val="single" w:color="auto" w:sz="4" w:space="0"/>
            </w:tcBorders>
            <w:shd w:val="clear" w:color="auto" w:fill="FFFFFF"/>
            <w:vAlign w:val="center"/>
          </w:tcPr>
          <w:p w14:paraId="1CD3D47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69D4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2448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FDE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师资博士后（西外教研室）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5130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95C3A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0A16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临床医学</w:t>
            </w:r>
          </w:p>
        </w:tc>
        <w:tc>
          <w:tcPr>
            <w:tcW w:w="1304" w:type="dxa"/>
            <w:vMerge w:val="continue"/>
            <w:tcBorders>
              <w:left w:val="single" w:color="auto" w:sz="4" w:space="0"/>
              <w:right w:val="single" w:color="auto" w:sz="4" w:space="0"/>
            </w:tcBorders>
            <w:shd w:val="clear" w:color="auto" w:fill="FFFFFF"/>
            <w:vAlign w:val="center"/>
          </w:tcPr>
          <w:p w14:paraId="6F25D15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5CC6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77BB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976B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师资博士后（眼科教研室）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904E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40FF7D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8563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临床医学、中医学、中西医结合</w:t>
            </w:r>
          </w:p>
        </w:tc>
        <w:tc>
          <w:tcPr>
            <w:tcW w:w="1304" w:type="dxa"/>
            <w:vMerge w:val="continue"/>
            <w:tcBorders>
              <w:left w:val="single" w:color="auto" w:sz="4" w:space="0"/>
              <w:right w:val="single" w:color="auto" w:sz="4" w:space="0"/>
            </w:tcBorders>
            <w:shd w:val="clear" w:color="auto" w:fill="FFFFFF"/>
            <w:vAlign w:val="center"/>
          </w:tcPr>
          <w:p w14:paraId="14C27E6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A210A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0292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A9F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师资博士后（中医内分泌代谢性疾病研究所）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48A7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485D7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80BB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中医学、中西医结合</w:t>
            </w:r>
          </w:p>
        </w:tc>
        <w:tc>
          <w:tcPr>
            <w:tcW w:w="1304" w:type="dxa"/>
            <w:vMerge w:val="continue"/>
            <w:tcBorders>
              <w:left w:val="single" w:color="auto" w:sz="4" w:space="0"/>
              <w:right w:val="single" w:color="auto" w:sz="4" w:space="0"/>
            </w:tcBorders>
            <w:shd w:val="clear" w:color="auto" w:fill="FFFFFF"/>
            <w:vAlign w:val="center"/>
          </w:tcPr>
          <w:p w14:paraId="03E9E3D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2201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无</w:t>
            </w:r>
          </w:p>
        </w:tc>
      </w:tr>
      <w:tr w14:paraId="464C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6483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师资博士后（临床中药系/临床中药学教研室）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3980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737A2F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AB76B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中药学、临床中药学、方剂学、中医诊断学、中医内科学、中医儿科学、中西医结合基础</w:t>
            </w:r>
          </w:p>
        </w:tc>
        <w:tc>
          <w:tcPr>
            <w:tcW w:w="1304" w:type="dxa"/>
            <w:vMerge w:val="restart"/>
            <w:tcBorders>
              <w:left w:val="single" w:color="auto" w:sz="4" w:space="0"/>
              <w:right w:val="single" w:color="auto" w:sz="4" w:space="0"/>
            </w:tcBorders>
            <w:shd w:val="clear" w:color="auto" w:fill="FFFFFF"/>
            <w:vAlign w:val="center"/>
          </w:tcPr>
          <w:p w14:paraId="5C0D3DB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9829D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219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E90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师资博士后（临床中药学教研室/张廷模传承工作室）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8D0A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7A65E2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09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86A8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中医基础理论、中医临床基础、临床中药学</w:t>
            </w:r>
          </w:p>
        </w:tc>
        <w:tc>
          <w:tcPr>
            <w:tcW w:w="1304" w:type="dxa"/>
            <w:vMerge w:val="continue"/>
            <w:tcBorders>
              <w:left w:val="single" w:color="auto" w:sz="4" w:space="0"/>
              <w:right w:val="single" w:color="auto" w:sz="4" w:space="0"/>
            </w:tcBorders>
            <w:shd w:val="clear" w:color="auto" w:fill="FFFFFF"/>
            <w:vAlign w:val="center"/>
          </w:tcPr>
          <w:p w14:paraId="28015B8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3589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00DA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E57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师资博士后（中药药理系/药理教研室）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C83E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5F0D32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BSH11</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70C8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药理学、临床医学、基础医学</w:t>
            </w:r>
          </w:p>
        </w:tc>
        <w:tc>
          <w:tcPr>
            <w:tcW w:w="1304" w:type="dxa"/>
            <w:vMerge w:val="continue"/>
            <w:tcBorders>
              <w:left w:val="single" w:color="auto" w:sz="4" w:space="0"/>
              <w:right w:val="single" w:color="auto" w:sz="4" w:space="0"/>
            </w:tcBorders>
            <w:shd w:val="clear" w:color="auto" w:fill="FFFFFF"/>
            <w:vAlign w:val="center"/>
          </w:tcPr>
          <w:p w14:paraId="5C20173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6B1E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6DA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39D5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师资博士后（中药化学系/中药分析教研室）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49C2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20D46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BSH11</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E674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中药学、药物分析化学、中药化学、中药分析、分析化学</w:t>
            </w:r>
          </w:p>
        </w:tc>
        <w:tc>
          <w:tcPr>
            <w:tcW w:w="1304" w:type="dxa"/>
            <w:vMerge w:val="continue"/>
            <w:tcBorders>
              <w:left w:val="single" w:color="auto" w:sz="4" w:space="0"/>
              <w:right w:val="single" w:color="auto" w:sz="4" w:space="0"/>
            </w:tcBorders>
            <w:shd w:val="clear" w:color="auto" w:fill="FFFFFF"/>
            <w:vAlign w:val="center"/>
          </w:tcPr>
          <w:p w14:paraId="4D35FF0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7915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44B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0B7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师资博士后（中医脑病研究所）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9BBED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57C958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5B8B0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中药学、临床中药学、中药药理学、中药资源学、中药化学、方剂学、中医诊断学、中医内科学、中医儿科学、中西医结合基础、生物化学与分子生物学、药理学</w:t>
            </w:r>
          </w:p>
        </w:tc>
        <w:tc>
          <w:tcPr>
            <w:tcW w:w="1304" w:type="dxa"/>
            <w:vMerge w:val="continue"/>
            <w:tcBorders>
              <w:left w:val="single" w:color="auto" w:sz="4" w:space="0"/>
              <w:right w:val="single" w:color="auto" w:sz="4" w:space="0"/>
            </w:tcBorders>
            <w:shd w:val="clear" w:color="auto" w:fill="FFFFFF"/>
            <w:vAlign w:val="center"/>
          </w:tcPr>
          <w:p w14:paraId="40EEA31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6038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Style w:val="42"/>
                <w:rFonts w:hint="default" w:ascii="Times New Roman" w:hAnsi="Times New Roman" w:cs="Times New Roman" w:eastAsiaTheme="minorEastAsia"/>
                <w:sz w:val="21"/>
                <w:szCs w:val="21"/>
                <w:lang w:val="en-US" w:eastAsia="zh-CN" w:bidi="ar"/>
              </w:rPr>
              <w:t>发表高水平</w:t>
            </w:r>
            <w:r>
              <w:rPr>
                <w:rStyle w:val="62"/>
                <w:rFonts w:hint="default" w:ascii="Times New Roman" w:hAnsi="Times New Roman" w:cs="Times New Roman" w:eastAsiaTheme="minorEastAsia"/>
                <w:sz w:val="21"/>
                <w:szCs w:val="21"/>
                <w:lang w:val="en-US" w:eastAsia="zh-CN" w:bidi="ar"/>
              </w:rPr>
              <w:t>SCI</w:t>
            </w:r>
            <w:r>
              <w:rPr>
                <w:rStyle w:val="42"/>
                <w:rFonts w:hint="default" w:ascii="Times New Roman" w:hAnsi="Times New Roman" w:cs="Times New Roman" w:eastAsiaTheme="minorEastAsia"/>
                <w:sz w:val="21"/>
                <w:szCs w:val="21"/>
                <w:lang w:val="en-US" w:eastAsia="zh-CN" w:bidi="ar"/>
              </w:rPr>
              <w:t>论文经验者优先</w:t>
            </w:r>
          </w:p>
        </w:tc>
      </w:tr>
      <w:tr w14:paraId="27D9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088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师资博士后（中医药防治慢病安全性及有效性研究所）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825F6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78478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F56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中药学、临床中药学、中药药理学、中药资源学、中药化学、中药药剂学</w:t>
            </w:r>
          </w:p>
        </w:tc>
        <w:tc>
          <w:tcPr>
            <w:tcW w:w="1304" w:type="dxa"/>
            <w:vMerge w:val="continue"/>
            <w:tcBorders>
              <w:left w:val="single" w:color="auto" w:sz="4" w:space="0"/>
              <w:right w:val="single" w:color="auto" w:sz="4" w:space="0"/>
            </w:tcBorders>
            <w:shd w:val="clear" w:color="auto" w:fill="FFFFFF"/>
            <w:vAlign w:val="center"/>
          </w:tcPr>
          <w:p w14:paraId="2632811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ADC28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2C2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85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师资博士后（中药创新制剂研究所）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8E18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317576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9E89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生物医学工程、药剂学、药理学、生物化学与分子生物学</w:t>
            </w:r>
          </w:p>
        </w:tc>
        <w:tc>
          <w:tcPr>
            <w:tcW w:w="1304" w:type="dxa"/>
            <w:vMerge w:val="continue"/>
            <w:tcBorders>
              <w:left w:val="single" w:color="auto" w:sz="4" w:space="0"/>
              <w:right w:val="single" w:color="auto" w:sz="4" w:space="0"/>
            </w:tcBorders>
            <w:shd w:val="clear" w:color="auto" w:fill="FFFFFF"/>
            <w:vAlign w:val="center"/>
          </w:tcPr>
          <w:p w14:paraId="29D6618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2EC9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Style w:val="42"/>
                <w:rFonts w:hint="default" w:ascii="Times New Roman" w:hAnsi="Times New Roman" w:cs="Times New Roman" w:eastAsiaTheme="minorEastAsia"/>
                <w:sz w:val="21"/>
                <w:szCs w:val="21"/>
                <w:lang w:val="en-US" w:eastAsia="zh-CN" w:bidi="ar"/>
              </w:rPr>
              <w:t>博士毕业于</w:t>
            </w:r>
            <w:r>
              <w:rPr>
                <w:rStyle w:val="62"/>
                <w:rFonts w:hint="default" w:ascii="Times New Roman" w:hAnsi="Times New Roman" w:cs="Times New Roman" w:eastAsiaTheme="minorEastAsia"/>
                <w:sz w:val="21"/>
                <w:szCs w:val="21"/>
                <w:lang w:val="en-US" w:eastAsia="zh-CN" w:bidi="ar"/>
              </w:rPr>
              <w:t>“</w:t>
            </w:r>
            <w:r>
              <w:rPr>
                <w:rStyle w:val="42"/>
                <w:rFonts w:hint="default" w:ascii="Times New Roman" w:hAnsi="Times New Roman" w:cs="Times New Roman" w:eastAsiaTheme="minorEastAsia"/>
                <w:sz w:val="21"/>
                <w:szCs w:val="21"/>
                <w:lang w:val="en-US" w:eastAsia="zh-CN" w:bidi="ar"/>
              </w:rPr>
              <w:t>双一流</w:t>
            </w:r>
            <w:r>
              <w:rPr>
                <w:rStyle w:val="62"/>
                <w:rFonts w:hint="default" w:ascii="Times New Roman" w:hAnsi="Times New Roman" w:cs="Times New Roman" w:eastAsiaTheme="minorEastAsia"/>
                <w:sz w:val="21"/>
                <w:szCs w:val="21"/>
                <w:lang w:val="en-US" w:eastAsia="zh-CN" w:bidi="ar"/>
              </w:rPr>
              <w:t>”</w:t>
            </w:r>
            <w:r>
              <w:rPr>
                <w:rStyle w:val="42"/>
                <w:rFonts w:hint="default" w:ascii="Times New Roman" w:hAnsi="Times New Roman" w:cs="Times New Roman" w:eastAsiaTheme="minorEastAsia"/>
                <w:sz w:val="21"/>
                <w:szCs w:val="21"/>
                <w:lang w:val="en-US" w:eastAsia="zh-CN" w:bidi="ar"/>
              </w:rPr>
              <w:t>学科高校</w:t>
            </w:r>
          </w:p>
        </w:tc>
      </w:tr>
      <w:tr w14:paraId="449C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2FE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师资博士后（药食两用中药研究研究所）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F4AD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5FFF00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3F82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中药学、药学等相关专业</w:t>
            </w:r>
          </w:p>
        </w:tc>
        <w:tc>
          <w:tcPr>
            <w:tcW w:w="1304" w:type="dxa"/>
            <w:vMerge w:val="restart"/>
            <w:tcBorders>
              <w:left w:val="single" w:color="auto" w:sz="4" w:space="0"/>
              <w:right w:val="single" w:color="auto" w:sz="4" w:space="0"/>
            </w:tcBorders>
            <w:shd w:val="clear" w:color="auto" w:fill="FFFFFF"/>
            <w:vAlign w:val="center"/>
          </w:tcPr>
          <w:p w14:paraId="746339C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DF24E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能从事中药鉴定学科的高级科研工作；优先引进高级人才</w:t>
            </w:r>
          </w:p>
        </w:tc>
      </w:tr>
      <w:tr w14:paraId="62A2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20B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师资博士后（DDND研究所）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F832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2270F1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8163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药物化学、药理学、药剂学</w:t>
            </w:r>
          </w:p>
        </w:tc>
        <w:tc>
          <w:tcPr>
            <w:tcW w:w="1304" w:type="dxa"/>
            <w:vMerge w:val="continue"/>
            <w:tcBorders>
              <w:left w:val="single" w:color="auto" w:sz="4" w:space="0"/>
              <w:right w:val="single" w:color="auto" w:sz="4" w:space="0"/>
            </w:tcBorders>
            <w:shd w:val="clear" w:color="auto" w:fill="FFFFFF"/>
            <w:vAlign w:val="center"/>
          </w:tcPr>
          <w:p w14:paraId="7077905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012B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6AF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99D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师资博士后（针灸基础教研室）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10AC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3145E74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5655D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针灸推拿学、中医学</w:t>
            </w:r>
          </w:p>
        </w:tc>
        <w:tc>
          <w:tcPr>
            <w:tcW w:w="1304" w:type="dxa"/>
            <w:vMerge w:val="continue"/>
            <w:tcBorders>
              <w:left w:val="single" w:color="auto" w:sz="4" w:space="0"/>
              <w:right w:val="single" w:color="auto" w:sz="4" w:space="0"/>
            </w:tcBorders>
            <w:shd w:val="clear" w:color="auto" w:fill="FFFFFF"/>
            <w:vAlign w:val="center"/>
          </w:tcPr>
          <w:p w14:paraId="5D2251E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1B143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49E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A5F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师资博士后（针灸学/美容教研室）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51DE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0DC75B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4B8A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针灸推拿学、中医学</w:t>
            </w:r>
          </w:p>
        </w:tc>
        <w:tc>
          <w:tcPr>
            <w:tcW w:w="1304" w:type="dxa"/>
            <w:vMerge w:val="continue"/>
            <w:tcBorders>
              <w:left w:val="single" w:color="auto" w:sz="4" w:space="0"/>
              <w:right w:val="single" w:color="auto" w:sz="4" w:space="0"/>
            </w:tcBorders>
            <w:shd w:val="clear" w:color="auto" w:fill="FFFFFF"/>
            <w:vAlign w:val="center"/>
          </w:tcPr>
          <w:p w14:paraId="549603A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25AFD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180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0AB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师资博士后（科研中心）</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CFCD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1AD401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19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8565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基础医学、中医学、分子生物学、细胞生物学等相关专业</w:t>
            </w:r>
          </w:p>
        </w:tc>
        <w:tc>
          <w:tcPr>
            <w:tcW w:w="1304" w:type="dxa"/>
            <w:vMerge w:val="continue"/>
            <w:tcBorders>
              <w:left w:val="single" w:color="auto" w:sz="4" w:space="0"/>
              <w:right w:val="single" w:color="auto" w:sz="4" w:space="0"/>
            </w:tcBorders>
            <w:shd w:val="clear" w:color="auto" w:fill="FFFFFF"/>
            <w:vAlign w:val="center"/>
          </w:tcPr>
          <w:p w14:paraId="04241B8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45F1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970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9AA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师资博士后（针灸与神经免疫研究所）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7653F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51F787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D20E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神经科学、医学免疫、生物信息学、循证医学、流行病学与统计学、计算机科学、针灸推拿学、基础医学等相关专业</w:t>
            </w:r>
          </w:p>
        </w:tc>
        <w:tc>
          <w:tcPr>
            <w:tcW w:w="1304" w:type="dxa"/>
            <w:vMerge w:val="continue"/>
            <w:tcBorders>
              <w:left w:val="single" w:color="auto" w:sz="4" w:space="0"/>
              <w:right w:val="single" w:color="auto" w:sz="4" w:space="0"/>
            </w:tcBorders>
            <w:shd w:val="clear" w:color="auto" w:fill="FFFFFF"/>
            <w:vAlign w:val="center"/>
          </w:tcPr>
          <w:p w14:paraId="479CF7F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A6DE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895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0A0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师资博士后（针灸脑科学研究院）</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2146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6C5DD7B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7D461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Style w:val="42"/>
                <w:rFonts w:hint="default" w:ascii="Times New Roman" w:hAnsi="Times New Roman" w:cs="Times New Roman" w:eastAsiaTheme="minorEastAsia"/>
                <w:sz w:val="21"/>
                <w:szCs w:val="21"/>
                <w:lang w:val="en-US" w:eastAsia="zh-CN" w:bidi="ar"/>
              </w:rPr>
              <w:t>神经科学、临床流行病与统计学、循证医学</w:t>
            </w:r>
          </w:p>
        </w:tc>
        <w:tc>
          <w:tcPr>
            <w:tcW w:w="1304" w:type="dxa"/>
            <w:vMerge w:val="continue"/>
            <w:tcBorders>
              <w:left w:val="single" w:color="auto" w:sz="4" w:space="0"/>
              <w:right w:val="single" w:color="auto" w:sz="4" w:space="0"/>
            </w:tcBorders>
            <w:shd w:val="clear" w:color="auto" w:fill="FFFFFF"/>
            <w:vAlign w:val="center"/>
          </w:tcPr>
          <w:p w14:paraId="0BC9A90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0F54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7C7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FCE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师资博士后（慢性疾病针灸防治研究院）</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CDA4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08C871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8B7F8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中医学，中西医结合，公共卫生与预防医学等相关专业</w:t>
            </w:r>
          </w:p>
        </w:tc>
        <w:tc>
          <w:tcPr>
            <w:tcW w:w="1304" w:type="dxa"/>
            <w:vMerge w:val="continue"/>
            <w:tcBorders>
              <w:left w:val="single" w:color="auto" w:sz="4" w:space="0"/>
              <w:right w:val="single" w:color="auto" w:sz="4" w:space="0"/>
            </w:tcBorders>
            <w:shd w:val="clear" w:color="auto" w:fill="FFFFFF"/>
            <w:vAlign w:val="center"/>
          </w:tcPr>
          <w:p w14:paraId="2186692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6AAD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Style w:val="42"/>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EAB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FBA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师资博士后（针灸与内稳态调节研究所）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2DF0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auto"/>
            <w:vAlign w:val="center"/>
          </w:tcPr>
          <w:p w14:paraId="2E6BD5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C1CD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Style w:val="42"/>
                <w:rFonts w:hint="default" w:ascii="Times New Roman" w:hAnsi="Times New Roman" w:cs="Times New Roman" w:eastAsiaTheme="minorEastAsia"/>
                <w:sz w:val="21"/>
                <w:szCs w:val="21"/>
                <w:lang w:val="en-US" w:eastAsia="zh-CN" w:bidi="ar"/>
              </w:rPr>
              <w:t>医学相关类</w:t>
            </w:r>
          </w:p>
        </w:tc>
        <w:tc>
          <w:tcPr>
            <w:tcW w:w="1304" w:type="dxa"/>
            <w:vMerge w:val="continue"/>
            <w:tcBorders>
              <w:left w:val="single" w:color="auto" w:sz="4" w:space="0"/>
              <w:right w:val="single" w:color="auto" w:sz="4" w:space="0"/>
            </w:tcBorders>
            <w:shd w:val="clear" w:color="auto" w:fill="FFFFFF"/>
            <w:vAlign w:val="center"/>
          </w:tcPr>
          <w:p w14:paraId="4EDBC60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E8A61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有留学经验者优先</w:t>
            </w:r>
          </w:p>
        </w:tc>
      </w:tr>
      <w:tr w14:paraId="201D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E87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师资博士后（重点实验室）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EA6B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73293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BSH1</w:t>
            </w:r>
            <w:r>
              <w:rPr>
                <w:rFonts w:hint="eastAsia" w:ascii="Times New Roman" w:hAnsi="Times New Roman" w:cs="Times New Roman" w:eastAsiaTheme="minorEastAsia"/>
                <w:i w:val="0"/>
                <w:iCs w:val="0"/>
                <w:color w:val="000000"/>
                <w:kern w:val="0"/>
                <w:sz w:val="21"/>
                <w:szCs w:val="21"/>
                <w:u w:val="none"/>
                <w:lang w:val="en-US" w:eastAsia="zh-CN" w:bidi="ar"/>
              </w:rPr>
              <w:t>24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F1A7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光学工程</w:t>
            </w:r>
          </w:p>
        </w:tc>
        <w:tc>
          <w:tcPr>
            <w:tcW w:w="1304" w:type="dxa"/>
            <w:vMerge w:val="continue"/>
            <w:tcBorders>
              <w:left w:val="single" w:color="auto" w:sz="4" w:space="0"/>
              <w:right w:val="single" w:color="auto" w:sz="4" w:space="0"/>
            </w:tcBorders>
            <w:shd w:val="clear" w:color="auto" w:fill="FFFFFF"/>
            <w:vAlign w:val="center"/>
          </w:tcPr>
          <w:p w14:paraId="09C8B21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EDBF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D56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748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师资博士后（国医大师工作室）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36CA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B2F5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BSH1</w:t>
            </w:r>
            <w:r>
              <w:rPr>
                <w:rFonts w:hint="eastAsia" w:ascii="Times New Roman" w:hAnsi="Times New Roman" w:cs="Times New Roman" w:eastAsiaTheme="minorEastAsia"/>
                <w:i w:val="0"/>
                <w:iCs w:val="0"/>
                <w:color w:val="000000"/>
                <w:kern w:val="0"/>
                <w:sz w:val="21"/>
                <w:szCs w:val="21"/>
                <w:u w:val="none"/>
                <w:lang w:val="en-US" w:eastAsia="zh-CN" w:bidi="ar"/>
              </w:rPr>
              <w:t>25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9E7F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中医眼科学</w:t>
            </w:r>
          </w:p>
        </w:tc>
        <w:tc>
          <w:tcPr>
            <w:tcW w:w="1304" w:type="dxa"/>
            <w:vMerge w:val="continue"/>
            <w:tcBorders>
              <w:left w:val="single" w:color="auto" w:sz="4" w:space="0"/>
              <w:right w:val="single" w:color="auto" w:sz="4" w:space="0"/>
            </w:tcBorders>
            <w:shd w:val="clear" w:color="auto" w:fill="FFFFFF"/>
            <w:vAlign w:val="center"/>
          </w:tcPr>
          <w:p w14:paraId="573A6232">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9015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12B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199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师资博士后（康复医学教研室）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8A9DF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36FF90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4C221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康复医学与理疗学</w:t>
            </w:r>
          </w:p>
        </w:tc>
        <w:tc>
          <w:tcPr>
            <w:tcW w:w="1304" w:type="dxa"/>
            <w:vMerge w:val="restart"/>
            <w:tcBorders>
              <w:left w:val="single" w:color="auto" w:sz="4" w:space="0"/>
              <w:right w:val="single" w:color="auto" w:sz="4" w:space="0"/>
            </w:tcBorders>
            <w:shd w:val="clear" w:color="auto" w:fill="FFFFFF"/>
            <w:vAlign w:val="center"/>
          </w:tcPr>
          <w:p w14:paraId="0DAA859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D597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E8C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DBA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师资博士后（嘌呤信号研究院（长江学者团队））</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82CD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FFFFFF"/>
            <w:vAlign w:val="center"/>
          </w:tcPr>
          <w:p w14:paraId="4A8530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CC38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生命科学、中医学、中药学等相关专业</w:t>
            </w:r>
          </w:p>
        </w:tc>
        <w:tc>
          <w:tcPr>
            <w:tcW w:w="1304" w:type="dxa"/>
            <w:vMerge w:val="continue"/>
            <w:tcBorders>
              <w:left w:val="single" w:color="auto" w:sz="4" w:space="0"/>
              <w:right w:val="single" w:color="auto" w:sz="4" w:space="0"/>
            </w:tcBorders>
            <w:shd w:val="clear" w:color="auto" w:fill="FFFFFF"/>
            <w:vAlign w:val="center"/>
          </w:tcPr>
          <w:p w14:paraId="1BDE78F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C7C5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6166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0A9D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师资博士后（养生治未病研究所）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19A3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7386F4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308F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中医养生学</w:t>
            </w:r>
          </w:p>
        </w:tc>
        <w:tc>
          <w:tcPr>
            <w:tcW w:w="1304" w:type="dxa"/>
            <w:vMerge w:val="continue"/>
            <w:tcBorders>
              <w:left w:val="single" w:color="auto" w:sz="4" w:space="0"/>
              <w:right w:val="single" w:color="auto" w:sz="4" w:space="0"/>
            </w:tcBorders>
            <w:shd w:val="clear" w:color="auto" w:fill="FFFFFF"/>
            <w:vAlign w:val="center"/>
          </w:tcPr>
          <w:p w14:paraId="1352C31E">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D8015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SCI</w:t>
            </w:r>
            <w:r>
              <w:rPr>
                <w:rStyle w:val="42"/>
                <w:rFonts w:hint="default" w:ascii="Times New Roman" w:hAnsi="Times New Roman" w:cs="Times New Roman" w:eastAsiaTheme="minorEastAsia"/>
                <w:sz w:val="21"/>
                <w:szCs w:val="21"/>
                <w:lang w:val="en-US" w:eastAsia="zh-CN" w:bidi="ar"/>
              </w:rPr>
              <w:t>二区（中科院分区，</w:t>
            </w:r>
            <w:r>
              <w:rPr>
                <w:rStyle w:val="62"/>
                <w:rFonts w:hint="default" w:ascii="Times New Roman" w:hAnsi="Times New Roman" w:cs="Times New Roman" w:eastAsiaTheme="minorEastAsia"/>
                <w:sz w:val="21"/>
                <w:szCs w:val="21"/>
                <w:lang w:val="en-US" w:eastAsia="zh-CN" w:bidi="ar"/>
              </w:rPr>
              <w:t>IF≥5</w:t>
            </w:r>
            <w:r>
              <w:rPr>
                <w:rStyle w:val="42"/>
                <w:rFonts w:hint="default" w:ascii="Times New Roman" w:hAnsi="Times New Roman" w:cs="Times New Roman" w:eastAsiaTheme="minorEastAsia"/>
                <w:sz w:val="21"/>
                <w:szCs w:val="21"/>
                <w:lang w:val="en-US" w:eastAsia="zh-CN" w:bidi="ar"/>
              </w:rPr>
              <w:t>）</w:t>
            </w:r>
            <w:r>
              <w:rPr>
                <w:rStyle w:val="62"/>
                <w:rFonts w:hint="default" w:ascii="Times New Roman" w:hAnsi="Times New Roman" w:cs="Times New Roman" w:eastAsiaTheme="minorEastAsia"/>
                <w:sz w:val="21"/>
                <w:szCs w:val="21"/>
                <w:lang w:val="en-US" w:eastAsia="zh-CN" w:bidi="ar"/>
              </w:rPr>
              <w:t>1</w:t>
            </w:r>
            <w:r>
              <w:rPr>
                <w:rStyle w:val="42"/>
                <w:rFonts w:hint="default" w:ascii="Times New Roman" w:hAnsi="Times New Roman" w:cs="Times New Roman" w:eastAsiaTheme="minorEastAsia"/>
                <w:sz w:val="21"/>
                <w:szCs w:val="21"/>
                <w:lang w:val="en-US" w:eastAsia="zh-CN" w:bidi="ar"/>
              </w:rPr>
              <w:t>篇；获得过国家一级学会</w:t>
            </w:r>
            <w:r>
              <w:rPr>
                <w:rStyle w:val="62"/>
                <w:rFonts w:hint="default" w:ascii="Times New Roman" w:hAnsi="Times New Roman" w:cs="Times New Roman" w:eastAsiaTheme="minorEastAsia"/>
                <w:sz w:val="21"/>
                <w:szCs w:val="21"/>
                <w:lang w:val="en-US" w:eastAsia="zh-CN" w:bidi="ar"/>
              </w:rPr>
              <w:t>/</w:t>
            </w:r>
            <w:r>
              <w:rPr>
                <w:rStyle w:val="42"/>
                <w:rFonts w:hint="default" w:ascii="Times New Roman" w:hAnsi="Times New Roman" w:cs="Times New Roman" w:eastAsiaTheme="minorEastAsia"/>
                <w:sz w:val="21"/>
                <w:szCs w:val="21"/>
                <w:lang w:val="en-US" w:eastAsia="zh-CN" w:bidi="ar"/>
              </w:rPr>
              <w:t>协会科学技术进步奖二等奖及以上（排名前</w:t>
            </w:r>
            <w:r>
              <w:rPr>
                <w:rStyle w:val="62"/>
                <w:rFonts w:hint="default" w:ascii="Times New Roman" w:hAnsi="Times New Roman" w:cs="Times New Roman" w:eastAsiaTheme="minorEastAsia"/>
                <w:sz w:val="21"/>
                <w:szCs w:val="21"/>
                <w:lang w:val="en-US" w:eastAsia="zh-CN" w:bidi="ar"/>
              </w:rPr>
              <w:t>7</w:t>
            </w:r>
            <w:r>
              <w:rPr>
                <w:rStyle w:val="42"/>
                <w:rFonts w:hint="default" w:ascii="Times New Roman" w:hAnsi="Times New Roman" w:cs="Times New Roman" w:eastAsiaTheme="minorEastAsia"/>
                <w:sz w:val="21"/>
                <w:szCs w:val="21"/>
                <w:lang w:val="en-US" w:eastAsia="zh-CN" w:bidi="ar"/>
              </w:rPr>
              <w:t>）；博士在读期间获得过学业奖学金一等奖；参与过国家级课题</w:t>
            </w:r>
            <w:r>
              <w:rPr>
                <w:rStyle w:val="62"/>
                <w:rFonts w:hint="default" w:ascii="Times New Roman" w:hAnsi="Times New Roman" w:cs="Times New Roman" w:eastAsiaTheme="minorEastAsia"/>
                <w:sz w:val="21"/>
                <w:szCs w:val="21"/>
                <w:lang w:val="en-US" w:eastAsia="zh-CN" w:bidi="ar"/>
              </w:rPr>
              <w:t>1</w:t>
            </w:r>
            <w:r>
              <w:rPr>
                <w:rStyle w:val="42"/>
                <w:rFonts w:hint="default" w:ascii="Times New Roman" w:hAnsi="Times New Roman" w:cs="Times New Roman" w:eastAsiaTheme="minorEastAsia"/>
                <w:sz w:val="21"/>
                <w:szCs w:val="21"/>
                <w:lang w:val="en-US" w:eastAsia="zh-CN" w:bidi="ar"/>
              </w:rPr>
              <w:t>项；持有执业医师证等优先</w:t>
            </w:r>
          </w:p>
        </w:tc>
      </w:tr>
      <w:tr w14:paraId="4B04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3983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师资博士后（藏医教研室）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2DF7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0E245D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29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85E6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民族医学（藏医学）</w:t>
            </w:r>
          </w:p>
        </w:tc>
        <w:tc>
          <w:tcPr>
            <w:tcW w:w="1304" w:type="dxa"/>
            <w:vMerge w:val="continue"/>
            <w:tcBorders>
              <w:left w:val="single" w:color="auto" w:sz="4" w:space="0"/>
              <w:right w:val="single" w:color="auto" w:sz="4" w:space="0"/>
            </w:tcBorders>
            <w:shd w:val="clear" w:color="auto" w:fill="FFFFFF"/>
            <w:vAlign w:val="center"/>
          </w:tcPr>
          <w:p w14:paraId="48EA826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B7ED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B31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551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师资博士后（藏药学教研室）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CB5F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58D989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BSH13</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E282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中药学、分析化学、生物学、信息学等相关专业</w:t>
            </w:r>
          </w:p>
        </w:tc>
        <w:tc>
          <w:tcPr>
            <w:tcW w:w="1304" w:type="dxa"/>
            <w:vMerge w:val="continue"/>
            <w:tcBorders>
              <w:left w:val="single" w:color="auto" w:sz="4" w:space="0"/>
              <w:right w:val="single" w:color="auto" w:sz="4" w:space="0"/>
            </w:tcBorders>
            <w:shd w:val="clear" w:color="auto" w:fill="FFFFFF"/>
            <w:vAlign w:val="center"/>
          </w:tcPr>
          <w:p w14:paraId="244759B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D596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48BB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776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师资博士后（民族医药学术传承创新研究团队）</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98446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FFFFFF"/>
            <w:vAlign w:val="center"/>
          </w:tcPr>
          <w:p w14:paraId="280F8B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BSH13</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BB0D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中药学、药学、药物化学、分析化学、生物学、医学、中医学、中西医结合、信息学等相关专业</w:t>
            </w:r>
          </w:p>
        </w:tc>
        <w:tc>
          <w:tcPr>
            <w:tcW w:w="1304" w:type="dxa"/>
            <w:vMerge w:val="continue"/>
            <w:tcBorders>
              <w:left w:val="single" w:color="auto" w:sz="4" w:space="0"/>
              <w:right w:val="single" w:color="auto" w:sz="4" w:space="0"/>
            </w:tcBorders>
            <w:shd w:val="clear" w:color="auto" w:fill="FFFFFF"/>
            <w:vAlign w:val="center"/>
          </w:tcPr>
          <w:p w14:paraId="3F05A22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1A0B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757D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DFF2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师资博士后（外科学教研室）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B5DF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38698D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B078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外科学</w:t>
            </w:r>
          </w:p>
        </w:tc>
        <w:tc>
          <w:tcPr>
            <w:tcW w:w="1304" w:type="dxa"/>
            <w:vMerge w:val="continue"/>
            <w:tcBorders>
              <w:left w:val="single" w:color="auto" w:sz="4" w:space="0"/>
              <w:right w:val="single" w:color="auto" w:sz="4" w:space="0"/>
            </w:tcBorders>
            <w:shd w:val="clear" w:color="auto" w:fill="FFFFFF"/>
            <w:vAlign w:val="center"/>
          </w:tcPr>
          <w:p w14:paraId="79808A2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36A9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DC9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640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师资博士后（内科学教研室）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91B2C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B3C35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D55A9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内科学</w:t>
            </w:r>
          </w:p>
        </w:tc>
        <w:tc>
          <w:tcPr>
            <w:tcW w:w="1304" w:type="dxa"/>
            <w:vMerge w:val="continue"/>
            <w:tcBorders>
              <w:left w:val="single" w:color="auto" w:sz="4" w:space="0"/>
              <w:right w:val="single" w:color="auto" w:sz="4" w:space="0"/>
            </w:tcBorders>
            <w:shd w:val="clear" w:color="auto" w:fill="FFFFFF"/>
            <w:vAlign w:val="center"/>
          </w:tcPr>
          <w:p w14:paraId="6A06F54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EE1D6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7E0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23E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师资博士后（诊断学教研室）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3F88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5F05D8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EE87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内科学</w:t>
            </w:r>
          </w:p>
        </w:tc>
        <w:tc>
          <w:tcPr>
            <w:tcW w:w="1304" w:type="dxa"/>
            <w:vMerge w:val="continue"/>
            <w:tcBorders>
              <w:left w:val="single" w:color="auto" w:sz="4" w:space="0"/>
              <w:right w:val="single" w:color="auto" w:sz="4" w:space="0"/>
            </w:tcBorders>
            <w:shd w:val="clear" w:color="auto" w:fill="FFFFFF"/>
            <w:vAlign w:val="center"/>
          </w:tcPr>
          <w:p w14:paraId="2571B0D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DDA6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7AF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BC59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师资博士后（儿科学教研室）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FA686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583601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BSH1</w:t>
            </w:r>
            <w:r>
              <w:rPr>
                <w:rFonts w:hint="eastAsia" w:ascii="Times New Roman" w:hAnsi="Times New Roman" w:cs="Times New Roman" w:eastAsiaTheme="minorEastAsia"/>
                <w:i w:val="0"/>
                <w:iCs w:val="0"/>
                <w:color w:val="000000"/>
                <w:kern w:val="0"/>
                <w:sz w:val="21"/>
                <w:szCs w:val="21"/>
                <w:u w:val="none"/>
                <w:lang w:val="en-US" w:eastAsia="zh-CN" w:bidi="ar"/>
              </w:rPr>
              <w:t>35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614E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儿科学</w:t>
            </w:r>
          </w:p>
        </w:tc>
        <w:tc>
          <w:tcPr>
            <w:tcW w:w="1304" w:type="dxa"/>
            <w:vMerge w:val="continue"/>
            <w:tcBorders>
              <w:left w:val="single" w:color="auto" w:sz="4" w:space="0"/>
              <w:right w:val="single" w:color="auto" w:sz="4" w:space="0"/>
            </w:tcBorders>
            <w:shd w:val="clear" w:color="auto" w:fill="FFFFFF"/>
            <w:vAlign w:val="center"/>
          </w:tcPr>
          <w:p w14:paraId="6F521B0A">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5167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61C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2DA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师资博士后（附属第五人民医院）</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0B61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73BD9B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B946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临床医学</w:t>
            </w:r>
            <w:r>
              <w:rPr>
                <w:rStyle w:val="62"/>
                <w:rFonts w:hint="default" w:ascii="Times New Roman" w:hAnsi="Times New Roman" w:cs="Times New Roman" w:eastAsiaTheme="minorEastAsia"/>
                <w:sz w:val="21"/>
                <w:szCs w:val="21"/>
                <w:lang w:val="en-US" w:eastAsia="zh-CN" w:bidi="ar"/>
              </w:rPr>
              <w:br w:type="textWrapping"/>
            </w:r>
            <w:r>
              <w:rPr>
                <w:rStyle w:val="42"/>
                <w:rFonts w:hint="default" w:ascii="Times New Roman" w:hAnsi="Times New Roman" w:cs="Times New Roman" w:eastAsiaTheme="minorEastAsia"/>
                <w:sz w:val="21"/>
                <w:szCs w:val="21"/>
                <w:lang w:val="en-US" w:eastAsia="zh-CN" w:bidi="ar"/>
              </w:rPr>
              <w:t>（老年病学方向）</w:t>
            </w:r>
          </w:p>
        </w:tc>
        <w:tc>
          <w:tcPr>
            <w:tcW w:w="1304" w:type="dxa"/>
            <w:vMerge w:val="restart"/>
            <w:tcBorders>
              <w:left w:val="single" w:color="auto" w:sz="4" w:space="0"/>
              <w:right w:val="single" w:color="auto" w:sz="4" w:space="0"/>
            </w:tcBorders>
            <w:shd w:val="clear" w:color="auto" w:fill="FFFFFF"/>
            <w:vAlign w:val="center"/>
          </w:tcPr>
          <w:p w14:paraId="039B6F1F">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1A477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28C9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268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师资博士后（附属德阳市人民医院）</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2D62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D13F7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6541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外科学</w:t>
            </w:r>
          </w:p>
        </w:tc>
        <w:tc>
          <w:tcPr>
            <w:tcW w:w="1304" w:type="dxa"/>
            <w:vMerge w:val="continue"/>
            <w:tcBorders>
              <w:left w:val="single" w:color="auto" w:sz="4" w:space="0"/>
              <w:right w:val="single" w:color="auto" w:sz="4" w:space="0"/>
            </w:tcBorders>
            <w:shd w:val="clear" w:color="auto" w:fill="FFFFFF"/>
            <w:vAlign w:val="center"/>
          </w:tcPr>
          <w:p w14:paraId="1B7D250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D2E3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1F0A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8301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师资博士后（预防医学教研室）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BA80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05B88C8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56AA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预防医学</w:t>
            </w:r>
          </w:p>
        </w:tc>
        <w:tc>
          <w:tcPr>
            <w:tcW w:w="1304" w:type="dxa"/>
            <w:vMerge w:val="continue"/>
            <w:tcBorders>
              <w:left w:val="single" w:color="auto" w:sz="4" w:space="0"/>
              <w:right w:val="single" w:color="auto" w:sz="4" w:space="0"/>
            </w:tcBorders>
            <w:shd w:val="clear" w:color="auto" w:fill="FFFFFF"/>
            <w:vAlign w:val="center"/>
          </w:tcPr>
          <w:p w14:paraId="4E00DB27">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4206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34CE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214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师资博士后（流行病与卫生统计学）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0406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3159D1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39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E36AD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流行病与卫生统计学、循证医学、中医学、中药学</w:t>
            </w:r>
          </w:p>
        </w:tc>
        <w:tc>
          <w:tcPr>
            <w:tcW w:w="1304" w:type="dxa"/>
            <w:vMerge w:val="continue"/>
            <w:tcBorders>
              <w:left w:val="single" w:color="auto" w:sz="4" w:space="0"/>
              <w:right w:val="single" w:color="auto" w:sz="4" w:space="0"/>
            </w:tcBorders>
            <w:shd w:val="clear" w:color="auto" w:fill="FFFFFF"/>
            <w:vAlign w:val="center"/>
          </w:tcPr>
          <w:p w14:paraId="602F4FB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4D1A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040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3EA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师资博士后（微生物学及免疫教研室）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13D3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6455D09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BSH14</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83AF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医学检验、临床医学、基础医学</w:t>
            </w:r>
          </w:p>
        </w:tc>
        <w:tc>
          <w:tcPr>
            <w:tcW w:w="1304" w:type="dxa"/>
            <w:vMerge w:val="continue"/>
            <w:tcBorders>
              <w:left w:val="single" w:color="auto" w:sz="4" w:space="0"/>
              <w:right w:val="single" w:color="auto" w:sz="4" w:space="0"/>
            </w:tcBorders>
            <w:shd w:val="clear" w:color="auto" w:fill="FFFFFF"/>
            <w:vAlign w:val="center"/>
          </w:tcPr>
          <w:p w14:paraId="75AD58C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5436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5906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0B6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师资博士后（生物技术教研室）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F777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6C8137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BSH14</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5599E4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基础医学、生物学</w:t>
            </w:r>
          </w:p>
        </w:tc>
        <w:tc>
          <w:tcPr>
            <w:tcW w:w="1304" w:type="dxa"/>
            <w:vMerge w:val="continue"/>
            <w:tcBorders>
              <w:left w:val="single" w:color="auto" w:sz="4" w:space="0"/>
              <w:right w:val="single" w:color="auto" w:sz="4" w:space="0"/>
            </w:tcBorders>
            <w:shd w:val="clear" w:color="auto" w:fill="FFFFFF"/>
            <w:vAlign w:val="center"/>
          </w:tcPr>
          <w:p w14:paraId="251F844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B905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6FB2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CF1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师资博士后（生物学教研室）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1F7F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6752CB3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F486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动物学、植物学、基础医学</w:t>
            </w:r>
          </w:p>
        </w:tc>
        <w:tc>
          <w:tcPr>
            <w:tcW w:w="1304" w:type="dxa"/>
            <w:vMerge w:val="continue"/>
            <w:tcBorders>
              <w:left w:val="single" w:color="auto" w:sz="4" w:space="0"/>
              <w:right w:val="single" w:color="auto" w:sz="4" w:space="0"/>
            </w:tcBorders>
            <w:shd w:val="clear" w:color="auto" w:fill="FFFFFF"/>
            <w:vAlign w:val="center"/>
          </w:tcPr>
          <w:p w14:paraId="04A9B07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281A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6138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E7D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师资博士后（外科护理教研室）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9272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AD4DD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4369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护理学、外科学</w:t>
            </w:r>
          </w:p>
        </w:tc>
        <w:tc>
          <w:tcPr>
            <w:tcW w:w="1304" w:type="dxa"/>
            <w:vMerge w:val="continue"/>
            <w:tcBorders>
              <w:left w:val="single" w:color="auto" w:sz="4" w:space="0"/>
              <w:right w:val="single" w:color="auto" w:sz="4" w:space="0"/>
            </w:tcBorders>
            <w:shd w:val="clear" w:color="auto" w:fill="FFFFFF"/>
            <w:vAlign w:val="center"/>
          </w:tcPr>
          <w:p w14:paraId="08CF2E54">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442F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1.清华大学、北京大学、浙江大学、上海交通大学等ARWU排名前100的国内外高校</w:t>
            </w:r>
            <w:r>
              <w:rPr>
                <w:rFonts w:hint="default" w:ascii="Times New Roman" w:hAnsi="Times New Roman" w:cs="Times New Roman" w:eastAsiaTheme="minorEastAsia"/>
                <w:i w:val="0"/>
                <w:iCs w:val="0"/>
                <w:color w:val="000000"/>
                <w:kern w:val="0"/>
                <w:sz w:val="21"/>
                <w:szCs w:val="21"/>
                <w:u w:val="none"/>
                <w:lang w:val="en-US" w:eastAsia="zh-CN" w:bidi="ar"/>
              </w:rPr>
              <w:br w:type="textWrapping"/>
            </w:r>
            <w:r>
              <w:rPr>
                <w:rFonts w:hint="default" w:ascii="Times New Roman" w:hAnsi="Times New Roman" w:cs="Times New Roman" w:eastAsiaTheme="minorEastAsia"/>
                <w:i w:val="0"/>
                <w:iCs w:val="0"/>
                <w:color w:val="000000"/>
                <w:kern w:val="0"/>
                <w:sz w:val="21"/>
                <w:szCs w:val="21"/>
                <w:u w:val="none"/>
                <w:lang w:val="en-US" w:eastAsia="zh-CN" w:bidi="ar"/>
              </w:rPr>
              <w:t>2.护理学（本科、硕士或博士任一阶段为护理学均可）、外科学（本科须为临床医学）</w:t>
            </w:r>
          </w:p>
        </w:tc>
      </w:tr>
      <w:tr w14:paraId="7DA3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9F8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师资博士后（人文护理教研室）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6A6F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0D253C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E4574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护理学、临床医学、基础医学、中医学、中西医结合、</w:t>
            </w:r>
            <w:r>
              <w:rPr>
                <w:rStyle w:val="62"/>
                <w:rFonts w:hint="default" w:ascii="Times New Roman" w:hAnsi="Times New Roman" w:cs="Times New Roman" w:eastAsiaTheme="minorEastAsia"/>
                <w:sz w:val="21"/>
                <w:szCs w:val="21"/>
                <w:lang w:val="en-US" w:eastAsia="zh-CN" w:bidi="ar"/>
              </w:rPr>
              <w:t xml:space="preserve"> </w:t>
            </w:r>
            <w:r>
              <w:rPr>
                <w:rStyle w:val="42"/>
                <w:rFonts w:hint="default" w:ascii="Times New Roman" w:hAnsi="Times New Roman" w:cs="Times New Roman" w:eastAsiaTheme="minorEastAsia"/>
                <w:sz w:val="21"/>
                <w:szCs w:val="21"/>
                <w:lang w:val="en-US" w:eastAsia="zh-CN" w:bidi="ar"/>
              </w:rPr>
              <w:t>公共卫生、心理学、生命科学、人工智能、材料学、信息科学</w:t>
            </w:r>
          </w:p>
        </w:tc>
        <w:tc>
          <w:tcPr>
            <w:tcW w:w="1304" w:type="dxa"/>
            <w:vMerge w:val="continue"/>
            <w:tcBorders>
              <w:left w:val="single" w:color="auto" w:sz="4" w:space="0"/>
              <w:right w:val="single" w:color="auto" w:sz="4" w:space="0"/>
            </w:tcBorders>
            <w:shd w:val="clear" w:color="auto" w:fill="FFFFFF"/>
            <w:vAlign w:val="center"/>
          </w:tcPr>
          <w:p w14:paraId="766817E8">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BC634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4AEE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0B55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师资博士后（中医护理教研室）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0E82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34B489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3A26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中医学、中西医结合、护理学、临床医学、基础医学、</w:t>
            </w:r>
            <w:r>
              <w:rPr>
                <w:rStyle w:val="62"/>
                <w:rFonts w:hint="default" w:ascii="Times New Roman" w:hAnsi="Times New Roman" w:cs="Times New Roman" w:eastAsiaTheme="minorEastAsia"/>
                <w:sz w:val="21"/>
                <w:szCs w:val="21"/>
                <w:lang w:val="en-US" w:eastAsia="zh-CN" w:bidi="ar"/>
              </w:rPr>
              <w:t xml:space="preserve"> </w:t>
            </w:r>
            <w:r>
              <w:rPr>
                <w:rStyle w:val="42"/>
                <w:rFonts w:hint="default" w:ascii="Times New Roman" w:hAnsi="Times New Roman" w:cs="Times New Roman" w:eastAsiaTheme="minorEastAsia"/>
                <w:sz w:val="21"/>
                <w:szCs w:val="21"/>
                <w:lang w:val="en-US" w:eastAsia="zh-CN" w:bidi="ar"/>
              </w:rPr>
              <w:t>公共卫生、心理学、生命科学、人工智能、材料学、信息科学</w:t>
            </w:r>
          </w:p>
        </w:tc>
        <w:tc>
          <w:tcPr>
            <w:tcW w:w="1304" w:type="dxa"/>
            <w:vMerge w:val="restart"/>
            <w:tcBorders>
              <w:left w:val="single" w:color="auto" w:sz="4" w:space="0"/>
              <w:right w:val="single" w:color="auto" w:sz="4" w:space="0"/>
            </w:tcBorders>
            <w:shd w:val="clear" w:color="auto" w:fill="FFFFFF"/>
            <w:vAlign w:val="center"/>
          </w:tcPr>
          <w:p w14:paraId="49F027C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6E9C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5EBB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80C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师资博士后（智能医学与计算数学教研室）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9D14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11F537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B02D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数学</w:t>
            </w:r>
          </w:p>
        </w:tc>
        <w:tc>
          <w:tcPr>
            <w:tcW w:w="1304" w:type="dxa"/>
            <w:vMerge w:val="continue"/>
            <w:tcBorders>
              <w:left w:val="single" w:color="auto" w:sz="4" w:space="0"/>
              <w:right w:val="single" w:color="auto" w:sz="4" w:space="0"/>
            </w:tcBorders>
            <w:shd w:val="clear" w:color="auto" w:fill="FFFFFF"/>
            <w:vAlign w:val="center"/>
          </w:tcPr>
          <w:p w14:paraId="640D31ED">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28E13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793B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CD5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师资博士后（硬件与应用物理学）</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9197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439C160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2765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物理学、材料科学相关专业</w:t>
            </w:r>
          </w:p>
        </w:tc>
        <w:tc>
          <w:tcPr>
            <w:tcW w:w="1304" w:type="dxa"/>
            <w:vMerge w:val="continue"/>
            <w:tcBorders>
              <w:left w:val="single" w:color="auto" w:sz="4" w:space="0"/>
              <w:right w:val="single" w:color="auto" w:sz="4" w:space="0"/>
            </w:tcBorders>
            <w:shd w:val="clear" w:color="auto" w:fill="FFFFFF"/>
            <w:vAlign w:val="center"/>
          </w:tcPr>
          <w:p w14:paraId="0045619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60BE0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1FC9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9EF1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师资博士后（计算机基础及软件教研室）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06D878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2A6CAC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D45D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计算机相关专业；控制科学与工程、电子科学与技术、信息与通信工程、光化学工程等相关专业</w:t>
            </w:r>
          </w:p>
        </w:tc>
        <w:tc>
          <w:tcPr>
            <w:tcW w:w="1304" w:type="dxa"/>
            <w:vMerge w:val="continue"/>
            <w:tcBorders>
              <w:left w:val="single" w:color="auto" w:sz="4" w:space="0"/>
              <w:right w:val="single" w:color="auto" w:sz="4" w:space="0"/>
            </w:tcBorders>
            <w:shd w:val="clear" w:color="auto" w:fill="FFFFFF"/>
            <w:vAlign w:val="center"/>
          </w:tcPr>
          <w:p w14:paraId="4468F471">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ADC6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清华大学、北京大学、浙江大学、上海交通大学等ARWU排名前100的国内外高校</w:t>
            </w:r>
          </w:p>
        </w:tc>
      </w:tr>
      <w:tr w14:paraId="568B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8A7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师资博士后（证候芯片研究中心）</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66314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27559C9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49</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30FA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计算机科学与技术、软件工程、生物医学工程、中医学</w:t>
            </w:r>
          </w:p>
        </w:tc>
        <w:tc>
          <w:tcPr>
            <w:tcW w:w="1304" w:type="dxa"/>
            <w:vMerge w:val="continue"/>
            <w:tcBorders>
              <w:left w:val="single" w:color="auto" w:sz="4" w:space="0"/>
              <w:right w:val="single" w:color="auto" w:sz="4" w:space="0"/>
            </w:tcBorders>
            <w:shd w:val="clear" w:color="auto" w:fill="FFFFFF"/>
            <w:vAlign w:val="center"/>
          </w:tcPr>
          <w:p w14:paraId="42F0D949">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5F29A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D5E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549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师资博士后（中医文化教研室）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3B71F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13CE6B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BSH15</w:t>
            </w:r>
            <w:r>
              <w:rPr>
                <w:rFonts w:hint="eastAsia" w:ascii="Times New Roman" w:hAnsi="Times New Roman" w:cs="Times New Roman" w:eastAsiaTheme="minorEastAsia"/>
                <w:kern w:val="0"/>
                <w:sz w:val="21"/>
                <w:szCs w:val="21"/>
                <w:lang w:val="en-US" w:eastAsia="zh-CN"/>
              </w:rPr>
              <w:t>0</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86A1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中医文献学、中医文化学等相关专业</w:t>
            </w:r>
          </w:p>
        </w:tc>
        <w:tc>
          <w:tcPr>
            <w:tcW w:w="1304" w:type="dxa"/>
            <w:vMerge w:val="continue"/>
            <w:tcBorders>
              <w:left w:val="single" w:color="auto" w:sz="4" w:space="0"/>
              <w:right w:val="single" w:color="auto" w:sz="4" w:space="0"/>
            </w:tcBorders>
            <w:shd w:val="clear" w:color="auto" w:fill="FFFFFF"/>
            <w:vAlign w:val="center"/>
          </w:tcPr>
          <w:p w14:paraId="2D1FE35E">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A5B9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15BF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1F79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师资博士后（中医历史研究所）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2A78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07CAFB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BSH15</w:t>
            </w:r>
            <w:r>
              <w:rPr>
                <w:rFonts w:hint="eastAsia" w:ascii="Times New Roman" w:hAnsi="Times New Roman" w:cs="Times New Roman" w:eastAsiaTheme="minorEastAsia"/>
                <w:kern w:val="0"/>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223B8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中医学、考古学、中国语言文学</w:t>
            </w:r>
          </w:p>
        </w:tc>
        <w:tc>
          <w:tcPr>
            <w:tcW w:w="1304" w:type="dxa"/>
            <w:vMerge w:val="continue"/>
            <w:tcBorders>
              <w:left w:val="single" w:color="auto" w:sz="4" w:space="0"/>
              <w:right w:val="single" w:color="auto" w:sz="4" w:space="0"/>
            </w:tcBorders>
            <w:shd w:val="clear" w:color="auto" w:fill="FFFFFF"/>
            <w:vAlign w:val="center"/>
          </w:tcPr>
          <w:p w14:paraId="1E36BF30">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2099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F2E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61B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师资博士后（出土医学文献文物保护研究数字实验室）</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90B7F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1140" w:type="dxa"/>
            <w:tcBorders>
              <w:top w:val="single" w:color="auto" w:sz="4" w:space="0"/>
              <w:left w:val="nil"/>
              <w:bottom w:val="single" w:color="auto" w:sz="4" w:space="0"/>
              <w:right w:val="nil"/>
            </w:tcBorders>
            <w:shd w:val="clear" w:color="auto" w:fill="FFFFFF"/>
            <w:vAlign w:val="center"/>
          </w:tcPr>
          <w:p w14:paraId="4AF03A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52</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7A7F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哲学、文学、历史学、中医学、医学信息学等相关专业</w:t>
            </w:r>
          </w:p>
        </w:tc>
        <w:tc>
          <w:tcPr>
            <w:tcW w:w="1304" w:type="dxa"/>
            <w:vMerge w:val="continue"/>
            <w:tcBorders>
              <w:left w:val="single" w:color="auto" w:sz="4" w:space="0"/>
              <w:right w:val="single" w:color="auto" w:sz="4" w:space="0"/>
            </w:tcBorders>
            <w:shd w:val="clear" w:color="auto" w:fill="FFFFFF"/>
            <w:vAlign w:val="center"/>
          </w:tcPr>
          <w:p w14:paraId="17D06A9C">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2FB0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4AFF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46D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师资博士后（中药及民族药新药发现与创新研究所）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2D85B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60CFF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BSH1</w:t>
            </w:r>
            <w:r>
              <w:rPr>
                <w:rFonts w:hint="eastAsia" w:ascii="Times New Roman" w:hAnsi="Times New Roman" w:cs="Times New Roman" w:eastAsiaTheme="minorEastAsia"/>
                <w:i w:val="0"/>
                <w:iCs w:val="0"/>
                <w:color w:val="000000"/>
                <w:kern w:val="0"/>
                <w:sz w:val="21"/>
                <w:szCs w:val="21"/>
                <w:u w:val="none"/>
                <w:lang w:val="en-US" w:eastAsia="zh-CN" w:bidi="ar"/>
              </w:rPr>
              <w:t>53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342AF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中药学、药学、生物学、医学、中医学、中西医结合、信息学等相关专业</w:t>
            </w:r>
          </w:p>
        </w:tc>
        <w:tc>
          <w:tcPr>
            <w:tcW w:w="1304" w:type="dxa"/>
            <w:vMerge w:val="continue"/>
            <w:tcBorders>
              <w:left w:val="single" w:color="auto" w:sz="4" w:space="0"/>
              <w:right w:val="single" w:color="auto" w:sz="4" w:space="0"/>
            </w:tcBorders>
            <w:shd w:val="clear" w:color="auto" w:fill="FFFFFF"/>
            <w:vAlign w:val="center"/>
          </w:tcPr>
          <w:p w14:paraId="052D1D5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02BB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762E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6D7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师资博士后（濒危药用动植物与前沿科学技术交叉研究所）</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3BB1B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1C8B8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BSH1</w:t>
            </w:r>
            <w:r>
              <w:rPr>
                <w:rFonts w:hint="eastAsia" w:ascii="Times New Roman" w:hAnsi="Times New Roman" w:cs="Times New Roman" w:eastAsiaTheme="minorEastAsia"/>
                <w:i w:val="0"/>
                <w:iCs w:val="0"/>
                <w:color w:val="000000"/>
                <w:kern w:val="0"/>
                <w:sz w:val="21"/>
                <w:szCs w:val="21"/>
                <w:u w:val="none"/>
                <w:lang w:val="en-US" w:eastAsia="zh-CN" w:bidi="ar"/>
              </w:rPr>
              <w:t>54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4A7D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生物学或生物技术方向</w:t>
            </w:r>
          </w:p>
        </w:tc>
        <w:tc>
          <w:tcPr>
            <w:tcW w:w="1304" w:type="dxa"/>
            <w:vMerge w:val="continue"/>
            <w:tcBorders>
              <w:left w:val="single" w:color="auto" w:sz="4" w:space="0"/>
              <w:right w:val="single" w:color="auto" w:sz="4" w:space="0"/>
            </w:tcBorders>
            <w:shd w:val="clear" w:color="auto" w:fill="FFFFFF"/>
            <w:vAlign w:val="center"/>
          </w:tcPr>
          <w:p w14:paraId="39749845">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4DFC0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AD0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A77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师资博士后（本草基因组学团队（含生物信息学团队））</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18B0B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5</w:t>
            </w:r>
          </w:p>
        </w:tc>
        <w:tc>
          <w:tcPr>
            <w:tcW w:w="1140" w:type="dxa"/>
            <w:tcBorders>
              <w:top w:val="single" w:color="auto" w:sz="4" w:space="0"/>
              <w:left w:val="nil"/>
              <w:bottom w:val="single" w:color="auto" w:sz="4" w:space="0"/>
              <w:right w:val="nil"/>
            </w:tcBorders>
            <w:shd w:val="clear" w:color="auto" w:fill="FFFFFF"/>
            <w:vAlign w:val="center"/>
          </w:tcPr>
          <w:p w14:paraId="509B4C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55</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4235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药学、药理学、中药学、医学、计算机科学与技术、生物信息学、分子生物学等相关专业</w:t>
            </w:r>
          </w:p>
        </w:tc>
        <w:tc>
          <w:tcPr>
            <w:tcW w:w="1304" w:type="dxa"/>
            <w:vMerge w:val="restart"/>
            <w:tcBorders>
              <w:left w:val="single" w:color="auto" w:sz="4" w:space="0"/>
              <w:right w:val="single" w:color="auto" w:sz="4" w:space="0"/>
            </w:tcBorders>
            <w:shd w:val="clear" w:color="auto" w:fill="FFFFFF"/>
            <w:vAlign w:val="center"/>
          </w:tcPr>
          <w:p w14:paraId="00072C06">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基础年薪不低于66万元/3年，同时叠加学术积分奖励、学校高水平成果奖励，薪酬上不封顶。另外匹配博士后科研经费。</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3CCB3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5741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9952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师资博士后（药用植物活性天然产物与生物合成研究团队）</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5C259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1140" w:type="dxa"/>
            <w:tcBorders>
              <w:top w:val="single" w:color="auto" w:sz="4" w:space="0"/>
              <w:left w:val="nil"/>
              <w:bottom w:val="single" w:color="auto" w:sz="4" w:space="0"/>
              <w:right w:val="nil"/>
            </w:tcBorders>
            <w:shd w:val="clear" w:color="auto" w:fill="FFFFFF"/>
            <w:vAlign w:val="center"/>
          </w:tcPr>
          <w:p w14:paraId="218BBA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56</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097DD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药理学、药学、生物化学与生物技术、人工智能、结构生物学等相关专业</w:t>
            </w:r>
          </w:p>
        </w:tc>
        <w:tc>
          <w:tcPr>
            <w:tcW w:w="1304" w:type="dxa"/>
            <w:vMerge w:val="continue"/>
            <w:tcBorders>
              <w:left w:val="single" w:color="auto" w:sz="4" w:space="0"/>
              <w:right w:val="single" w:color="auto" w:sz="4" w:space="0"/>
            </w:tcBorders>
            <w:shd w:val="clear" w:color="auto" w:fill="FFFFFF"/>
            <w:vAlign w:val="center"/>
          </w:tcPr>
          <w:p w14:paraId="0D79931B">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7C72C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4789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0CE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师资博士后（四川省天然小分子药物工程技术研究中心）</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15186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1140" w:type="dxa"/>
            <w:tcBorders>
              <w:top w:val="single" w:color="auto" w:sz="4" w:space="0"/>
              <w:left w:val="nil"/>
              <w:bottom w:val="single" w:color="auto" w:sz="4" w:space="0"/>
              <w:right w:val="nil"/>
            </w:tcBorders>
            <w:shd w:val="clear" w:color="auto" w:fill="FFFFFF"/>
            <w:vAlign w:val="center"/>
          </w:tcPr>
          <w:p w14:paraId="6470A2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57</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1F758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Style w:val="42"/>
                <w:rFonts w:hint="default" w:ascii="Times New Roman" w:hAnsi="Times New Roman" w:cs="Times New Roman" w:eastAsiaTheme="minorEastAsia"/>
                <w:sz w:val="21"/>
                <w:szCs w:val="21"/>
                <w:lang w:val="en-US" w:eastAsia="zh-CN" w:bidi="ar"/>
              </w:rPr>
              <w:t>中药学、药学、生物医药等相关专业</w:t>
            </w:r>
          </w:p>
        </w:tc>
        <w:tc>
          <w:tcPr>
            <w:tcW w:w="1304" w:type="dxa"/>
            <w:vMerge w:val="continue"/>
            <w:tcBorders>
              <w:left w:val="single" w:color="auto" w:sz="4" w:space="0"/>
              <w:right w:val="single" w:color="auto" w:sz="4" w:space="0"/>
            </w:tcBorders>
            <w:shd w:val="clear" w:color="auto" w:fill="FFFFFF"/>
            <w:vAlign w:val="center"/>
          </w:tcPr>
          <w:p w14:paraId="730D8B33">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08D0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r w14:paraId="38CB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079"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9E06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高层次人才</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7B1E9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不限</w:t>
            </w:r>
          </w:p>
        </w:tc>
        <w:tc>
          <w:tcPr>
            <w:tcW w:w="1140" w:type="dxa"/>
            <w:tcBorders>
              <w:top w:val="single" w:color="auto" w:sz="4" w:space="0"/>
              <w:left w:val="nil"/>
              <w:bottom w:val="single" w:color="auto" w:sz="4" w:space="0"/>
              <w:right w:val="nil"/>
            </w:tcBorders>
            <w:shd w:val="clear" w:color="auto" w:fill="FFFFFF"/>
            <w:vAlign w:val="center"/>
          </w:tcPr>
          <w:p w14:paraId="40EF8A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BSH1</w:t>
            </w:r>
            <w:r>
              <w:rPr>
                <w:rFonts w:hint="eastAsia" w:ascii="Times New Roman" w:hAnsi="Times New Roman" w:cs="Times New Roman" w:eastAsiaTheme="minorEastAsia"/>
                <w:kern w:val="0"/>
                <w:sz w:val="21"/>
                <w:szCs w:val="21"/>
                <w:lang w:val="en-US" w:eastAsia="zh-CN"/>
              </w:rPr>
              <w:t>58</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73F51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中医学、中西医结合、中药学、临床医学、药学、生物学、生物医学工程、生物信息等相关专业</w:t>
            </w:r>
          </w:p>
        </w:tc>
        <w:tc>
          <w:tcPr>
            <w:tcW w:w="1304" w:type="dxa"/>
            <w:tcBorders>
              <w:left w:val="single" w:color="auto" w:sz="4" w:space="0"/>
              <w:bottom w:val="single" w:color="auto" w:sz="4" w:space="0"/>
              <w:right w:val="single" w:color="auto" w:sz="4" w:space="0"/>
            </w:tcBorders>
            <w:shd w:val="clear" w:color="auto" w:fill="FFFFFF"/>
            <w:vAlign w:val="center"/>
          </w:tcPr>
          <w:p w14:paraId="72A5202E">
            <w:pPr>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按学校高层次人才引育办法面议</w:t>
            </w:r>
          </w:p>
        </w:tc>
        <w:tc>
          <w:tcPr>
            <w:tcW w:w="2255" w:type="dxa"/>
            <w:tcBorders>
              <w:top w:val="single" w:color="auto" w:sz="4" w:space="0"/>
              <w:left w:val="single" w:color="auto" w:sz="4" w:space="0"/>
              <w:bottom w:val="single" w:color="auto" w:sz="4" w:space="0"/>
              <w:right w:val="single" w:color="auto" w:sz="4" w:space="0"/>
            </w:tcBorders>
            <w:shd w:val="clear" w:color="auto" w:fill="FFFFFF"/>
            <w:vAlign w:val="center"/>
          </w:tcPr>
          <w:p w14:paraId="0CA07F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无</w:t>
            </w:r>
          </w:p>
        </w:tc>
      </w:tr>
    </w:tbl>
    <w:p w14:paraId="31C1547C">
      <w:pPr>
        <w:pStyle w:val="5"/>
        <w:spacing w:line="240" w:lineRule="auto"/>
        <w:ind w:firstLine="0"/>
        <w:rPr>
          <w:rFonts w:eastAsiaTheme="minorEastAsia"/>
          <w:sz w:val="21"/>
          <w:szCs w:val="21"/>
        </w:rPr>
      </w:pPr>
      <w:r>
        <w:rPr>
          <w:rFonts w:eastAsiaTheme="minorEastAsia"/>
          <w:sz w:val="21"/>
          <w:szCs w:val="21"/>
        </w:rPr>
        <w:br w:type="page"/>
      </w:r>
    </w:p>
    <w:p w14:paraId="5E9FBE51">
      <w:pPr>
        <w:adjustRightInd w:val="0"/>
        <w:snapToGrid w:val="0"/>
        <w:spacing w:line="240" w:lineRule="auto"/>
        <w:ind w:firstLine="0"/>
        <w:jc w:val="center"/>
        <w:rPr>
          <w:rFonts w:eastAsia="方正小标宋简体"/>
          <w:sz w:val="44"/>
          <w:szCs w:val="44"/>
        </w:rPr>
      </w:pPr>
    </w:p>
    <w:p w14:paraId="04853DFF">
      <w:pPr>
        <w:adjustRightInd w:val="0"/>
        <w:snapToGrid w:val="0"/>
        <w:spacing w:line="240" w:lineRule="auto"/>
        <w:ind w:firstLine="0"/>
        <w:jc w:val="center"/>
        <w:outlineLvl w:val="0"/>
        <w:rPr>
          <w:rFonts w:eastAsia="方正小标宋简体"/>
          <w:sz w:val="44"/>
          <w:szCs w:val="44"/>
        </w:rPr>
      </w:pPr>
      <w:bookmarkStart w:id="26" w:name="_Toc28689"/>
      <w:bookmarkStart w:id="27" w:name="_Toc22419"/>
      <w:bookmarkStart w:id="28" w:name="_Toc2675"/>
      <w:bookmarkStart w:id="29" w:name="_Toc28302"/>
      <w:bookmarkStart w:id="30" w:name="_Toc18291"/>
      <w:r>
        <w:rPr>
          <w:rFonts w:eastAsia="方正小标宋简体"/>
          <w:sz w:val="44"/>
          <w:szCs w:val="44"/>
          <w:highlight w:val="none"/>
        </w:rPr>
        <w:t>电子科技大学</w:t>
      </w:r>
      <w:bookmarkEnd w:id="26"/>
      <w:bookmarkEnd w:id="27"/>
      <w:bookmarkEnd w:id="28"/>
      <w:bookmarkEnd w:id="29"/>
      <w:bookmarkEnd w:id="30"/>
    </w:p>
    <w:p w14:paraId="7D74726D">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598"/>
        <w:gridCol w:w="1596"/>
        <w:gridCol w:w="1932"/>
        <w:gridCol w:w="1617"/>
        <w:gridCol w:w="1620"/>
      </w:tblGrid>
      <w:tr w14:paraId="13E3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88" w:type="dxa"/>
            <w:shd w:val="clear" w:color="auto" w:fill="E7E6E6" w:themeFill="background2"/>
            <w:noWrap/>
            <w:vAlign w:val="center"/>
          </w:tcPr>
          <w:p w14:paraId="6390A77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98" w:type="dxa"/>
            <w:shd w:val="clear" w:color="auto" w:fill="auto"/>
            <w:noWrap/>
            <w:vAlign w:val="center"/>
          </w:tcPr>
          <w:p w14:paraId="6F58809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96" w:type="dxa"/>
            <w:shd w:val="clear" w:color="auto" w:fill="E7E6E6" w:themeFill="background2"/>
            <w:noWrap/>
            <w:vAlign w:val="center"/>
          </w:tcPr>
          <w:p w14:paraId="2DFAC0C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932" w:type="dxa"/>
            <w:shd w:val="clear" w:color="auto" w:fill="auto"/>
            <w:noWrap/>
            <w:vAlign w:val="center"/>
          </w:tcPr>
          <w:p w14:paraId="0B6BCD61">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17" w:type="dxa"/>
            <w:shd w:val="clear" w:color="auto" w:fill="E7E6E6" w:themeFill="background2"/>
            <w:noWrap/>
            <w:vAlign w:val="center"/>
          </w:tcPr>
          <w:p w14:paraId="57EDDE8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20" w:type="dxa"/>
            <w:shd w:val="clear" w:color="auto" w:fill="auto"/>
            <w:noWrap/>
            <w:vAlign w:val="center"/>
          </w:tcPr>
          <w:p w14:paraId="5624086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5671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88" w:type="dxa"/>
            <w:shd w:val="clear" w:color="auto" w:fill="E7E6E6" w:themeFill="background2"/>
            <w:noWrap/>
            <w:vAlign w:val="center"/>
          </w:tcPr>
          <w:p w14:paraId="7483C78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3" w:type="dxa"/>
            <w:gridSpan w:val="5"/>
            <w:shd w:val="clear" w:color="auto" w:fill="auto"/>
            <w:noWrap/>
            <w:vAlign w:val="center"/>
          </w:tcPr>
          <w:p w14:paraId="5637BF30">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成都市高新西区西源大道2006号</w:t>
            </w:r>
          </w:p>
        </w:tc>
      </w:tr>
      <w:tr w14:paraId="403D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9" w:hRule="atLeast"/>
          <w:jc w:val="center"/>
        </w:trPr>
        <w:tc>
          <w:tcPr>
            <w:tcW w:w="1388" w:type="dxa"/>
            <w:shd w:val="clear" w:color="auto" w:fill="E7E6E6" w:themeFill="background2"/>
            <w:noWrap/>
            <w:vAlign w:val="center"/>
          </w:tcPr>
          <w:p w14:paraId="5B493B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3" w:type="dxa"/>
            <w:gridSpan w:val="5"/>
            <w:shd w:val="clear" w:color="auto" w:fill="auto"/>
            <w:noWrap/>
            <w:vAlign w:val="center"/>
          </w:tcPr>
          <w:p w14:paraId="20B1798E">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电子科技大学，位于四川省成都市，原名成都电讯工程学院。1960年被列为全国重点高等学校，1988年更名为电子科技大学，1997年被确定为国家首批“211工程”建设的重点大学，2001年进入国家“985工程”重点建设大学行列，2017年进入国家建设“世界一流大学”A类高校行列，2022年入选国家第二轮“双一流”建设高校名单。学校现已发展成完整覆盖整个电子信息类学科，以电子信息科学技术为核心，以工为主，理工渗透，理、工、管、文、医协调发展的多科性研究型大学。学校是全国首批设立博士后流动站的高校之一，现有流动站18个。13个流动站参评2020年全国评估，6个获评优秀，优良率100%，优秀率居全国前列。</w:t>
            </w:r>
          </w:p>
        </w:tc>
      </w:tr>
      <w:tr w14:paraId="2541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7" w:hRule="atLeast"/>
          <w:jc w:val="center"/>
        </w:trPr>
        <w:tc>
          <w:tcPr>
            <w:tcW w:w="1388" w:type="dxa"/>
            <w:shd w:val="clear" w:color="auto" w:fill="E7E6E6" w:themeFill="background2"/>
            <w:noWrap/>
            <w:vAlign w:val="center"/>
          </w:tcPr>
          <w:p w14:paraId="36E4484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3" w:type="dxa"/>
            <w:gridSpan w:val="5"/>
            <w:shd w:val="clear" w:color="auto" w:fill="auto"/>
            <w:noWrap/>
            <w:vAlign w:val="center"/>
          </w:tcPr>
          <w:p w14:paraId="0A5D7DF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学校现有流动站18个，在站博士后1000余人。培养的优秀博士后包括中国工程院院士、国家级人才计划、青年人才计划获得者等。为更好地服务于建设世界一流大学，提高人才培养质量，提升科学研究水平，我校大力推进博士后工作，深入实施“高质量博士后建设工程”，招引和集聚优秀青年科技人才进入学校博士后流动站工作，激发博士后创新活力，促进校企产学研深度融合，培养具有国际竞争力的科技人才，将博士后队伍打造成为师资队伍后备军、科研队伍生力军、青年人才新窗口。</w:t>
            </w:r>
          </w:p>
        </w:tc>
      </w:tr>
    </w:tbl>
    <w:p w14:paraId="56F92951">
      <w:pPr>
        <w:pStyle w:val="5"/>
        <w:adjustRightInd w:val="0"/>
        <w:snapToGrid w:val="0"/>
        <w:spacing w:line="240" w:lineRule="auto"/>
        <w:ind w:firstLine="0"/>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799"/>
        <w:gridCol w:w="1073"/>
        <w:gridCol w:w="1984"/>
        <w:gridCol w:w="2556"/>
        <w:gridCol w:w="1551"/>
      </w:tblGrid>
      <w:tr w14:paraId="73A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719" w:type="dxa"/>
            <w:shd w:val="clear" w:color="auto" w:fill="E7E6E6" w:themeFill="background2"/>
            <w:noWrap/>
            <w:vAlign w:val="center"/>
          </w:tcPr>
          <w:p w14:paraId="20CF1D3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68" w:type="dxa"/>
            <w:shd w:val="clear" w:color="auto" w:fill="E7E6E6" w:themeFill="background2"/>
            <w:noWrap/>
            <w:vAlign w:val="center"/>
          </w:tcPr>
          <w:p w14:paraId="3A56C84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32" w:type="dxa"/>
            <w:shd w:val="clear" w:color="auto" w:fill="E7E6E6" w:themeFill="background2"/>
            <w:noWrap/>
            <w:vAlign w:val="center"/>
          </w:tcPr>
          <w:p w14:paraId="1FE05DE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53EE5B9A">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908" w:type="dxa"/>
            <w:shd w:val="clear" w:color="auto" w:fill="E7E6E6" w:themeFill="background2"/>
            <w:noWrap/>
            <w:vAlign w:val="center"/>
          </w:tcPr>
          <w:p w14:paraId="32484E4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15BCAF">
            <w:pPr>
              <w:adjustRightInd w:val="0"/>
              <w:snapToGrid w:val="0"/>
              <w:spacing w:line="240" w:lineRule="auto"/>
              <w:ind w:firstLine="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一级学科</w:t>
            </w:r>
            <w:r>
              <w:rPr>
                <w:rFonts w:hint="eastAsia" w:eastAsiaTheme="minorEastAsia"/>
                <w:b/>
                <w:bCs/>
                <w:sz w:val="21"/>
                <w:szCs w:val="21"/>
                <w:lang w:eastAsia="zh-CN"/>
              </w:rPr>
              <w:t>）</w:t>
            </w:r>
          </w:p>
        </w:tc>
        <w:tc>
          <w:tcPr>
            <w:tcW w:w="2458" w:type="dxa"/>
            <w:shd w:val="clear" w:color="auto" w:fill="E7E6E6" w:themeFill="background2"/>
            <w:noWrap/>
            <w:vAlign w:val="center"/>
          </w:tcPr>
          <w:p w14:paraId="75B46DB8">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491" w:type="dxa"/>
            <w:shd w:val="clear" w:color="auto" w:fill="E7E6E6" w:themeFill="background2"/>
            <w:noWrap/>
            <w:vAlign w:val="center"/>
          </w:tcPr>
          <w:p w14:paraId="00E2EF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AB968E7">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32FA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77C6BF02">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40E075E6">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135</w:t>
            </w:r>
          </w:p>
        </w:tc>
        <w:tc>
          <w:tcPr>
            <w:tcW w:w="1032" w:type="dxa"/>
            <w:shd w:val="clear" w:color="auto" w:fill="auto"/>
            <w:noWrap/>
            <w:vAlign w:val="center"/>
          </w:tcPr>
          <w:p w14:paraId="53EAF27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BSH001</w:t>
            </w:r>
          </w:p>
        </w:tc>
        <w:tc>
          <w:tcPr>
            <w:tcW w:w="1908" w:type="dxa"/>
            <w:shd w:val="clear" w:color="auto" w:fill="auto"/>
            <w:noWrap/>
            <w:vAlign w:val="center"/>
          </w:tcPr>
          <w:p w14:paraId="023F573E">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信息与通信工程</w:t>
            </w:r>
          </w:p>
        </w:tc>
        <w:tc>
          <w:tcPr>
            <w:tcW w:w="2458" w:type="dxa"/>
            <w:vMerge w:val="restart"/>
            <w:shd w:val="clear" w:color="auto" w:fill="auto"/>
            <w:noWrap/>
            <w:vAlign w:val="center"/>
          </w:tcPr>
          <w:p w14:paraId="2949323D">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1. 学校科研流动站自主招收</w:t>
            </w:r>
            <w:r>
              <w:rPr>
                <w:rFonts w:hint="eastAsia" w:cs="Times New Roman" w:eastAsiaTheme="minorEastAsia"/>
                <w:color w:val="000000"/>
                <w:sz w:val="21"/>
                <w:szCs w:val="21"/>
                <w:lang w:eastAsia="zh-CN"/>
              </w:rPr>
              <w:t>：</w:t>
            </w:r>
          </w:p>
          <w:p w14:paraId="7941EFFD">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提供具有竞争力的薪酬待遇，不低于22万元/年（含省市补贴18万元/年），其中师资博士后不低于30万元/年，优秀科研博士后不低于26万元/年。学校提供博士后公寓（免租金）、子女入托入学政策、成果奖励政策、申请专业技术职务任职资格政策等。</w:t>
            </w:r>
            <w:r>
              <w:rPr>
                <w:rFonts w:hint="default" w:ascii="Times New Roman" w:hAnsi="Times New Roman" w:cs="Times New Roman" w:eastAsiaTheme="minorEastAsia"/>
                <w:color w:val="000000"/>
                <w:sz w:val="21"/>
                <w:szCs w:val="21"/>
              </w:rPr>
              <w:br w:type="textWrapping"/>
            </w:r>
            <w:r>
              <w:rPr>
                <w:rFonts w:hint="default" w:ascii="Times New Roman" w:hAnsi="Times New Roman" w:cs="Times New Roman" w:eastAsiaTheme="minorEastAsia"/>
                <w:color w:val="000000"/>
                <w:sz w:val="21"/>
                <w:szCs w:val="21"/>
              </w:rPr>
              <w:t>2. 学校研究院（深圳高等研究院、长三角研究院、广东研究院等）、附属医院（四川省人民医院、四川省肿瘤医院、成都市妇女儿童中心医院、绵阳中心医院等）联合招收</w:t>
            </w:r>
            <w:r>
              <w:rPr>
                <w:rFonts w:hint="eastAsia" w:cs="Times New Roman" w:eastAsiaTheme="minorEastAsia"/>
                <w:color w:val="000000"/>
                <w:sz w:val="21"/>
                <w:szCs w:val="21"/>
                <w:lang w:eastAsia="zh-CN"/>
              </w:rPr>
              <w:t>：</w:t>
            </w:r>
            <w:r>
              <w:rPr>
                <w:rFonts w:hint="default" w:ascii="Times New Roman" w:hAnsi="Times New Roman" w:cs="Times New Roman" w:eastAsiaTheme="minorEastAsia"/>
                <w:color w:val="000000"/>
                <w:sz w:val="21"/>
                <w:szCs w:val="21"/>
              </w:rPr>
              <w:br w:type="textWrapping"/>
            </w:r>
            <w:r>
              <w:rPr>
                <w:rFonts w:hint="default" w:ascii="Times New Roman" w:hAnsi="Times New Roman" w:cs="Times New Roman" w:eastAsiaTheme="minorEastAsia"/>
                <w:color w:val="000000"/>
                <w:sz w:val="21"/>
                <w:szCs w:val="21"/>
              </w:rPr>
              <w:t>提供具有竞争力的薪酬待遇，并享受当地博士后支持政策。学校提供成果奖励政策、申请专业技术职务任职资格政策等。附属医院联合招收享受子女入托入学政策。</w:t>
            </w:r>
            <w:r>
              <w:rPr>
                <w:rFonts w:hint="default" w:ascii="Times New Roman" w:hAnsi="Times New Roman" w:cs="Times New Roman" w:eastAsiaTheme="minorEastAsia"/>
                <w:color w:val="000000"/>
                <w:sz w:val="21"/>
                <w:szCs w:val="21"/>
              </w:rPr>
              <w:br w:type="textWrapping"/>
            </w:r>
            <w:r>
              <w:rPr>
                <w:rFonts w:hint="default" w:ascii="Times New Roman" w:hAnsi="Times New Roman" w:cs="Times New Roman" w:eastAsiaTheme="minorEastAsia"/>
                <w:color w:val="000000"/>
                <w:sz w:val="21"/>
                <w:szCs w:val="21"/>
              </w:rPr>
              <w:t>3. 与企业工作站联合招收</w:t>
            </w:r>
            <w:r>
              <w:rPr>
                <w:rFonts w:hint="eastAsia" w:cs="Times New Roman" w:eastAsiaTheme="minorEastAsia"/>
                <w:color w:val="000000"/>
                <w:sz w:val="21"/>
                <w:szCs w:val="21"/>
                <w:lang w:eastAsia="zh-CN"/>
              </w:rPr>
              <w:t>：</w:t>
            </w:r>
            <w:r>
              <w:rPr>
                <w:rFonts w:hint="default" w:ascii="Times New Roman" w:hAnsi="Times New Roman" w:cs="Times New Roman" w:eastAsiaTheme="minorEastAsia"/>
                <w:color w:val="000000"/>
                <w:sz w:val="21"/>
                <w:szCs w:val="21"/>
              </w:rPr>
              <w:br w:type="textWrapping"/>
            </w:r>
            <w:r>
              <w:rPr>
                <w:rFonts w:hint="default" w:ascii="Times New Roman" w:hAnsi="Times New Roman" w:cs="Times New Roman" w:eastAsiaTheme="minorEastAsia"/>
                <w:color w:val="000000"/>
                <w:sz w:val="21"/>
                <w:szCs w:val="21"/>
              </w:rPr>
              <w:t>薪酬主要由企业提供，并享受当地博士后支持政策等。</w:t>
            </w:r>
          </w:p>
        </w:tc>
        <w:tc>
          <w:tcPr>
            <w:tcW w:w="1491" w:type="dxa"/>
            <w:vMerge w:val="restart"/>
            <w:shd w:val="clear" w:color="auto" w:fill="auto"/>
            <w:noWrap/>
            <w:vAlign w:val="center"/>
          </w:tcPr>
          <w:p w14:paraId="02A1B9A9">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1.获得博士学位，品学兼优、身体健康；</w:t>
            </w:r>
          </w:p>
          <w:p w14:paraId="7F67482C">
            <w:pPr>
              <w:pStyle w:val="21"/>
              <w:keepNext w:val="0"/>
              <w:keepLines w:val="0"/>
              <w:pageBreakBefore w:val="0"/>
              <w:shd w:val="clear" w:color="auto" w:fill="FFFFFF"/>
              <w:kinsoku/>
              <w:wordWrap/>
              <w:overflowPunct/>
              <w:topLinePunct w:val="0"/>
              <w:autoSpaceDE/>
              <w:autoSpaceDN/>
              <w:bidi w:val="0"/>
              <w:spacing w:before="0" w:beforeAutospacing="0" w:after="0" w:afterAutospacing="0" w:line="240" w:lineRule="auto"/>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sz w:val="21"/>
                <w:szCs w:val="21"/>
              </w:rPr>
              <w:t>2.全职进站，年龄一般在35周岁以下，特别优秀者、岗位特殊需要者、同站同学科博士等可适当放宽；</w:t>
            </w:r>
            <w:r>
              <w:rPr>
                <w:rFonts w:hint="default" w:ascii="Times New Roman" w:hAnsi="Times New Roman" w:cs="Times New Roman" w:eastAsiaTheme="minorEastAsia"/>
                <w:color w:val="000000"/>
                <w:sz w:val="21"/>
                <w:szCs w:val="21"/>
              </w:rPr>
              <w:br w:type="textWrapping"/>
            </w:r>
            <w:r>
              <w:rPr>
                <w:rFonts w:hint="default" w:ascii="Times New Roman" w:hAnsi="Times New Roman" w:cs="Times New Roman" w:eastAsiaTheme="minorEastAsia"/>
                <w:color w:val="000000"/>
                <w:sz w:val="21"/>
                <w:szCs w:val="21"/>
              </w:rPr>
              <w:t>3.具有较强科研能力和良好的团队协作精神。</w:t>
            </w:r>
          </w:p>
        </w:tc>
      </w:tr>
      <w:tr w14:paraId="36E4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5D11CB5B">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0C11E82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85</w:t>
            </w:r>
          </w:p>
        </w:tc>
        <w:tc>
          <w:tcPr>
            <w:tcW w:w="1032" w:type="dxa"/>
            <w:shd w:val="clear" w:color="auto" w:fill="auto"/>
            <w:noWrap/>
            <w:vAlign w:val="center"/>
          </w:tcPr>
          <w:p w14:paraId="1146F553">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BSH002</w:t>
            </w:r>
          </w:p>
        </w:tc>
        <w:tc>
          <w:tcPr>
            <w:tcW w:w="1908" w:type="dxa"/>
            <w:shd w:val="clear" w:color="auto" w:fill="auto"/>
            <w:noWrap/>
            <w:vAlign w:val="center"/>
          </w:tcPr>
          <w:p w14:paraId="60EC4A45">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电子科学与技术</w:t>
            </w:r>
          </w:p>
        </w:tc>
        <w:tc>
          <w:tcPr>
            <w:tcW w:w="2458" w:type="dxa"/>
            <w:vMerge w:val="continue"/>
            <w:shd w:val="clear" w:color="auto" w:fill="auto"/>
            <w:noWrap/>
            <w:vAlign w:val="center"/>
          </w:tcPr>
          <w:p w14:paraId="1D8AEA65">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21160026">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53CD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7CEF575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2B3B5DAE">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77</w:t>
            </w:r>
          </w:p>
        </w:tc>
        <w:tc>
          <w:tcPr>
            <w:tcW w:w="1032" w:type="dxa"/>
            <w:shd w:val="clear" w:color="auto" w:fill="auto"/>
            <w:noWrap/>
            <w:vAlign w:val="center"/>
          </w:tcPr>
          <w:p w14:paraId="3CEC95C2">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BSH003</w:t>
            </w:r>
          </w:p>
        </w:tc>
        <w:tc>
          <w:tcPr>
            <w:tcW w:w="1908" w:type="dxa"/>
            <w:shd w:val="clear" w:color="auto" w:fill="auto"/>
            <w:noWrap/>
            <w:vAlign w:val="center"/>
          </w:tcPr>
          <w:p w14:paraId="0242E08F">
            <w:pPr>
              <w:adjustRightInd w:val="0"/>
              <w:snapToGrid w:val="0"/>
              <w:spacing w:line="240" w:lineRule="auto"/>
              <w:ind w:firstLine="0" w:firstLineChars="0"/>
              <w:jc w:val="center"/>
              <w:rPr>
                <w:rFonts w:hint="default" w:ascii="Times New Roman" w:hAnsi="Times New Roman" w:cs="Times New Roman" w:eastAsiaTheme="minorEastAsia"/>
                <w:spacing w:val="-10"/>
                <w:sz w:val="21"/>
                <w:szCs w:val="21"/>
                <w:shd w:val="clear" w:color="auto" w:fill="FFFFFF"/>
              </w:rPr>
            </w:pPr>
            <w:r>
              <w:rPr>
                <w:rFonts w:hint="default" w:ascii="Times New Roman" w:hAnsi="Times New Roman" w:cs="Times New Roman" w:eastAsiaTheme="minorEastAsia"/>
                <w:color w:val="000000"/>
                <w:sz w:val="21"/>
                <w:szCs w:val="21"/>
              </w:rPr>
              <w:t>计算机科学与技术</w:t>
            </w:r>
          </w:p>
        </w:tc>
        <w:tc>
          <w:tcPr>
            <w:tcW w:w="2458" w:type="dxa"/>
            <w:vMerge w:val="continue"/>
            <w:shd w:val="clear" w:color="auto" w:fill="auto"/>
            <w:noWrap/>
            <w:vAlign w:val="center"/>
          </w:tcPr>
          <w:p w14:paraId="17EDD416">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019B4275">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3285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8D3CDAC">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76BD653D">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45</w:t>
            </w:r>
          </w:p>
        </w:tc>
        <w:tc>
          <w:tcPr>
            <w:tcW w:w="1032" w:type="dxa"/>
            <w:shd w:val="clear" w:color="auto" w:fill="auto"/>
            <w:noWrap/>
            <w:vAlign w:val="center"/>
          </w:tcPr>
          <w:p w14:paraId="5C4C0F99">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BSH004</w:t>
            </w:r>
          </w:p>
        </w:tc>
        <w:tc>
          <w:tcPr>
            <w:tcW w:w="1908" w:type="dxa"/>
            <w:shd w:val="clear" w:color="auto" w:fill="auto"/>
            <w:noWrap/>
            <w:vAlign w:val="center"/>
          </w:tcPr>
          <w:p w14:paraId="55ECBF03">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光学工程</w:t>
            </w:r>
          </w:p>
        </w:tc>
        <w:tc>
          <w:tcPr>
            <w:tcW w:w="2458" w:type="dxa"/>
            <w:vMerge w:val="continue"/>
            <w:shd w:val="clear" w:color="auto" w:fill="auto"/>
            <w:noWrap/>
            <w:vAlign w:val="center"/>
          </w:tcPr>
          <w:p w14:paraId="106DE9A1">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0525D76F">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3FD5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50B9885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7E474075">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77</w:t>
            </w:r>
          </w:p>
        </w:tc>
        <w:tc>
          <w:tcPr>
            <w:tcW w:w="1032" w:type="dxa"/>
            <w:shd w:val="clear" w:color="auto" w:fill="auto"/>
            <w:noWrap/>
            <w:vAlign w:val="center"/>
          </w:tcPr>
          <w:p w14:paraId="6582040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BSH005</w:t>
            </w:r>
          </w:p>
        </w:tc>
        <w:tc>
          <w:tcPr>
            <w:tcW w:w="1908" w:type="dxa"/>
            <w:shd w:val="clear" w:color="auto" w:fill="auto"/>
            <w:noWrap/>
            <w:vAlign w:val="center"/>
          </w:tcPr>
          <w:p w14:paraId="692C629E">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材料科学与工程</w:t>
            </w:r>
          </w:p>
        </w:tc>
        <w:tc>
          <w:tcPr>
            <w:tcW w:w="2458" w:type="dxa"/>
            <w:vMerge w:val="continue"/>
            <w:shd w:val="clear" w:color="auto" w:fill="auto"/>
            <w:noWrap/>
            <w:vAlign w:val="center"/>
          </w:tcPr>
          <w:p w14:paraId="62CCAFF1">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4F9C8E0D">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007A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1ABFCADC">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4FF7CBB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149</w:t>
            </w:r>
          </w:p>
        </w:tc>
        <w:tc>
          <w:tcPr>
            <w:tcW w:w="1032" w:type="dxa"/>
            <w:shd w:val="clear" w:color="auto" w:fill="auto"/>
            <w:noWrap/>
            <w:vAlign w:val="center"/>
          </w:tcPr>
          <w:p w14:paraId="31888AD7">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BSH006</w:t>
            </w:r>
          </w:p>
        </w:tc>
        <w:tc>
          <w:tcPr>
            <w:tcW w:w="1908" w:type="dxa"/>
            <w:shd w:val="clear" w:color="auto" w:fill="auto"/>
            <w:noWrap/>
            <w:vAlign w:val="center"/>
          </w:tcPr>
          <w:p w14:paraId="76839DD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生物医学工程</w:t>
            </w:r>
          </w:p>
        </w:tc>
        <w:tc>
          <w:tcPr>
            <w:tcW w:w="2458" w:type="dxa"/>
            <w:vMerge w:val="continue"/>
            <w:shd w:val="clear" w:color="auto" w:fill="auto"/>
            <w:noWrap/>
            <w:vAlign w:val="center"/>
          </w:tcPr>
          <w:p w14:paraId="783195EE">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4C80DCEB">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4391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32BEF37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7B61DD0D">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80</w:t>
            </w:r>
          </w:p>
        </w:tc>
        <w:tc>
          <w:tcPr>
            <w:tcW w:w="1032" w:type="dxa"/>
            <w:shd w:val="clear" w:color="auto" w:fill="auto"/>
            <w:noWrap/>
            <w:vAlign w:val="center"/>
          </w:tcPr>
          <w:p w14:paraId="17E1B2B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BSH007</w:t>
            </w:r>
          </w:p>
        </w:tc>
        <w:tc>
          <w:tcPr>
            <w:tcW w:w="1908" w:type="dxa"/>
            <w:shd w:val="clear" w:color="auto" w:fill="auto"/>
            <w:noWrap/>
            <w:vAlign w:val="center"/>
          </w:tcPr>
          <w:p w14:paraId="5F2181A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控制科学与工程</w:t>
            </w:r>
          </w:p>
        </w:tc>
        <w:tc>
          <w:tcPr>
            <w:tcW w:w="2458" w:type="dxa"/>
            <w:vMerge w:val="continue"/>
            <w:shd w:val="clear" w:color="auto" w:fill="auto"/>
            <w:noWrap/>
            <w:vAlign w:val="center"/>
          </w:tcPr>
          <w:p w14:paraId="062D6CC8">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15DDD5E1">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7492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2982BDB">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14870688">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16</w:t>
            </w:r>
          </w:p>
        </w:tc>
        <w:tc>
          <w:tcPr>
            <w:tcW w:w="1032" w:type="dxa"/>
            <w:shd w:val="clear" w:color="auto" w:fill="auto"/>
            <w:noWrap/>
            <w:vAlign w:val="center"/>
          </w:tcPr>
          <w:p w14:paraId="4D587D3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BSH008</w:t>
            </w:r>
          </w:p>
        </w:tc>
        <w:tc>
          <w:tcPr>
            <w:tcW w:w="1908" w:type="dxa"/>
            <w:shd w:val="clear" w:color="auto" w:fill="auto"/>
            <w:noWrap/>
            <w:vAlign w:val="center"/>
          </w:tcPr>
          <w:p w14:paraId="28B3E4F4">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仪器科学与技术</w:t>
            </w:r>
          </w:p>
        </w:tc>
        <w:tc>
          <w:tcPr>
            <w:tcW w:w="2458" w:type="dxa"/>
            <w:vMerge w:val="continue"/>
            <w:shd w:val="clear" w:color="auto" w:fill="auto"/>
            <w:noWrap/>
            <w:vAlign w:val="center"/>
          </w:tcPr>
          <w:p w14:paraId="23B82E8E">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5798CD7E">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151E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1A0EB498">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462DACB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20</w:t>
            </w:r>
          </w:p>
        </w:tc>
        <w:tc>
          <w:tcPr>
            <w:tcW w:w="1032" w:type="dxa"/>
            <w:shd w:val="clear" w:color="auto" w:fill="auto"/>
            <w:noWrap/>
            <w:vAlign w:val="center"/>
          </w:tcPr>
          <w:p w14:paraId="4152ED99">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BSH009</w:t>
            </w:r>
          </w:p>
        </w:tc>
        <w:tc>
          <w:tcPr>
            <w:tcW w:w="1908" w:type="dxa"/>
            <w:shd w:val="clear" w:color="auto" w:fill="auto"/>
            <w:noWrap/>
            <w:vAlign w:val="center"/>
          </w:tcPr>
          <w:p w14:paraId="552391F6">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机械工程</w:t>
            </w:r>
          </w:p>
        </w:tc>
        <w:tc>
          <w:tcPr>
            <w:tcW w:w="2458" w:type="dxa"/>
            <w:vMerge w:val="continue"/>
            <w:shd w:val="clear" w:color="auto" w:fill="auto"/>
            <w:noWrap/>
            <w:vAlign w:val="center"/>
          </w:tcPr>
          <w:p w14:paraId="6362F64B">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6F343835">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12C9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195E8FE">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529D96D3">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30</w:t>
            </w:r>
          </w:p>
        </w:tc>
        <w:tc>
          <w:tcPr>
            <w:tcW w:w="1032" w:type="dxa"/>
            <w:shd w:val="clear" w:color="auto" w:fill="auto"/>
            <w:noWrap/>
            <w:vAlign w:val="center"/>
          </w:tcPr>
          <w:p w14:paraId="52554CC4">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BSH010</w:t>
            </w:r>
          </w:p>
        </w:tc>
        <w:tc>
          <w:tcPr>
            <w:tcW w:w="1908" w:type="dxa"/>
            <w:shd w:val="clear" w:color="auto" w:fill="auto"/>
            <w:noWrap/>
            <w:vAlign w:val="center"/>
          </w:tcPr>
          <w:p w14:paraId="3D490D96">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软件工程</w:t>
            </w:r>
          </w:p>
        </w:tc>
        <w:tc>
          <w:tcPr>
            <w:tcW w:w="2458" w:type="dxa"/>
            <w:vMerge w:val="continue"/>
            <w:shd w:val="clear" w:color="auto" w:fill="auto"/>
            <w:noWrap/>
            <w:vAlign w:val="center"/>
          </w:tcPr>
          <w:p w14:paraId="18A7C41F">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54B3E4F4">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0025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6F60A7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7C2DE5D6">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45</w:t>
            </w:r>
          </w:p>
        </w:tc>
        <w:tc>
          <w:tcPr>
            <w:tcW w:w="1032" w:type="dxa"/>
            <w:shd w:val="clear" w:color="auto" w:fill="auto"/>
            <w:noWrap/>
            <w:vAlign w:val="center"/>
          </w:tcPr>
          <w:p w14:paraId="5609587B">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BSH011</w:t>
            </w:r>
          </w:p>
        </w:tc>
        <w:tc>
          <w:tcPr>
            <w:tcW w:w="1908" w:type="dxa"/>
            <w:shd w:val="clear" w:color="auto" w:fill="auto"/>
            <w:noWrap/>
            <w:vAlign w:val="center"/>
          </w:tcPr>
          <w:p w14:paraId="42E54440">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物理学</w:t>
            </w:r>
          </w:p>
        </w:tc>
        <w:tc>
          <w:tcPr>
            <w:tcW w:w="2458" w:type="dxa"/>
            <w:vMerge w:val="continue"/>
            <w:shd w:val="clear" w:color="auto" w:fill="auto"/>
            <w:noWrap/>
            <w:vAlign w:val="center"/>
          </w:tcPr>
          <w:p w14:paraId="64F90D74">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681ACAB2">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11A1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52BA894">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5E6A00C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41</w:t>
            </w:r>
          </w:p>
        </w:tc>
        <w:tc>
          <w:tcPr>
            <w:tcW w:w="1032" w:type="dxa"/>
            <w:shd w:val="clear" w:color="auto" w:fill="auto"/>
            <w:noWrap/>
            <w:vAlign w:val="center"/>
          </w:tcPr>
          <w:p w14:paraId="493D85C7">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BSH012</w:t>
            </w:r>
          </w:p>
        </w:tc>
        <w:tc>
          <w:tcPr>
            <w:tcW w:w="1908" w:type="dxa"/>
            <w:shd w:val="clear" w:color="auto" w:fill="auto"/>
            <w:noWrap/>
            <w:vAlign w:val="center"/>
          </w:tcPr>
          <w:p w14:paraId="71675F8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数学</w:t>
            </w:r>
          </w:p>
        </w:tc>
        <w:tc>
          <w:tcPr>
            <w:tcW w:w="2458" w:type="dxa"/>
            <w:vMerge w:val="continue"/>
            <w:shd w:val="clear" w:color="auto" w:fill="auto"/>
            <w:noWrap/>
            <w:vAlign w:val="center"/>
          </w:tcPr>
          <w:p w14:paraId="11EA3EE7">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7600A24A">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37D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09BD433C">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0322DB9B">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21</w:t>
            </w:r>
          </w:p>
        </w:tc>
        <w:tc>
          <w:tcPr>
            <w:tcW w:w="1032" w:type="dxa"/>
            <w:shd w:val="clear" w:color="auto" w:fill="auto"/>
            <w:noWrap/>
            <w:vAlign w:val="center"/>
          </w:tcPr>
          <w:p w14:paraId="33C59E59">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BSH013</w:t>
            </w:r>
          </w:p>
        </w:tc>
        <w:tc>
          <w:tcPr>
            <w:tcW w:w="1908" w:type="dxa"/>
            <w:shd w:val="clear" w:color="auto" w:fill="auto"/>
            <w:noWrap/>
            <w:vAlign w:val="center"/>
          </w:tcPr>
          <w:p w14:paraId="263F0669">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管理科学与工程</w:t>
            </w:r>
          </w:p>
        </w:tc>
        <w:tc>
          <w:tcPr>
            <w:tcW w:w="2458" w:type="dxa"/>
            <w:vMerge w:val="continue"/>
            <w:shd w:val="clear" w:color="auto" w:fill="auto"/>
            <w:noWrap/>
            <w:vAlign w:val="center"/>
          </w:tcPr>
          <w:p w14:paraId="3B5ABB0D">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14CD89CD">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6E3D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6882D62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05F7C3CD">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12</w:t>
            </w:r>
          </w:p>
        </w:tc>
        <w:tc>
          <w:tcPr>
            <w:tcW w:w="1032" w:type="dxa"/>
            <w:shd w:val="clear" w:color="auto" w:fill="auto"/>
            <w:noWrap/>
            <w:vAlign w:val="center"/>
          </w:tcPr>
          <w:p w14:paraId="227A1F2D">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BSH014</w:t>
            </w:r>
          </w:p>
        </w:tc>
        <w:tc>
          <w:tcPr>
            <w:tcW w:w="1908" w:type="dxa"/>
            <w:shd w:val="clear" w:color="auto" w:fill="auto"/>
            <w:noWrap/>
            <w:vAlign w:val="center"/>
          </w:tcPr>
          <w:p w14:paraId="47DBEE39">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工商管理</w:t>
            </w:r>
          </w:p>
        </w:tc>
        <w:tc>
          <w:tcPr>
            <w:tcW w:w="2458" w:type="dxa"/>
            <w:vMerge w:val="continue"/>
            <w:shd w:val="clear" w:color="auto" w:fill="auto"/>
            <w:noWrap/>
            <w:vAlign w:val="center"/>
          </w:tcPr>
          <w:p w14:paraId="612DCC82">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74AF6E2C">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71D1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6CAAA991">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3EC7E6F4">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31</w:t>
            </w:r>
          </w:p>
        </w:tc>
        <w:tc>
          <w:tcPr>
            <w:tcW w:w="1032" w:type="dxa"/>
            <w:shd w:val="clear" w:color="auto" w:fill="auto"/>
            <w:noWrap/>
            <w:vAlign w:val="center"/>
          </w:tcPr>
          <w:p w14:paraId="2628DCC8">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BSH015</w:t>
            </w:r>
          </w:p>
        </w:tc>
        <w:tc>
          <w:tcPr>
            <w:tcW w:w="1908" w:type="dxa"/>
            <w:shd w:val="clear" w:color="auto" w:fill="auto"/>
            <w:noWrap/>
            <w:vAlign w:val="center"/>
          </w:tcPr>
          <w:p w14:paraId="2F8E568C">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马克思主义理论</w:t>
            </w:r>
          </w:p>
        </w:tc>
        <w:tc>
          <w:tcPr>
            <w:tcW w:w="2458" w:type="dxa"/>
            <w:vMerge w:val="continue"/>
            <w:shd w:val="clear" w:color="auto" w:fill="auto"/>
            <w:noWrap/>
            <w:vAlign w:val="center"/>
          </w:tcPr>
          <w:p w14:paraId="33D2DA71">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0A35592A">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605C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auto"/>
            <w:noWrap/>
            <w:vAlign w:val="center"/>
          </w:tcPr>
          <w:p w14:paraId="7BB522F7">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auto"/>
            <w:noWrap/>
            <w:vAlign w:val="center"/>
          </w:tcPr>
          <w:p w14:paraId="099EA00B">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54</w:t>
            </w:r>
          </w:p>
        </w:tc>
        <w:tc>
          <w:tcPr>
            <w:tcW w:w="1032" w:type="dxa"/>
            <w:shd w:val="clear" w:color="auto" w:fill="auto"/>
            <w:noWrap/>
            <w:vAlign w:val="center"/>
          </w:tcPr>
          <w:p w14:paraId="758608A6">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lang w:val="en-US" w:eastAsia="zh-CN"/>
              </w:rPr>
            </w:pPr>
            <w:r>
              <w:rPr>
                <w:rFonts w:hint="default" w:ascii="Times New Roman" w:hAnsi="Times New Roman" w:cs="Times New Roman" w:eastAsiaTheme="minorEastAsia"/>
                <w:color w:val="000000"/>
                <w:sz w:val="21"/>
                <w:szCs w:val="21"/>
              </w:rPr>
              <w:t>BSH016</w:t>
            </w:r>
          </w:p>
        </w:tc>
        <w:tc>
          <w:tcPr>
            <w:tcW w:w="1908" w:type="dxa"/>
            <w:shd w:val="clear" w:color="auto" w:fill="auto"/>
            <w:noWrap/>
            <w:vAlign w:val="center"/>
          </w:tcPr>
          <w:p w14:paraId="3656379A">
            <w:pPr>
              <w:adjustRightInd w:val="0"/>
              <w:snapToGrid w:val="0"/>
              <w:spacing w:line="240" w:lineRule="auto"/>
              <w:ind w:firstLine="0" w:firstLineChars="0"/>
              <w:jc w:val="center"/>
              <w:rPr>
                <w:rFonts w:hint="default" w:ascii="Times New Roman" w:hAnsi="Times New Roman" w:cs="Times New Roman" w:eastAsiaTheme="minorEastAsia"/>
                <w:sz w:val="21"/>
                <w:szCs w:val="21"/>
                <w:shd w:val="clear" w:color="auto" w:fill="FFFFFF"/>
              </w:rPr>
            </w:pPr>
            <w:r>
              <w:rPr>
                <w:rFonts w:hint="default" w:ascii="Times New Roman" w:hAnsi="Times New Roman" w:cs="Times New Roman" w:eastAsiaTheme="minorEastAsia"/>
                <w:color w:val="000000"/>
                <w:sz w:val="21"/>
                <w:szCs w:val="21"/>
              </w:rPr>
              <w:t>集成电路科学与工程</w:t>
            </w:r>
          </w:p>
        </w:tc>
        <w:tc>
          <w:tcPr>
            <w:tcW w:w="2458" w:type="dxa"/>
            <w:vMerge w:val="continue"/>
            <w:shd w:val="clear" w:color="auto" w:fill="auto"/>
            <w:noWrap/>
            <w:vAlign w:val="center"/>
          </w:tcPr>
          <w:p w14:paraId="39C5CC1E">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1C620155">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6354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FFFFFF"/>
            <w:noWrap/>
            <w:vAlign w:val="center"/>
          </w:tcPr>
          <w:p w14:paraId="25A314E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FFFFFF"/>
            <w:noWrap/>
            <w:vAlign w:val="center"/>
          </w:tcPr>
          <w:p w14:paraId="6285673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4</w:t>
            </w:r>
          </w:p>
        </w:tc>
        <w:tc>
          <w:tcPr>
            <w:tcW w:w="1032" w:type="dxa"/>
            <w:shd w:val="clear" w:color="auto" w:fill="FFFFFF"/>
            <w:noWrap/>
            <w:vAlign w:val="center"/>
          </w:tcPr>
          <w:p w14:paraId="630B3BF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color w:val="000000"/>
                <w:sz w:val="21"/>
                <w:szCs w:val="21"/>
              </w:rPr>
              <w:t>BSH017</w:t>
            </w:r>
          </w:p>
        </w:tc>
        <w:tc>
          <w:tcPr>
            <w:tcW w:w="1908" w:type="dxa"/>
            <w:shd w:val="clear" w:color="auto" w:fill="FFFFFF"/>
            <w:noWrap/>
            <w:vAlign w:val="center"/>
          </w:tcPr>
          <w:p w14:paraId="39ED531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公共管理学</w:t>
            </w:r>
          </w:p>
        </w:tc>
        <w:tc>
          <w:tcPr>
            <w:tcW w:w="2458" w:type="dxa"/>
            <w:vMerge w:val="continue"/>
            <w:shd w:val="clear" w:color="auto" w:fill="auto"/>
            <w:noWrap/>
            <w:vAlign w:val="center"/>
          </w:tcPr>
          <w:p w14:paraId="6844AB58">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3455A739">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484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719" w:type="dxa"/>
            <w:shd w:val="clear" w:color="auto" w:fill="FFFFFF"/>
            <w:noWrap/>
            <w:vAlign w:val="center"/>
          </w:tcPr>
          <w:p w14:paraId="6D64DE0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国家、省部级及横向科研项目</w:t>
            </w:r>
          </w:p>
        </w:tc>
        <w:tc>
          <w:tcPr>
            <w:tcW w:w="768" w:type="dxa"/>
            <w:shd w:val="clear" w:color="auto" w:fill="FFFFFF"/>
            <w:noWrap/>
            <w:vAlign w:val="center"/>
          </w:tcPr>
          <w:p w14:paraId="5B34523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16</w:t>
            </w:r>
          </w:p>
        </w:tc>
        <w:tc>
          <w:tcPr>
            <w:tcW w:w="1032" w:type="dxa"/>
            <w:shd w:val="clear" w:color="auto" w:fill="FFFFFF"/>
            <w:noWrap/>
            <w:vAlign w:val="center"/>
          </w:tcPr>
          <w:p w14:paraId="13E1CEE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color w:val="000000"/>
                <w:sz w:val="21"/>
                <w:szCs w:val="21"/>
              </w:rPr>
              <w:t>BSH018</w:t>
            </w:r>
          </w:p>
        </w:tc>
        <w:tc>
          <w:tcPr>
            <w:tcW w:w="1908" w:type="dxa"/>
            <w:shd w:val="clear" w:color="auto" w:fill="FFFFFF"/>
            <w:noWrap/>
            <w:vAlign w:val="center"/>
          </w:tcPr>
          <w:p w14:paraId="7CD4852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rPr>
              <w:t>网络空间安全</w:t>
            </w:r>
          </w:p>
        </w:tc>
        <w:tc>
          <w:tcPr>
            <w:tcW w:w="2458" w:type="dxa"/>
            <w:vMerge w:val="continue"/>
            <w:shd w:val="clear" w:color="auto" w:fill="auto"/>
            <w:noWrap/>
            <w:vAlign w:val="center"/>
          </w:tcPr>
          <w:p w14:paraId="72D4572E">
            <w:pPr>
              <w:adjustRightInd w:val="0"/>
              <w:snapToGrid w:val="0"/>
              <w:spacing w:line="240" w:lineRule="auto"/>
              <w:ind w:firstLine="0"/>
              <w:jc w:val="center"/>
              <w:rPr>
                <w:rFonts w:hint="default" w:ascii="Times New Roman" w:hAnsi="Times New Roman" w:cs="Times New Roman" w:eastAsiaTheme="minorEastAsia"/>
                <w:sz w:val="21"/>
                <w:szCs w:val="21"/>
                <w:shd w:val="clear" w:color="auto" w:fill="FFFFFF"/>
              </w:rPr>
            </w:pPr>
          </w:p>
        </w:tc>
        <w:tc>
          <w:tcPr>
            <w:tcW w:w="1491" w:type="dxa"/>
            <w:vMerge w:val="continue"/>
            <w:shd w:val="clear" w:color="auto" w:fill="auto"/>
            <w:noWrap/>
            <w:vAlign w:val="center"/>
          </w:tcPr>
          <w:p w14:paraId="12D551AF">
            <w:pPr>
              <w:adjustRightInd w:val="0"/>
              <w:snapToGrid w:val="0"/>
              <w:spacing w:line="240" w:lineRule="auto"/>
              <w:ind w:firstLine="0"/>
              <w:jc w:val="center"/>
              <w:rPr>
                <w:rFonts w:hint="default" w:ascii="Times New Roman" w:hAnsi="Times New Roman" w:cs="Times New Roman" w:eastAsiaTheme="minorEastAsia"/>
                <w:sz w:val="21"/>
                <w:szCs w:val="21"/>
              </w:rPr>
            </w:pPr>
          </w:p>
        </w:tc>
      </w:tr>
    </w:tbl>
    <w:p w14:paraId="5ED34790">
      <w:pPr>
        <w:pStyle w:val="5"/>
        <w:adjustRightInd w:val="0"/>
        <w:snapToGrid w:val="0"/>
        <w:spacing w:line="240" w:lineRule="auto"/>
        <w:ind w:firstLine="0"/>
        <w:jc w:val="center"/>
      </w:pPr>
      <w:r>
        <w:br w:type="page"/>
      </w:r>
    </w:p>
    <w:p w14:paraId="43E0474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44"/>
          <w:szCs w:val="44"/>
        </w:rPr>
      </w:pPr>
    </w:p>
    <w:p w14:paraId="7F6A1D3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1" w:name="_Toc31487"/>
      <w:bookmarkStart w:id="32" w:name="_Toc12416"/>
      <w:bookmarkStart w:id="33" w:name="_Toc19314"/>
      <w:bookmarkStart w:id="34" w:name="_Toc2890"/>
      <w:bookmarkStart w:id="35" w:name="_Toc30928"/>
      <w:r>
        <w:rPr>
          <w:rFonts w:eastAsia="方正小标宋简体"/>
          <w:sz w:val="44"/>
          <w:szCs w:val="44"/>
          <w:highlight w:val="none"/>
        </w:rPr>
        <w:t>核工业西南物理研究院</w:t>
      </w:r>
      <w:bookmarkEnd w:id="31"/>
      <w:bookmarkEnd w:id="32"/>
      <w:bookmarkEnd w:id="33"/>
      <w:bookmarkEnd w:id="34"/>
      <w:bookmarkEnd w:id="35"/>
    </w:p>
    <w:p w14:paraId="2DA066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16"/>
        <w:gridCol w:w="509"/>
        <w:gridCol w:w="630"/>
        <w:gridCol w:w="933"/>
        <w:gridCol w:w="352"/>
        <w:gridCol w:w="1228"/>
        <w:gridCol w:w="335"/>
        <w:gridCol w:w="1296"/>
        <w:gridCol w:w="365"/>
        <w:gridCol w:w="1803"/>
      </w:tblGrid>
      <w:tr w14:paraId="0BC3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shd w:val="clear" w:color="auto" w:fill="E7E6E6" w:themeFill="background2"/>
            <w:noWrap/>
            <w:vAlign w:val="center"/>
          </w:tcPr>
          <w:p w14:paraId="6B8D753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5" w:type="dxa"/>
            <w:gridSpan w:val="2"/>
            <w:shd w:val="clear" w:color="000000" w:fill="auto"/>
            <w:noWrap/>
            <w:vAlign w:val="center"/>
          </w:tcPr>
          <w:p w14:paraId="010BFB71">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563" w:type="dxa"/>
            <w:gridSpan w:val="2"/>
            <w:shd w:val="clear" w:color="auto" w:fill="E7E6E6" w:themeFill="background2"/>
            <w:noWrap/>
            <w:vAlign w:val="center"/>
          </w:tcPr>
          <w:p w14:paraId="01BD66D3">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0" w:type="dxa"/>
            <w:gridSpan w:val="2"/>
            <w:shd w:val="clear" w:color="000000" w:fill="auto"/>
            <w:noWrap/>
            <w:vAlign w:val="center"/>
          </w:tcPr>
          <w:p w14:paraId="66D0C692">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31" w:type="dxa"/>
            <w:gridSpan w:val="2"/>
            <w:shd w:val="clear" w:color="auto" w:fill="E7E6E6" w:themeFill="background2"/>
            <w:noWrap/>
            <w:vAlign w:val="center"/>
          </w:tcPr>
          <w:p w14:paraId="7BFBDDA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68" w:type="dxa"/>
            <w:gridSpan w:val="2"/>
            <w:shd w:val="clear" w:color="000000" w:fill="auto"/>
            <w:noWrap/>
            <w:vAlign w:val="center"/>
          </w:tcPr>
          <w:p w14:paraId="1FC61B34">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F4B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shd w:val="clear" w:color="auto" w:fill="E7E6E6" w:themeFill="background2"/>
            <w:noWrap/>
            <w:vAlign w:val="center"/>
          </w:tcPr>
          <w:p w14:paraId="7A06B18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67" w:type="dxa"/>
            <w:gridSpan w:val="10"/>
            <w:shd w:val="clear" w:color="000000" w:fill="auto"/>
            <w:noWrap/>
            <w:vAlign w:val="center"/>
          </w:tcPr>
          <w:p w14:paraId="3E8E489C">
            <w:pPr>
              <w:adjustRightInd w:val="0"/>
              <w:snapToGrid w:val="0"/>
              <w:spacing w:line="240" w:lineRule="auto"/>
              <w:ind w:firstLine="0"/>
              <w:jc w:val="center"/>
              <w:rPr>
                <w:rFonts w:eastAsiaTheme="minorEastAsia"/>
                <w:sz w:val="21"/>
                <w:szCs w:val="21"/>
              </w:rPr>
            </w:pPr>
            <w:r>
              <w:rPr>
                <w:rFonts w:eastAsiaTheme="minorEastAsia"/>
                <w:sz w:val="21"/>
                <w:szCs w:val="21"/>
              </w:rPr>
              <w:t>四川省成都市</w:t>
            </w:r>
            <w:r>
              <w:rPr>
                <w:rFonts w:hint="eastAsia" w:eastAsiaTheme="minorEastAsia"/>
                <w:sz w:val="21"/>
                <w:szCs w:val="21"/>
              </w:rPr>
              <w:t>天府新区湖畔路北段715号天府数智谷3栋</w:t>
            </w:r>
          </w:p>
        </w:tc>
      </w:tr>
      <w:tr w14:paraId="6BDA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1284" w:type="dxa"/>
            <w:shd w:val="clear" w:color="auto" w:fill="E7E6E6" w:themeFill="background2"/>
            <w:noWrap/>
            <w:vAlign w:val="center"/>
          </w:tcPr>
          <w:p w14:paraId="4ACCE4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67" w:type="dxa"/>
            <w:gridSpan w:val="10"/>
            <w:shd w:val="clear" w:color="000000" w:fill="auto"/>
            <w:noWrap/>
            <w:vAlign w:val="center"/>
          </w:tcPr>
          <w:p w14:paraId="6B6C7E04">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核工业西南物理研究院（以下简称“西物院”），总部位于成都，是中国核工业集团有限公司的直属单位，我国最早致力于可控核聚变的专业科研院所，国家核能“三步走”发展战略中聚变堆研发的核心单位，我国参与国际热核聚变实验堆（ITER）计划的重要支撑单位。西物院下设聚变科学所、成都企业部、工程技术学院三个二级单位，致力于核聚变能研究开发的同时，院在聚变中间技术转化，专业技术人才和技能人才。2020年，自主设计建造成功第三代聚变平台--新一代人造太阳“中国环流三号”装置，是我国规模最大、参数最高的托卡马克装置，取得了多项运行记录突破。</w:t>
            </w:r>
          </w:p>
          <w:p w14:paraId="371062F5">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西物院成为核聚变能研产学为一体的大型科研院所，正奋力谱写核聚变战新产业高质量发展新篇章。</w:t>
            </w:r>
          </w:p>
        </w:tc>
      </w:tr>
      <w:tr w14:paraId="44A3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jc w:val="center"/>
        </w:trPr>
        <w:tc>
          <w:tcPr>
            <w:tcW w:w="1284" w:type="dxa"/>
            <w:shd w:val="clear" w:color="auto" w:fill="E7E6E6" w:themeFill="background2"/>
            <w:noWrap/>
            <w:vAlign w:val="center"/>
          </w:tcPr>
          <w:p w14:paraId="526738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18735593">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467" w:type="dxa"/>
            <w:gridSpan w:val="10"/>
            <w:shd w:val="clear" w:color="000000" w:fill="auto"/>
            <w:noWrap/>
            <w:vAlign w:val="center"/>
          </w:tcPr>
          <w:p w14:paraId="55954457">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我院为博士后人员提供优厚的待遇，除基本工资性收入以外，还提供项目绩效科技成果奖励等。博士后人员享受五险二金、工会福利等职工福利待遇。在站期间根据项目需要可到国外开展合作研究。出站后可参与“优秀博士后”引进考核，在待遇、职称上提供充分支持。正常在站期间，综合待遇不低于30万/年。</w:t>
            </w:r>
          </w:p>
        </w:tc>
      </w:tr>
      <w:tr w14:paraId="1D12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300" w:type="dxa"/>
            <w:gridSpan w:val="2"/>
            <w:shd w:val="clear" w:color="auto" w:fill="E7E6E6" w:themeFill="background2"/>
            <w:noWrap/>
            <w:vAlign w:val="center"/>
          </w:tcPr>
          <w:p w14:paraId="1C270513">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9" w:type="dxa"/>
            <w:gridSpan w:val="2"/>
            <w:shd w:val="clear" w:color="auto" w:fill="E7E6E6" w:themeFill="background2"/>
            <w:noWrap/>
            <w:vAlign w:val="center"/>
          </w:tcPr>
          <w:p w14:paraId="04FB1F9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85" w:type="dxa"/>
            <w:gridSpan w:val="2"/>
            <w:shd w:val="clear" w:color="auto" w:fill="E7E6E6" w:themeFill="background2"/>
            <w:noWrap/>
            <w:vAlign w:val="center"/>
          </w:tcPr>
          <w:p w14:paraId="3C697A3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63" w:type="dxa"/>
            <w:gridSpan w:val="2"/>
            <w:shd w:val="clear" w:color="auto" w:fill="E7E6E6" w:themeFill="background2"/>
            <w:noWrap/>
            <w:vAlign w:val="center"/>
          </w:tcPr>
          <w:p w14:paraId="3C69871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r>
              <w:rPr>
                <w:rFonts w:hint="eastAsia" w:eastAsiaTheme="minorEastAsia"/>
                <w:b/>
                <w:bCs/>
                <w:sz w:val="21"/>
                <w:szCs w:val="21"/>
                <w:lang w:eastAsia="zh-CN"/>
              </w:rPr>
              <w:t>（</w:t>
            </w:r>
            <w:r>
              <w:rPr>
                <w:rFonts w:eastAsiaTheme="minorEastAsia"/>
                <w:b/>
                <w:bCs/>
                <w:sz w:val="21"/>
                <w:szCs w:val="21"/>
              </w:rPr>
              <w:t>一级学科</w:t>
            </w:r>
            <w:r>
              <w:rPr>
                <w:rFonts w:hint="eastAsia" w:eastAsiaTheme="minorEastAsia"/>
                <w:b/>
                <w:bCs/>
                <w:sz w:val="21"/>
                <w:szCs w:val="21"/>
                <w:lang w:eastAsia="zh-CN"/>
              </w:rPr>
              <w:t>）</w:t>
            </w:r>
          </w:p>
        </w:tc>
        <w:tc>
          <w:tcPr>
            <w:tcW w:w="1661" w:type="dxa"/>
            <w:gridSpan w:val="2"/>
            <w:shd w:val="clear" w:color="auto" w:fill="E7E6E6" w:themeFill="background2"/>
            <w:noWrap/>
            <w:vAlign w:val="center"/>
          </w:tcPr>
          <w:p w14:paraId="402A2D50">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10636EDE">
            <w:pPr>
              <w:adjustRightInd w:val="0"/>
              <w:snapToGrid w:val="0"/>
              <w:spacing w:line="240" w:lineRule="auto"/>
              <w:ind w:firstLine="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03" w:type="dxa"/>
            <w:shd w:val="clear" w:color="auto" w:fill="E7E6E6" w:themeFill="background2"/>
            <w:noWrap/>
            <w:vAlign w:val="center"/>
          </w:tcPr>
          <w:p w14:paraId="006D02B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E9399E2">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278B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0" w:type="dxa"/>
            <w:gridSpan w:val="2"/>
            <w:shd w:val="clear" w:color="000000" w:fill="FFFFFF"/>
            <w:noWrap/>
            <w:vAlign w:val="center"/>
          </w:tcPr>
          <w:p w14:paraId="34ADD0F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聚变堆工程技术</w:t>
            </w:r>
          </w:p>
        </w:tc>
        <w:tc>
          <w:tcPr>
            <w:tcW w:w="1139" w:type="dxa"/>
            <w:gridSpan w:val="2"/>
            <w:shd w:val="clear" w:color="000000" w:fill="FFFFFF"/>
            <w:noWrap/>
            <w:vAlign w:val="center"/>
          </w:tcPr>
          <w:p w14:paraId="4CF1EC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285" w:type="dxa"/>
            <w:gridSpan w:val="2"/>
            <w:shd w:val="clear" w:color="000000" w:fill="FFFFFF"/>
            <w:noWrap/>
            <w:vAlign w:val="center"/>
          </w:tcPr>
          <w:p w14:paraId="1F3927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63" w:type="dxa"/>
            <w:gridSpan w:val="2"/>
            <w:shd w:val="clear" w:color="000000" w:fill="FFFFFF"/>
            <w:noWrap/>
            <w:vAlign w:val="center"/>
          </w:tcPr>
          <w:p w14:paraId="450038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核科学与技术</w:t>
            </w:r>
          </w:p>
        </w:tc>
        <w:tc>
          <w:tcPr>
            <w:tcW w:w="1661" w:type="dxa"/>
            <w:gridSpan w:val="2"/>
            <w:shd w:val="clear" w:color="000000" w:fill="FFFFFF"/>
            <w:noWrap/>
            <w:vAlign w:val="center"/>
          </w:tcPr>
          <w:p w14:paraId="5255F6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803" w:type="dxa"/>
            <w:vMerge w:val="restart"/>
            <w:shd w:val="clear" w:color="000000" w:fill="auto"/>
            <w:noWrap/>
            <w:vAlign w:val="center"/>
          </w:tcPr>
          <w:p w14:paraId="27B3CD1B">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eastAsiaTheme="minorEastAsia"/>
                <w:sz w:val="21"/>
                <w:szCs w:val="21"/>
              </w:rPr>
            </w:pPr>
            <w:r>
              <w:rPr>
                <w:rFonts w:hint="eastAsia" w:eastAsiaTheme="minorEastAsia"/>
                <w:sz w:val="21"/>
                <w:szCs w:val="21"/>
              </w:rPr>
              <w:t>国内外著名大学及研究机构博士学位。</w:t>
            </w:r>
          </w:p>
          <w:p w14:paraId="3C2361A2">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eastAsiaTheme="minorEastAsia"/>
                <w:sz w:val="21"/>
                <w:szCs w:val="21"/>
              </w:rPr>
            </w:pPr>
            <w:r>
              <w:rPr>
                <w:rFonts w:hint="eastAsia" w:eastAsiaTheme="minorEastAsia"/>
                <w:sz w:val="21"/>
                <w:szCs w:val="21"/>
              </w:rPr>
              <w:t>专业：等离子体物理、计算物理、数学、化学、材料科学与工程、电气工程、控制科学与工程、核能科学与工程、核技术及应用等专业</w:t>
            </w:r>
          </w:p>
        </w:tc>
      </w:tr>
      <w:tr w14:paraId="6FD8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0" w:type="dxa"/>
            <w:gridSpan w:val="2"/>
            <w:shd w:val="clear" w:color="000000" w:fill="FFFFFF"/>
            <w:noWrap/>
            <w:vAlign w:val="center"/>
          </w:tcPr>
          <w:p w14:paraId="74C7D3D3">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等离子体理论及模拟计算</w:t>
            </w:r>
          </w:p>
        </w:tc>
        <w:tc>
          <w:tcPr>
            <w:tcW w:w="1139" w:type="dxa"/>
            <w:gridSpan w:val="2"/>
            <w:shd w:val="clear" w:color="000000" w:fill="FFFFFF"/>
            <w:noWrap/>
            <w:vAlign w:val="center"/>
          </w:tcPr>
          <w:p w14:paraId="79464E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85" w:type="dxa"/>
            <w:gridSpan w:val="2"/>
            <w:shd w:val="clear" w:color="000000" w:fill="FFFFFF"/>
            <w:noWrap/>
            <w:vAlign w:val="center"/>
          </w:tcPr>
          <w:p w14:paraId="6CE72BC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63" w:type="dxa"/>
            <w:gridSpan w:val="2"/>
            <w:shd w:val="clear" w:color="000000" w:fill="FFFFFF"/>
            <w:noWrap/>
            <w:vAlign w:val="center"/>
          </w:tcPr>
          <w:p w14:paraId="565B3F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核科学与技术</w:t>
            </w:r>
          </w:p>
        </w:tc>
        <w:tc>
          <w:tcPr>
            <w:tcW w:w="1661" w:type="dxa"/>
            <w:gridSpan w:val="2"/>
            <w:shd w:val="clear" w:color="000000" w:fill="FFFFFF"/>
            <w:noWrap/>
            <w:vAlign w:val="center"/>
          </w:tcPr>
          <w:p w14:paraId="796F01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803" w:type="dxa"/>
            <w:vMerge w:val="continue"/>
            <w:shd w:val="clear" w:color="000000" w:fill="auto"/>
            <w:noWrap/>
            <w:vAlign w:val="center"/>
          </w:tcPr>
          <w:p w14:paraId="54EF0DB0">
            <w:pPr>
              <w:adjustRightInd w:val="0"/>
              <w:snapToGrid w:val="0"/>
              <w:spacing w:line="240" w:lineRule="auto"/>
              <w:ind w:firstLine="0"/>
              <w:rPr>
                <w:rFonts w:eastAsiaTheme="minorEastAsia"/>
                <w:sz w:val="21"/>
                <w:szCs w:val="21"/>
              </w:rPr>
            </w:pPr>
          </w:p>
        </w:tc>
      </w:tr>
      <w:tr w14:paraId="6788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0" w:type="dxa"/>
            <w:gridSpan w:val="2"/>
            <w:shd w:val="clear" w:color="000000" w:fill="FFFFFF"/>
            <w:noWrap/>
            <w:vAlign w:val="center"/>
          </w:tcPr>
          <w:p w14:paraId="6D01B63D">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聚变堆材料</w:t>
            </w:r>
            <w:r>
              <w:rPr>
                <w:rFonts w:hint="default" w:ascii="Times New Roman" w:hAnsi="Times New Roman" w:cs="Times New Roman" w:eastAsiaTheme="minorEastAsia"/>
                <w:sz w:val="21"/>
                <w:szCs w:val="21"/>
                <w:lang w:val="en-US" w:eastAsia="zh-CN"/>
              </w:rPr>
              <w:t>研发</w:t>
            </w:r>
          </w:p>
        </w:tc>
        <w:tc>
          <w:tcPr>
            <w:tcW w:w="1139" w:type="dxa"/>
            <w:gridSpan w:val="2"/>
            <w:shd w:val="clear" w:color="000000" w:fill="FFFFFF"/>
            <w:noWrap/>
            <w:vAlign w:val="center"/>
          </w:tcPr>
          <w:p w14:paraId="2EF5B4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85" w:type="dxa"/>
            <w:gridSpan w:val="2"/>
            <w:shd w:val="clear" w:color="000000" w:fill="FFFFFF"/>
            <w:noWrap/>
            <w:vAlign w:val="center"/>
          </w:tcPr>
          <w:p w14:paraId="4A6330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63" w:type="dxa"/>
            <w:gridSpan w:val="2"/>
            <w:shd w:val="clear" w:color="000000" w:fill="FFFFFF"/>
            <w:noWrap/>
            <w:vAlign w:val="center"/>
          </w:tcPr>
          <w:p w14:paraId="18D657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核科学与技术</w:t>
            </w:r>
          </w:p>
        </w:tc>
        <w:tc>
          <w:tcPr>
            <w:tcW w:w="1661" w:type="dxa"/>
            <w:gridSpan w:val="2"/>
            <w:shd w:val="clear" w:color="000000" w:fill="FFFFFF"/>
            <w:noWrap/>
            <w:vAlign w:val="center"/>
          </w:tcPr>
          <w:p w14:paraId="5F73FE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803" w:type="dxa"/>
            <w:vMerge w:val="continue"/>
            <w:shd w:val="clear" w:color="000000" w:fill="auto"/>
            <w:noWrap/>
            <w:vAlign w:val="center"/>
          </w:tcPr>
          <w:p w14:paraId="1F08C0AD">
            <w:pPr>
              <w:adjustRightInd w:val="0"/>
              <w:snapToGrid w:val="0"/>
              <w:spacing w:line="240" w:lineRule="auto"/>
              <w:ind w:firstLine="0"/>
              <w:rPr>
                <w:rFonts w:eastAsiaTheme="minorEastAsia"/>
                <w:sz w:val="21"/>
                <w:szCs w:val="21"/>
              </w:rPr>
            </w:pPr>
          </w:p>
        </w:tc>
      </w:tr>
      <w:tr w14:paraId="2CBF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0" w:type="dxa"/>
            <w:gridSpan w:val="2"/>
            <w:shd w:val="clear" w:color="000000" w:fill="FFFFFF"/>
            <w:noWrap/>
            <w:vAlign w:val="center"/>
          </w:tcPr>
          <w:p w14:paraId="77E44029">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电力电子机电一体化</w:t>
            </w:r>
          </w:p>
        </w:tc>
        <w:tc>
          <w:tcPr>
            <w:tcW w:w="1139" w:type="dxa"/>
            <w:gridSpan w:val="2"/>
            <w:shd w:val="clear" w:color="000000" w:fill="FFFFFF"/>
            <w:noWrap/>
            <w:vAlign w:val="center"/>
          </w:tcPr>
          <w:p w14:paraId="61ABCF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85" w:type="dxa"/>
            <w:gridSpan w:val="2"/>
            <w:shd w:val="clear" w:color="000000" w:fill="FFFFFF"/>
            <w:noWrap/>
            <w:vAlign w:val="center"/>
          </w:tcPr>
          <w:p w14:paraId="31187E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563" w:type="dxa"/>
            <w:gridSpan w:val="2"/>
            <w:shd w:val="clear" w:color="000000" w:fill="FFFFFF"/>
            <w:noWrap/>
            <w:vAlign w:val="center"/>
          </w:tcPr>
          <w:p w14:paraId="5AF717D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电气工程</w:t>
            </w:r>
          </w:p>
        </w:tc>
        <w:tc>
          <w:tcPr>
            <w:tcW w:w="1661" w:type="dxa"/>
            <w:gridSpan w:val="2"/>
            <w:shd w:val="clear" w:color="000000" w:fill="FFFFFF"/>
            <w:noWrap/>
            <w:vAlign w:val="center"/>
          </w:tcPr>
          <w:p w14:paraId="3BE6914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803" w:type="dxa"/>
            <w:vMerge w:val="continue"/>
            <w:shd w:val="clear" w:color="000000" w:fill="auto"/>
            <w:noWrap/>
            <w:vAlign w:val="center"/>
          </w:tcPr>
          <w:p w14:paraId="33C30CC6">
            <w:pPr>
              <w:adjustRightInd w:val="0"/>
              <w:snapToGrid w:val="0"/>
              <w:spacing w:line="240" w:lineRule="auto"/>
              <w:ind w:firstLine="0"/>
              <w:rPr>
                <w:rFonts w:eastAsiaTheme="minorEastAsia"/>
                <w:sz w:val="21"/>
                <w:szCs w:val="21"/>
              </w:rPr>
            </w:pPr>
          </w:p>
        </w:tc>
      </w:tr>
      <w:tr w14:paraId="0199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00" w:type="dxa"/>
            <w:gridSpan w:val="2"/>
            <w:shd w:val="clear" w:color="000000" w:fill="FFFFFF"/>
            <w:noWrap/>
            <w:vAlign w:val="center"/>
          </w:tcPr>
          <w:p w14:paraId="10CF8EB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等离子体实验及诊断</w:t>
            </w:r>
          </w:p>
        </w:tc>
        <w:tc>
          <w:tcPr>
            <w:tcW w:w="1139" w:type="dxa"/>
            <w:gridSpan w:val="2"/>
            <w:shd w:val="clear" w:color="000000" w:fill="FFFFFF"/>
            <w:noWrap/>
            <w:vAlign w:val="center"/>
          </w:tcPr>
          <w:p w14:paraId="10B950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85" w:type="dxa"/>
            <w:gridSpan w:val="2"/>
            <w:shd w:val="clear" w:color="000000" w:fill="FFFFFF"/>
            <w:noWrap/>
            <w:vAlign w:val="center"/>
          </w:tcPr>
          <w:p w14:paraId="593325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563" w:type="dxa"/>
            <w:gridSpan w:val="2"/>
            <w:shd w:val="clear" w:color="000000" w:fill="FFFFFF"/>
            <w:noWrap/>
            <w:vAlign w:val="center"/>
          </w:tcPr>
          <w:p w14:paraId="00C57A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核科学与技术</w:t>
            </w:r>
          </w:p>
        </w:tc>
        <w:tc>
          <w:tcPr>
            <w:tcW w:w="1661" w:type="dxa"/>
            <w:gridSpan w:val="2"/>
            <w:shd w:val="clear" w:color="000000" w:fill="FFFFFF"/>
            <w:noWrap/>
            <w:vAlign w:val="center"/>
          </w:tcPr>
          <w:p w14:paraId="235CAF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803" w:type="dxa"/>
            <w:vMerge w:val="continue"/>
            <w:shd w:val="clear" w:color="000000" w:fill="auto"/>
            <w:noWrap/>
            <w:vAlign w:val="center"/>
          </w:tcPr>
          <w:p w14:paraId="13E50A28">
            <w:pPr>
              <w:adjustRightInd w:val="0"/>
              <w:snapToGrid w:val="0"/>
              <w:spacing w:line="240" w:lineRule="auto"/>
              <w:ind w:firstLine="0"/>
              <w:rPr>
                <w:rFonts w:eastAsiaTheme="minorEastAsia"/>
                <w:sz w:val="21"/>
                <w:szCs w:val="21"/>
              </w:rPr>
            </w:pPr>
          </w:p>
        </w:tc>
      </w:tr>
    </w:tbl>
    <w:p w14:paraId="7A4D5E93">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3169911F">
      <w:pPr>
        <w:adjustRightInd w:val="0"/>
        <w:snapToGrid w:val="0"/>
        <w:spacing w:line="240" w:lineRule="auto"/>
        <w:ind w:firstLine="0"/>
        <w:rPr>
          <w:rFonts w:eastAsia="方正小标宋简体"/>
          <w:sz w:val="44"/>
          <w:szCs w:val="44"/>
        </w:rPr>
      </w:pPr>
    </w:p>
    <w:p w14:paraId="063BB10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6" w:name="_Toc771"/>
      <w:bookmarkStart w:id="37" w:name="_Toc9141"/>
      <w:bookmarkStart w:id="38" w:name="_Toc11852"/>
      <w:bookmarkStart w:id="39" w:name="_Toc27195"/>
      <w:r>
        <w:rPr>
          <w:rFonts w:eastAsia="方正小标宋简体"/>
          <w:sz w:val="44"/>
          <w:szCs w:val="44"/>
          <w:highlight w:val="none"/>
        </w:rPr>
        <w:t>四川大学</w:t>
      </w:r>
      <w:bookmarkEnd w:id="11"/>
      <w:bookmarkEnd w:id="36"/>
      <w:bookmarkEnd w:id="37"/>
      <w:bookmarkEnd w:id="38"/>
      <w:bookmarkEnd w:id="39"/>
    </w:p>
    <w:p w14:paraId="6194D80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692"/>
        <w:gridCol w:w="1620"/>
        <w:gridCol w:w="1752"/>
        <w:gridCol w:w="1752"/>
        <w:gridCol w:w="1605"/>
      </w:tblGrid>
      <w:tr w14:paraId="4B55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0" w:type="dxa"/>
            <w:shd w:val="clear" w:color="auto" w:fill="E7E6E6" w:themeFill="background2"/>
            <w:noWrap/>
            <w:vAlign w:val="center"/>
          </w:tcPr>
          <w:p w14:paraId="5139B1E2">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单位性质</w:t>
            </w:r>
          </w:p>
        </w:tc>
        <w:tc>
          <w:tcPr>
            <w:tcW w:w="1692" w:type="dxa"/>
            <w:shd w:val="clear" w:color="auto" w:fill="auto"/>
            <w:noWrap/>
            <w:vAlign w:val="center"/>
          </w:tcPr>
          <w:p w14:paraId="1A10192C">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高等院校</w:t>
            </w:r>
          </w:p>
        </w:tc>
        <w:tc>
          <w:tcPr>
            <w:tcW w:w="1620" w:type="dxa"/>
            <w:shd w:val="clear" w:color="auto" w:fill="E7E6E6" w:themeFill="background2"/>
            <w:noWrap/>
            <w:vAlign w:val="center"/>
          </w:tcPr>
          <w:p w14:paraId="3B0B7CDB">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设站单位类型</w:t>
            </w:r>
          </w:p>
        </w:tc>
        <w:tc>
          <w:tcPr>
            <w:tcW w:w="1752" w:type="dxa"/>
            <w:shd w:val="clear" w:color="auto" w:fill="auto"/>
            <w:noWrap/>
            <w:vAlign w:val="center"/>
          </w:tcPr>
          <w:p w14:paraId="00C4DF10">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流动站</w:t>
            </w:r>
          </w:p>
        </w:tc>
        <w:tc>
          <w:tcPr>
            <w:tcW w:w="1752" w:type="dxa"/>
            <w:shd w:val="clear" w:color="auto" w:fill="E7E6E6" w:themeFill="background2"/>
            <w:noWrap/>
            <w:vAlign w:val="center"/>
          </w:tcPr>
          <w:p w14:paraId="16E9C1CD">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单位所在城市</w:t>
            </w:r>
          </w:p>
        </w:tc>
        <w:tc>
          <w:tcPr>
            <w:tcW w:w="1605" w:type="dxa"/>
            <w:shd w:val="clear" w:color="auto" w:fill="auto"/>
            <w:noWrap/>
            <w:vAlign w:val="center"/>
          </w:tcPr>
          <w:p w14:paraId="2F96152D">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成都</w:t>
            </w:r>
          </w:p>
        </w:tc>
      </w:tr>
      <w:tr w14:paraId="1BE0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0" w:type="dxa"/>
            <w:shd w:val="clear" w:color="auto" w:fill="E7E6E6" w:themeFill="background2"/>
            <w:noWrap/>
            <w:vAlign w:val="center"/>
          </w:tcPr>
          <w:p w14:paraId="07196A41">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通讯地址</w:t>
            </w:r>
          </w:p>
        </w:tc>
        <w:tc>
          <w:tcPr>
            <w:tcW w:w="8421" w:type="dxa"/>
            <w:gridSpan w:val="5"/>
            <w:shd w:val="clear" w:color="auto" w:fill="auto"/>
            <w:noWrap/>
            <w:vAlign w:val="center"/>
          </w:tcPr>
          <w:p w14:paraId="7F886E6F">
            <w:pPr>
              <w:widowControl/>
              <w:adjustRightInd w:val="0"/>
              <w:snapToGrid w:val="0"/>
              <w:spacing w:line="240" w:lineRule="auto"/>
              <w:ind w:firstLine="0"/>
              <w:jc w:val="center"/>
              <w:rPr>
                <w:rFonts w:eastAsiaTheme="minorEastAsia"/>
                <w:bCs/>
                <w:kern w:val="0"/>
                <w:sz w:val="21"/>
                <w:szCs w:val="21"/>
              </w:rPr>
            </w:pPr>
            <w:r>
              <w:rPr>
                <w:rFonts w:hint="eastAsia" w:eastAsiaTheme="minorEastAsia"/>
                <w:bCs/>
                <w:kern w:val="0"/>
                <w:sz w:val="21"/>
                <w:szCs w:val="21"/>
                <w:lang w:val="en-US" w:eastAsia="zh-CN"/>
              </w:rPr>
              <w:t>四川省</w:t>
            </w:r>
            <w:r>
              <w:rPr>
                <w:rFonts w:eastAsiaTheme="minorEastAsia"/>
                <w:bCs/>
                <w:kern w:val="0"/>
                <w:sz w:val="21"/>
                <w:szCs w:val="21"/>
              </w:rPr>
              <w:t>成都市一环路南一段24号</w:t>
            </w:r>
          </w:p>
        </w:tc>
      </w:tr>
      <w:tr w14:paraId="2426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1" w:hRule="atLeast"/>
          <w:jc w:val="center"/>
        </w:trPr>
        <w:tc>
          <w:tcPr>
            <w:tcW w:w="1330" w:type="dxa"/>
            <w:shd w:val="clear" w:color="auto" w:fill="E7E6E6" w:themeFill="background2"/>
            <w:noWrap/>
            <w:vAlign w:val="center"/>
          </w:tcPr>
          <w:p w14:paraId="47773949">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单位简介</w:t>
            </w:r>
          </w:p>
        </w:tc>
        <w:tc>
          <w:tcPr>
            <w:tcW w:w="8421" w:type="dxa"/>
            <w:gridSpan w:val="5"/>
            <w:shd w:val="clear" w:color="auto" w:fill="auto"/>
            <w:vAlign w:val="center"/>
          </w:tcPr>
          <w:p w14:paraId="48CCE58D">
            <w:pPr>
              <w:widowControl/>
              <w:adjustRightInd w:val="0"/>
              <w:snapToGrid w:val="0"/>
              <w:spacing w:line="480" w:lineRule="auto"/>
              <w:ind w:firstLine="420" w:firstLineChars="200"/>
              <w:rPr>
                <w:rFonts w:eastAsiaTheme="minorEastAsia"/>
                <w:bCs/>
                <w:kern w:val="0"/>
                <w:sz w:val="21"/>
                <w:szCs w:val="21"/>
              </w:rPr>
            </w:pPr>
            <w:r>
              <w:rPr>
                <w:rFonts w:hint="eastAsia" w:eastAsiaTheme="minorEastAsia"/>
                <w:bCs/>
                <w:kern w:val="0"/>
                <w:sz w:val="21"/>
                <w:szCs w:val="21"/>
              </w:rPr>
              <w:t>四川大学创建于1896年，坐落于中国西部经济、文化和交通枢纽的天府之国——成都，是我国历史最为悠久且享有崇高学术声誉的著名大学之一。四川大学学科门类齐全，覆盖了文、理、工、医、经、管、法、史、哲、农、教、艺等12个门类，博士后流动站48个。学校始终坚持以“海纳百川，有容乃大”的广博延揽人才，现面向海内外公开招聘优秀学者，我们将为您提供自由的学术环境、良好的工作条件和优厚的薪酬待遇，助您施展才华、成就学术大师梦想！</w:t>
            </w:r>
          </w:p>
        </w:tc>
      </w:tr>
      <w:tr w14:paraId="610D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6" w:hRule="atLeast"/>
          <w:jc w:val="center"/>
        </w:trPr>
        <w:tc>
          <w:tcPr>
            <w:tcW w:w="1330" w:type="dxa"/>
            <w:shd w:val="clear" w:color="auto" w:fill="E7E6E6" w:themeFill="background2"/>
            <w:noWrap/>
            <w:vAlign w:val="center"/>
          </w:tcPr>
          <w:p w14:paraId="5CEC517A">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单位博士后</w:t>
            </w:r>
          </w:p>
          <w:p w14:paraId="4197A74B">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主要政策</w:t>
            </w:r>
          </w:p>
        </w:tc>
        <w:tc>
          <w:tcPr>
            <w:tcW w:w="8421" w:type="dxa"/>
            <w:gridSpan w:val="5"/>
            <w:shd w:val="clear" w:color="auto" w:fill="auto"/>
            <w:vAlign w:val="center"/>
          </w:tcPr>
          <w:p w14:paraId="13C6E28C">
            <w:pPr>
              <w:widowControl/>
              <w:adjustRightInd w:val="0"/>
              <w:snapToGrid w:val="0"/>
              <w:spacing w:line="480" w:lineRule="auto"/>
              <w:ind w:firstLine="420" w:firstLineChars="200"/>
              <w:rPr>
                <w:rFonts w:hint="eastAsia" w:eastAsiaTheme="minorEastAsia"/>
                <w:bCs/>
                <w:kern w:val="0"/>
                <w:sz w:val="21"/>
                <w:szCs w:val="21"/>
              </w:rPr>
            </w:pPr>
            <w:r>
              <w:rPr>
                <w:rFonts w:hint="eastAsia" w:eastAsiaTheme="minorEastAsia"/>
                <w:bCs/>
                <w:kern w:val="0"/>
                <w:sz w:val="21"/>
                <w:szCs w:val="21"/>
              </w:rPr>
              <w:t>科研项目：</w:t>
            </w:r>
          </w:p>
          <w:p w14:paraId="26E85B3F">
            <w:pPr>
              <w:widowControl/>
              <w:adjustRightInd w:val="0"/>
              <w:snapToGrid w:val="0"/>
              <w:spacing w:line="480" w:lineRule="auto"/>
              <w:ind w:firstLine="420" w:firstLineChars="200"/>
              <w:rPr>
                <w:rFonts w:hint="eastAsia" w:eastAsiaTheme="minorEastAsia"/>
                <w:bCs/>
                <w:kern w:val="0"/>
                <w:sz w:val="21"/>
                <w:szCs w:val="21"/>
              </w:rPr>
            </w:pPr>
            <w:r>
              <w:rPr>
                <w:rFonts w:hint="eastAsia" w:eastAsiaTheme="minorEastAsia"/>
                <w:bCs/>
                <w:kern w:val="0"/>
                <w:sz w:val="21"/>
                <w:szCs w:val="21"/>
              </w:rPr>
              <w:t>·专职博士后人员均可申请国家“博新计划”、国资计划B/C档、国（境）外交流项目、中国博士后科学基金等。</w:t>
            </w:r>
          </w:p>
          <w:p w14:paraId="6AC3EF66">
            <w:pPr>
              <w:widowControl/>
              <w:adjustRightInd w:val="0"/>
              <w:snapToGrid w:val="0"/>
              <w:spacing w:line="480" w:lineRule="auto"/>
              <w:ind w:firstLine="420" w:firstLineChars="200"/>
              <w:rPr>
                <w:rFonts w:hint="eastAsia" w:eastAsiaTheme="minorEastAsia"/>
                <w:bCs/>
                <w:kern w:val="0"/>
                <w:sz w:val="21"/>
                <w:szCs w:val="21"/>
              </w:rPr>
            </w:pPr>
            <w:r>
              <w:rPr>
                <w:rFonts w:hint="eastAsia" w:eastAsiaTheme="minorEastAsia"/>
                <w:bCs/>
                <w:kern w:val="0"/>
                <w:sz w:val="21"/>
                <w:szCs w:val="21"/>
              </w:rPr>
              <w:t>周转房：</w:t>
            </w:r>
          </w:p>
          <w:p w14:paraId="37A748D6">
            <w:pPr>
              <w:widowControl/>
              <w:adjustRightInd w:val="0"/>
              <w:snapToGrid w:val="0"/>
              <w:spacing w:line="480" w:lineRule="auto"/>
              <w:ind w:firstLine="420" w:firstLineChars="200"/>
              <w:rPr>
                <w:rFonts w:hint="eastAsia" w:eastAsiaTheme="minorEastAsia"/>
                <w:bCs/>
                <w:kern w:val="0"/>
                <w:sz w:val="21"/>
                <w:szCs w:val="21"/>
              </w:rPr>
            </w:pPr>
            <w:r>
              <w:rPr>
                <w:rFonts w:hint="eastAsia" w:eastAsiaTheme="minorEastAsia"/>
                <w:bCs/>
                <w:kern w:val="0"/>
                <w:sz w:val="21"/>
                <w:szCs w:val="21"/>
              </w:rPr>
              <w:t>·根据学校政策执行。</w:t>
            </w:r>
          </w:p>
          <w:p w14:paraId="3319509E">
            <w:pPr>
              <w:widowControl/>
              <w:adjustRightInd w:val="0"/>
              <w:snapToGrid w:val="0"/>
              <w:spacing w:line="480" w:lineRule="auto"/>
              <w:ind w:firstLine="420" w:firstLineChars="200"/>
              <w:rPr>
                <w:rFonts w:hint="eastAsia" w:eastAsiaTheme="minorEastAsia"/>
                <w:bCs/>
                <w:kern w:val="0"/>
                <w:sz w:val="21"/>
                <w:szCs w:val="21"/>
              </w:rPr>
            </w:pPr>
            <w:r>
              <w:rPr>
                <w:rFonts w:hint="eastAsia" w:eastAsiaTheme="minorEastAsia"/>
                <w:bCs/>
                <w:kern w:val="0"/>
                <w:sz w:val="21"/>
                <w:szCs w:val="21"/>
              </w:rPr>
              <w:t>子女入学：</w:t>
            </w:r>
          </w:p>
          <w:p w14:paraId="07B0DBAE">
            <w:pPr>
              <w:widowControl/>
              <w:adjustRightInd w:val="0"/>
              <w:snapToGrid w:val="0"/>
              <w:spacing w:line="480" w:lineRule="auto"/>
              <w:ind w:firstLine="420" w:firstLineChars="200"/>
              <w:rPr>
                <w:rFonts w:eastAsiaTheme="minorEastAsia"/>
                <w:bCs/>
                <w:kern w:val="0"/>
                <w:sz w:val="21"/>
                <w:szCs w:val="21"/>
              </w:rPr>
            </w:pPr>
            <w:r>
              <w:rPr>
                <w:rFonts w:hint="eastAsia" w:eastAsiaTheme="minorEastAsia"/>
                <w:bCs/>
                <w:kern w:val="0"/>
                <w:sz w:val="21"/>
                <w:szCs w:val="21"/>
              </w:rPr>
              <w:t>·根据学校相关要求，解决博士后子女幼儿园入学问题。</w:t>
            </w:r>
          </w:p>
        </w:tc>
      </w:tr>
    </w:tbl>
    <w:p w14:paraId="36672345">
      <w:pPr>
        <w:adjustRightInd w:val="0"/>
        <w:snapToGrid w:val="0"/>
        <w:spacing w:line="14"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231"/>
        <w:gridCol w:w="1086"/>
        <w:gridCol w:w="2299"/>
        <w:gridCol w:w="2201"/>
        <w:gridCol w:w="1554"/>
      </w:tblGrid>
      <w:tr w14:paraId="0433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blHeader/>
          <w:jc w:val="center"/>
        </w:trPr>
        <w:tc>
          <w:tcPr>
            <w:tcW w:w="1271" w:type="dxa"/>
            <w:shd w:val="clear" w:color="auto" w:fill="E7E6E6" w:themeFill="background2"/>
            <w:noWrap/>
            <w:vAlign w:val="center"/>
          </w:tcPr>
          <w:p w14:paraId="05A6A587">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项目名称</w:t>
            </w:r>
          </w:p>
        </w:tc>
        <w:tc>
          <w:tcPr>
            <w:tcW w:w="1134" w:type="dxa"/>
            <w:shd w:val="clear" w:color="auto" w:fill="E7E6E6" w:themeFill="background2"/>
            <w:vAlign w:val="center"/>
          </w:tcPr>
          <w:p w14:paraId="04586E7B">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需求人数</w:t>
            </w:r>
          </w:p>
        </w:tc>
        <w:tc>
          <w:tcPr>
            <w:tcW w:w="1001" w:type="dxa"/>
            <w:shd w:val="clear" w:color="auto" w:fill="E7E6E6" w:themeFill="background2"/>
            <w:vAlign w:val="center"/>
          </w:tcPr>
          <w:p w14:paraId="4338FCFA">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岗位编号</w:t>
            </w:r>
          </w:p>
        </w:tc>
        <w:tc>
          <w:tcPr>
            <w:tcW w:w="2118" w:type="dxa"/>
            <w:shd w:val="clear" w:color="auto" w:fill="E7E6E6" w:themeFill="background2"/>
            <w:vAlign w:val="center"/>
          </w:tcPr>
          <w:p w14:paraId="11518E36">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所需专业方向</w:t>
            </w:r>
          </w:p>
          <w:p w14:paraId="2A78E4AB">
            <w:pPr>
              <w:widowControl/>
              <w:adjustRightInd w:val="0"/>
              <w:snapToGrid w:val="0"/>
              <w:spacing w:line="240" w:lineRule="auto"/>
              <w:ind w:firstLine="0"/>
              <w:jc w:val="center"/>
              <w:rPr>
                <w:rFonts w:hint="eastAsia" w:eastAsiaTheme="minorEastAsia"/>
                <w:b/>
                <w:bCs/>
                <w:kern w:val="0"/>
                <w:sz w:val="21"/>
                <w:szCs w:val="21"/>
                <w:lang w:eastAsia="zh-CN"/>
              </w:rPr>
            </w:pPr>
            <w:r>
              <w:rPr>
                <w:rFonts w:eastAsiaTheme="minorEastAsia"/>
                <w:b/>
                <w:bCs/>
                <w:kern w:val="0"/>
                <w:sz w:val="21"/>
                <w:szCs w:val="21"/>
              </w:rPr>
              <w:t>（一级学科</w:t>
            </w:r>
            <w:r>
              <w:rPr>
                <w:rFonts w:hint="eastAsia" w:eastAsiaTheme="minorEastAsia"/>
                <w:b/>
                <w:bCs/>
                <w:kern w:val="0"/>
                <w:sz w:val="21"/>
                <w:szCs w:val="21"/>
                <w:lang w:eastAsia="zh-CN"/>
              </w:rPr>
              <w:t>）</w:t>
            </w:r>
          </w:p>
        </w:tc>
        <w:tc>
          <w:tcPr>
            <w:tcW w:w="2028" w:type="dxa"/>
            <w:shd w:val="clear" w:color="auto" w:fill="E7E6E6" w:themeFill="background2"/>
            <w:vAlign w:val="center"/>
          </w:tcPr>
          <w:p w14:paraId="1DF5607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拟提供经费</w:t>
            </w:r>
            <w:r>
              <w:rPr>
                <w:rFonts w:hint="eastAsia" w:eastAsiaTheme="minorEastAsia"/>
                <w:b/>
                <w:bCs/>
                <w:kern w:val="0"/>
                <w:sz w:val="21"/>
                <w:szCs w:val="21"/>
                <w:lang w:eastAsia="zh-CN"/>
              </w:rPr>
              <w:t>（</w:t>
            </w:r>
            <w:r>
              <w:rPr>
                <w:rFonts w:eastAsiaTheme="minorEastAsia"/>
                <w:b/>
                <w:bCs/>
                <w:kern w:val="0"/>
                <w:sz w:val="21"/>
                <w:szCs w:val="21"/>
              </w:rPr>
              <w:t>万元/年</w:t>
            </w:r>
            <w:r>
              <w:rPr>
                <w:rFonts w:hint="eastAsia" w:eastAsiaTheme="minorEastAsia"/>
                <w:b/>
                <w:bCs/>
                <w:kern w:val="0"/>
                <w:sz w:val="21"/>
                <w:szCs w:val="21"/>
                <w:lang w:eastAsia="zh-CN"/>
              </w:rPr>
              <w:t>）</w:t>
            </w:r>
          </w:p>
        </w:tc>
        <w:tc>
          <w:tcPr>
            <w:tcW w:w="1432" w:type="dxa"/>
            <w:shd w:val="clear" w:color="auto" w:fill="E7E6E6" w:themeFill="background2"/>
            <w:vAlign w:val="center"/>
          </w:tcPr>
          <w:p w14:paraId="26411619">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博士生源单位等要求</w:t>
            </w:r>
          </w:p>
        </w:tc>
      </w:tr>
      <w:tr w14:paraId="222B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restart"/>
            <w:shd w:val="clear" w:color="000000" w:fill="FFFFFF"/>
            <w:noWrap/>
            <w:vAlign w:val="center"/>
          </w:tcPr>
          <w:p w14:paraId="36DF26B7">
            <w:pPr>
              <w:adjustRightInd w:val="0"/>
              <w:snapToGrid w:val="0"/>
              <w:spacing w:line="240" w:lineRule="auto"/>
              <w:ind w:firstLine="0"/>
              <w:jc w:val="center"/>
              <w:rPr>
                <w:rFonts w:eastAsiaTheme="minorEastAsia"/>
                <w:sz w:val="21"/>
                <w:szCs w:val="21"/>
              </w:rPr>
            </w:pPr>
            <w:bookmarkStart w:id="40" w:name="OLE_LINK1" w:colFirst="1" w:colLast="1"/>
            <w:r>
              <w:rPr>
                <w:rFonts w:eastAsiaTheme="minorEastAsia"/>
                <w:sz w:val="21"/>
                <w:szCs w:val="21"/>
              </w:rPr>
              <w:t>专职博士后</w:t>
            </w:r>
          </w:p>
        </w:tc>
        <w:tc>
          <w:tcPr>
            <w:tcW w:w="1134" w:type="dxa"/>
            <w:shd w:val="clear" w:color="000000" w:fill="FFFFFF"/>
            <w:vAlign w:val="center"/>
          </w:tcPr>
          <w:p w14:paraId="147E7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53941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BSH001</w:t>
            </w:r>
          </w:p>
        </w:tc>
        <w:tc>
          <w:tcPr>
            <w:tcW w:w="2118" w:type="dxa"/>
            <w:shd w:val="clear" w:color="000000" w:fill="FFFFFF"/>
            <w:vAlign w:val="center"/>
          </w:tcPr>
          <w:p w14:paraId="65808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材料科学与工程</w:t>
            </w:r>
          </w:p>
        </w:tc>
        <w:tc>
          <w:tcPr>
            <w:tcW w:w="2028" w:type="dxa"/>
            <w:vMerge w:val="restart"/>
            <w:shd w:val="clear" w:color="auto" w:fill="auto"/>
            <w:vAlign w:val="center"/>
          </w:tcPr>
          <w:p w14:paraId="539AB5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薪酬待遇按照学校文件执行，符合相关政策者提供周转房，协助解决子女入托入学问题。</w:t>
            </w:r>
          </w:p>
        </w:tc>
        <w:tc>
          <w:tcPr>
            <w:tcW w:w="1432" w:type="dxa"/>
            <w:vMerge w:val="restart"/>
            <w:shd w:val="clear" w:color="auto" w:fill="auto"/>
            <w:vAlign w:val="center"/>
          </w:tcPr>
          <w:p w14:paraId="0E798A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sz w:val="21"/>
                <w:szCs w:val="21"/>
                <w:highlight w:val="none"/>
              </w:rPr>
              <w:t>文、理、工、医、经、管、法、史、哲、农、教、艺等12个门类，详情见四川大学人事处招聘网站及各学院主页</w:t>
            </w:r>
          </w:p>
        </w:tc>
      </w:tr>
      <w:tr w14:paraId="6959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577358C5">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14AB2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30</w:t>
            </w:r>
          </w:p>
        </w:tc>
        <w:tc>
          <w:tcPr>
            <w:tcW w:w="1001" w:type="dxa"/>
            <w:shd w:val="clear" w:color="000000" w:fill="FFFFFF"/>
            <w:vAlign w:val="center"/>
          </w:tcPr>
          <w:p w14:paraId="71F58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BSH002</w:t>
            </w:r>
          </w:p>
        </w:tc>
        <w:tc>
          <w:tcPr>
            <w:tcW w:w="2118" w:type="dxa"/>
            <w:shd w:val="clear" w:color="000000" w:fill="FFFFFF"/>
            <w:vAlign w:val="center"/>
          </w:tcPr>
          <w:p w14:paraId="5C364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基础医学</w:t>
            </w:r>
          </w:p>
        </w:tc>
        <w:tc>
          <w:tcPr>
            <w:tcW w:w="2028" w:type="dxa"/>
            <w:vMerge w:val="continue"/>
            <w:shd w:val="clear" w:color="auto" w:fill="auto"/>
            <w:vAlign w:val="center"/>
          </w:tcPr>
          <w:p w14:paraId="3C172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3ACCE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735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64E50B41">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4E61F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280</w:t>
            </w:r>
          </w:p>
        </w:tc>
        <w:tc>
          <w:tcPr>
            <w:tcW w:w="1001" w:type="dxa"/>
            <w:shd w:val="clear" w:color="000000" w:fill="FFFFFF"/>
            <w:vAlign w:val="center"/>
          </w:tcPr>
          <w:p w14:paraId="2A05E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BSH003</w:t>
            </w:r>
          </w:p>
        </w:tc>
        <w:tc>
          <w:tcPr>
            <w:tcW w:w="2118" w:type="dxa"/>
            <w:shd w:val="clear" w:color="000000" w:fill="FFFFFF"/>
            <w:vAlign w:val="center"/>
          </w:tcPr>
          <w:p w14:paraId="2AC73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临床医学</w:t>
            </w:r>
          </w:p>
        </w:tc>
        <w:tc>
          <w:tcPr>
            <w:tcW w:w="2028" w:type="dxa"/>
            <w:vMerge w:val="continue"/>
            <w:shd w:val="clear" w:color="auto" w:fill="auto"/>
            <w:vAlign w:val="center"/>
          </w:tcPr>
          <w:p w14:paraId="172B7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6D19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6BF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429739EB">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10B9A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4D26E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BSH004</w:t>
            </w:r>
          </w:p>
        </w:tc>
        <w:tc>
          <w:tcPr>
            <w:tcW w:w="2118" w:type="dxa"/>
            <w:shd w:val="clear" w:color="000000" w:fill="FFFFFF"/>
            <w:vAlign w:val="center"/>
          </w:tcPr>
          <w:p w14:paraId="172FB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水利工程</w:t>
            </w:r>
          </w:p>
        </w:tc>
        <w:tc>
          <w:tcPr>
            <w:tcW w:w="2028" w:type="dxa"/>
            <w:vMerge w:val="continue"/>
            <w:shd w:val="clear" w:color="auto" w:fill="auto"/>
            <w:vAlign w:val="center"/>
          </w:tcPr>
          <w:p w14:paraId="350CB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50575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7374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4B2D3798">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55025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1079C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BSH005</w:t>
            </w:r>
          </w:p>
        </w:tc>
        <w:tc>
          <w:tcPr>
            <w:tcW w:w="2118" w:type="dxa"/>
            <w:shd w:val="clear" w:color="000000" w:fill="FFFFFF"/>
            <w:vAlign w:val="center"/>
          </w:tcPr>
          <w:p w14:paraId="03AC6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数学</w:t>
            </w:r>
          </w:p>
        </w:tc>
        <w:tc>
          <w:tcPr>
            <w:tcW w:w="2028" w:type="dxa"/>
            <w:vMerge w:val="continue"/>
            <w:shd w:val="clear" w:color="auto" w:fill="auto"/>
            <w:vAlign w:val="center"/>
          </w:tcPr>
          <w:p w14:paraId="7E813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16146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0D8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3B042696">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41743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5F513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BSH006</w:t>
            </w:r>
          </w:p>
        </w:tc>
        <w:tc>
          <w:tcPr>
            <w:tcW w:w="2118" w:type="dxa"/>
            <w:shd w:val="clear" w:color="000000" w:fill="FFFFFF"/>
            <w:vAlign w:val="center"/>
          </w:tcPr>
          <w:p w14:paraId="51994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土木工程</w:t>
            </w:r>
          </w:p>
        </w:tc>
        <w:tc>
          <w:tcPr>
            <w:tcW w:w="2028" w:type="dxa"/>
            <w:vMerge w:val="continue"/>
            <w:shd w:val="clear" w:color="auto" w:fill="auto"/>
            <w:vAlign w:val="center"/>
          </w:tcPr>
          <w:p w14:paraId="4D371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327CE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EE5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7609DB64">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D061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14BB8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BSH007</w:t>
            </w:r>
          </w:p>
        </w:tc>
        <w:tc>
          <w:tcPr>
            <w:tcW w:w="2118" w:type="dxa"/>
            <w:shd w:val="clear" w:color="000000" w:fill="FFFFFF"/>
            <w:vAlign w:val="center"/>
          </w:tcPr>
          <w:p w14:paraId="41B4E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轻工技术与工程</w:t>
            </w:r>
          </w:p>
        </w:tc>
        <w:tc>
          <w:tcPr>
            <w:tcW w:w="2028" w:type="dxa"/>
            <w:vMerge w:val="continue"/>
            <w:shd w:val="clear" w:color="auto" w:fill="auto"/>
            <w:vAlign w:val="center"/>
          </w:tcPr>
          <w:p w14:paraId="55A54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49DD2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5829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046AD911">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EEAA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254A0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BSH008</w:t>
            </w:r>
          </w:p>
        </w:tc>
        <w:tc>
          <w:tcPr>
            <w:tcW w:w="2118" w:type="dxa"/>
            <w:shd w:val="clear" w:color="000000" w:fill="FFFFFF"/>
            <w:vAlign w:val="center"/>
          </w:tcPr>
          <w:p w14:paraId="07210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中国语言文学</w:t>
            </w:r>
          </w:p>
        </w:tc>
        <w:tc>
          <w:tcPr>
            <w:tcW w:w="2028" w:type="dxa"/>
            <w:vMerge w:val="continue"/>
            <w:shd w:val="clear" w:color="auto" w:fill="auto"/>
            <w:vAlign w:val="center"/>
          </w:tcPr>
          <w:p w14:paraId="328444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6494AB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1ED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33EA509A">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69D9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545C2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BSH009</w:t>
            </w:r>
          </w:p>
        </w:tc>
        <w:tc>
          <w:tcPr>
            <w:tcW w:w="2118" w:type="dxa"/>
            <w:shd w:val="clear" w:color="000000" w:fill="FFFFFF"/>
            <w:vAlign w:val="center"/>
          </w:tcPr>
          <w:p w14:paraId="10091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中国史</w:t>
            </w:r>
          </w:p>
        </w:tc>
        <w:tc>
          <w:tcPr>
            <w:tcW w:w="2028" w:type="dxa"/>
            <w:vMerge w:val="continue"/>
            <w:shd w:val="clear" w:color="auto" w:fill="auto"/>
            <w:vAlign w:val="center"/>
          </w:tcPr>
          <w:p w14:paraId="28A6D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04F07B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344C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04C705DD">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05CAEE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2AD26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BSH010</w:t>
            </w:r>
          </w:p>
        </w:tc>
        <w:tc>
          <w:tcPr>
            <w:tcW w:w="2118" w:type="dxa"/>
            <w:shd w:val="clear" w:color="000000" w:fill="FFFFFF"/>
            <w:vAlign w:val="center"/>
          </w:tcPr>
          <w:p w14:paraId="1CD41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物理学</w:t>
            </w:r>
          </w:p>
        </w:tc>
        <w:tc>
          <w:tcPr>
            <w:tcW w:w="2028" w:type="dxa"/>
            <w:vMerge w:val="continue"/>
            <w:shd w:val="clear" w:color="auto" w:fill="auto"/>
            <w:vAlign w:val="center"/>
          </w:tcPr>
          <w:p w14:paraId="0C9B1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1E484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6CD7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5C8107A9">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1CD70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1169D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BSH011</w:t>
            </w:r>
          </w:p>
        </w:tc>
        <w:tc>
          <w:tcPr>
            <w:tcW w:w="2118" w:type="dxa"/>
            <w:shd w:val="clear" w:color="000000" w:fill="FFFFFF"/>
            <w:vAlign w:val="center"/>
          </w:tcPr>
          <w:p w14:paraId="6A8AF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生物学</w:t>
            </w:r>
          </w:p>
        </w:tc>
        <w:tc>
          <w:tcPr>
            <w:tcW w:w="2028" w:type="dxa"/>
            <w:vMerge w:val="continue"/>
            <w:shd w:val="clear" w:color="auto" w:fill="auto"/>
            <w:vAlign w:val="center"/>
          </w:tcPr>
          <w:p w14:paraId="06639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0B22A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7C9F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68166314">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5685C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2BFEC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BSH012</w:t>
            </w:r>
          </w:p>
        </w:tc>
        <w:tc>
          <w:tcPr>
            <w:tcW w:w="2118" w:type="dxa"/>
            <w:shd w:val="clear" w:color="000000" w:fill="FFFFFF"/>
            <w:vAlign w:val="center"/>
          </w:tcPr>
          <w:p w14:paraId="7059A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生物医学工程</w:t>
            </w:r>
          </w:p>
        </w:tc>
        <w:tc>
          <w:tcPr>
            <w:tcW w:w="2028" w:type="dxa"/>
            <w:vMerge w:val="continue"/>
            <w:shd w:val="clear" w:color="auto" w:fill="auto"/>
            <w:vAlign w:val="center"/>
          </w:tcPr>
          <w:p w14:paraId="744D3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5EA67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ED2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61EE217D">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B689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30</w:t>
            </w:r>
          </w:p>
        </w:tc>
        <w:tc>
          <w:tcPr>
            <w:tcW w:w="1001" w:type="dxa"/>
            <w:shd w:val="clear" w:color="000000" w:fill="FFFFFF"/>
            <w:vAlign w:val="center"/>
          </w:tcPr>
          <w:p w14:paraId="03B66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BSH013</w:t>
            </w:r>
          </w:p>
        </w:tc>
        <w:tc>
          <w:tcPr>
            <w:tcW w:w="2118" w:type="dxa"/>
            <w:shd w:val="clear" w:color="000000" w:fill="FFFFFF"/>
            <w:vAlign w:val="center"/>
          </w:tcPr>
          <w:p w14:paraId="5548F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口腔医学</w:t>
            </w:r>
          </w:p>
        </w:tc>
        <w:tc>
          <w:tcPr>
            <w:tcW w:w="2028" w:type="dxa"/>
            <w:vMerge w:val="continue"/>
            <w:shd w:val="clear" w:color="auto" w:fill="auto"/>
            <w:vAlign w:val="center"/>
          </w:tcPr>
          <w:p w14:paraId="53D9C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3F46D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09A8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20425E27">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0DB53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72C04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BSH014</w:t>
            </w:r>
          </w:p>
        </w:tc>
        <w:tc>
          <w:tcPr>
            <w:tcW w:w="2118" w:type="dxa"/>
            <w:shd w:val="clear" w:color="000000" w:fill="FFFFFF"/>
            <w:vAlign w:val="center"/>
          </w:tcPr>
          <w:p w14:paraId="32FF5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公共卫生与预防医学</w:t>
            </w:r>
          </w:p>
        </w:tc>
        <w:tc>
          <w:tcPr>
            <w:tcW w:w="2028" w:type="dxa"/>
            <w:vMerge w:val="continue"/>
            <w:shd w:val="clear" w:color="auto" w:fill="auto"/>
            <w:vAlign w:val="center"/>
          </w:tcPr>
          <w:p w14:paraId="51442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2B872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10D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02893318">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2924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0B94B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BSH015</w:t>
            </w:r>
          </w:p>
        </w:tc>
        <w:tc>
          <w:tcPr>
            <w:tcW w:w="2118" w:type="dxa"/>
            <w:shd w:val="clear" w:color="000000" w:fill="FFFFFF"/>
            <w:vAlign w:val="center"/>
          </w:tcPr>
          <w:p w14:paraId="5022F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药学</w:t>
            </w:r>
          </w:p>
        </w:tc>
        <w:tc>
          <w:tcPr>
            <w:tcW w:w="2028" w:type="dxa"/>
            <w:vMerge w:val="continue"/>
            <w:shd w:val="clear" w:color="auto" w:fill="auto"/>
            <w:vAlign w:val="center"/>
          </w:tcPr>
          <w:p w14:paraId="7F220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2CEF0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C7C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23F9D02A">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4988D5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24497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BSH016</w:t>
            </w:r>
          </w:p>
        </w:tc>
        <w:tc>
          <w:tcPr>
            <w:tcW w:w="2118" w:type="dxa"/>
            <w:shd w:val="clear" w:color="000000" w:fill="FFFFFF"/>
            <w:vAlign w:val="center"/>
          </w:tcPr>
          <w:p w14:paraId="58FA0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化学</w:t>
            </w:r>
          </w:p>
        </w:tc>
        <w:tc>
          <w:tcPr>
            <w:tcW w:w="2028" w:type="dxa"/>
            <w:vMerge w:val="continue"/>
            <w:shd w:val="clear" w:color="auto" w:fill="auto"/>
            <w:vAlign w:val="center"/>
          </w:tcPr>
          <w:p w14:paraId="7D8DE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02B5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7BEF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6C4BCEC9">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DEFF2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29C63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BSH017</w:t>
            </w:r>
          </w:p>
        </w:tc>
        <w:tc>
          <w:tcPr>
            <w:tcW w:w="2118" w:type="dxa"/>
            <w:shd w:val="clear" w:color="000000" w:fill="FFFFFF"/>
            <w:vAlign w:val="center"/>
          </w:tcPr>
          <w:p w14:paraId="5976F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哲学</w:t>
            </w:r>
          </w:p>
        </w:tc>
        <w:tc>
          <w:tcPr>
            <w:tcW w:w="2028" w:type="dxa"/>
            <w:vMerge w:val="continue"/>
            <w:shd w:val="clear" w:color="auto" w:fill="auto"/>
            <w:vAlign w:val="center"/>
          </w:tcPr>
          <w:p w14:paraId="3AEE9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63AAB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kern w:val="0"/>
                <w:sz w:val="21"/>
                <w:szCs w:val="21"/>
              </w:rPr>
            </w:pPr>
          </w:p>
        </w:tc>
      </w:tr>
      <w:tr w14:paraId="7145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5251EB30">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2BA9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133E4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BSH018</w:t>
            </w:r>
          </w:p>
        </w:tc>
        <w:tc>
          <w:tcPr>
            <w:tcW w:w="2118" w:type="dxa"/>
            <w:shd w:val="clear" w:color="000000" w:fill="FFFFFF"/>
            <w:vAlign w:val="center"/>
          </w:tcPr>
          <w:p w14:paraId="63101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机械工程</w:t>
            </w:r>
          </w:p>
        </w:tc>
        <w:tc>
          <w:tcPr>
            <w:tcW w:w="2028" w:type="dxa"/>
            <w:vMerge w:val="continue"/>
            <w:shd w:val="clear" w:color="auto" w:fill="auto"/>
            <w:vAlign w:val="center"/>
          </w:tcPr>
          <w:p w14:paraId="5ECDA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67901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82B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5BCCB9D6">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072C7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2C6FF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BSH019</w:t>
            </w:r>
          </w:p>
        </w:tc>
        <w:tc>
          <w:tcPr>
            <w:tcW w:w="2118" w:type="dxa"/>
            <w:shd w:val="clear" w:color="000000" w:fill="FFFFFF"/>
            <w:vAlign w:val="center"/>
          </w:tcPr>
          <w:p w14:paraId="6EF9C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理论经济学</w:t>
            </w:r>
          </w:p>
        </w:tc>
        <w:tc>
          <w:tcPr>
            <w:tcW w:w="2028" w:type="dxa"/>
            <w:vMerge w:val="continue"/>
            <w:shd w:val="clear" w:color="auto" w:fill="auto"/>
            <w:vAlign w:val="center"/>
          </w:tcPr>
          <w:p w14:paraId="728DC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516E5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5C0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vMerge w:val="continue"/>
            <w:shd w:val="clear" w:color="000000" w:fill="FFFFFF"/>
            <w:noWrap/>
            <w:vAlign w:val="center"/>
          </w:tcPr>
          <w:p w14:paraId="5A5B8BE8">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14:paraId="7BDCC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103CE1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BSH020</w:t>
            </w:r>
          </w:p>
        </w:tc>
        <w:tc>
          <w:tcPr>
            <w:tcW w:w="2118" w:type="dxa"/>
            <w:shd w:val="clear" w:color="000000" w:fill="FFFFFF"/>
            <w:vAlign w:val="center"/>
          </w:tcPr>
          <w:p w14:paraId="43FB8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计算机科学与技术</w:t>
            </w:r>
          </w:p>
        </w:tc>
        <w:tc>
          <w:tcPr>
            <w:tcW w:w="2028" w:type="dxa"/>
            <w:vMerge w:val="continue"/>
            <w:shd w:val="clear" w:color="auto" w:fill="auto"/>
            <w:vAlign w:val="center"/>
          </w:tcPr>
          <w:p w14:paraId="70020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5EE115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FB9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restart"/>
            <w:shd w:val="clear" w:color="000000" w:fill="FFFFFF"/>
            <w:noWrap/>
            <w:vAlign w:val="center"/>
          </w:tcPr>
          <w:p w14:paraId="03B8EEB2">
            <w:pPr>
              <w:adjustRightInd w:val="0"/>
              <w:snapToGrid w:val="0"/>
              <w:spacing w:line="240" w:lineRule="auto"/>
              <w:ind w:firstLine="0"/>
              <w:jc w:val="center"/>
              <w:rPr>
                <w:rFonts w:eastAsiaTheme="minorEastAsia"/>
                <w:sz w:val="21"/>
                <w:szCs w:val="21"/>
              </w:rPr>
            </w:pPr>
            <w:r>
              <w:rPr>
                <w:rFonts w:eastAsiaTheme="minorEastAsia"/>
                <w:sz w:val="21"/>
                <w:szCs w:val="21"/>
              </w:rPr>
              <w:t>专职博士后</w:t>
            </w:r>
          </w:p>
        </w:tc>
        <w:tc>
          <w:tcPr>
            <w:tcW w:w="1134" w:type="dxa"/>
            <w:shd w:val="clear" w:color="000000" w:fill="FFFFFF"/>
            <w:vAlign w:val="center"/>
          </w:tcPr>
          <w:p w14:paraId="404432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3A07D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BSH021</w:t>
            </w:r>
          </w:p>
        </w:tc>
        <w:tc>
          <w:tcPr>
            <w:tcW w:w="2118" w:type="dxa"/>
            <w:shd w:val="clear" w:color="000000" w:fill="FFFFFF"/>
            <w:vAlign w:val="center"/>
          </w:tcPr>
          <w:p w14:paraId="46EEC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化学工程与技术</w:t>
            </w:r>
          </w:p>
        </w:tc>
        <w:tc>
          <w:tcPr>
            <w:tcW w:w="2028" w:type="dxa"/>
            <w:vMerge w:val="restart"/>
            <w:shd w:val="clear" w:color="auto" w:fill="auto"/>
            <w:vAlign w:val="center"/>
          </w:tcPr>
          <w:p w14:paraId="10B0C39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薪酬待遇按照学校文件执行，符合相关政策者提供周转房，协助解决子女入托入学问题。</w:t>
            </w:r>
          </w:p>
        </w:tc>
        <w:tc>
          <w:tcPr>
            <w:tcW w:w="1432" w:type="dxa"/>
            <w:vMerge w:val="restart"/>
            <w:shd w:val="clear" w:color="auto" w:fill="auto"/>
            <w:vAlign w:val="center"/>
          </w:tcPr>
          <w:p w14:paraId="1FF03F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sz w:val="21"/>
                <w:szCs w:val="21"/>
                <w:highlight w:val="none"/>
              </w:rPr>
              <w:t>文、理、工、医、经、管、法、史、哲、农、教、艺等12个门类，详情见四川大学人事处招聘网站及各学院主页</w:t>
            </w:r>
          </w:p>
        </w:tc>
      </w:tr>
      <w:tr w14:paraId="0C33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3C9F59EF">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1D1EF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2F9C2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BSH022</w:t>
            </w:r>
          </w:p>
        </w:tc>
        <w:tc>
          <w:tcPr>
            <w:tcW w:w="2118" w:type="dxa"/>
            <w:shd w:val="clear" w:color="000000" w:fill="FFFFFF"/>
            <w:vAlign w:val="center"/>
          </w:tcPr>
          <w:p w14:paraId="3DB331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力学</w:t>
            </w:r>
          </w:p>
        </w:tc>
        <w:tc>
          <w:tcPr>
            <w:tcW w:w="2028" w:type="dxa"/>
            <w:vMerge w:val="continue"/>
            <w:shd w:val="clear" w:color="auto" w:fill="auto"/>
            <w:vAlign w:val="center"/>
          </w:tcPr>
          <w:p w14:paraId="7F308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0BC76B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0A2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482A7960">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69FC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3634C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BSH023</w:t>
            </w:r>
          </w:p>
        </w:tc>
        <w:tc>
          <w:tcPr>
            <w:tcW w:w="2118" w:type="dxa"/>
            <w:shd w:val="clear" w:color="000000" w:fill="FFFFFF"/>
            <w:vAlign w:val="center"/>
          </w:tcPr>
          <w:p w14:paraId="6B182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环境科学与工程</w:t>
            </w:r>
          </w:p>
        </w:tc>
        <w:tc>
          <w:tcPr>
            <w:tcW w:w="2028" w:type="dxa"/>
            <w:vMerge w:val="continue"/>
            <w:shd w:val="clear" w:color="auto" w:fill="auto"/>
            <w:vAlign w:val="center"/>
          </w:tcPr>
          <w:p w14:paraId="5DE67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632FB1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3C66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095B1E83">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EA78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79914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BSH024</w:t>
            </w:r>
          </w:p>
        </w:tc>
        <w:tc>
          <w:tcPr>
            <w:tcW w:w="2118" w:type="dxa"/>
            <w:shd w:val="clear" w:color="000000" w:fill="FFFFFF"/>
            <w:vAlign w:val="center"/>
          </w:tcPr>
          <w:p w14:paraId="22CC2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光学工程</w:t>
            </w:r>
          </w:p>
        </w:tc>
        <w:tc>
          <w:tcPr>
            <w:tcW w:w="2028" w:type="dxa"/>
            <w:vMerge w:val="continue"/>
            <w:shd w:val="clear" w:color="auto" w:fill="auto"/>
            <w:vAlign w:val="center"/>
          </w:tcPr>
          <w:p w14:paraId="6B2363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9BFD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845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777DFFEC">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7F633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4E349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BSH025</w:t>
            </w:r>
          </w:p>
        </w:tc>
        <w:tc>
          <w:tcPr>
            <w:tcW w:w="2118" w:type="dxa"/>
            <w:shd w:val="clear" w:color="000000" w:fill="FFFFFF"/>
            <w:vAlign w:val="center"/>
          </w:tcPr>
          <w:p w14:paraId="5666E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信息与通信工程</w:t>
            </w:r>
          </w:p>
        </w:tc>
        <w:tc>
          <w:tcPr>
            <w:tcW w:w="2028" w:type="dxa"/>
            <w:vMerge w:val="continue"/>
            <w:shd w:val="clear" w:color="auto" w:fill="auto"/>
            <w:vAlign w:val="center"/>
          </w:tcPr>
          <w:p w14:paraId="1BB53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F0AA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53CE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14137F25">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4BCAD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30973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BSH026</w:t>
            </w:r>
          </w:p>
        </w:tc>
        <w:tc>
          <w:tcPr>
            <w:tcW w:w="2118" w:type="dxa"/>
            <w:shd w:val="clear" w:color="000000" w:fill="FFFFFF"/>
            <w:vAlign w:val="center"/>
          </w:tcPr>
          <w:p w14:paraId="35CC7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管理科学与工程</w:t>
            </w:r>
          </w:p>
        </w:tc>
        <w:tc>
          <w:tcPr>
            <w:tcW w:w="2028" w:type="dxa"/>
            <w:vMerge w:val="continue"/>
            <w:shd w:val="clear" w:color="auto" w:fill="auto"/>
            <w:vAlign w:val="center"/>
          </w:tcPr>
          <w:p w14:paraId="2D75A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17D88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982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3662A5D7">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14:paraId="5E7DE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16D18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BSH027</w:t>
            </w:r>
          </w:p>
        </w:tc>
        <w:tc>
          <w:tcPr>
            <w:tcW w:w="2118" w:type="dxa"/>
            <w:shd w:val="clear" w:color="000000" w:fill="FFFFFF"/>
            <w:vAlign w:val="center"/>
          </w:tcPr>
          <w:p w14:paraId="2027F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工商管理</w:t>
            </w:r>
          </w:p>
        </w:tc>
        <w:tc>
          <w:tcPr>
            <w:tcW w:w="2028" w:type="dxa"/>
            <w:vMerge w:val="continue"/>
            <w:shd w:val="clear" w:color="auto" w:fill="auto"/>
            <w:vAlign w:val="center"/>
          </w:tcPr>
          <w:p w14:paraId="3B047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77A0E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06F0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noWrap/>
            <w:vAlign w:val="center"/>
          </w:tcPr>
          <w:p w14:paraId="7AC07AE8">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218735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0C9A3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BSH028</w:t>
            </w:r>
          </w:p>
        </w:tc>
        <w:tc>
          <w:tcPr>
            <w:tcW w:w="2118" w:type="dxa"/>
            <w:shd w:val="clear" w:color="000000" w:fill="FFFFFF"/>
            <w:vAlign w:val="center"/>
          </w:tcPr>
          <w:p w14:paraId="46051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法学</w:t>
            </w:r>
          </w:p>
        </w:tc>
        <w:tc>
          <w:tcPr>
            <w:tcW w:w="2028" w:type="dxa"/>
            <w:vMerge w:val="continue"/>
            <w:shd w:val="clear" w:color="auto" w:fill="auto"/>
            <w:vAlign w:val="center"/>
          </w:tcPr>
          <w:p w14:paraId="79249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shd w:val="clear" w:color="auto" w:fill="auto"/>
            <w:vAlign w:val="center"/>
          </w:tcPr>
          <w:p w14:paraId="2249A0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01D0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07A464E7">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3C730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61100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BSH029</w:t>
            </w:r>
          </w:p>
        </w:tc>
        <w:tc>
          <w:tcPr>
            <w:tcW w:w="2118" w:type="dxa"/>
            <w:shd w:val="clear" w:color="000000" w:fill="FFFFFF"/>
            <w:vAlign w:val="center"/>
          </w:tcPr>
          <w:p w14:paraId="0DD14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考古学</w:t>
            </w:r>
          </w:p>
        </w:tc>
        <w:tc>
          <w:tcPr>
            <w:tcW w:w="2028" w:type="dxa"/>
            <w:vMerge w:val="continue"/>
            <w:vAlign w:val="center"/>
          </w:tcPr>
          <w:p w14:paraId="41573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11EEF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669A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0FF412DE">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768C0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7F30A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BSH030</w:t>
            </w:r>
          </w:p>
        </w:tc>
        <w:tc>
          <w:tcPr>
            <w:tcW w:w="2118" w:type="dxa"/>
            <w:shd w:val="clear" w:color="000000" w:fill="FFFFFF"/>
            <w:vAlign w:val="center"/>
          </w:tcPr>
          <w:p w14:paraId="42E22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世界史</w:t>
            </w:r>
          </w:p>
        </w:tc>
        <w:tc>
          <w:tcPr>
            <w:tcW w:w="2028" w:type="dxa"/>
            <w:vMerge w:val="continue"/>
            <w:vAlign w:val="center"/>
          </w:tcPr>
          <w:p w14:paraId="530BD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65642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B99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359D3DE0">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75A1A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01F1E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BSH031</w:t>
            </w:r>
          </w:p>
        </w:tc>
        <w:tc>
          <w:tcPr>
            <w:tcW w:w="2118" w:type="dxa"/>
            <w:shd w:val="clear" w:color="000000" w:fill="FFFFFF"/>
            <w:vAlign w:val="center"/>
          </w:tcPr>
          <w:p w14:paraId="6E2D1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新闻传播学</w:t>
            </w:r>
          </w:p>
        </w:tc>
        <w:tc>
          <w:tcPr>
            <w:tcW w:w="2028" w:type="dxa"/>
            <w:vMerge w:val="continue"/>
            <w:vAlign w:val="center"/>
          </w:tcPr>
          <w:p w14:paraId="76772E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245EA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977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18CEB773">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0F95B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534E5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BSH032</w:t>
            </w:r>
          </w:p>
        </w:tc>
        <w:tc>
          <w:tcPr>
            <w:tcW w:w="2118" w:type="dxa"/>
            <w:shd w:val="clear" w:color="000000" w:fill="FFFFFF"/>
            <w:vAlign w:val="center"/>
          </w:tcPr>
          <w:p w14:paraId="171A0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特种医学</w:t>
            </w:r>
          </w:p>
        </w:tc>
        <w:tc>
          <w:tcPr>
            <w:tcW w:w="2028" w:type="dxa"/>
            <w:vMerge w:val="continue"/>
            <w:vAlign w:val="center"/>
          </w:tcPr>
          <w:p w14:paraId="4D4AF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6AFF5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3D18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517A353D">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35BB6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01D58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BSH033</w:t>
            </w:r>
          </w:p>
        </w:tc>
        <w:tc>
          <w:tcPr>
            <w:tcW w:w="2118" w:type="dxa"/>
            <w:shd w:val="clear" w:color="000000" w:fill="FFFFFF"/>
            <w:vAlign w:val="center"/>
          </w:tcPr>
          <w:p w14:paraId="06D49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护理学</w:t>
            </w:r>
          </w:p>
        </w:tc>
        <w:tc>
          <w:tcPr>
            <w:tcW w:w="2028" w:type="dxa"/>
            <w:vMerge w:val="continue"/>
            <w:vAlign w:val="center"/>
          </w:tcPr>
          <w:p w14:paraId="71F831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17CE8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9B7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44211A68">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34E38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4FC5D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BSH034</w:t>
            </w:r>
          </w:p>
        </w:tc>
        <w:tc>
          <w:tcPr>
            <w:tcW w:w="2118" w:type="dxa"/>
            <w:shd w:val="clear" w:color="000000" w:fill="FFFFFF"/>
            <w:vAlign w:val="center"/>
          </w:tcPr>
          <w:p w14:paraId="25D06A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公共管理</w:t>
            </w:r>
          </w:p>
        </w:tc>
        <w:tc>
          <w:tcPr>
            <w:tcW w:w="2028" w:type="dxa"/>
            <w:vMerge w:val="continue"/>
            <w:vAlign w:val="center"/>
          </w:tcPr>
          <w:p w14:paraId="29C68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74281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7DBC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154FE5FC">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5A40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6B26B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BSH035</w:t>
            </w:r>
          </w:p>
        </w:tc>
        <w:tc>
          <w:tcPr>
            <w:tcW w:w="2118" w:type="dxa"/>
            <w:shd w:val="clear" w:color="000000" w:fill="FFFFFF"/>
            <w:vAlign w:val="center"/>
          </w:tcPr>
          <w:p w14:paraId="5BBC4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生态学</w:t>
            </w:r>
          </w:p>
        </w:tc>
        <w:tc>
          <w:tcPr>
            <w:tcW w:w="2028" w:type="dxa"/>
            <w:vMerge w:val="continue"/>
            <w:vAlign w:val="center"/>
          </w:tcPr>
          <w:p w14:paraId="61C48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7AAE8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3E6F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2289DA59">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5668D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10</w:t>
            </w:r>
          </w:p>
        </w:tc>
        <w:tc>
          <w:tcPr>
            <w:tcW w:w="1001" w:type="dxa"/>
            <w:shd w:val="clear" w:color="000000" w:fill="FFFFFF"/>
            <w:vAlign w:val="center"/>
          </w:tcPr>
          <w:p w14:paraId="475145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BSH036</w:t>
            </w:r>
          </w:p>
        </w:tc>
        <w:tc>
          <w:tcPr>
            <w:tcW w:w="2118" w:type="dxa"/>
            <w:shd w:val="clear" w:color="000000" w:fill="FFFFFF"/>
            <w:vAlign w:val="center"/>
          </w:tcPr>
          <w:p w14:paraId="7C287A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中西医结合</w:t>
            </w:r>
          </w:p>
        </w:tc>
        <w:tc>
          <w:tcPr>
            <w:tcW w:w="2028" w:type="dxa"/>
            <w:vMerge w:val="continue"/>
            <w:vAlign w:val="center"/>
          </w:tcPr>
          <w:p w14:paraId="2AA36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149BF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ABD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279AE3A8">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6F2B84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2374A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BSH037</w:t>
            </w:r>
          </w:p>
        </w:tc>
        <w:tc>
          <w:tcPr>
            <w:tcW w:w="2118" w:type="dxa"/>
            <w:shd w:val="clear" w:color="000000" w:fill="FFFFFF"/>
            <w:vAlign w:val="center"/>
          </w:tcPr>
          <w:p w14:paraId="5B997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医学技术</w:t>
            </w:r>
          </w:p>
        </w:tc>
        <w:tc>
          <w:tcPr>
            <w:tcW w:w="2028" w:type="dxa"/>
            <w:vMerge w:val="continue"/>
            <w:vAlign w:val="center"/>
          </w:tcPr>
          <w:p w14:paraId="3FC66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1C2FB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528B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64AEAF7E">
            <w:pPr>
              <w:adjustRightInd w:val="0"/>
              <w:snapToGrid w:val="0"/>
              <w:spacing w:line="240" w:lineRule="auto"/>
              <w:jc w:val="center"/>
              <w:rPr>
                <w:rFonts w:eastAsiaTheme="minorEastAsia"/>
                <w:sz w:val="21"/>
                <w:szCs w:val="21"/>
              </w:rPr>
            </w:pPr>
          </w:p>
        </w:tc>
        <w:tc>
          <w:tcPr>
            <w:tcW w:w="1134" w:type="dxa"/>
            <w:shd w:val="clear" w:color="000000" w:fill="FFFFFF"/>
            <w:vAlign w:val="center"/>
          </w:tcPr>
          <w:p w14:paraId="39174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75BDC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BSH038</w:t>
            </w:r>
          </w:p>
        </w:tc>
        <w:tc>
          <w:tcPr>
            <w:tcW w:w="2118" w:type="dxa"/>
            <w:shd w:val="clear" w:color="000000" w:fill="FFFFFF"/>
            <w:vAlign w:val="center"/>
          </w:tcPr>
          <w:p w14:paraId="5FD23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艺术学理论</w:t>
            </w:r>
          </w:p>
        </w:tc>
        <w:tc>
          <w:tcPr>
            <w:tcW w:w="2028" w:type="dxa"/>
            <w:vMerge w:val="continue"/>
            <w:vAlign w:val="center"/>
          </w:tcPr>
          <w:p w14:paraId="2ABE2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01126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1501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67CBE6FD">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14:paraId="5FC17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5</w:t>
            </w:r>
          </w:p>
        </w:tc>
        <w:tc>
          <w:tcPr>
            <w:tcW w:w="1001" w:type="dxa"/>
            <w:shd w:val="clear" w:color="000000" w:fill="FFFFFF"/>
            <w:vAlign w:val="center"/>
          </w:tcPr>
          <w:p w14:paraId="092AB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BSH039</w:t>
            </w:r>
          </w:p>
        </w:tc>
        <w:tc>
          <w:tcPr>
            <w:tcW w:w="2118" w:type="dxa"/>
            <w:shd w:val="clear" w:color="000000" w:fill="FFFFFF"/>
            <w:vAlign w:val="center"/>
          </w:tcPr>
          <w:p w14:paraId="2A4B7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网络空间安全</w:t>
            </w:r>
          </w:p>
        </w:tc>
        <w:tc>
          <w:tcPr>
            <w:tcW w:w="2028" w:type="dxa"/>
            <w:vMerge w:val="continue"/>
            <w:vAlign w:val="center"/>
          </w:tcPr>
          <w:p w14:paraId="7E0FE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29343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688F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0C0D4064">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14:paraId="7316E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1D5A2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40</w:t>
            </w:r>
          </w:p>
        </w:tc>
        <w:tc>
          <w:tcPr>
            <w:tcW w:w="2118" w:type="dxa"/>
            <w:shd w:val="clear" w:color="auto" w:fill="auto"/>
            <w:vAlign w:val="center"/>
          </w:tcPr>
          <w:p w14:paraId="4971F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电气工程</w:t>
            </w:r>
          </w:p>
        </w:tc>
        <w:tc>
          <w:tcPr>
            <w:tcW w:w="2028" w:type="dxa"/>
            <w:vMerge w:val="continue"/>
            <w:vAlign w:val="center"/>
          </w:tcPr>
          <w:p w14:paraId="7219D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037E3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CFF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5715CFFB">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14:paraId="466A3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495495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41</w:t>
            </w:r>
          </w:p>
        </w:tc>
        <w:tc>
          <w:tcPr>
            <w:tcW w:w="2118" w:type="dxa"/>
            <w:shd w:val="clear" w:color="auto" w:fill="auto"/>
            <w:vAlign w:val="center"/>
          </w:tcPr>
          <w:p w14:paraId="61432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电子科学与技术</w:t>
            </w:r>
          </w:p>
        </w:tc>
        <w:tc>
          <w:tcPr>
            <w:tcW w:w="2028" w:type="dxa"/>
            <w:vMerge w:val="continue"/>
            <w:vAlign w:val="center"/>
          </w:tcPr>
          <w:p w14:paraId="6C421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7653F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089B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7F8A4EDC">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14:paraId="2B870C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0A270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42</w:t>
            </w:r>
          </w:p>
        </w:tc>
        <w:tc>
          <w:tcPr>
            <w:tcW w:w="2118" w:type="dxa"/>
            <w:shd w:val="clear" w:color="auto" w:fill="auto"/>
            <w:vAlign w:val="center"/>
          </w:tcPr>
          <w:p w14:paraId="56B34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航空宇航科学与技术</w:t>
            </w:r>
          </w:p>
        </w:tc>
        <w:tc>
          <w:tcPr>
            <w:tcW w:w="2028" w:type="dxa"/>
            <w:vMerge w:val="continue"/>
            <w:vAlign w:val="center"/>
          </w:tcPr>
          <w:p w14:paraId="00E82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42FD0B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6815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restart"/>
            <w:shd w:val="clear" w:color="000000" w:fill="FFFFFF"/>
            <w:vAlign w:val="center"/>
          </w:tcPr>
          <w:p w14:paraId="79ED24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sz w:val="21"/>
                <w:szCs w:val="21"/>
                <w:lang w:val="en-US" w:eastAsia="zh-CN"/>
              </w:rPr>
            </w:pPr>
            <w:r>
              <w:rPr>
                <w:rFonts w:hint="eastAsia" w:eastAsiaTheme="minorEastAsia"/>
                <w:sz w:val="21"/>
                <w:szCs w:val="21"/>
                <w:lang w:val="en-US" w:eastAsia="zh-CN"/>
              </w:rPr>
              <w:t>专职博士后</w:t>
            </w:r>
          </w:p>
        </w:tc>
        <w:tc>
          <w:tcPr>
            <w:tcW w:w="1134" w:type="dxa"/>
            <w:shd w:val="clear" w:color="auto" w:fill="auto"/>
            <w:vAlign w:val="center"/>
          </w:tcPr>
          <w:p w14:paraId="29704B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108610F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43</w:t>
            </w:r>
          </w:p>
        </w:tc>
        <w:tc>
          <w:tcPr>
            <w:tcW w:w="2118" w:type="dxa"/>
            <w:shd w:val="clear" w:color="auto" w:fill="auto"/>
            <w:vAlign w:val="center"/>
          </w:tcPr>
          <w:p w14:paraId="46468D2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核科学与技术</w:t>
            </w:r>
          </w:p>
        </w:tc>
        <w:tc>
          <w:tcPr>
            <w:tcW w:w="2028" w:type="dxa"/>
            <w:vMerge w:val="restart"/>
            <w:vAlign w:val="center"/>
          </w:tcPr>
          <w:p w14:paraId="67176BD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薪酬待遇按照学校文件执行，符合相关政策者提供周转房，协助解决子女入托入学问题。</w:t>
            </w:r>
          </w:p>
        </w:tc>
        <w:tc>
          <w:tcPr>
            <w:tcW w:w="1432" w:type="dxa"/>
            <w:vMerge w:val="restart"/>
            <w:vAlign w:val="center"/>
          </w:tcPr>
          <w:p w14:paraId="09FC00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sz w:val="21"/>
                <w:szCs w:val="21"/>
                <w:highlight w:val="none"/>
              </w:rPr>
              <w:t>文、理、工、医、经、管、法、史、哲、农、教、艺等12个门类，详情见四川大学人事处招聘网站及各学院主页</w:t>
            </w:r>
          </w:p>
        </w:tc>
      </w:tr>
      <w:tr w14:paraId="64B5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1720D41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p>
        </w:tc>
        <w:tc>
          <w:tcPr>
            <w:tcW w:w="1134" w:type="dxa"/>
            <w:shd w:val="clear" w:color="auto" w:fill="auto"/>
            <w:vAlign w:val="center"/>
          </w:tcPr>
          <w:p w14:paraId="6C722B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5181989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44</w:t>
            </w:r>
          </w:p>
        </w:tc>
        <w:tc>
          <w:tcPr>
            <w:tcW w:w="2118" w:type="dxa"/>
            <w:shd w:val="clear" w:color="auto" w:fill="auto"/>
            <w:vAlign w:val="center"/>
          </w:tcPr>
          <w:p w14:paraId="3F7DCF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软件工程</w:t>
            </w:r>
          </w:p>
        </w:tc>
        <w:tc>
          <w:tcPr>
            <w:tcW w:w="2028" w:type="dxa"/>
            <w:vMerge w:val="continue"/>
            <w:vAlign w:val="center"/>
          </w:tcPr>
          <w:p w14:paraId="53F95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375429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250A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3FED178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p>
        </w:tc>
        <w:tc>
          <w:tcPr>
            <w:tcW w:w="1134" w:type="dxa"/>
            <w:shd w:val="clear" w:color="auto" w:fill="auto"/>
            <w:vAlign w:val="center"/>
          </w:tcPr>
          <w:p w14:paraId="42E810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4CD71F2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45</w:t>
            </w:r>
          </w:p>
        </w:tc>
        <w:tc>
          <w:tcPr>
            <w:tcW w:w="2118" w:type="dxa"/>
            <w:shd w:val="clear" w:color="auto" w:fill="auto"/>
            <w:vAlign w:val="center"/>
          </w:tcPr>
          <w:p w14:paraId="530FD0B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外国语言文学</w:t>
            </w:r>
          </w:p>
        </w:tc>
        <w:tc>
          <w:tcPr>
            <w:tcW w:w="2028" w:type="dxa"/>
            <w:vMerge w:val="continue"/>
            <w:vAlign w:val="center"/>
          </w:tcPr>
          <w:p w14:paraId="11611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6C96E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619A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245C918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p>
        </w:tc>
        <w:tc>
          <w:tcPr>
            <w:tcW w:w="1134" w:type="dxa"/>
            <w:shd w:val="clear" w:color="auto" w:fill="auto"/>
            <w:vAlign w:val="center"/>
          </w:tcPr>
          <w:p w14:paraId="196CA04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5E140A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46</w:t>
            </w:r>
          </w:p>
        </w:tc>
        <w:tc>
          <w:tcPr>
            <w:tcW w:w="2118" w:type="dxa"/>
            <w:shd w:val="clear" w:color="auto" w:fill="auto"/>
            <w:vAlign w:val="center"/>
          </w:tcPr>
          <w:p w14:paraId="6C3404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应用经济学</w:t>
            </w:r>
          </w:p>
        </w:tc>
        <w:tc>
          <w:tcPr>
            <w:tcW w:w="2028" w:type="dxa"/>
            <w:vMerge w:val="continue"/>
            <w:vAlign w:val="center"/>
          </w:tcPr>
          <w:p w14:paraId="1B901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74F27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7A84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2267876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p>
        </w:tc>
        <w:tc>
          <w:tcPr>
            <w:tcW w:w="1134" w:type="dxa"/>
            <w:shd w:val="clear" w:color="auto" w:fill="auto"/>
            <w:vAlign w:val="center"/>
          </w:tcPr>
          <w:p w14:paraId="04AEB6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79A5EF0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47</w:t>
            </w:r>
          </w:p>
        </w:tc>
        <w:tc>
          <w:tcPr>
            <w:tcW w:w="2118" w:type="dxa"/>
            <w:shd w:val="clear" w:color="auto" w:fill="auto"/>
            <w:vAlign w:val="center"/>
          </w:tcPr>
          <w:p w14:paraId="4CEAF48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政治学</w:t>
            </w:r>
          </w:p>
        </w:tc>
        <w:tc>
          <w:tcPr>
            <w:tcW w:w="2028" w:type="dxa"/>
            <w:vMerge w:val="continue"/>
            <w:vAlign w:val="center"/>
          </w:tcPr>
          <w:p w14:paraId="7E8206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67643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tr w14:paraId="4613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71" w:type="dxa"/>
            <w:vMerge w:val="continue"/>
            <w:shd w:val="clear" w:color="000000" w:fill="FFFFFF"/>
            <w:vAlign w:val="center"/>
          </w:tcPr>
          <w:p w14:paraId="4D46D9E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p>
        </w:tc>
        <w:tc>
          <w:tcPr>
            <w:tcW w:w="1134" w:type="dxa"/>
            <w:shd w:val="clear" w:color="auto" w:fill="auto"/>
            <w:vAlign w:val="center"/>
          </w:tcPr>
          <w:p w14:paraId="7447A93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5</w:t>
            </w:r>
          </w:p>
        </w:tc>
        <w:tc>
          <w:tcPr>
            <w:tcW w:w="1001" w:type="dxa"/>
            <w:shd w:val="clear" w:color="auto" w:fill="auto"/>
            <w:vAlign w:val="center"/>
          </w:tcPr>
          <w:p w14:paraId="31997B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BSH0</w:t>
            </w:r>
            <w:r>
              <w:rPr>
                <w:rFonts w:hint="default" w:ascii="Times New Roman" w:hAnsi="Times New Roman" w:cs="Times New Roman" w:eastAsiaTheme="minorEastAsia"/>
                <w:sz w:val="21"/>
                <w:szCs w:val="21"/>
                <w:highlight w:val="none"/>
                <w:lang w:val="en-US" w:eastAsia="zh-CN"/>
              </w:rPr>
              <w:t>48</w:t>
            </w:r>
          </w:p>
        </w:tc>
        <w:tc>
          <w:tcPr>
            <w:tcW w:w="2118" w:type="dxa"/>
            <w:shd w:val="clear" w:color="auto" w:fill="auto"/>
            <w:vAlign w:val="center"/>
          </w:tcPr>
          <w:p w14:paraId="5BBCBF7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艺术学</w:t>
            </w:r>
          </w:p>
        </w:tc>
        <w:tc>
          <w:tcPr>
            <w:tcW w:w="2028" w:type="dxa"/>
            <w:vMerge w:val="continue"/>
            <w:vAlign w:val="center"/>
          </w:tcPr>
          <w:p w14:paraId="2A2B0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432" w:type="dxa"/>
            <w:vMerge w:val="continue"/>
            <w:vAlign w:val="center"/>
          </w:tcPr>
          <w:p w14:paraId="0EFA5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rPr>
            </w:pPr>
          </w:p>
        </w:tc>
      </w:tr>
      <w:bookmarkEnd w:id="40"/>
    </w:tbl>
    <w:p w14:paraId="07A76DB8">
      <w:pPr>
        <w:pStyle w:val="5"/>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sz w:val="21"/>
          <w:szCs w:val="21"/>
        </w:rPr>
      </w:pPr>
      <w:r>
        <w:rPr>
          <w:sz w:val="21"/>
          <w:szCs w:val="21"/>
        </w:rPr>
        <w:br w:type="page"/>
      </w:r>
    </w:p>
    <w:p w14:paraId="2A4CAA00">
      <w:pPr>
        <w:adjustRightInd w:val="0"/>
        <w:snapToGrid w:val="0"/>
        <w:spacing w:line="240" w:lineRule="auto"/>
        <w:ind w:firstLine="0"/>
        <w:jc w:val="center"/>
        <w:rPr>
          <w:rFonts w:eastAsia="方正小标宋简体"/>
          <w:sz w:val="44"/>
          <w:szCs w:val="44"/>
        </w:rPr>
      </w:pPr>
    </w:p>
    <w:p w14:paraId="7344D8BF">
      <w:pPr>
        <w:adjustRightInd w:val="0"/>
        <w:snapToGrid w:val="0"/>
        <w:spacing w:line="240" w:lineRule="auto"/>
        <w:ind w:firstLine="0"/>
        <w:jc w:val="center"/>
        <w:outlineLvl w:val="0"/>
        <w:rPr>
          <w:rFonts w:eastAsia="方正小标宋简体"/>
          <w:sz w:val="44"/>
          <w:szCs w:val="44"/>
        </w:rPr>
      </w:pPr>
      <w:bookmarkStart w:id="41" w:name="_Toc32558"/>
      <w:bookmarkStart w:id="42" w:name="_Toc24044"/>
      <w:bookmarkStart w:id="43" w:name="_Toc27651"/>
      <w:bookmarkStart w:id="44" w:name="_Toc30907"/>
      <w:bookmarkStart w:id="45" w:name="_Toc23102"/>
      <w:bookmarkStart w:id="46" w:name="_Toc4465"/>
      <w:r>
        <w:rPr>
          <w:rFonts w:eastAsia="方正小标宋简体"/>
          <w:sz w:val="44"/>
          <w:szCs w:val="44"/>
          <w:highlight w:val="none"/>
        </w:rPr>
        <w:t>四川农业大学</w:t>
      </w:r>
      <w:bookmarkEnd w:id="41"/>
      <w:bookmarkEnd w:id="42"/>
      <w:bookmarkEnd w:id="43"/>
      <w:bookmarkEnd w:id="44"/>
      <w:bookmarkEnd w:id="45"/>
    </w:p>
    <w:p w14:paraId="72B4EF1A">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540"/>
        <w:gridCol w:w="1712"/>
        <w:gridCol w:w="1548"/>
        <w:gridCol w:w="1703"/>
        <w:gridCol w:w="1704"/>
      </w:tblGrid>
      <w:tr w14:paraId="626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13" w:type="dxa"/>
            <w:shd w:val="clear" w:color="auto" w:fill="E7E6E6" w:themeFill="background2"/>
            <w:noWrap/>
            <w:vAlign w:val="center"/>
          </w:tcPr>
          <w:p w14:paraId="34559AA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10" w:type="dxa"/>
            <w:shd w:val="clear" w:color="auto" w:fill="auto"/>
            <w:noWrap/>
            <w:vAlign w:val="center"/>
          </w:tcPr>
          <w:p w14:paraId="088BE31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67" w:type="dxa"/>
            <w:shd w:val="clear" w:color="auto" w:fill="E7E6E6" w:themeFill="background2"/>
            <w:noWrap/>
            <w:vAlign w:val="center"/>
          </w:tcPr>
          <w:p w14:paraId="68A973D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7" w:type="dxa"/>
            <w:shd w:val="clear" w:color="auto" w:fill="auto"/>
            <w:noWrap/>
            <w:vAlign w:val="center"/>
          </w:tcPr>
          <w:p w14:paraId="48927150">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9" w:type="dxa"/>
            <w:shd w:val="clear" w:color="auto" w:fill="E7E6E6" w:themeFill="background2"/>
            <w:noWrap/>
            <w:vAlign w:val="center"/>
          </w:tcPr>
          <w:p w14:paraId="4243115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559" w:type="dxa"/>
            <w:shd w:val="clear" w:color="auto" w:fill="auto"/>
            <w:noWrap/>
            <w:vAlign w:val="center"/>
          </w:tcPr>
          <w:p w14:paraId="54DDCCE6">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D80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13" w:type="dxa"/>
            <w:shd w:val="clear" w:color="auto" w:fill="E7E6E6" w:themeFill="background2"/>
            <w:noWrap/>
            <w:vAlign w:val="center"/>
          </w:tcPr>
          <w:p w14:paraId="3A1D1C5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2" w:type="dxa"/>
            <w:gridSpan w:val="5"/>
            <w:shd w:val="clear" w:color="auto" w:fill="auto"/>
            <w:noWrap/>
            <w:vAlign w:val="center"/>
          </w:tcPr>
          <w:p w14:paraId="77873C06">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四川省成都市温江区惠民路211号</w:t>
            </w:r>
          </w:p>
        </w:tc>
      </w:tr>
      <w:tr w14:paraId="467C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6" w:hRule="atLeast"/>
          <w:jc w:val="center"/>
        </w:trPr>
        <w:tc>
          <w:tcPr>
            <w:tcW w:w="1413" w:type="dxa"/>
            <w:shd w:val="clear" w:color="auto" w:fill="E7E6E6" w:themeFill="background2"/>
            <w:noWrap/>
            <w:vAlign w:val="center"/>
          </w:tcPr>
          <w:p w14:paraId="73A875B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2" w:type="dxa"/>
            <w:gridSpan w:val="5"/>
            <w:shd w:val="clear" w:color="auto" w:fill="auto"/>
            <w:noWrap/>
            <w:vAlign w:val="center"/>
          </w:tcPr>
          <w:p w14:paraId="271756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四川农业大学（https://www.sicau.edu.cn）是一所以生物科技为特色，农业科技为优势，多学科协调发展的国家“211工程”重点建设大学和国家“双一流”建设高校，也是教育部本科教学工作水平评估优秀高校。</w:t>
            </w:r>
          </w:p>
          <w:p w14:paraId="6AD1A6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学校已具有118年办学历史，现设有学院27个，研究所(中心)4个，国家重点实验室2个，涵盖农学、理学、工学、经济学、管理学、医学、文学、教育学、法学、艺术学等10大学科门类。有博士后科研流动站9个（作物学、畜牧学、兽医学、林学、草学、生物学、农林经济管理、园艺学、农业资源与环境），博士学位授权一级学科12个、二级学科51个，国家重点学科和重点培育学科4个，部省重点学科20个，ESI排名世界前1%学科10个。</w:t>
            </w:r>
          </w:p>
        </w:tc>
      </w:tr>
      <w:tr w14:paraId="4B9B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0" w:hRule="atLeast"/>
          <w:jc w:val="center"/>
        </w:trPr>
        <w:tc>
          <w:tcPr>
            <w:tcW w:w="1413" w:type="dxa"/>
            <w:shd w:val="clear" w:color="auto" w:fill="E7E6E6" w:themeFill="background2"/>
            <w:noWrap/>
            <w:vAlign w:val="center"/>
          </w:tcPr>
          <w:p w14:paraId="124ECD3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512" w:type="dxa"/>
            <w:gridSpan w:val="5"/>
            <w:shd w:val="clear" w:color="auto" w:fill="auto"/>
            <w:noWrap/>
            <w:vAlign w:val="center"/>
          </w:tcPr>
          <w:p w14:paraId="46BBBA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我校专职博士后分校聘岗、科研创新岗、导师自聘岗三类。</w:t>
            </w:r>
          </w:p>
          <w:p w14:paraId="577E50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一、薪酬待遇。</w:t>
            </w:r>
          </w:p>
          <w:p w14:paraId="0415B0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1.校聘岗、科研创新岗、导师自聘岗的年薪分别不低于25万元、20万元、12万元（税前）。同时，叠加国家、成都市相关博士后生活资助经费。</w:t>
            </w:r>
          </w:p>
          <w:p w14:paraId="46AC530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2.奖励：学校、科研单位及导师分别对业绩突出的博士后以奖励。</w:t>
            </w:r>
          </w:p>
          <w:p w14:paraId="529B53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3.项目补助：鼓励博士后申报各类科研项目，其中竞争性项目按规定可用于生活补助及绩效奖励部分，按规定叠加发放。</w:t>
            </w:r>
          </w:p>
          <w:p w14:paraId="761976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二、职称评聘。进站后的次月认定为讲师，每年单列3个特聘副高级职称指标，在站业绩突出可申请。</w:t>
            </w:r>
          </w:p>
          <w:p w14:paraId="70EC07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三、师资选留。业绩突出，出站后符合学校招聘条件并自愿申请的，同等条件下可优先录取。</w:t>
            </w:r>
          </w:p>
          <w:p w14:paraId="3697F8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四、其他待遇与学校在编在岗教职工相同。</w:t>
            </w:r>
          </w:p>
        </w:tc>
      </w:tr>
    </w:tbl>
    <w:p w14:paraId="4E6F3DBE">
      <w:pPr>
        <w:pStyle w:val="5"/>
        <w:adjustRightInd w:val="0"/>
        <w:snapToGrid w:val="0"/>
        <w:spacing w:line="240" w:lineRule="auto"/>
        <w:ind w:firstLine="0"/>
        <w:rPr>
          <w:sz w:val="21"/>
          <w:szCs w:val="21"/>
        </w:rPr>
      </w:pPr>
      <w:r>
        <w:rPr>
          <w:sz w:val="21"/>
          <w:szCs w:val="21"/>
        </w:rPr>
        <w:br w:type="page"/>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1117"/>
        <w:gridCol w:w="1172"/>
        <w:gridCol w:w="1800"/>
        <w:gridCol w:w="1395"/>
        <w:gridCol w:w="1587"/>
      </w:tblGrid>
      <w:tr w14:paraId="4CC1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2635" w:type="dxa"/>
            <w:shd w:val="clear" w:color="auto" w:fill="E7E6E6" w:themeFill="background2"/>
            <w:noWrap/>
            <w:vAlign w:val="center"/>
          </w:tcPr>
          <w:p w14:paraId="2D58AA4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8" w:type="dxa"/>
            <w:shd w:val="clear" w:color="auto" w:fill="E7E6E6" w:themeFill="background2"/>
            <w:noWrap/>
            <w:vAlign w:val="center"/>
          </w:tcPr>
          <w:p w14:paraId="7808CF6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noWrap/>
            <w:vAlign w:val="center"/>
          </w:tcPr>
          <w:p w14:paraId="3A753A96">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0" w:type="dxa"/>
            <w:shd w:val="clear" w:color="auto" w:fill="E7E6E6" w:themeFill="background2"/>
            <w:noWrap/>
            <w:vAlign w:val="center"/>
          </w:tcPr>
          <w:p w14:paraId="0BCB3A1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70603B2">
            <w:pPr>
              <w:adjustRightInd w:val="0"/>
              <w:snapToGrid w:val="0"/>
              <w:spacing w:line="240" w:lineRule="auto"/>
              <w:ind w:firstLine="0"/>
              <w:jc w:val="center"/>
              <w:rPr>
                <w:rFonts w:hint="eastAsia" w:eastAsiaTheme="minorEastAsia"/>
                <w:b/>
                <w:bCs/>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1372" w:type="dxa"/>
            <w:shd w:val="clear" w:color="auto" w:fill="E7E6E6" w:themeFill="background2"/>
            <w:noWrap/>
            <w:vAlign w:val="center"/>
          </w:tcPr>
          <w:p w14:paraId="79063AD7">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1C60B440">
            <w:pPr>
              <w:adjustRightInd w:val="0"/>
              <w:snapToGrid w:val="0"/>
              <w:spacing w:line="240" w:lineRule="auto"/>
              <w:ind w:firstLine="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60" w:type="dxa"/>
            <w:shd w:val="clear" w:color="auto" w:fill="E7E6E6" w:themeFill="background2"/>
            <w:noWrap/>
            <w:vAlign w:val="center"/>
          </w:tcPr>
          <w:p w14:paraId="0E9C904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279A0B7">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0B03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CD1D79">
            <w:pPr>
              <w:adjustRightInd w:val="0"/>
              <w:snapToGrid w:val="0"/>
              <w:spacing w:line="240" w:lineRule="auto"/>
              <w:ind w:firstLine="0" w:firstLineChars="0"/>
              <w:jc w:val="both"/>
              <w:rPr>
                <w:rFonts w:eastAsiaTheme="minorEastAsia"/>
                <w:spacing w:val="-16"/>
                <w:sz w:val="21"/>
                <w:szCs w:val="21"/>
              </w:rPr>
            </w:pPr>
            <w:r>
              <w:rPr>
                <w:rFonts w:eastAsia="宋体"/>
                <w:spacing w:val="-16"/>
                <w:sz w:val="21"/>
                <w:szCs w:val="21"/>
              </w:rPr>
              <w:t>农学院专职博士后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92507B">
            <w:pPr>
              <w:adjustRightInd w:val="0"/>
              <w:snapToGrid w:val="0"/>
              <w:spacing w:line="240" w:lineRule="auto"/>
              <w:ind w:firstLine="0" w:firstLineChars="0"/>
              <w:jc w:val="center"/>
              <w:rPr>
                <w:rFonts w:eastAsiaTheme="minorEastAsia"/>
                <w:sz w:val="21"/>
                <w:szCs w:val="21"/>
              </w:rPr>
            </w:pPr>
            <w:r>
              <w:rPr>
                <w:rFonts w:eastAsia="宋体"/>
                <w:sz w:val="21"/>
                <w:szCs w:val="21"/>
              </w:rPr>
              <w:t>10～20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8BF262">
            <w:pPr>
              <w:adjustRightInd w:val="0"/>
              <w:snapToGrid w:val="0"/>
              <w:spacing w:line="240" w:lineRule="auto"/>
              <w:ind w:firstLine="0" w:firstLineChars="0"/>
              <w:jc w:val="center"/>
              <w:rPr>
                <w:rFonts w:eastAsiaTheme="minorEastAsia"/>
                <w:sz w:val="21"/>
                <w:szCs w:val="21"/>
              </w:rPr>
            </w:pPr>
            <w:r>
              <w:rPr>
                <w:rFonts w:eastAsia="宋体"/>
                <w:sz w:val="21"/>
                <w:szCs w:val="21"/>
              </w:rPr>
              <w:t>BSH001</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8469C3">
            <w:pPr>
              <w:adjustRightInd w:val="0"/>
              <w:snapToGrid w:val="0"/>
              <w:spacing w:line="240" w:lineRule="auto"/>
              <w:ind w:firstLine="0" w:firstLineChars="0"/>
              <w:jc w:val="both"/>
              <w:rPr>
                <w:rFonts w:eastAsiaTheme="minorEastAsia"/>
                <w:sz w:val="21"/>
                <w:szCs w:val="21"/>
              </w:rPr>
            </w:pPr>
            <w:r>
              <w:rPr>
                <w:rFonts w:eastAsia="宋体"/>
                <w:sz w:val="21"/>
                <w:szCs w:val="21"/>
              </w:rPr>
              <w:t>作物学、生物学、植物保护</w:t>
            </w:r>
          </w:p>
        </w:tc>
        <w:tc>
          <w:tcPr>
            <w:tcW w:w="1372" w:type="dxa"/>
            <w:vMerge w:val="restart"/>
            <w:tcBorders>
              <w:top w:val="single" w:color="auto" w:sz="4" w:space="0"/>
              <w:left w:val="single" w:color="auto" w:sz="4" w:space="0"/>
              <w:right w:val="single" w:color="auto" w:sz="4" w:space="0"/>
            </w:tcBorders>
            <w:shd w:val="clear" w:color="auto" w:fill="FFFFFF"/>
            <w:noWrap/>
            <w:vAlign w:val="center"/>
          </w:tcPr>
          <w:p w14:paraId="21E5EBBA">
            <w:pPr>
              <w:adjustRightInd w:val="0"/>
              <w:snapToGrid w:val="0"/>
              <w:spacing w:line="360" w:lineRule="auto"/>
              <w:ind w:firstLine="0" w:firstLineChars="0"/>
              <w:jc w:val="center"/>
              <w:rPr>
                <w:rFonts w:eastAsiaTheme="minorEastAsia"/>
                <w:sz w:val="21"/>
                <w:szCs w:val="21"/>
              </w:rPr>
            </w:pPr>
            <w:r>
              <w:rPr>
                <w:rFonts w:eastAsia="宋体"/>
                <w:sz w:val="21"/>
                <w:szCs w:val="21"/>
              </w:rPr>
              <w:t>年薪</w:t>
            </w:r>
            <w:r>
              <w:rPr>
                <w:rFonts w:hint="eastAsia" w:eastAsia="宋体"/>
                <w:sz w:val="21"/>
                <w:szCs w:val="21"/>
              </w:rPr>
              <w:t>12</w:t>
            </w:r>
            <w:r>
              <w:rPr>
                <w:rFonts w:eastAsia="宋体"/>
                <w:sz w:val="21"/>
                <w:szCs w:val="21"/>
              </w:rPr>
              <w:t>～</w:t>
            </w:r>
            <w:r>
              <w:rPr>
                <w:rFonts w:hint="eastAsia" w:eastAsia="宋体"/>
                <w:sz w:val="21"/>
                <w:szCs w:val="21"/>
              </w:rPr>
              <w:t>25</w:t>
            </w:r>
            <w:r>
              <w:rPr>
                <w:rFonts w:eastAsia="宋体"/>
                <w:sz w:val="21"/>
                <w:szCs w:val="21"/>
              </w:rPr>
              <w:t>万（税前），叠加绩效奖励和项目补助</w:t>
            </w:r>
          </w:p>
        </w:tc>
        <w:tc>
          <w:tcPr>
            <w:tcW w:w="1560" w:type="dxa"/>
            <w:vMerge w:val="restart"/>
            <w:shd w:val="clear" w:color="auto" w:fill="auto"/>
            <w:noWrap/>
            <w:vAlign w:val="center"/>
          </w:tcPr>
          <w:p w14:paraId="77E2D02C">
            <w:pPr>
              <w:adjustRightInd w:val="0"/>
              <w:snapToGrid w:val="0"/>
              <w:spacing w:line="360" w:lineRule="auto"/>
              <w:ind w:firstLine="0" w:firstLineChars="0"/>
              <w:jc w:val="both"/>
              <w:rPr>
                <w:rFonts w:eastAsiaTheme="minorEastAsia"/>
                <w:sz w:val="21"/>
                <w:szCs w:val="21"/>
              </w:rPr>
            </w:pPr>
            <w:r>
              <w:rPr>
                <w:rFonts w:eastAsia="宋体"/>
                <w:sz w:val="21"/>
                <w:szCs w:val="21"/>
              </w:rPr>
              <w:t>年龄一般不超过35周岁；获博士学位不超过3年；科研成果突出，发展潜力较大；政治立场坚定，职业道德良好，身心健康。</w:t>
            </w:r>
          </w:p>
        </w:tc>
      </w:tr>
      <w:tr w14:paraId="7096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A8C906">
            <w:pPr>
              <w:adjustRightInd w:val="0"/>
              <w:snapToGrid w:val="0"/>
              <w:spacing w:line="240" w:lineRule="auto"/>
              <w:ind w:firstLine="0" w:firstLineChars="0"/>
              <w:jc w:val="both"/>
              <w:rPr>
                <w:rFonts w:eastAsiaTheme="minorEastAsia"/>
                <w:spacing w:val="-4"/>
                <w:sz w:val="21"/>
                <w:szCs w:val="21"/>
              </w:rPr>
            </w:pPr>
            <w:r>
              <w:rPr>
                <w:rFonts w:eastAsia="宋体"/>
                <w:spacing w:val="-4"/>
                <w:sz w:val="21"/>
                <w:szCs w:val="21"/>
              </w:rPr>
              <w:t>动物科技学院专职博士后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28E75D">
            <w:pPr>
              <w:adjustRightInd w:val="0"/>
              <w:snapToGrid w:val="0"/>
              <w:spacing w:line="240" w:lineRule="auto"/>
              <w:ind w:firstLine="0" w:firstLineChars="0"/>
              <w:jc w:val="center"/>
              <w:rPr>
                <w:rFonts w:eastAsiaTheme="minorEastAsia"/>
                <w:sz w:val="21"/>
                <w:szCs w:val="21"/>
              </w:rPr>
            </w:pPr>
            <w:r>
              <w:rPr>
                <w:rFonts w:eastAsia="宋体"/>
                <w:sz w:val="21"/>
                <w:szCs w:val="21"/>
              </w:rPr>
              <w:t>10～20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4FD865">
            <w:pPr>
              <w:adjustRightInd w:val="0"/>
              <w:snapToGrid w:val="0"/>
              <w:spacing w:line="240" w:lineRule="auto"/>
              <w:ind w:firstLine="0" w:firstLineChars="0"/>
              <w:jc w:val="center"/>
              <w:rPr>
                <w:rFonts w:eastAsiaTheme="minorEastAsia"/>
                <w:sz w:val="21"/>
                <w:szCs w:val="21"/>
              </w:rPr>
            </w:pPr>
            <w:r>
              <w:rPr>
                <w:rFonts w:eastAsia="宋体"/>
                <w:sz w:val="21"/>
                <w:szCs w:val="21"/>
              </w:rPr>
              <w:t>BSH002</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235BA2">
            <w:pPr>
              <w:adjustRightInd w:val="0"/>
              <w:snapToGrid w:val="0"/>
              <w:spacing w:line="240" w:lineRule="auto"/>
              <w:ind w:firstLine="0"/>
              <w:jc w:val="both"/>
              <w:rPr>
                <w:rFonts w:eastAsia="宋体"/>
                <w:sz w:val="21"/>
                <w:szCs w:val="21"/>
              </w:rPr>
            </w:pPr>
            <w:r>
              <w:rPr>
                <w:rFonts w:eastAsia="宋体"/>
                <w:sz w:val="21"/>
                <w:szCs w:val="21"/>
              </w:rPr>
              <w:t>畜牧学、水产、</w:t>
            </w:r>
          </w:p>
          <w:p w14:paraId="16C377EC">
            <w:pPr>
              <w:adjustRightInd w:val="0"/>
              <w:snapToGrid w:val="0"/>
              <w:spacing w:line="240" w:lineRule="auto"/>
              <w:ind w:firstLine="0" w:firstLineChars="0"/>
              <w:jc w:val="both"/>
              <w:rPr>
                <w:rFonts w:eastAsiaTheme="minorEastAsia"/>
                <w:sz w:val="21"/>
                <w:szCs w:val="21"/>
              </w:rPr>
            </w:pPr>
            <w:r>
              <w:rPr>
                <w:rFonts w:eastAsia="宋体"/>
                <w:sz w:val="21"/>
                <w:szCs w:val="21"/>
              </w:rPr>
              <w:t>生物学</w:t>
            </w:r>
          </w:p>
        </w:tc>
        <w:tc>
          <w:tcPr>
            <w:tcW w:w="1372" w:type="dxa"/>
            <w:vMerge w:val="continue"/>
            <w:tcBorders>
              <w:left w:val="single" w:color="auto" w:sz="4" w:space="0"/>
              <w:right w:val="single" w:color="auto" w:sz="4" w:space="0"/>
            </w:tcBorders>
            <w:shd w:val="clear" w:color="auto" w:fill="FFFFFF"/>
            <w:noWrap/>
            <w:vAlign w:val="center"/>
          </w:tcPr>
          <w:p w14:paraId="2734BB8C">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4A554063">
            <w:pPr>
              <w:adjustRightInd w:val="0"/>
              <w:snapToGrid w:val="0"/>
              <w:spacing w:line="240" w:lineRule="auto"/>
              <w:ind w:firstLine="0" w:firstLineChars="0"/>
              <w:jc w:val="center"/>
              <w:rPr>
                <w:rFonts w:eastAsiaTheme="minorEastAsia"/>
                <w:sz w:val="21"/>
                <w:szCs w:val="21"/>
              </w:rPr>
            </w:pPr>
          </w:p>
        </w:tc>
      </w:tr>
      <w:tr w14:paraId="119B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918AEA">
            <w:pPr>
              <w:adjustRightInd w:val="0"/>
              <w:snapToGrid w:val="0"/>
              <w:spacing w:line="240" w:lineRule="auto"/>
              <w:ind w:firstLine="0" w:firstLineChars="0"/>
              <w:jc w:val="both"/>
              <w:rPr>
                <w:rFonts w:eastAsiaTheme="minorEastAsia"/>
                <w:spacing w:val="-4"/>
                <w:sz w:val="21"/>
                <w:szCs w:val="21"/>
              </w:rPr>
            </w:pPr>
            <w:r>
              <w:rPr>
                <w:rFonts w:eastAsia="宋体"/>
                <w:spacing w:val="-4"/>
                <w:sz w:val="21"/>
                <w:szCs w:val="21"/>
              </w:rPr>
              <w:t>草业科技学院专职博士后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43B624">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7B540EA">
            <w:pPr>
              <w:adjustRightInd w:val="0"/>
              <w:snapToGrid w:val="0"/>
              <w:spacing w:line="240" w:lineRule="auto"/>
              <w:ind w:firstLine="0" w:firstLineChars="0"/>
              <w:jc w:val="center"/>
              <w:rPr>
                <w:rFonts w:eastAsiaTheme="minorEastAsia"/>
                <w:sz w:val="21"/>
                <w:szCs w:val="21"/>
              </w:rPr>
            </w:pPr>
            <w:r>
              <w:rPr>
                <w:rFonts w:eastAsia="宋体"/>
                <w:sz w:val="21"/>
                <w:szCs w:val="21"/>
              </w:rPr>
              <w:t>BSH003</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EDDD8C">
            <w:pPr>
              <w:adjustRightInd w:val="0"/>
              <w:snapToGrid w:val="0"/>
              <w:spacing w:line="240" w:lineRule="auto"/>
              <w:ind w:firstLine="0" w:firstLineChars="0"/>
              <w:jc w:val="center"/>
              <w:rPr>
                <w:rFonts w:eastAsiaTheme="minorEastAsia"/>
                <w:sz w:val="21"/>
                <w:szCs w:val="21"/>
              </w:rPr>
            </w:pPr>
            <w:r>
              <w:rPr>
                <w:rFonts w:eastAsia="宋体"/>
                <w:sz w:val="21"/>
                <w:szCs w:val="21"/>
              </w:rPr>
              <w:t>草学</w:t>
            </w:r>
          </w:p>
        </w:tc>
        <w:tc>
          <w:tcPr>
            <w:tcW w:w="1372" w:type="dxa"/>
            <w:vMerge w:val="continue"/>
            <w:tcBorders>
              <w:left w:val="single" w:color="auto" w:sz="4" w:space="0"/>
              <w:right w:val="single" w:color="auto" w:sz="4" w:space="0"/>
            </w:tcBorders>
            <w:shd w:val="clear" w:color="auto" w:fill="FFFFFF"/>
            <w:noWrap/>
            <w:vAlign w:val="center"/>
          </w:tcPr>
          <w:p w14:paraId="6260573A">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7B74ABB2">
            <w:pPr>
              <w:adjustRightInd w:val="0"/>
              <w:snapToGrid w:val="0"/>
              <w:spacing w:line="240" w:lineRule="auto"/>
              <w:ind w:firstLine="0" w:firstLineChars="0"/>
              <w:jc w:val="center"/>
              <w:rPr>
                <w:rFonts w:eastAsiaTheme="minorEastAsia"/>
                <w:sz w:val="21"/>
                <w:szCs w:val="21"/>
              </w:rPr>
            </w:pPr>
          </w:p>
        </w:tc>
      </w:tr>
      <w:tr w14:paraId="71F3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DECB83">
            <w:pPr>
              <w:adjustRightInd w:val="0"/>
              <w:snapToGrid w:val="0"/>
              <w:spacing w:line="240" w:lineRule="auto"/>
              <w:ind w:firstLine="0" w:firstLineChars="0"/>
              <w:jc w:val="both"/>
              <w:rPr>
                <w:rFonts w:eastAsiaTheme="minorEastAsia"/>
                <w:sz w:val="21"/>
                <w:szCs w:val="21"/>
              </w:rPr>
            </w:pPr>
            <w:r>
              <w:rPr>
                <w:rFonts w:eastAsia="宋体"/>
                <w:sz w:val="21"/>
                <w:szCs w:val="21"/>
              </w:rPr>
              <w:t>动物医学院专职博士后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0B1C65">
            <w:pPr>
              <w:adjustRightInd w:val="0"/>
              <w:snapToGrid w:val="0"/>
              <w:spacing w:line="240" w:lineRule="auto"/>
              <w:ind w:firstLine="0" w:firstLineChars="0"/>
              <w:jc w:val="center"/>
              <w:rPr>
                <w:rFonts w:eastAsiaTheme="minorEastAsia"/>
                <w:sz w:val="21"/>
                <w:szCs w:val="21"/>
              </w:rPr>
            </w:pPr>
            <w:r>
              <w:rPr>
                <w:rFonts w:eastAsia="宋体"/>
                <w:sz w:val="21"/>
                <w:szCs w:val="21"/>
              </w:rPr>
              <w:t>10～20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8FF13F">
            <w:pPr>
              <w:adjustRightInd w:val="0"/>
              <w:snapToGrid w:val="0"/>
              <w:spacing w:line="240" w:lineRule="auto"/>
              <w:ind w:firstLine="0" w:firstLineChars="0"/>
              <w:jc w:val="center"/>
              <w:rPr>
                <w:rFonts w:eastAsiaTheme="minorEastAsia"/>
                <w:sz w:val="21"/>
                <w:szCs w:val="21"/>
              </w:rPr>
            </w:pPr>
            <w:r>
              <w:rPr>
                <w:rFonts w:eastAsia="宋体"/>
                <w:sz w:val="21"/>
                <w:szCs w:val="21"/>
              </w:rPr>
              <w:t>BSH004</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6C1A94">
            <w:pPr>
              <w:adjustRightInd w:val="0"/>
              <w:snapToGrid w:val="0"/>
              <w:spacing w:line="240" w:lineRule="auto"/>
              <w:ind w:firstLine="0" w:firstLineChars="0"/>
              <w:jc w:val="center"/>
              <w:rPr>
                <w:rFonts w:eastAsiaTheme="minorEastAsia"/>
                <w:sz w:val="21"/>
                <w:szCs w:val="21"/>
              </w:rPr>
            </w:pPr>
            <w:r>
              <w:rPr>
                <w:rFonts w:eastAsia="宋体"/>
                <w:sz w:val="21"/>
                <w:szCs w:val="21"/>
              </w:rPr>
              <w:t>兽医学</w:t>
            </w:r>
          </w:p>
        </w:tc>
        <w:tc>
          <w:tcPr>
            <w:tcW w:w="1372" w:type="dxa"/>
            <w:vMerge w:val="continue"/>
            <w:tcBorders>
              <w:left w:val="single" w:color="auto" w:sz="4" w:space="0"/>
              <w:right w:val="single" w:color="auto" w:sz="4" w:space="0"/>
            </w:tcBorders>
            <w:shd w:val="clear" w:color="auto" w:fill="FFFFFF"/>
            <w:noWrap/>
            <w:vAlign w:val="center"/>
          </w:tcPr>
          <w:p w14:paraId="6D1DC7DA">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3920281D">
            <w:pPr>
              <w:adjustRightInd w:val="0"/>
              <w:snapToGrid w:val="0"/>
              <w:spacing w:line="240" w:lineRule="auto"/>
              <w:ind w:firstLine="0" w:firstLineChars="0"/>
              <w:jc w:val="center"/>
              <w:rPr>
                <w:rFonts w:eastAsiaTheme="minorEastAsia"/>
                <w:sz w:val="21"/>
                <w:szCs w:val="21"/>
              </w:rPr>
            </w:pPr>
          </w:p>
        </w:tc>
      </w:tr>
      <w:tr w14:paraId="448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D2AB91">
            <w:pPr>
              <w:adjustRightInd w:val="0"/>
              <w:snapToGrid w:val="0"/>
              <w:spacing w:line="240" w:lineRule="auto"/>
              <w:ind w:firstLine="0" w:firstLineChars="0"/>
              <w:jc w:val="both"/>
              <w:rPr>
                <w:rFonts w:eastAsia="宋体"/>
                <w:spacing w:val="-16"/>
                <w:sz w:val="21"/>
                <w:szCs w:val="21"/>
              </w:rPr>
            </w:pPr>
            <w:r>
              <w:rPr>
                <w:rFonts w:eastAsia="宋体"/>
                <w:spacing w:val="-16"/>
                <w:sz w:val="21"/>
                <w:szCs w:val="21"/>
              </w:rPr>
              <w:t>林学院专职博士后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576E7D">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2FC87F">
            <w:pPr>
              <w:adjustRightInd w:val="0"/>
              <w:snapToGrid w:val="0"/>
              <w:spacing w:line="240" w:lineRule="auto"/>
              <w:ind w:firstLine="0" w:firstLineChars="0"/>
              <w:jc w:val="center"/>
              <w:rPr>
                <w:rFonts w:eastAsiaTheme="minorEastAsia"/>
                <w:sz w:val="21"/>
                <w:szCs w:val="21"/>
              </w:rPr>
            </w:pPr>
            <w:r>
              <w:rPr>
                <w:rFonts w:eastAsia="宋体"/>
                <w:sz w:val="21"/>
                <w:szCs w:val="21"/>
              </w:rPr>
              <w:t>BSH005</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DB16B8">
            <w:pPr>
              <w:adjustRightInd w:val="0"/>
              <w:snapToGrid w:val="0"/>
              <w:spacing w:line="240" w:lineRule="auto"/>
              <w:ind w:firstLine="0" w:firstLineChars="0"/>
              <w:jc w:val="center"/>
              <w:rPr>
                <w:rFonts w:eastAsiaTheme="minorEastAsia"/>
                <w:sz w:val="21"/>
                <w:szCs w:val="21"/>
              </w:rPr>
            </w:pPr>
            <w:r>
              <w:rPr>
                <w:rFonts w:eastAsia="宋体"/>
                <w:sz w:val="21"/>
                <w:szCs w:val="21"/>
              </w:rPr>
              <w:t>林学</w:t>
            </w:r>
          </w:p>
        </w:tc>
        <w:tc>
          <w:tcPr>
            <w:tcW w:w="1372" w:type="dxa"/>
            <w:vMerge w:val="continue"/>
            <w:tcBorders>
              <w:left w:val="single" w:color="auto" w:sz="4" w:space="0"/>
              <w:right w:val="single" w:color="auto" w:sz="4" w:space="0"/>
            </w:tcBorders>
            <w:shd w:val="clear" w:color="auto" w:fill="FFFFFF"/>
            <w:noWrap/>
            <w:vAlign w:val="center"/>
          </w:tcPr>
          <w:p w14:paraId="21998E1D">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729BF03B">
            <w:pPr>
              <w:adjustRightInd w:val="0"/>
              <w:snapToGrid w:val="0"/>
              <w:spacing w:line="240" w:lineRule="auto"/>
              <w:ind w:firstLine="0" w:firstLineChars="0"/>
              <w:jc w:val="center"/>
              <w:rPr>
                <w:rFonts w:eastAsiaTheme="minorEastAsia"/>
                <w:sz w:val="21"/>
                <w:szCs w:val="21"/>
              </w:rPr>
            </w:pPr>
          </w:p>
        </w:tc>
      </w:tr>
      <w:tr w14:paraId="281D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4A15CE">
            <w:pPr>
              <w:adjustRightInd w:val="0"/>
              <w:snapToGrid w:val="0"/>
              <w:spacing w:line="240" w:lineRule="auto"/>
              <w:ind w:firstLine="0" w:firstLineChars="0"/>
              <w:jc w:val="both"/>
              <w:rPr>
                <w:rFonts w:eastAsiaTheme="minorEastAsia"/>
                <w:sz w:val="21"/>
                <w:szCs w:val="21"/>
              </w:rPr>
            </w:pPr>
            <w:r>
              <w:rPr>
                <w:rFonts w:eastAsia="宋体"/>
                <w:sz w:val="21"/>
                <w:szCs w:val="21"/>
              </w:rPr>
              <w:t>园艺学院专职博士后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1D66FD">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4DC3F8">
            <w:pPr>
              <w:adjustRightInd w:val="0"/>
              <w:snapToGrid w:val="0"/>
              <w:spacing w:line="240" w:lineRule="auto"/>
              <w:ind w:firstLine="0" w:firstLineChars="0"/>
              <w:jc w:val="center"/>
              <w:rPr>
                <w:rFonts w:eastAsiaTheme="minorEastAsia"/>
                <w:sz w:val="21"/>
                <w:szCs w:val="21"/>
              </w:rPr>
            </w:pPr>
            <w:r>
              <w:rPr>
                <w:rFonts w:eastAsia="宋体"/>
                <w:sz w:val="21"/>
                <w:szCs w:val="21"/>
              </w:rPr>
              <w:t>BSH006</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31FDF6">
            <w:pPr>
              <w:adjustRightInd w:val="0"/>
              <w:snapToGrid w:val="0"/>
              <w:spacing w:line="240" w:lineRule="auto"/>
              <w:ind w:firstLine="0" w:firstLineChars="0"/>
              <w:jc w:val="center"/>
              <w:rPr>
                <w:rFonts w:eastAsiaTheme="minorEastAsia"/>
                <w:sz w:val="21"/>
                <w:szCs w:val="21"/>
              </w:rPr>
            </w:pPr>
            <w:r>
              <w:rPr>
                <w:rFonts w:eastAsia="宋体"/>
                <w:sz w:val="21"/>
                <w:szCs w:val="21"/>
              </w:rPr>
              <w:t>园艺学</w:t>
            </w:r>
          </w:p>
        </w:tc>
        <w:tc>
          <w:tcPr>
            <w:tcW w:w="1372" w:type="dxa"/>
            <w:vMerge w:val="continue"/>
            <w:tcBorders>
              <w:left w:val="single" w:color="auto" w:sz="4" w:space="0"/>
              <w:right w:val="single" w:color="auto" w:sz="4" w:space="0"/>
            </w:tcBorders>
            <w:shd w:val="clear" w:color="auto" w:fill="FFFFFF"/>
            <w:noWrap/>
            <w:vAlign w:val="center"/>
          </w:tcPr>
          <w:p w14:paraId="08D20693">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362BC42C">
            <w:pPr>
              <w:adjustRightInd w:val="0"/>
              <w:snapToGrid w:val="0"/>
              <w:spacing w:line="240" w:lineRule="auto"/>
              <w:ind w:firstLine="0" w:firstLineChars="0"/>
              <w:jc w:val="center"/>
              <w:rPr>
                <w:rFonts w:eastAsiaTheme="minorEastAsia"/>
                <w:sz w:val="21"/>
                <w:szCs w:val="21"/>
              </w:rPr>
            </w:pPr>
          </w:p>
        </w:tc>
      </w:tr>
      <w:tr w14:paraId="7FF0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29FFB4">
            <w:pPr>
              <w:adjustRightInd w:val="0"/>
              <w:snapToGrid w:val="0"/>
              <w:spacing w:line="240" w:lineRule="auto"/>
              <w:ind w:firstLine="0" w:firstLineChars="0"/>
              <w:jc w:val="both"/>
              <w:rPr>
                <w:rFonts w:eastAsiaTheme="minorEastAsia"/>
                <w:sz w:val="21"/>
                <w:szCs w:val="21"/>
              </w:rPr>
            </w:pPr>
            <w:r>
              <w:rPr>
                <w:rFonts w:eastAsia="宋体"/>
                <w:sz w:val="21"/>
                <w:szCs w:val="21"/>
              </w:rPr>
              <w:t>风景园林学院专职博士后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6FFAB4">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23AD82">
            <w:pPr>
              <w:adjustRightInd w:val="0"/>
              <w:snapToGrid w:val="0"/>
              <w:spacing w:line="240" w:lineRule="auto"/>
              <w:ind w:firstLine="0" w:firstLineChars="0"/>
              <w:jc w:val="center"/>
              <w:rPr>
                <w:rFonts w:eastAsiaTheme="minorEastAsia"/>
                <w:sz w:val="21"/>
                <w:szCs w:val="21"/>
              </w:rPr>
            </w:pPr>
            <w:r>
              <w:rPr>
                <w:rFonts w:eastAsia="宋体"/>
                <w:sz w:val="21"/>
                <w:szCs w:val="21"/>
              </w:rPr>
              <w:t>BSH007</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9B018E">
            <w:pPr>
              <w:adjustRightInd w:val="0"/>
              <w:snapToGrid w:val="0"/>
              <w:spacing w:line="240" w:lineRule="auto"/>
              <w:ind w:firstLine="0" w:firstLineChars="0"/>
              <w:jc w:val="center"/>
              <w:rPr>
                <w:rFonts w:eastAsiaTheme="minorEastAsia"/>
                <w:sz w:val="21"/>
                <w:szCs w:val="21"/>
              </w:rPr>
            </w:pPr>
            <w:r>
              <w:rPr>
                <w:rFonts w:eastAsia="宋体"/>
                <w:sz w:val="21"/>
                <w:szCs w:val="21"/>
              </w:rPr>
              <w:t>风景园林</w:t>
            </w:r>
          </w:p>
        </w:tc>
        <w:tc>
          <w:tcPr>
            <w:tcW w:w="1372" w:type="dxa"/>
            <w:vMerge w:val="continue"/>
            <w:tcBorders>
              <w:left w:val="single" w:color="auto" w:sz="4" w:space="0"/>
              <w:right w:val="single" w:color="auto" w:sz="4" w:space="0"/>
            </w:tcBorders>
            <w:shd w:val="clear" w:color="auto" w:fill="FFFFFF"/>
            <w:noWrap/>
            <w:vAlign w:val="center"/>
          </w:tcPr>
          <w:p w14:paraId="5AAB150F">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41F50EEE">
            <w:pPr>
              <w:adjustRightInd w:val="0"/>
              <w:snapToGrid w:val="0"/>
              <w:spacing w:line="240" w:lineRule="auto"/>
              <w:ind w:firstLine="0" w:firstLineChars="0"/>
              <w:jc w:val="center"/>
              <w:rPr>
                <w:rFonts w:eastAsiaTheme="minorEastAsia"/>
                <w:sz w:val="21"/>
                <w:szCs w:val="21"/>
              </w:rPr>
            </w:pPr>
          </w:p>
        </w:tc>
      </w:tr>
      <w:tr w14:paraId="7589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3C4F74">
            <w:pPr>
              <w:adjustRightInd w:val="0"/>
              <w:snapToGrid w:val="0"/>
              <w:spacing w:line="240" w:lineRule="auto"/>
              <w:ind w:firstLine="0" w:firstLineChars="0"/>
              <w:jc w:val="both"/>
              <w:rPr>
                <w:rFonts w:eastAsiaTheme="minorEastAsia"/>
                <w:sz w:val="21"/>
                <w:szCs w:val="21"/>
              </w:rPr>
            </w:pPr>
            <w:r>
              <w:rPr>
                <w:rFonts w:eastAsia="宋体"/>
                <w:sz w:val="21"/>
                <w:szCs w:val="21"/>
              </w:rPr>
              <w:t>资源学院专职博士后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D73AA3">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BDE096">
            <w:pPr>
              <w:adjustRightInd w:val="0"/>
              <w:snapToGrid w:val="0"/>
              <w:spacing w:line="240" w:lineRule="auto"/>
              <w:ind w:firstLine="0" w:firstLineChars="0"/>
              <w:jc w:val="center"/>
              <w:rPr>
                <w:rFonts w:eastAsiaTheme="minorEastAsia"/>
                <w:sz w:val="21"/>
                <w:szCs w:val="21"/>
              </w:rPr>
            </w:pPr>
            <w:r>
              <w:rPr>
                <w:rFonts w:eastAsia="宋体"/>
                <w:sz w:val="21"/>
                <w:szCs w:val="21"/>
              </w:rPr>
              <w:t>BSH008</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D000A3">
            <w:pPr>
              <w:adjustRightInd w:val="0"/>
              <w:snapToGrid w:val="0"/>
              <w:spacing w:line="240" w:lineRule="auto"/>
              <w:ind w:firstLine="0" w:firstLineChars="0"/>
              <w:jc w:val="center"/>
              <w:rPr>
                <w:rFonts w:eastAsiaTheme="minorEastAsia"/>
                <w:sz w:val="21"/>
                <w:szCs w:val="21"/>
              </w:rPr>
            </w:pPr>
            <w:r>
              <w:rPr>
                <w:rFonts w:eastAsia="宋体"/>
                <w:sz w:val="21"/>
                <w:szCs w:val="21"/>
              </w:rPr>
              <w:t>农业资源与环境</w:t>
            </w:r>
          </w:p>
        </w:tc>
        <w:tc>
          <w:tcPr>
            <w:tcW w:w="1372" w:type="dxa"/>
            <w:vMerge w:val="continue"/>
            <w:tcBorders>
              <w:left w:val="single" w:color="auto" w:sz="4" w:space="0"/>
              <w:right w:val="single" w:color="auto" w:sz="4" w:space="0"/>
            </w:tcBorders>
            <w:shd w:val="clear" w:color="auto" w:fill="FFFFFF"/>
            <w:noWrap/>
            <w:vAlign w:val="center"/>
          </w:tcPr>
          <w:p w14:paraId="1376F67C">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4FE97423">
            <w:pPr>
              <w:adjustRightInd w:val="0"/>
              <w:snapToGrid w:val="0"/>
              <w:spacing w:line="240" w:lineRule="auto"/>
              <w:ind w:firstLine="0" w:firstLineChars="0"/>
              <w:jc w:val="center"/>
              <w:rPr>
                <w:rFonts w:eastAsiaTheme="minorEastAsia"/>
                <w:sz w:val="21"/>
                <w:szCs w:val="21"/>
              </w:rPr>
            </w:pPr>
          </w:p>
        </w:tc>
      </w:tr>
      <w:tr w14:paraId="1196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715AB9">
            <w:pPr>
              <w:adjustRightInd w:val="0"/>
              <w:snapToGrid w:val="0"/>
              <w:spacing w:line="240" w:lineRule="auto"/>
              <w:ind w:firstLine="0" w:firstLineChars="0"/>
              <w:jc w:val="both"/>
              <w:rPr>
                <w:rFonts w:eastAsiaTheme="minorEastAsia"/>
                <w:sz w:val="21"/>
                <w:szCs w:val="21"/>
              </w:rPr>
            </w:pPr>
            <w:r>
              <w:rPr>
                <w:rFonts w:eastAsia="宋体"/>
                <w:sz w:val="21"/>
                <w:szCs w:val="21"/>
              </w:rPr>
              <w:t>环境学院专职博士后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A88DCD">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ECCA73">
            <w:pPr>
              <w:adjustRightInd w:val="0"/>
              <w:snapToGrid w:val="0"/>
              <w:spacing w:line="240" w:lineRule="auto"/>
              <w:ind w:firstLine="0" w:firstLineChars="0"/>
              <w:jc w:val="center"/>
              <w:rPr>
                <w:rFonts w:eastAsiaTheme="minorEastAsia"/>
                <w:sz w:val="21"/>
                <w:szCs w:val="21"/>
              </w:rPr>
            </w:pPr>
            <w:r>
              <w:rPr>
                <w:rFonts w:eastAsia="宋体"/>
                <w:sz w:val="21"/>
                <w:szCs w:val="21"/>
              </w:rPr>
              <w:t>BSH009</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4E65DC">
            <w:pPr>
              <w:adjustRightInd w:val="0"/>
              <w:snapToGrid w:val="0"/>
              <w:spacing w:line="240" w:lineRule="auto"/>
              <w:ind w:firstLine="0" w:firstLineChars="0"/>
              <w:jc w:val="center"/>
              <w:rPr>
                <w:rFonts w:eastAsiaTheme="minorEastAsia"/>
                <w:sz w:val="21"/>
                <w:szCs w:val="21"/>
              </w:rPr>
            </w:pPr>
            <w:r>
              <w:rPr>
                <w:rFonts w:eastAsia="宋体"/>
                <w:sz w:val="21"/>
                <w:szCs w:val="21"/>
              </w:rPr>
              <w:t>农业资源与环境</w:t>
            </w:r>
          </w:p>
        </w:tc>
        <w:tc>
          <w:tcPr>
            <w:tcW w:w="1372" w:type="dxa"/>
            <w:vMerge w:val="continue"/>
            <w:tcBorders>
              <w:left w:val="single" w:color="auto" w:sz="4" w:space="0"/>
              <w:right w:val="single" w:color="auto" w:sz="4" w:space="0"/>
            </w:tcBorders>
            <w:shd w:val="clear" w:color="auto" w:fill="FFFFFF"/>
            <w:noWrap/>
            <w:vAlign w:val="center"/>
          </w:tcPr>
          <w:p w14:paraId="49C73C5B">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center"/>
          </w:tcPr>
          <w:p w14:paraId="4B2DD9AF">
            <w:pPr>
              <w:adjustRightInd w:val="0"/>
              <w:snapToGrid w:val="0"/>
              <w:spacing w:line="240" w:lineRule="auto"/>
              <w:ind w:firstLine="0" w:firstLineChars="0"/>
              <w:jc w:val="center"/>
              <w:rPr>
                <w:rFonts w:eastAsiaTheme="minorEastAsia"/>
                <w:sz w:val="21"/>
                <w:szCs w:val="21"/>
              </w:rPr>
            </w:pPr>
          </w:p>
        </w:tc>
      </w:tr>
      <w:tr w14:paraId="7539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8A72E8">
            <w:pPr>
              <w:adjustRightInd w:val="0"/>
              <w:snapToGrid w:val="0"/>
              <w:spacing w:line="240" w:lineRule="auto"/>
              <w:ind w:firstLine="0" w:firstLineChars="0"/>
              <w:jc w:val="both"/>
              <w:rPr>
                <w:rFonts w:eastAsiaTheme="minorEastAsia"/>
                <w:sz w:val="21"/>
                <w:szCs w:val="21"/>
              </w:rPr>
            </w:pPr>
            <w:r>
              <w:rPr>
                <w:rFonts w:eastAsia="宋体"/>
                <w:sz w:val="21"/>
                <w:szCs w:val="21"/>
              </w:rPr>
              <w:t>经济学院专职博士后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B6FEA3">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A6AB8B">
            <w:pPr>
              <w:adjustRightInd w:val="0"/>
              <w:snapToGrid w:val="0"/>
              <w:spacing w:line="240" w:lineRule="auto"/>
              <w:ind w:firstLine="0" w:firstLineChars="0"/>
              <w:jc w:val="center"/>
              <w:rPr>
                <w:rFonts w:eastAsiaTheme="minorEastAsia"/>
                <w:sz w:val="21"/>
                <w:szCs w:val="21"/>
              </w:rPr>
            </w:pPr>
            <w:r>
              <w:rPr>
                <w:rFonts w:eastAsia="宋体"/>
                <w:sz w:val="21"/>
                <w:szCs w:val="21"/>
              </w:rPr>
              <w:t>BSH010</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9C63E5">
            <w:pPr>
              <w:adjustRightInd w:val="0"/>
              <w:snapToGrid w:val="0"/>
              <w:spacing w:line="240" w:lineRule="auto"/>
              <w:ind w:firstLine="0" w:firstLineChars="0"/>
              <w:jc w:val="center"/>
              <w:rPr>
                <w:rFonts w:eastAsiaTheme="minorEastAsia"/>
                <w:sz w:val="21"/>
                <w:szCs w:val="21"/>
              </w:rPr>
            </w:pPr>
            <w:r>
              <w:rPr>
                <w:rFonts w:eastAsia="宋体"/>
                <w:sz w:val="21"/>
                <w:szCs w:val="21"/>
              </w:rPr>
              <w:t>农林经济管理</w:t>
            </w:r>
          </w:p>
        </w:tc>
        <w:tc>
          <w:tcPr>
            <w:tcW w:w="1372" w:type="dxa"/>
            <w:vMerge w:val="continue"/>
            <w:tcBorders>
              <w:left w:val="single" w:color="auto" w:sz="4" w:space="0"/>
              <w:right w:val="single" w:color="auto" w:sz="4" w:space="0"/>
            </w:tcBorders>
            <w:shd w:val="clear" w:color="auto" w:fill="FFFFFF"/>
            <w:noWrap/>
            <w:vAlign w:val="top"/>
          </w:tcPr>
          <w:p w14:paraId="1CE9E8BA">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147831DB">
            <w:pPr>
              <w:adjustRightInd w:val="0"/>
              <w:snapToGrid w:val="0"/>
              <w:spacing w:line="240" w:lineRule="auto"/>
              <w:ind w:firstLine="0" w:firstLineChars="0"/>
              <w:jc w:val="center"/>
              <w:rPr>
                <w:rFonts w:eastAsiaTheme="minorEastAsia"/>
                <w:sz w:val="21"/>
                <w:szCs w:val="21"/>
              </w:rPr>
            </w:pPr>
          </w:p>
        </w:tc>
      </w:tr>
      <w:tr w14:paraId="4381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F97724">
            <w:pPr>
              <w:adjustRightInd w:val="0"/>
              <w:snapToGrid w:val="0"/>
              <w:spacing w:line="240" w:lineRule="auto"/>
              <w:ind w:firstLine="0" w:firstLineChars="0"/>
              <w:jc w:val="both"/>
              <w:rPr>
                <w:rFonts w:eastAsiaTheme="minorEastAsia"/>
                <w:sz w:val="21"/>
                <w:szCs w:val="21"/>
              </w:rPr>
            </w:pPr>
            <w:r>
              <w:rPr>
                <w:rFonts w:eastAsia="宋体"/>
                <w:sz w:val="21"/>
                <w:szCs w:val="21"/>
              </w:rPr>
              <w:t>管理学院专职博士后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201FC5">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5A845C">
            <w:pPr>
              <w:adjustRightInd w:val="0"/>
              <w:snapToGrid w:val="0"/>
              <w:spacing w:line="240" w:lineRule="auto"/>
              <w:ind w:firstLine="0" w:firstLineChars="0"/>
              <w:jc w:val="center"/>
              <w:rPr>
                <w:rFonts w:eastAsiaTheme="minorEastAsia"/>
                <w:sz w:val="21"/>
                <w:szCs w:val="21"/>
              </w:rPr>
            </w:pPr>
            <w:r>
              <w:rPr>
                <w:rFonts w:eastAsia="宋体"/>
                <w:sz w:val="21"/>
                <w:szCs w:val="21"/>
              </w:rPr>
              <w:t>BSH011</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00946C">
            <w:pPr>
              <w:adjustRightInd w:val="0"/>
              <w:snapToGrid w:val="0"/>
              <w:spacing w:line="240" w:lineRule="auto"/>
              <w:ind w:firstLine="0" w:firstLineChars="0"/>
              <w:jc w:val="center"/>
              <w:rPr>
                <w:rFonts w:eastAsiaTheme="minorEastAsia"/>
                <w:sz w:val="21"/>
                <w:szCs w:val="21"/>
              </w:rPr>
            </w:pPr>
            <w:r>
              <w:rPr>
                <w:rFonts w:eastAsia="宋体"/>
                <w:sz w:val="21"/>
                <w:szCs w:val="21"/>
              </w:rPr>
              <w:t>农林经济管理</w:t>
            </w:r>
          </w:p>
        </w:tc>
        <w:tc>
          <w:tcPr>
            <w:tcW w:w="1372" w:type="dxa"/>
            <w:vMerge w:val="continue"/>
            <w:tcBorders>
              <w:left w:val="single" w:color="auto" w:sz="4" w:space="0"/>
              <w:right w:val="single" w:color="auto" w:sz="4" w:space="0"/>
            </w:tcBorders>
            <w:shd w:val="clear" w:color="auto" w:fill="FFFFFF"/>
            <w:noWrap/>
            <w:vAlign w:val="top"/>
          </w:tcPr>
          <w:p w14:paraId="3947C15D">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02C9E48A">
            <w:pPr>
              <w:adjustRightInd w:val="0"/>
              <w:snapToGrid w:val="0"/>
              <w:spacing w:line="240" w:lineRule="auto"/>
              <w:ind w:firstLine="0" w:firstLineChars="0"/>
              <w:jc w:val="center"/>
              <w:rPr>
                <w:rFonts w:eastAsiaTheme="minorEastAsia"/>
                <w:sz w:val="21"/>
                <w:szCs w:val="21"/>
              </w:rPr>
            </w:pPr>
          </w:p>
        </w:tc>
      </w:tr>
      <w:tr w14:paraId="5E67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0A4E3A">
            <w:pPr>
              <w:adjustRightInd w:val="0"/>
              <w:snapToGrid w:val="0"/>
              <w:spacing w:line="240" w:lineRule="auto"/>
              <w:ind w:firstLine="0" w:firstLineChars="0"/>
              <w:jc w:val="both"/>
              <w:rPr>
                <w:rFonts w:eastAsia="宋体"/>
                <w:spacing w:val="-16"/>
                <w:sz w:val="21"/>
                <w:szCs w:val="21"/>
              </w:rPr>
            </w:pPr>
            <w:r>
              <w:rPr>
                <w:rFonts w:eastAsia="宋体"/>
                <w:spacing w:val="-16"/>
                <w:sz w:val="21"/>
                <w:szCs w:val="21"/>
              </w:rPr>
              <w:t>理学院专职博士后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CD5C21">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7EA307">
            <w:pPr>
              <w:adjustRightInd w:val="0"/>
              <w:snapToGrid w:val="0"/>
              <w:spacing w:line="240" w:lineRule="auto"/>
              <w:ind w:firstLine="0" w:firstLineChars="0"/>
              <w:jc w:val="center"/>
              <w:rPr>
                <w:rFonts w:eastAsiaTheme="minorEastAsia"/>
                <w:sz w:val="21"/>
                <w:szCs w:val="21"/>
              </w:rPr>
            </w:pPr>
            <w:r>
              <w:rPr>
                <w:rFonts w:eastAsia="宋体"/>
                <w:sz w:val="21"/>
                <w:szCs w:val="21"/>
              </w:rPr>
              <w:t>BSH012</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2F184C">
            <w:pPr>
              <w:adjustRightInd w:val="0"/>
              <w:snapToGrid w:val="0"/>
              <w:spacing w:line="240" w:lineRule="auto"/>
              <w:ind w:firstLine="0" w:firstLineChars="0"/>
              <w:jc w:val="center"/>
              <w:rPr>
                <w:rFonts w:eastAsiaTheme="minorEastAsia"/>
                <w:sz w:val="21"/>
                <w:szCs w:val="21"/>
              </w:rPr>
            </w:pPr>
            <w:r>
              <w:rPr>
                <w:rFonts w:eastAsia="宋体"/>
                <w:sz w:val="21"/>
                <w:szCs w:val="21"/>
              </w:rPr>
              <w:t>生物学</w:t>
            </w:r>
          </w:p>
        </w:tc>
        <w:tc>
          <w:tcPr>
            <w:tcW w:w="1372" w:type="dxa"/>
            <w:vMerge w:val="continue"/>
            <w:tcBorders>
              <w:left w:val="single" w:color="auto" w:sz="4" w:space="0"/>
              <w:right w:val="single" w:color="auto" w:sz="4" w:space="0"/>
            </w:tcBorders>
            <w:shd w:val="clear" w:color="auto" w:fill="FFFFFF"/>
            <w:noWrap/>
            <w:vAlign w:val="top"/>
          </w:tcPr>
          <w:p w14:paraId="1BE0FB03">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4AA8F94B">
            <w:pPr>
              <w:adjustRightInd w:val="0"/>
              <w:snapToGrid w:val="0"/>
              <w:spacing w:line="240" w:lineRule="auto"/>
              <w:ind w:firstLine="0" w:firstLineChars="0"/>
              <w:jc w:val="center"/>
              <w:rPr>
                <w:rFonts w:eastAsiaTheme="minorEastAsia"/>
                <w:sz w:val="21"/>
                <w:szCs w:val="21"/>
              </w:rPr>
            </w:pPr>
          </w:p>
        </w:tc>
      </w:tr>
      <w:tr w14:paraId="19C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B1C2B9">
            <w:pPr>
              <w:adjustRightInd w:val="0"/>
              <w:snapToGrid w:val="0"/>
              <w:spacing w:line="240" w:lineRule="auto"/>
              <w:ind w:firstLine="0" w:firstLineChars="0"/>
              <w:jc w:val="both"/>
              <w:rPr>
                <w:rFonts w:eastAsiaTheme="minorEastAsia"/>
                <w:sz w:val="21"/>
                <w:szCs w:val="21"/>
              </w:rPr>
            </w:pPr>
            <w:r>
              <w:rPr>
                <w:rFonts w:eastAsia="宋体"/>
                <w:sz w:val="21"/>
                <w:szCs w:val="21"/>
              </w:rPr>
              <w:t>生命科学学院专职博士后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96E0CC">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BE63EA">
            <w:pPr>
              <w:adjustRightInd w:val="0"/>
              <w:snapToGrid w:val="0"/>
              <w:spacing w:line="240" w:lineRule="auto"/>
              <w:ind w:firstLine="0" w:firstLineChars="0"/>
              <w:jc w:val="center"/>
              <w:rPr>
                <w:rFonts w:eastAsiaTheme="minorEastAsia"/>
                <w:sz w:val="21"/>
                <w:szCs w:val="21"/>
              </w:rPr>
            </w:pPr>
            <w:r>
              <w:rPr>
                <w:rFonts w:eastAsia="宋体"/>
                <w:sz w:val="21"/>
                <w:szCs w:val="21"/>
              </w:rPr>
              <w:t>BSH013</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F031A12">
            <w:pPr>
              <w:adjustRightInd w:val="0"/>
              <w:snapToGrid w:val="0"/>
              <w:spacing w:line="240" w:lineRule="auto"/>
              <w:ind w:firstLine="0" w:firstLineChars="0"/>
              <w:jc w:val="center"/>
              <w:rPr>
                <w:rFonts w:eastAsiaTheme="minorEastAsia"/>
                <w:sz w:val="21"/>
                <w:szCs w:val="21"/>
              </w:rPr>
            </w:pPr>
            <w:r>
              <w:rPr>
                <w:rFonts w:eastAsia="宋体"/>
                <w:sz w:val="21"/>
                <w:szCs w:val="21"/>
              </w:rPr>
              <w:t>生物学</w:t>
            </w:r>
          </w:p>
        </w:tc>
        <w:tc>
          <w:tcPr>
            <w:tcW w:w="1372" w:type="dxa"/>
            <w:vMerge w:val="continue"/>
            <w:tcBorders>
              <w:left w:val="single" w:color="auto" w:sz="4" w:space="0"/>
              <w:right w:val="single" w:color="auto" w:sz="4" w:space="0"/>
            </w:tcBorders>
            <w:shd w:val="clear" w:color="auto" w:fill="FFFFFF"/>
            <w:noWrap/>
            <w:vAlign w:val="top"/>
          </w:tcPr>
          <w:p w14:paraId="4C5F3327">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557C56F2">
            <w:pPr>
              <w:adjustRightInd w:val="0"/>
              <w:snapToGrid w:val="0"/>
              <w:spacing w:line="240" w:lineRule="auto"/>
              <w:ind w:firstLine="0" w:firstLineChars="0"/>
              <w:jc w:val="center"/>
              <w:rPr>
                <w:rFonts w:eastAsiaTheme="minorEastAsia"/>
                <w:sz w:val="21"/>
                <w:szCs w:val="21"/>
              </w:rPr>
            </w:pPr>
          </w:p>
        </w:tc>
      </w:tr>
      <w:tr w14:paraId="1FF3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139D14">
            <w:pPr>
              <w:adjustRightInd w:val="0"/>
              <w:snapToGrid w:val="0"/>
              <w:spacing w:line="240" w:lineRule="auto"/>
              <w:ind w:firstLine="0" w:firstLineChars="0"/>
              <w:jc w:val="both"/>
              <w:rPr>
                <w:rFonts w:eastAsia="宋体"/>
                <w:sz w:val="21"/>
                <w:szCs w:val="21"/>
              </w:rPr>
            </w:pPr>
            <w:r>
              <w:rPr>
                <w:rFonts w:eastAsia="宋体"/>
                <w:sz w:val="21"/>
                <w:szCs w:val="21"/>
              </w:rPr>
              <w:t>食品学院专职博士后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290EAD">
            <w:pPr>
              <w:adjustRightInd w:val="0"/>
              <w:snapToGrid w:val="0"/>
              <w:spacing w:line="240" w:lineRule="auto"/>
              <w:ind w:firstLine="0" w:firstLineChars="0"/>
              <w:jc w:val="center"/>
              <w:rPr>
                <w:rFonts w:eastAsia="宋体"/>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83BD06">
            <w:pPr>
              <w:adjustRightInd w:val="0"/>
              <w:snapToGrid w:val="0"/>
              <w:spacing w:line="240" w:lineRule="auto"/>
              <w:ind w:firstLine="0" w:firstLineChars="0"/>
              <w:jc w:val="center"/>
              <w:rPr>
                <w:rFonts w:eastAsiaTheme="minorEastAsia"/>
                <w:sz w:val="21"/>
                <w:szCs w:val="21"/>
              </w:rPr>
            </w:pPr>
            <w:r>
              <w:rPr>
                <w:rFonts w:eastAsia="宋体"/>
                <w:sz w:val="21"/>
                <w:szCs w:val="21"/>
              </w:rPr>
              <w:t>BSH014</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86EC72">
            <w:pPr>
              <w:adjustRightInd w:val="0"/>
              <w:snapToGrid w:val="0"/>
              <w:spacing w:line="240" w:lineRule="auto"/>
              <w:ind w:firstLine="0" w:firstLineChars="0"/>
              <w:jc w:val="center"/>
              <w:rPr>
                <w:rFonts w:eastAsia="宋体"/>
                <w:sz w:val="21"/>
                <w:szCs w:val="21"/>
              </w:rPr>
            </w:pPr>
            <w:r>
              <w:rPr>
                <w:rFonts w:eastAsia="宋体"/>
                <w:sz w:val="21"/>
                <w:szCs w:val="21"/>
              </w:rPr>
              <w:t>畜牧学、园艺学</w:t>
            </w:r>
          </w:p>
        </w:tc>
        <w:tc>
          <w:tcPr>
            <w:tcW w:w="1372" w:type="dxa"/>
            <w:vMerge w:val="continue"/>
            <w:tcBorders>
              <w:left w:val="single" w:color="auto" w:sz="4" w:space="0"/>
              <w:right w:val="single" w:color="auto" w:sz="4" w:space="0"/>
            </w:tcBorders>
            <w:shd w:val="clear" w:color="auto" w:fill="FFFFFF"/>
            <w:noWrap/>
            <w:vAlign w:val="top"/>
          </w:tcPr>
          <w:p w14:paraId="35C509BC">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38BB4CF5">
            <w:pPr>
              <w:adjustRightInd w:val="0"/>
              <w:snapToGrid w:val="0"/>
              <w:spacing w:line="240" w:lineRule="auto"/>
              <w:ind w:firstLine="0" w:firstLineChars="0"/>
              <w:jc w:val="center"/>
              <w:rPr>
                <w:rFonts w:eastAsiaTheme="minorEastAsia"/>
                <w:sz w:val="21"/>
                <w:szCs w:val="21"/>
              </w:rPr>
            </w:pPr>
          </w:p>
        </w:tc>
      </w:tr>
      <w:tr w14:paraId="21DA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7CD66A">
            <w:pPr>
              <w:adjustRightInd w:val="0"/>
              <w:snapToGrid w:val="0"/>
              <w:spacing w:line="240" w:lineRule="auto"/>
              <w:ind w:firstLine="0" w:firstLineChars="0"/>
              <w:jc w:val="both"/>
              <w:rPr>
                <w:rFonts w:eastAsiaTheme="minorEastAsia"/>
                <w:sz w:val="21"/>
                <w:szCs w:val="21"/>
              </w:rPr>
            </w:pPr>
            <w:r>
              <w:rPr>
                <w:rFonts w:eastAsia="宋体"/>
                <w:sz w:val="21"/>
                <w:szCs w:val="21"/>
              </w:rPr>
              <w:t>水稻研究所专职博士后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C3BDF8">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8AB755">
            <w:pPr>
              <w:adjustRightInd w:val="0"/>
              <w:snapToGrid w:val="0"/>
              <w:spacing w:line="240" w:lineRule="auto"/>
              <w:ind w:firstLine="0" w:firstLineChars="0"/>
              <w:jc w:val="center"/>
              <w:rPr>
                <w:rFonts w:eastAsiaTheme="minorEastAsia"/>
                <w:sz w:val="21"/>
                <w:szCs w:val="21"/>
              </w:rPr>
            </w:pPr>
            <w:r>
              <w:rPr>
                <w:rFonts w:eastAsia="宋体"/>
                <w:sz w:val="21"/>
                <w:szCs w:val="21"/>
              </w:rPr>
              <w:t>BSH015</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F63C38">
            <w:pPr>
              <w:adjustRightInd w:val="0"/>
              <w:snapToGrid w:val="0"/>
              <w:spacing w:line="240" w:lineRule="auto"/>
              <w:ind w:firstLine="0" w:firstLineChars="0"/>
              <w:jc w:val="both"/>
              <w:rPr>
                <w:rFonts w:eastAsiaTheme="minorEastAsia"/>
                <w:sz w:val="21"/>
                <w:szCs w:val="21"/>
              </w:rPr>
            </w:pPr>
            <w:r>
              <w:rPr>
                <w:rFonts w:eastAsia="宋体"/>
                <w:sz w:val="21"/>
                <w:szCs w:val="21"/>
              </w:rPr>
              <w:t>作物学、生物学、植物保护</w:t>
            </w:r>
          </w:p>
        </w:tc>
        <w:tc>
          <w:tcPr>
            <w:tcW w:w="1372" w:type="dxa"/>
            <w:vMerge w:val="continue"/>
            <w:tcBorders>
              <w:left w:val="single" w:color="auto" w:sz="4" w:space="0"/>
              <w:right w:val="single" w:color="auto" w:sz="4" w:space="0"/>
            </w:tcBorders>
            <w:shd w:val="clear" w:color="auto" w:fill="FFFFFF"/>
            <w:noWrap/>
            <w:vAlign w:val="top"/>
          </w:tcPr>
          <w:p w14:paraId="1D1AE0E1">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41F5382B">
            <w:pPr>
              <w:adjustRightInd w:val="0"/>
              <w:snapToGrid w:val="0"/>
              <w:spacing w:line="240" w:lineRule="auto"/>
              <w:ind w:firstLine="0" w:firstLineChars="0"/>
              <w:jc w:val="center"/>
              <w:rPr>
                <w:rFonts w:eastAsiaTheme="minorEastAsia"/>
                <w:sz w:val="21"/>
                <w:szCs w:val="21"/>
              </w:rPr>
            </w:pPr>
          </w:p>
        </w:tc>
      </w:tr>
      <w:tr w14:paraId="5B8E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B62145">
            <w:pPr>
              <w:adjustRightInd w:val="0"/>
              <w:snapToGrid w:val="0"/>
              <w:spacing w:line="240" w:lineRule="auto"/>
              <w:ind w:firstLine="0" w:firstLineChars="0"/>
              <w:jc w:val="both"/>
              <w:rPr>
                <w:rFonts w:eastAsiaTheme="minorEastAsia"/>
                <w:sz w:val="21"/>
                <w:szCs w:val="21"/>
              </w:rPr>
            </w:pPr>
            <w:r>
              <w:rPr>
                <w:rFonts w:eastAsia="宋体"/>
                <w:sz w:val="21"/>
                <w:szCs w:val="21"/>
              </w:rPr>
              <w:t>小麦研究所专职博士后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7F76774">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539ACC">
            <w:pPr>
              <w:adjustRightInd w:val="0"/>
              <w:snapToGrid w:val="0"/>
              <w:spacing w:line="240" w:lineRule="auto"/>
              <w:ind w:firstLine="0" w:firstLineChars="0"/>
              <w:jc w:val="center"/>
              <w:rPr>
                <w:rFonts w:eastAsiaTheme="minorEastAsia"/>
                <w:sz w:val="21"/>
                <w:szCs w:val="21"/>
              </w:rPr>
            </w:pPr>
            <w:r>
              <w:rPr>
                <w:rFonts w:eastAsia="宋体"/>
                <w:sz w:val="21"/>
                <w:szCs w:val="21"/>
              </w:rPr>
              <w:t>BSH016</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B02AB3">
            <w:pPr>
              <w:adjustRightInd w:val="0"/>
              <w:snapToGrid w:val="0"/>
              <w:spacing w:line="240" w:lineRule="auto"/>
              <w:ind w:firstLine="0" w:firstLineChars="0"/>
              <w:jc w:val="both"/>
              <w:rPr>
                <w:rFonts w:eastAsiaTheme="minorEastAsia"/>
                <w:sz w:val="21"/>
                <w:szCs w:val="21"/>
              </w:rPr>
            </w:pPr>
            <w:r>
              <w:rPr>
                <w:rFonts w:eastAsia="宋体"/>
                <w:sz w:val="21"/>
                <w:szCs w:val="21"/>
              </w:rPr>
              <w:t>作物学、生物学、植物保护</w:t>
            </w:r>
          </w:p>
        </w:tc>
        <w:tc>
          <w:tcPr>
            <w:tcW w:w="1372" w:type="dxa"/>
            <w:vMerge w:val="continue"/>
            <w:tcBorders>
              <w:left w:val="single" w:color="auto" w:sz="4" w:space="0"/>
              <w:right w:val="single" w:color="auto" w:sz="4" w:space="0"/>
            </w:tcBorders>
            <w:shd w:val="clear" w:color="auto" w:fill="FFFFFF"/>
            <w:noWrap/>
            <w:vAlign w:val="top"/>
          </w:tcPr>
          <w:p w14:paraId="49B10DC9">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449476DC">
            <w:pPr>
              <w:adjustRightInd w:val="0"/>
              <w:snapToGrid w:val="0"/>
              <w:spacing w:line="240" w:lineRule="auto"/>
              <w:ind w:firstLine="0" w:firstLineChars="0"/>
              <w:jc w:val="center"/>
              <w:rPr>
                <w:rFonts w:eastAsiaTheme="minorEastAsia"/>
                <w:sz w:val="21"/>
                <w:szCs w:val="21"/>
              </w:rPr>
            </w:pPr>
          </w:p>
        </w:tc>
      </w:tr>
      <w:tr w14:paraId="6087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D82C27D">
            <w:pPr>
              <w:adjustRightInd w:val="0"/>
              <w:snapToGrid w:val="0"/>
              <w:spacing w:line="240" w:lineRule="auto"/>
              <w:ind w:firstLine="0" w:firstLineChars="0"/>
              <w:jc w:val="both"/>
              <w:rPr>
                <w:rFonts w:eastAsiaTheme="minorEastAsia"/>
                <w:sz w:val="21"/>
                <w:szCs w:val="21"/>
              </w:rPr>
            </w:pPr>
            <w:r>
              <w:rPr>
                <w:rFonts w:eastAsia="宋体"/>
                <w:sz w:val="21"/>
                <w:szCs w:val="21"/>
              </w:rPr>
              <w:t>玉米研究所专职博士后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BBEB79">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33E97D">
            <w:pPr>
              <w:adjustRightInd w:val="0"/>
              <w:snapToGrid w:val="0"/>
              <w:spacing w:line="240" w:lineRule="auto"/>
              <w:ind w:firstLine="0" w:firstLineChars="0"/>
              <w:jc w:val="center"/>
              <w:rPr>
                <w:rFonts w:eastAsiaTheme="minorEastAsia"/>
                <w:sz w:val="21"/>
                <w:szCs w:val="21"/>
              </w:rPr>
            </w:pPr>
            <w:r>
              <w:rPr>
                <w:rFonts w:eastAsia="宋体"/>
                <w:sz w:val="21"/>
                <w:szCs w:val="21"/>
              </w:rPr>
              <w:t>BSH017</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ED77550">
            <w:pPr>
              <w:adjustRightInd w:val="0"/>
              <w:snapToGrid w:val="0"/>
              <w:spacing w:line="240" w:lineRule="auto"/>
              <w:ind w:firstLine="0" w:firstLineChars="0"/>
              <w:jc w:val="both"/>
              <w:rPr>
                <w:rFonts w:eastAsiaTheme="minorEastAsia"/>
                <w:sz w:val="21"/>
                <w:szCs w:val="21"/>
              </w:rPr>
            </w:pPr>
            <w:r>
              <w:rPr>
                <w:rFonts w:eastAsia="宋体"/>
                <w:sz w:val="21"/>
                <w:szCs w:val="21"/>
              </w:rPr>
              <w:t>作物学、生物学、植物保护</w:t>
            </w:r>
          </w:p>
        </w:tc>
        <w:tc>
          <w:tcPr>
            <w:tcW w:w="1372" w:type="dxa"/>
            <w:vMerge w:val="continue"/>
            <w:tcBorders>
              <w:left w:val="single" w:color="auto" w:sz="4" w:space="0"/>
              <w:right w:val="single" w:color="auto" w:sz="4" w:space="0"/>
            </w:tcBorders>
            <w:shd w:val="clear" w:color="auto" w:fill="FFFFFF"/>
            <w:noWrap/>
            <w:vAlign w:val="top"/>
          </w:tcPr>
          <w:p w14:paraId="668198ED">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1DA848D8">
            <w:pPr>
              <w:adjustRightInd w:val="0"/>
              <w:snapToGrid w:val="0"/>
              <w:spacing w:line="240" w:lineRule="auto"/>
              <w:ind w:firstLine="0" w:firstLineChars="0"/>
              <w:jc w:val="center"/>
              <w:rPr>
                <w:rFonts w:eastAsiaTheme="minorEastAsia"/>
                <w:sz w:val="21"/>
                <w:szCs w:val="21"/>
              </w:rPr>
            </w:pPr>
          </w:p>
        </w:tc>
      </w:tr>
      <w:tr w14:paraId="414C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A9474C">
            <w:pPr>
              <w:adjustRightInd w:val="0"/>
              <w:snapToGrid w:val="0"/>
              <w:spacing w:line="240" w:lineRule="auto"/>
              <w:ind w:firstLine="0" w:firstLineChars="0"/>
              <w:jc w:val="both"/>
              <w:rPr>
                <w:rFonts w:eastAsiaTheme="minorEastAsia"/>
                <w:spacing w:val="-8"/>
                <w:sz w:val="21"/>
                <w:szCs w:val="21"/>
              </w:rPr>
            </w:pPr>
            <w:r>
              <w:rPr>
                <w:rFonts w:eastAsia="宋体"/>
                <w:spacing w:val="-8"/>
                <w:sz w:val="21"/>
                <w:szCs w:val="21"/>
              </w:rPr>
              <w:t>动物营养研究所专职博士后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0F4B7C">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D70171">
            <w:pPr>
              <w:adjustRightInd w:val="0"/>
              <w:snapToGrid w:val="0"/>
              <w:spacing w:line="240" w:lineRule="auto"/>
              <w:ind w:firstLine="0" w:firstLineChars="0"/>
              <w:jc w:val="center"/>
              <w:rPr>
                <w:rFonts w:eastAsiaTheme="minorEastAsia"/>
                <w:sz w:val="21"/>
                <w:szCs w:val="21"/>
              </w:rPr>
            </w:pPr>
            <w:r>
              <w:rPr>
                <w:rFonts w:eastAsia="宋体"/>
                <w:sz w:val="21"/>
                <w:szCs w:val="21"/>
              </w:rPr>
              <w:t>BSH018</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CE36D4">
            <w:pPr>
              <w:adjustRightInd w:val="0"/>
              <w:snapToGrid w:val="0"/>
              <w:spacing w:line="240" w:lineRule="auto"/>
              <w:ind w:firstLine="0" w:firstLineChars="0"/>
              <w:jc w:val="both"/>
              <w:rPr>
                <w:rFonts w:eastAsiaTheme="minorEastAsia"/>
                <w:sz w:val="21"/>
                <w:szCs w:val="21"/>
              </w:rPr>
            </w:pPr>
            <w:r>
              <w:rPr>
                <w:rFonts w:eastAsia="宋体"/>
                <w:sz w:val="21"/>
                <w:szCs w:val="21"/>
              </w:rPr>
              <w:t>畜牧学、生物学</w:t>
            </w:r>
          </w:p>
        </w:tc>
        <w:tc>
          <w:tcPr>
            <w:tcW w:w="1372" w:type="dxa"/>
            <w:vMerge w:val="continue"/>
            <w:tcBorders>
              <w:left w:val="single" w:color="auto" w:sz="4" w:space="0"/>
              <w:right w:val="single" w:color="auto" w:sz="4" w:space="0"/>
            </w:tcBorders>
            <w:shd w:val="clear" w:color="auto" w:fill="FFFFFF"/>
            <w:noWrap/>
            <w:vAlign w:val="top"/>
          </w:tcPr>
          <w:p w14:paraId="411F23D3">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26DA11F4">
            <w:pPr>
              <w:adjustRightInd w:val="0"/>
              <w:snapToGrid w:val="0"/>
              <w:spacing w:line="240" w:lineRule="auto"/>
              <w:ind w:firstLine="0" w:firstLineChars="0"/>
              <w:jc w:val="center"/>
              <w:rPr>
                <w:rFonts w:eastAsiaTheme="minorEastAsia"/>
                <w:sz w:val="21"/>
                <w:szCs w:val="21"/>
              </w:rPr>
            </w:pPr>
          </w:p>
        </w:tc>
      </w:tr>
      <w:tr w14:paraId="5B5E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263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14F289">
            <w:pPr>
              <w:adjustRightInd w:val="0"/>
              <w:snapToGrid w:val="0"/>
              <w:spacing w:line="240" w:lineRule="auto"/>
              <w:ind w:firstLine="0" w:firstLineChars="0"/>
              <w:jc w:val="both"/>
              <w:rPr>
                <w:rFonts w:eastAsiaTheme="minorEastAsia"/>
                <w:spacing w:val="-8"/>
                <w:sz w:val="21"/>
                <w:szCs w:val="21"/>
              </w:rPr>
            </w:pPr>
            <w:r>
              <w:rPr>
                <w:rFonts w:eastAsia="宋体"/>
                <w:spacing w:val="-8"/>
                <w:sz w:val="21"/>
                <w:szCs w:val="21"/>
              </w:rPr>
              <w:t>国家重点实验室专职博士后</w:t>
            </w:r>
          </w:p>
        </w:tc>
        <w:tc>
          <w:tcPr>
            <w:tcW w:w="109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7CF6F4">
            <w:pPr>
              <w:adjustRightInd w:val="0"/>
              <w:snapToGrid w:val="0"/>
              <w:spacing w:line="240" w:lineRule="auto"/>
              <w:ind w:firstLine="0" w:firstLineChars="0"/>
              <w:jc w:val="center"/>
              <w:rPr>
                <w:rFonts w:eastAsiaTheme="minorEastAsia"/>
                <w:sz w:val="21"/>
                <w:szCs w:val="21"/>
              </w:rPr>
            </w:pPr>
            <w:r>
              <w:rPr>
                <w:rFonts w:eastAsia="宋体"/>
                <w:sz w:val="21"/>
                <w:szCs w:val="21"/>
              </w:rPr>
              <w:t>5～10</w:t>
            </w:r>
          </w:p>
        </w:tc>
        <w:tc>
          <w:tcPr>
            <w:tcW w:w="115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F7323E">
            <w:pPr>
              <w:adjustRightInd w:val="0"/>
              <w:snapToGrid w:val="0"/>
              <w:spacing w:line="240" w:lineRule="auto"/>
              <w:ind w:firstLine="0" w:firstLineChars="0"/>
              <w:jc w:val="center"/>
              <w:rPr>
                <w:rFonts w:eastAsiaTheme="minorEastAsia"/>
                <w:sz w:val="21"/>
                <w:szCs w:val="21"/>
              </w:rPr>
            </w:pPr>
            <w:r>
              <w:rPr>
                <w:rFonts w:eastAsia="宋体"/>
                <w:sz w:val="21"/>
                <w:szCs w:val="21"/>
              </w:rPr>
              <w:t>BSH019</w:t>
            </w:r>
          </w:p>
        </w:tc>
        <w:tc>
          <w:tcPr>
            <w:tcW w:w="177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CA2D44">
            <w:pPr>
              <w:adjustRightInd w:val="0"/>
              <w:snapToGrid w:val="0"/>
              <w:spacing w:line="240" w:lineRule="auto"/>
              <w:ind w:firstLine="0" w:firstLineChars="0"/>
              <w:jc w:val="both"/>
              <w:rPr>
                <w:rFonts w:eastAsiaTheme="minorEastAsia"/>
                <w:sz w:val="21"/>
                <w:szCs w:val="21"/>
              </w:rPr>
            </w:pPr>
            <w:r>
              <w:rPr>
                <w:rFonts w:eastAsia="宋体"/>
                <w:sz w:val="21"/>
                <w:szCs w:val="21"/>
              </w:rPr>
              <w:t>作物学、生物学、植物保护</w:t>
            </w:r>
          </w:p>
        </w:tc>
        <w:tc>
          <w:tcPr>
            <w:tcW w:w="1372" w:type="dxa"/>
            <w:vMerge w:val="continue"/>
            <w:tcBorders>
              <w:left w:val="single" w:color="auto" w:sz="4" w:space="0"/>
              <w:right w:val="single" w:color="auto" w:sz="4" w:space="0"/>
            </w:tcBorders>
            <w:shd w:val="clear" w:color="auto" w:fill="FFFFFF"/>
            <w:noWrap/>
            <w:vAlign w:val="top"/>
          </w:tcPr>
          <w:p w14:paraId="7BBE597E">
            <w:pPr>
              <w:adjustRightInd w:val="0"/>
              <w:snapToGrid w:val="0"/>
              <w:spacing w:line="240" w:lineRule="auto"/>
              <w:ind w:firstLine="0" w:firstLineChars="0"/>
              <w:jc w:val="center"/>
              <w:rPr>
                <w:rFonts w:eastAsiaTheme="minorEastAsia"/>
                <w:sz w:val="21"/>
                <w:szCs w:val="21"/>
              </w:rPr>
            </w:pPr>
          </w:p>
        </w:tc>
        <w:tc>
          <w:tcPr>
            <w:tcW w:w="1560" w:type="dxa"/>
            <w:vMerge w:val="continue"/>
            <w:shd w:val="clear" w:color="auto" w:fill="auto"/>
            <w:noWrap/>
            <w:vAlign w:val="top"/>
          </w:tcPr>
          <w:p w14:paraId="5E301543">
            <w:pPr>
              <w:adjustRightInd w:val="0"/>
              <w:snapToGrid w:val="0"/>
              <w:spacing w:line="240" w:lineRule="auto"/>
              <w:ind w:firstLine="0" w:firstLineChars="0"/>
              <w:jc w:val="center"/>
              <w:rPr>
                <w:rFonts w:eastAsiaTheme="minorEastAsia"/>
                <w:sz w:val="21"/>
                <w:szCs w:val="21"/>
              </w:rPr>
            </w:pPr>
          </w:p>
        </w:tc>
      </w:tr>
    </w:tbl>
    <w:p w14:paraId="05CB1B77">
      <w:pPr>
        <w:pStyle w:val="5"/>
        <w:adjustRightInd w:val="0"/>
        <w:snapToGrid w:val="0"/>
        <w:spacing w:line="240" w:lineRule="auto"/>
        <w:ind w:firstLine="0"/>
      </w:pPr>
      <w:r>
        <w:br w:type="page"/>
      </w:r>
    </w:p>
    <w:p w14:paraId="7C17CA5E">
      <w:pPr>
        <w:pStyle w:val="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eastAsia="方正小标宋简体"/>
          <w:sz w:val="44"/>
          <w:szCs w:val="44"/>
        </w:rPr>
      </w:pPr>
    </w:p>
    <w:p w14:paraId="7193CCD3">
      <w:pPr>
        <w:adjustRightInd w:val="0"/>
        <w:snapToGrid w:val="0"/>
        <w:spacing w:line="240" w:lineRule="auto"/>
        <w:ind w:firstLine="0"/>
        <w:jc w:val="center"/>
        <w:outlineLvl w:val="0"/>
        <w:rPr>
          <w:rFonts w:eastAsia="方正小标宋简体"/>
          <w:sz w:val="44"/>
          <w:szCs w:val="44"/>
        </w:rPr>
      </w:pPr>
      <w:bookmarkStart w:id="47" w:name="_Toc15633"/>
      <w:bookmarkStart w:id="48" w:name="_Toc5794"/>
      <w:bookmarkStart w:id="49" w:name="_Toc22246"/>
      <w:bookmarkStart w:id="50" w:name="_Toc11815"/>
      <w:bookmarkStart w:id="51" w:name="_Toc28918"/>
      <w:r>
        <w:rPr>
          <w:rFonts w:eastAsia="方正小标宋简体"/>
          <w:sz w:val="44"/>
          <w:szCs w:val="44"/>
          <w:highlight w:val="none"/>
        </w:rPr>
        <w:t>四川师范大学</w:t>
      </w:r>
      <w:bookmarkEnd w:id="47"/>
      <w:bookmarkEnd w:id="48"/>
      <w:bookmarkEnd w:id="49"/>
      <w:bookmarkEnd w:id="50"/>
      <w:bookmarkEnd w:id="51"/>
    </w:p>
    <w:p w14:paraId="48B16664">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768"/>
        <w:gridCol w:w="618"/>
        <w:gridCol w:w="577"/>
        <w:gridCol w:w="1148"/>
        <w:gridCol w:w="1401"/>
        <w:gridCol w:w="680"/>
        <w:gridCol w:w="873"/>
        <w:gridCol w:w="484"/>
        <w:gridCol w:w="1751"/>
      </w:tblGrid>
      <w:tr w14:paraId="012A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1" w:type="dxa"/>
            <w:shd w:val="clear" w:color="auto" w:fill="E7E6E6" w:themeFill="background2"/>
            <w:noWrap/>
            <w:vAlign w:val="center"/>
          </w:tcPr>
          <w:p w14:paraId="68665B5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6" w:type="dxa"/>
            <w:gridSpan w:val="2"/>
            <w:shd w:val="clear" w:color="auto" w:fill="auto"/>
            <w:noWrap/>
            <w:vAlign w:val="center"/>
          </w:tcPr>
          <w:p w14:paraId="36105AD2">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725" w:type="dxa"/>
            <w:gridSpan w:val="2"/>
            <w:shd w:val="clear" w:color="auto" w:fill="E7E6E6" w:themeFill="background2"/>
            <w:noWrap/>
            <w:vAlign w:val="center"/>
          </w:tcPr>
          <w:p w14:paraId="2468149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01" w:type="dxa"/>
            <w:shd w:val="clear" w:color="auto" w:fill="auto"/>
            <w:noWrap/>
            <w:vAlign w:val="center"/>
          </w:tcPr>
          <w:p w14:paraId="19A9D06E">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3" w:type="dxa"/>
            <w:gridSpan w:val="2"/>
            <w:shd w:val="clear" w:color="auto" w:fill="E7E6E6" w:themeFill="background2"/>
            <w:noWrap/>
            <w:vAlign w:val="center"/>
          </w:tcPr>
          <w:p w14:paraId="6D0A08D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35" w:type="dxa"/>
            <w:gridSpan w:val="2"/>
            <w:shd w:val="clear" w:color="auto" w:fill="auto"/>
            <w:noWrap/>
            <w:vAlign w:val="center"/>
          </w:tcPr>
          <w:p w14:paraId="50051190">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8B0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1" w:type="dxa"/>
            <w:shd w:val="clear" w:color="auto" w:fill="E7E6E6" w:themeFill="background2"/>
            <w:noWrap/>
            <w:vAlign w:val="center"/>
          </w:tcPr>
          <w:p w14:paraId="43D30002">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00" w:type="dxa"/>
            <w:gridSpan w:val="9"/>
            <w:shd w:val="clear" w:color="auto" w:fill="auto"/>
            <w:noWrap/>
            <w:vAlign w:val="center"/>
          </w:tcPr>
          <w:p w14:paraId="6B5DEEF1">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四川省成都市锦江区静安路5号</w:t>
            </w:r>
          </w:p>
        </w:tc>
      </w:tr>
      <w:tr w14:paraId="6B1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4" w:hRule="atLeast"/>
          <w:jc w:val="center"/>
        </w:trPr>
        <w:tc>
          <w:tcPr>
            <w:tcW w:w="1451" w:type="dxa"/>
            <w:shd w:val="clear" w:color="auto" w:fill="E7E6E6" w:themeFill="background2"/>
            <w:noWrap/>
            <w:vAlign w:val="center"/>
          </w:tcPr>
          <w:p w14:paraId="4BC487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00" w:type="dxa"/>
            <w:gridSpan w:val="9"/>
            <w:shd w:val="clear" w:color="auto" w:fill="auto"/>
            <w:vAlign w:val="center"/>
          </w:tcPr>
          <w:p w14:paraId="541D45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四川师范大学是四川省属重点大学，学校现有中国语言文学、教育学、心理学和数学4个博士后科研流动站。</w:t>
            </w:r>
          </w:p>
          <w:p w14:paraId="253802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语言文学博士后流动站依托我校文学院，下设中国古代文学、中国古典文献学等6个方向，现有博士生导师三十余人，学院现承担国家社科基金重大招标项目、各类国家社科基金项目20余项。教育学博士后流动站依托我校教育科学学院，下设教育学原理、高等教育等5个方向，现有博士生导师二十余人，学院现承担国家级、省部级项目60余项、国际合作项目10余项。心理学博士后流动站依托我校脑与心理科学研究院和心理学院，下设发展与教育心理学、情绪与健康心理学等6个方向，现有博士生导师十余人，流动站目前主持国家级重大项目2项、国家级一般项目20余项。数学博士后流动站依托我校数学科学学院，下设基础数学、应用数学等5个方向，现有博士生导师十余人，学院目前承担国家级项目30项、省部级项目23项。</w:t>
            </w:r>
          </w:p>
          <w:p w14:paraId="3E904D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学校教学科研设施完善，为博士后研究人员提供良好的科研环境，欢迎有志之士进站开展研究工作。</w:t>
            </w:r>
          </w:p>
        </w:tc>
      </w:tr>
      <w:tr w14:paraId="3872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1451" w:type="dxa"/>
            <w:shd w:val="clear" w:color="auto" w:fill="E7E6E6" w:themeFill="background2"/>
            <w:noWrap/>
            <w:vAlign w:val="center"/>
          </w:tcPr>
          <w:p w14:paraId="385F35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00" w:type="dxa"/>
            <w:gridSpan w:val="9"/>
            <w:shd w:val="clear" w:color="auto" w:fill="auto"/>
            <w:vAlign w:val="center"/>
          </w:tcPr>
          <w:p w14:paraId="45A626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1.薪酬待遇。</w:t>
            </w:r>
          </w:p>
          <w:p w14:paraId="02621A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专职博士后实行年薪制管理。人文社科类年薪为17万元/年，理工科类年薪为20万元/年，资助期为2年。</w:t>
            </w:r>
          </w:p>
          <w:p w14:paraId="3006CB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2.考核奖励。专职博士后2年期满出站且考核优秀的，一次性奖励2万元。</w:t>
            </w:r>
          </w:p>
          <w:p w14:paraId="1E1618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 xml:space="preserve">3.在站两年期内，博士后可根据四川省、成都市相关文件规定申请博士后生活资助。 </w:t>
            </w:r>
          </w:p>
        </w:tc>
      </w:tr>
      <w:tr w14:paraId="500E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19" w:type="dxa"/>
            <w:gridSpan w:val="2"/>
            <w:shd w:val="clear" w:color="auto" w:fill="E7E6E6" w:themeFill="background2"/>
            <w:noWrap/>
            <w:vAlign w:val="center"/>
          </w:tcPr>
          <w:p w14:paraId="0431ABF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95" w:type="dxa"/>
            <w:gridSpan w:val="2"/>
            <w:shd w:val="clear" w:color="auto" w:fill="E7E6E6" w:themeFill="background2"/>
            <w:vAlign w:val="center"/>
          </w:tcPr>
          <w:p w14:paraId="5D2D6CF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48" w:type="dxa"/>
            <w:shd w:val="clear" w:color="auto" w:fill="E7E6E6" w:themeFill="background2"/>
            <w:vAlign w:val="center"/>
          </w:tcPr>
          <w:p w14:paraId="7834A75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81" w:type="dxa"/>
            <w:gridSpan w:val="2"/>
            <w:shd w:val="clear" w:color="auto" w:fill="E7E6E6" w:themeFill="background2"/>
            <w:vAlign w:val="center"/>
          </w:tcPr>
          <w:p w14:paraId="5E0D748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38500FA">
            <w:pPr>
              <w:adjustRightInd w:val="0"/>
              <w:snapToGrid w:val="0"/>
              <w:spacing w:line="240" w:lineRule="auto"/>
              <w:ind w:firstLine="0"/>
              <w:jc w:val="center"/>
              <w:rPr>
                <w:rFonts w:hint="eastAsia" w:eastAsiaTheme="minorEastAsia"/>
                <w:b/>
                <w:bCs/>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1357" w:type="dxa"/>
            <w:gridSpan w:val="2"/>
            <w:shd w:val="clear" w:color="auto" w:fill="E7E6E6" w:themeFill="background2"/>
            <w:vAlign w:val="center"/>
          </w:tcPr>
          <w:p w14:paraId="6E4C4424">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546358D0">
            <w:pPr>
              <w:adjustRightInd w:val="0"/>
              <w:snapToGrid w:val="0"/>
              <w:spacing w:line="240" w:lineRule="auto"/>
              <w:ind w:firstLine="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51" w:type="dxa"/>
            <w:shd w:val="clear" w:color="auto" w:fill="E7E6E6" w:themeFill="background2"/>
            <w:vAlign w:val="center"/>
          </w:tcPr>
          <w:p w14:paraId="7CD041D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188C8CE">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1980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B59447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369F681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4A5B731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360D37B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语言学及应用语言学（应用语言学）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3CF1AE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tcBorders>
              <w:top w:val="single" w:color="auto" w:sz="4" w:space="0"/>
              <w:left w:val="nil"/>
              <w:bottom w:val="single" w:color="auto" w:sz="4" w:space="0"/>
              <w:right w:val="single" w:color="auto" w:sz="4" w:space="0"/>
            </w:tcBorders>
            <w:shd w:val="clear" w:color="auto" w:fill="FFFFFF"/>
            <w:vAlign w:val="center"/>
          </w:tcPr>
          <w:p w14:paraId="34723EE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r w14:paraId="3F0E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487FF04E">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项目名称</w:t>
            </w:r>
          </w:p>
        </w:tc>
        <w:tc>
          <w:tcPr>
            <w:tcW w:w="119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14E76984">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48" w:type="dxa"/>
            <w:tcBorders>
              <w:top w:val="single" w:color="auto" w:sz="4" w:space="0"/>
              <w:left w:val="nil"/>
              <w:bottom w:val="single" w:color="auto" w:sz="4" w:space="0"/>
              <w:right w:val="single" w:color="auto" w:sz="4" w:space="0"/>
            </w:tcBorders>
            <w:shd w:val="clear" w:color="auto" w:fill="E7E6E6" w:themeFill="background2"/>
            <w:vAlign w:val="center"/>
          </w:tcPr>
          <w:p w14:paraId="16096D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208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517EB17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931811F">
            <w:pPr>
              <w:adjustRightInd w:val="0"/>
              <w:snapToGrid w:val="0"/>
              <w:spacing w:line="240" w:lineRule="auto"/>
              <w:ind w:firstLine="0" w:firstLineChars="0"/>
              <w:jc w:val="center"/>
              <w:rPr>
                <w:rFonts w:hint="eastAsia" w:eastAsiaTheme="minorEastAsia"/>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1357"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45E1396A">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0F6BB3C4">
            <w:pPr>
              <w:adjustRightInd w:val="0"/>
              <w:snapToGrid w:val="0"/>
              <w:spacing w:line="240" w:lineRule="auto"/>
              <w:ind w:firstLine="0" w:firstLineChars="0"/>
              <w:jc w:val="center"/>
              <w:rPr>
                <w:rFonts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51" w:type="dxa"/>
            <w:tcBorders>
              <w:top w:val="single" w:color="auto" w:sz="4" w:space="0"/>
              <w:left w:val="nil"/>
              <w:bottom w:val="single" w:color="auto" w:sz="4" w:space="0"/>
              <w:right w:val="single" w:color="auto" w:sz="4" w:space="0"/>
            </w:tcBorders>
            <w:shd w:val="clear" w:color="auto" w:fill="E7E6E6" w:themeFill="background2"/>
            <w:vAlign w:val="center"/>
          </w:tcPr>
          <w:p w14:paraId="48A1A5F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BAE86C0">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等要求</w:t>
            </w:r>
          </w:p>
        </w:tc>
      </w:tr>
      <w:tr w14:paraId="17D2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5DF0B6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3A23960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12E2CEC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1FA2101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语言学及应用语言学（理论语言学）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2C43E31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restart"/>
            <w:tcBorders>
              <w:top w:val="single" w:color="auto" w:sz="4" w:space="0"/>
              <w:left w:val="nil"/>
              <w:right w:val="single" w:color="auto" w:sz="4" w:space="0"/>
            </w:tcBorders>
            <w:shd w:val="clear" w:color="auto" w:fill="FFFFFF"/>
            <w:vAlign w:val="center"/>
          </w:tcPr>
          <w:p w14:paraId="5FF18F1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无</w:t>
            </w:r>
          </w:p>
        </w:tc>
      </w:tr>
      <w:tr w14:paraId="209B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D13503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7A61328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789DC86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3FD0CF3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比较文学与世界文学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4F2B03C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104108A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11BC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90C732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35A313C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6197F3A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BSH004</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3AD2D6C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中国现当代文学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7A7FAAC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716A5F5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D7C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F530B0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38A85B4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1C29C8C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BSH005</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2DEB128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文艺学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476A7AB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5B1CD8B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1CB2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84D6FA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51C4E93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755F70C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BSH006</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6C2BC7E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创意写作</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656191E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385268A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28F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57B2A1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16A13C4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7DFA878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BSH007</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62C070B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中国民间文学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0F7933C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5910037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E99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469C5C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390FD29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030A32C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BSH008</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755048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美学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7D814A6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57C1019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31C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15C971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教育学博士后流动站</w:t>
            </w:r>
          </w:p>
        </w:tc>
        <w:tc>
          <w:tcPr>
            <w:tcW w:w="1195" w:type="dxa"/>
            <w:gridSpan w:val="2"/>
            <w:tcBorders>
              <w:top w:val="single" w:color="auto" w:sz="4" w:space="0"/>
              <w:left w:val="nil"/>
              <w:bottom w:val="single" w:color="auto" w:sz="4" w:space="0"/>
              <w:right w:val="single" w:color="auto" w:sz="4" w:space="0"/>
            </w:tcBorders>
            <w:shd w:val="clear" w:color="auto" w:fill="FFFFFF"/>
            <w:vAlign w:val="center"/>
          </w:tcPr>
          <w:p w14:paraId="67E1073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148" w:type="dxa"/>
            <w:tcBorders>
              <w:top w:val="single" w:color="auto" w:sz="4" w:space="0"/>
              <w:left w:val="nil"/>
              <w:bottom w:val="single" w:color="auto" w:sz="4" w:space="0"/>
              <w:right w:val="single" w:color="auto" w:sz="4" w:space="0"/>
            </w:tcBorders>
            <w:shd w:val="clear" w:color="auto" w:fill="FFFFFF"/>
            <w:vAlign w:val="center"/>
          </w:tcPr>
          <w:p w14:paraId="4139D9A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BSH009</w:t>
            </w:r>
          </w:p>
        </w:tc>
        <w:tc>
          <w:tcPr>
            <w:tcW w:w="2081" w:type="dxa"/>
            <w:gridSpan w:val="2"/>
            <w:tcBorders>
              <w:top w:val="single" w:color="auto" w:sz="4" w:space="0"/>
              <w:left w:val="nil"/>
              <w:bottom w:val="single" w:color="auto" w:sz="4" w:space="0"/>
              <w:right w:val="single" w:color="auto" w:sz="4" w:space="0"/>
            </w:tcBorders>
            <w:shd w:val="clear" w:color="auto" w:fill="FFFFFF"/>
            <w:vAlign w:val="center"/>
          </w:tcPr>
          <w:p w14:paraId="786D1A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教育学</w:t>
            </w:r>
          </w:p>
        </w:tc>
        <w:tc>
          <w:tcPr>
            <w:tcW w:w="1357" w:type="dxa"/>
            <w:gridSpan w:val="2"/>
            <w:tcBorders>
              <w:top w:val="single" w:color="auto" w:sz="4" w:space="0"/>
              <w:left w:val="nil"/>
              <w:bottom w:val="single" w:color="auto" w:sz="4" w:space="0"/>
              <w:right w:val="single" w:color="auto" w:sz="4" w:space="0"/>
            </w:tcBorders>
            <w:shd w:val="clear" w:color="auto" w:fill="FFFFFF"/>
            <w:vAlign w:val="center"/>
          </w:tcPr>
          <w:p w14:paraId="6F308E6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17万元/年</w:t>
            </w:r>
          </w:p>
        </w:tc>
        <w:tc>
          <w:tcPr>
            <w:tcW w:w="1751" w:type="dxa"/>
            <w:vMerge w:val="continue"/>
            <w:tcBorders>
              <w:left w:val="nil"/>
              <w:right w:val="single" w:color="auto" w:sz="4" w:space="0"/>
            </w:tcBorders>
            <w:shd w:val="clear" w:color="auto" w:fill="FFFFFF"/>
            <w:vAlign w:val="center"/>
          </w:tcPr>
          <w:p w14:paraId="150754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3DE4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9C72B5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心理学博士后流动站（发展与教育心理学方向）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319D64F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6D43E69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BSH010</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6F8DC0CF">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心理学、教育学、生物医学工程</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125E940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continue"/>
            <w:tcBorders>
              <w:left w:val="nil"/>
              <w:bottom w:val="single" w:color="auto" w:sz="4" w:space="0"/>
              <w:right w:val="single" w:color="auto" w:sz="4" w:space="0"/>
            </w:tcBorders>
            <w:shd w:val="clear" w:color="auto" w:fill="auto"/>
            <w:vAlign w:val="center"/>
          </w:tcPr>
          <w:p w14:paraId="30E3E6B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418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779AB54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119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10D4E0C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14:paraId="7FE5162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人数</w:t>
            </w:r>
          </w:p>
        </w:tc>
        <w:tc>
          <w:tcPr>
            <w:tcW w:w="1148" w:type="dxa"/>
            <w:tcBorders>
              <w:top w:val="single" w:color="auto" w:sz="4" w:space="0"/>
              <w:left w:val="nil"/>
              <w:bottom w:val="single" w:color="auto" w:sz="4" w:space="0"/>
              <w:right w:val="single" w:color="auto" w:sz="4" w:space="0"/>
            </w:tcBorders>
            <w:shd w:val="clear" w:color="auto" w:fill="E7E6E6" w:themeFill="background2"/>
            <w:vAlign w:val="center"/>
          </w:tcPr>
          <w:p w14:paraId="60FEEC02">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8F0F31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eastAsiaTheme="minorEastAsia"/>
                <w:b/>
                <w:bCs/>
                <w:sz w:val="21"/>
                <w:szCs w:val="21"/>
              </w:rPr>
              <w:t>编号</w:t>
            </w:r>
          </w:p>
        </w:tc>
        <w:tc>
          <w:tcPr>
            <w:tcW w:w="208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23B4209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72B7B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57"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1954C8A3">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14:paraId="47982D0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51" w:type="dxa"/>
            <w:tcBorders>
              <w:top w:val="single" w:color="auto" w:sz="4" w:space="0"/>
              <w:left w:val="nil"/>
              <w:bottom w:val="single" w:color="auto" w:sz="4" w:space="0"/>
              <w:right w:val="single" w:color="auto" w:sz="4" w:space="0"/>
            </w:tcBorders>
            <w:shd w:val="clear" w:color="auto" w:fill="E7E6E6" w:themeFill="background2"/>
            <w:vAlign w:val="center"/>
          </w:tcPr>
          <w:p w14:paraId="3F8B12C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2E9364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0D9D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E9BD0E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心理学博士后流动站（情绪与健康心理学方向）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43D9E92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39993B4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BSH011</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52D3A53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心理学、教育学、生物医学工程</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0AB804C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restart"/>
            <w:tcBorders>
              <w:top w:val="single" w:color="auto" w:sz="4" w:space="0"/>
              <w:left w:val="nil"/>
              <w:right w:val="single" w:color="auto" w:sz="4" w:space="0"/>
            </w:tcBorders>
            <w:shd w:val="clear" w:color="auto" w:fill="auto"/>
            <w:vAlign w:val="center"/>
          </w:tcPr>
          <w:p w14:paraId="3FF93C9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无</w:t>
            </w:r>
          </w:p>
        </w:tc>
      </w:tr>
      <w:tr w14:paraId="2479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1E5C6C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心理学博士后流动站（学习与记忆心理学方向）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18B5771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664C0FC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BSH012</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66C6202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心理学、教育学、生物医学工程</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62663FD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continue"/>
            <w:tcBorders>
              <w:left w:val="nil"/>
              <w:right w:val="single" w:color="auto" w:sz="4" w:space="0"/>
            </w:tcBorders>
            <w:shd w:val="clear" w:color="auto" w:fill="auto"/>
            <w:vAlign w:val="center"/>
          </w:tcPr>
          <w:p w14:paraId="12559AE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76D6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8021C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心理学博士后流动站（教育神经科学方向）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2D56902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6786FC1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BSH013</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25EB462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心理学、教育学、生物医学工程</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6BE306F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continue"/>
            <w:tcBorders>
              <w:left w:val="nil"/>
              <w:right w:val="single" w:color="auto" w:sz="4" w:space="0"/>
            </w:tcBorders>
            <w:shd w:val="clear" w:color="auto" w:fill="auto"/>
            <w:vAlign w:val="center"/>
          </w:tcPr>
          <w:p w14:paraId="2B50777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6EFE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66FE1A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心理学博士后流动站（纪检监察心理与行为方向）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2B87604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6CC14EF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BSH014</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722C2FD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心理学、教育学、生物医学工程</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6DCD887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continue"/>
            <w:tcBorders>
              <w:left w:val="nil"/>
              <w:right w:val="single" w:color="auto" w:sz="4" w:space="0"/>
            </w:tcBorders>
            <w:shd w:val="clear" w:color="auto" w:fill="auto"/>
            <w:vAlign w:val="center"/>
          </w:tcPr>
          <w:p w14:paraId="6A77E7C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54D4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D860D1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心理学博士后流动站（社会与管理心理学方向）</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5938860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48" w:type="dxa"/>
            <w:tcBorders>
              <w:top w:val="single" w:color="auto" w:sz="4" w:space="0"/>
              <w:left w:val="nil"/>
              <w:bottom w:val="single" w:color="auto" w:sz="4" w:space="0"/>
              <w:right w:val="single" w:color="auto" w:sz="4" w:space="0"/>
            </w:tcBorders>
            <w:shd w:val="clear" w:color="auto" w:fill="auto"/>
            <w:vAlign w:val="center"/>
          </w:tcPr>
          <w:p w14:paraId="4B7FE04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BSH015</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4F9959A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心理学、管理学、教育学</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3526216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17-20万元/年</w:t>
            </w:r>
          </w:p>
        </w:tc>
        <w:tc>
          <w:tcPr>
            <w:tcW w:w="1751" w:type="dxa"/>
            <w:vMerge w:val="continue"/>
            <w:tcBorders>
              <w:left w:val="nil"/>
              <w:right w:val="single" w:color="auto" w:sz="4" w:space="0"/>
            </w:tcBorders>
            <w:shd w:val="clear" w:color="auto" w:fill="auto"/>
            <w:vAlign w:val="center"/>
          </w:tcPr>
          <w:p w14:paraId="091D7C0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4BFD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5E1D98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数学博士后流动站</w:t>
            </w:r>
          </w:p>
        </w:tc>
        <w:tc>
          <w:tcPr>
            <w:tcW w:w="1195" w:type="dxa"/>
            <w:gridSpan w:val="2"/>
            <w:tcBorders>
              <w:top w:val="single" w:color="auto" w:sz="4" w:space="0"/>
              <w:left w:val="nil"/>
              <w:bottom w:val="single" w:color="auto" w:sz="4" w:space="0"/>
              <w:right w:val="single" w:color="auto" w:sz="4" w:space="0"/>
            </w:tcBorders>
            <w:shd w:val="clear" w:color="auto" w:fill="auto"/>
            <w:vAlign w:val="center"/>
          </w:tcPr>
          <w:p w14:paraId="4C86F46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5</w:t>
            </w:r>
          </w:p>
        </w:tc>
        <w:tc>
          <w:tcPr>
            <w:tcW w:w="1148" w:type="dxa"/>
            <w:tcBorders>
              <w:top w:val="single" w:color="auto" w:sz="4" w:space="0"/>
              <w:left w:val="nil"/>
              <w:bottom w:val="single" w:color="auto" w:sz="4" w:space="0"/>
              <w:right w:val="single" w:color="auto" w:sz="4" w:space="0"/>
            </w:tcBorders>
            <w:shd w:val="clear" w:color="auto" w:fill="auto"/>
            <w:vAlign w:val="center"/>
          </w:tcPr>
          <w:p w14:paraId="0AA8165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BSH016</w:t>
            </w:r>
          </w:p>
        </w:tc>
        <w:tc>
          <w:tcPr>
            <w:tcW w:w="2081" w:type="dxa"/>
            <w:gridSpan w:val="2"/>
            <w:tcBorders>
              <w:top w:val="single" w:color="auto" w:sz="4" w:space="0"/>
              <w:left w:val="nil"/>
              <w:bottom w:val="single" w:color="auto" w:sz="4" w:space="0"/>
              <w:right w:val="single" w:color="auto" w:sz="4" w:space="0"/>
            </w:tcBorders>
            <w:shd w:val="clear" w:color="auto" w:fill="auto"/>
            <w:vAlign w:val="center"/>
          </w:tcPr>
          <w:p w14:paraId="5034C26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数学</w:t>
            </w:r>
          </w:p>
        </w:tc>
        <w:tc>
          <w:tcPr>
            <w:tcW w:w="1357" w:type="dxa"/>
            <w:gridSpan w:val="2"/>
            <w:tcBorders>
              <w:top w:val="single" w:color="auto" w:sz="4" w:space="0"/>
              <w:left w:val="nil"/>
              <w:bottom w:val="single" w:color="auto" w:sz="4" w:space="0"/>
              <w:right w:val="single" w:color="auto" w:sz="4" w:space="0"/>
            </w:tcBorders>
            <w:shd w:val="clear" w:color="auto" w:fill="auto"/>
            <w:vAlign w:val="center"/>
          </w:tcPr>
          <w:p w14:paraId="35B65D8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20万元/年</w:t>
            </w:r>
          </w:p>
        </w:tc>
        <w:tc>
          <w:tcPr>
            <w:tcW w:w="1751" w:type="dxa"/>
            <w:vMerge w:val="continue"/>
            <w:tcBorders>
              <w:left w:val="nil"/>
              <w:bottom w:val="single" w:color="auto" w:sz="4" w:space="0"/>
              <w:right w:val="single" w:color="auto" w:sz="4" w:space="0"/>
            </w:tcBorders>
            <w:shd w:val="clear" w:color="auto" w:fill="auto"/>
            <w:vAlign w:val="center"/>
          </w:tcPr>
          <w:p w14:paraId="16D9CB2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bl>
    <w:p w14:paraId="25738959">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70218884">
      <w:pPr>
        <w:adjustRightInd w:val="0"/>
        <w:snapToGrid w:val="0"/>
        <w:spacing w:line="240" w:lineRule="auto"/>
        <w:ind w:firstLine="0"/>
        <w:jc w:val="center"/>
        <w:rPr>
          <w:rFonts w:eastAsia="方正小标宋简体"/>
          <w:sz w:val="44"/>
          <w:szCs w:val="44"/>
        </w:rPr>
      </w:pPr>
    </w:p>
    <w:p w14:paraId="139F1B7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52" w:name="_Toc5418"/>
      <w:bookmarkStart w:id="53" w:name="_Toc7942"/>
      <w:bookmarkStart w:id="54" w:name="_Toc30719"/>
      <w:bookmarkStart w:id="55" w:name="_Toc31500"/>
      <w:bookmarkStart w:id="56" w:name="_Toc13353"/>
      <w:r>
        <w:rPr>
          <w:rFonts w:eastAsia="方正小标宋简体"/>
          <w:sz w:val="44"/>
          <w:szCs w:val="44"/>
          <w:highlight w:val="none"/>
        </w:rPr>
        <w:t>西南财经大学</w:t>
      </w:r>
      <w:bookmarkEnd w:id="52"/>
      <w:bookmarkEnd w:id="53"/>
      <w:bookmarkEnd w:id="54"/>
      <w:bookmarkEnd w:id="55"/>
      <w:bookmarkEnd w:id="56"/>
    </w:p>
    <w:p w14:paraId="447C170E">
      <w:pPr>
        <w:pStyle w:val="5"/>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18"/>
        <w:gridCol w:w="1639"/>
        <w:gridCol w:w="1763"/>
        <w:gridCol w:w="1509"/>
        <w:gridCol w:w="2463"/>
      </w:tblGrid>
      <w:tr w14:paraId="6785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4B1048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18" w:type="dxa"/>
            <w:shd w:val="clear" w:color="000000" w:fill="FFFFFF"/>
            <w:noWrap/>
            <w:vAlign w:val="center"/>
          </w:tcPr>
          <w:p w14:paraId="23C62695">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39" w:type="dxa"/>
            <w:shd w:val="clear" w:color="auto" w:fill="E7E6E6" w:themeFill="background2"/>
            <w:noWrap/>
            <w:vAlign w:val="center"/>
          </w:tcPr>
          <w:p w14:paraId="5F4ADEDB">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63" w:type="dxa"/>
            <w:shd w:val="clear" w:color="000000" w:fill="FFFFFF"/>
            <w:noWrap/>
            <w:vAlign w:val="center"/>
          </w:tcPr>
          <w:p w14:paraId="55EC277A">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09" w:type="dxa"/>
            <w:shd w:val="clear" w:color="auto" w:fill="E7E6E6" w:themeFill="background2"/>
            <w:noWrap/>
            <w:vAlign w:val="center"/>
          </w:tcPr>
          <w:p w14:paraId="70942EE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463" w:type="dxa"/>
            <w:shd w:val="clear" w:color="000000" w:fill="FFFFFF"/>
            <w:noWrap/>
            <w:vAlign w:val="center"/>
          </w:tcPr>
          <w:p w14:paraId="5BE69D5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10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55D7303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792" w:type="dxa"/>
            <w:gridSpan w:val="5"/>
            <w:shd w:val="clear" w:color="000000" w:fill="FFFFFF"/>
            <w:noWrap/>
            <w:vAlign w:val="center"/>
          </w:tcPr>
          <w:p w14:paraId="1C25DA45">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成都市温江区柳台大道555号</w:t>
            </w:r>
          </w:p>
        </w:tc>
      </w:tr>
      <w:tr w14:paraId="174F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1" w:hRule="atLeast"/>
          <w:jc w:val="center"/>
        </w:trPr>
        <w:tc>
          <w:tcPr>
            <w:tcW w:w="1129" w:type="dxa"/>
            <w:shd w:val="clear" w:color="auto" w:fill="E7E6E6" w:themeFill="background2"/>
            <w:noWrap/>
            <w:vAlign w:val="center"/>
          </w:tcPr>
          <w:p w14:paraId="7D364E87">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792" w:type="dxa"/>
            <w:gridSpan w:val="5"/>
            <w:shd w:val="clear" w:color="000000" w:fill="FFFFFF"/>
            <w:vAlign w:val="center"/>
          </w:tcPr>
          <w:p w14:paraId="52215858">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西南财经大学是教育部直属的国家“211工程”和“985工程”优势学科创新平台建设的全国重点大学，也是国家首批“双一流”建设高校。学校坐落于中国历史文化名城——“天府之国”成都，有光华、柳林两校区，辖地2300余亩。学校现有理论经济学、应用经济学、工商管理学、管理科学与工程、统计学、社会学、法学、马克思主义理论、数学9个博士学位授权一级学科，4个硕士学位授权一级学科，18个专业学位类别；拥有金融学、政治经济学、会计学和统计学4个国家重点学科，5个省级重点一级学科；设有理论经济学、应用经济学、工商管理、管理科学与工程、统计学、法学6个博士后科研流动站；应用经济学进入世界一流学科建设行列，“经济学与商学”“社会科学总论”“工程学”“计算机科学”“环境/生态学”和“数学”6个学科进入ESI全球前1%学科；在教育部第五轮学科评估中，学校取得了重要进步、重大突破；工商管理通过EQUIS和中国高质量MBA双认证；会计学成为中国大陆首家通过AACSB商科和会计双认证再认证学科。</w:t>
            </w:r>
          </w:p>
        </w:tc>
      </w:tr>
      <w:tr w14:paraId="4521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3" w:hRule="atLeast"/>
          <w:jc w:val="center"/>
        </w:trPr>
        <w:tc>
          <w:tcPr>
            <w:tcW w:w="1129" w:type="dxa"/>
            <w:shd w:val="clear" w:color="auto" w:fill="E7E6E6" w:themeFill="background2"/>
            <w:noWrap/>
            <w:vAlign w:val="center"/>
          </w:tcPr>
          <w:p w14:paraId="3F3E08A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792" w:type="dxa"/>
            <w:gridSpan w:val="5"/>
            <w:shd w:val="clear" w:color="000000" w:fill="FFFFFF"/>
            <w:vAlign w:val="center"/>
          </w:tcPr>
          <w:p w14:paraId="6D4A4805">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招收类型分为光华博士后、专职科研博士后。其中光华博士后和专职科研博士后两年在站期间，享受有竞争力的年薪（包含国家、省市区补贴），同时鼓励合作导师根据在研项目情况补充资助，参保成都市社会保险，享受公积金，提供博士后公寓或无房补贴，可根据学校办公用房配置情况申请工作室或工位，在站期间表现优秀者，可通过人才引进考核优先留校，期满出站前，可按有关规定申请参加学校专业技术职务评审。此外，入选博士后专项引进项目的，在校发年薪基础上，国家资助三年每年30万元。获得中国博士后科学基金面上资助、特别资助等项目，国家资助经费5-18万元。招收方式采取流动站常年招收（专职科研博士后）和项目招收（光华博士后每年4月和7月发布公告）相结合的方式，具体以学校公布的招聘简章为准。</w:t>
            </w:r>
          </w:p>
        </w:tc>
      </w:tr>
    </w:tbl>
    <w:p w14:paraId="180264E4">
      <w:pPr>
        <w:adjustRightInd w:val="0"/>
        <w:snapToGrid w:val="0"/>
        <w:spacing w:line="14"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128"/>
        <w:gridCol w:w="1176"/>
        <w:gridCol w:w="1670"/>
        <w:gridCol w:w="1280"/>
        <w:gridCol w:w="2351"/>
      </w:tblGrid>
      <w:tr w14:paraId="6EBA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146" w:type="dxa"/>
            <w:shd w:val="clear" w:color="auto" w:fill="E7E6E6" w:themeFill="background2"/>
            <w:noWrap/>
            <w:vAlign w:val="center"/>
          </w:tcPr>
          <w:p w14:paraId="7B1358C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shd w:val="clear" w:color="auto" w:fill="E7E6E6" w:themeFill="background2"/>
            <w:vAlign w:val="center"/>
          </w:tcPr>
          <w:p w14:paraId="239D2444">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76" w:type="dxa"/>
            <w:shd w:val="clear" w:color="auto" w:fill="E7E6E6" w:themeFill="background2"/>
            <w:vAlign w:val="center"/>
          </w:tcPr>
          <w:p w14:paraId="0C752B76">
            <w:pPr>
              <w:adjustRightInd w:val="0"/>
              <w:snapToGrid w:val="0"/>
              <w:spacing w:line="240" w:lineRule="auto"/>
              <w:ind w:left="-96" w:leftChars="-30" w:right="-96" w:rightChars="-30" w:firstLine="0"/>
              <w:jc w:val="center"/>
              <w:rPr>
                <w:rFonts w:eastAsiaTheme="minorEastAsia"/>
                <w:b/>
                <w:bCs/>
                <w:sz w:val="21"/>
                <w:szCs w:val="21"/>
              </w:rPr>
            </w:pPr>
            <w:r>
              <w:rPr>
                <w:rFonts w:eastAsiaTheme="minorEastAsia"/>
                <w:b/>
                <w:bCs/>
                <w:sz w:val="21"/>
                <w:szCs w:val="21"/>
              </w:rPr>
              <w:t>岗位编号</w:t>
            </w:r>
          </w:p>
        </w:tc>
        <w:tc>
          <w:tcPr>
            <w:tcW w:w="1670" w:type="dxa"/>
            <w:shd w:val="clear" w:color="auto" w:fill="E7E6E6" w:themeFill="background2"/>
            <w:vAlign w:val="center"/>
          </w:tcPr>
          <w:p w14:paraId="770320C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DD20E8D">
            <w:pPr>
              <w:adjustRightInd w:val="0"/>
              <w:snapToGrid w:val="0"/>
              <w:spacing w:line="240" w:lineRule="auto"/>
              <w:ind w:firstLine="0"/>
              <w:jc w:val="center"/>
              <w:rPr>
                <w:rFonts w:hint="eastAsia" w:eastAsiaTheme="minorEastAsia"/>
                <w:b/>
                <w:bCs/>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1280" w:type="dxa"/>
            <w:shd w:val="clear" w:color="auto" w:fill="E7E6E6" w:themeFill="background2"/>
            <w:vAlign w:val="center"/>
          </w:tcPr>
          <w:p w14:paraId="68860D00">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51" w:type="dxa"/>
            <w:shd w:val="clear" w:color="auto" w:fill="E7E6E6" w:themeFill="background2"/>
            <w:vAlign w:val="center"/>
          </w:tcPr>
          <w:p w14:paraId="0C1A90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A1D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146" w:type="dxa"/>
            <w:tcBorders>
              <w:top w:val="single" w:color="auto" w:sz="4" w:space="0"/>
              <w:left w:val="single" w:color="auto" w:sz="4" w:space="0"/>
              <w:bottom w:val="single" w:color="auto" w:sz="4" w:space="0"/>
              <w:right w:val="single" w:color="auto" w:sz="4" w:space="0"/>
            </w:tcBorders>
            <w:noWrap/>
            <w:vAlign w:val="center"/>
          </w:tcPr>
          <w:p w14:paraId="758D654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光华博士后</w:t>
            </w:r>
          </w:p>
        </w:tc>
        <w:tc>
          <w:tcPr>
            <w:tcW w:w="1128" w:type="dxa"/>
            <w:tcBorders>
              <w:top w:val="single" w:color="auto" w:sz="4" w:space="0"/>
              <w:left w:val="nil"/>
              <w:bottom w:val="single" w:color="auto" w:sz="4" w:space="0"/>
              <w:right w:val="single" w:color="auto" w:sz="4" w:space="0"/>
            </w:tcBorders>
            <w:vAlign w:val="center"/>
          </w:tcPr>
          <w:p w14:paraId="30DC04E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w:t>
            </w:r>
          </w:p>
        </w:tc>
        <w:tc>
          <w:tcPr>
            <w:tcW w:w="1176" w:type="dxa"/>
            <w:tcBorders>
              <w:top w:val="single" w:color="auto" w:sz="4" w:space="0"/>
              <w:left w:val="nil"/>
              <w:bottom w:val="single" w:color="auto" w:sz="4" w:space="0"/>
              <w:right w:val="single" w:color="auto" w:sz="4" w:space="0"/>
            </w:tcBorders>
            <w:vAlign w:val="center"/>
          </w:tcPr>
          <w:p w14:paraId="7B2B234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70" w:type="dxa"/>
            <w:tcBorders>
              <w:top w:val="single" w:color="auto" w:sz="4" w:space="0"/>
              <w:left w:val="nil"/>
              <w:bottom w:val="single" w:color="auto" w:sz="4" w:space="0"/>
              <w:right w:val="single" w:color="auto" w:sz="4" w:space="0"/>
            </w:tcBorders>
            <w:vAlign w:val="center"/>
          </w:tcPr>
          <w:p w14:paraId="48A7424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理论经济学、应用经济学、工商管理学、管理科学与工程、统计学、法学</w:t>
            </w:r>
          </w:p>
        </w:tc>
        <w:tc>
          <w:tcPr>
            <w:tcW w:w="1280" w:type="dxa"/>
            <w:tcBorders>
              <w:top w:val="single" w:color="auto" w:sz="4" w:space="0"/>
              <w:left w:val="nil"/>
              <w:bottom w:val="single" w:color="auto" w:sz="4" w:space="0"/>
              <w:right w:val="single" w:color="auto" w:sz="4" w:space="0"/>
            </w:tcBorders>
            <w:vAlign w:val="center"/>
          </w:tcPr>
          <w:p w14:paraId="5459647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年薪最高可达38万（含省市区补贴）</w:t>
            </w:r>
          </w:p>
        </w:tc>
        <w:tc>
          <w:tcPr>
            <w:tcW w:w="2351" w:type="dxa"/>
            <w:tcBorders>
              <w:top w:val="single" w:color="auto" w:sz="4" w:space="0"/>
              <w:left w:val="nil"/>
              <w:bottom w:val="single" w:color="auto" w:sz="4" w:space="0"/>
              <w:right w:val="single" w:color="auto" w:sz="4" w:space="0"/>
            </w:tcBorders>
            <w:vAlign w:val="center"/>
          </w:tcPr>
          <w:p w14:paraId="52160D5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年龄在 35周岁（含）以下。获得博士学位原则上不超过3年或者将在6个月内将取得博士学位。 “新财经”专业优先。</w:t>
            </w:r>
          </w:p>
        </w:tc>
      </w:tr>
      <w:tr w14:paraId="56D5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146" w:type="dxa"/>
            <w:tcBorders>
              <w:top w:val="single" w:color="auto" w:sz="4" w:space="0"/>
              <w:left w:val="single" w:color="auto" w:sz="4" w:space="0"/>
              <w:bottom w:val="single" w:color="auto" w:sz="4" w:space="0"/>
              <w:right w:val="single" w:color="auto" w:sz="4" w:space="0"/>
            </w:tcBorders>
            <w:noWrap/>
            <w:vAlign w:val="center"/>
          </w:tcPr>
          <w:p w14:paraId="0FE9710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专职科研博士后</w:t>
            </w:r>
          </w:p>
        </w:tc>
        <w:tc>
          <w:tcPr>
            <w:tcW w:w="1128" w:type="dxa"/>
            <w:tcBorders>
              <w:top w:val="single" w:color="auto" w:sz="4" w:space="0"/>
              <w:left w:val="nil"/>
              <w:bottom w:val="single" w:color="auto" w:sz="4" w:space="0"/>
              <w:right w:val="single" w:color="auto" w:sz="4" w:space="0"/>
            </w:tcBorders>
            <w:vAlign w:val="center"/>
          </w:tcPr>
          <w:p w14:paraId="0DB18F0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1176" w:type="dxa"/>
            <w:tcBorders>
              <w:top w:val="single" w:color="auto" w:sz="4" w:space="0"/>
              <w:left w:val="nil"/>
              <w:bottom w:val="single" w:color="auto" w:sz="4" w:space="0"/>
              <w:right w:val="single" w:color="auto" w:sz="4" w:space="0"/>
            </w:tcBorders>
            <w:vAlign w:val="center"/>
          </w:tcPr>
          <w:p w14:paraId="51FEAAC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70" w:type="dxa"/>
            <w:tcBorders>
              <w:top w:val="single" w:color="auto" w:sz="4" w:space="0"/>
              <w:left w:val="nil"/>
              <w:bottom w:val="single" w:color="auto" w:sz="4" w:space="0"/>
              <w:right w:val="single" w:color="auto" w:sz="4" w:space="0"/>
            </w:tcBorders>
            <w:vAlign w:val="center"/>
          </w:tcPr>
          <w:p w14:paraId="1BCC6F6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理论经济学、应用经济学、工商管理学、管理科学与工程、统计学、法学</w:t>
            </w:r>
          </w:p>
        </w:tc>
        <w:tc>
          <w:tcPr>
            <w:tcW w:w="1280" w:type="dxa"/>
            <w:tcBorders>
              <w:top w:val="single" w:color="auto" w:sz="4" w:space="0"/>
              <w:left w:val="nil"/>
              <w:bottom w:val="single" w:color="auto" w:sz="4" w:space="0"/>
              <w:right w:val="single" w:color="auto" w:sz="4" w:space="0"/>
            </w:tcBorders>
            <w:vAlign w:val="center"/>
          </w:tcPr>
          <w:p w14:paraId="1C0D321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年薪18-23万（含省市区补贴）</w:t>
            </w:r>
          </w:p>
        </w:tc>
        <w:tc>
          <w:tcPr>
            <w:tcW w:w="2351" w:type="dxa"/>
            <w:tcBorders>
              <w:top w:val="single" w:color="auto" w:sz="4" w:space="0"/>
              <w:left w:val="nil"/>
              <w:bottom w:val="single" w:color="auto" w:sz="4" w:space="0"/>
              <w:right w:val="single" w:color="auto" w:sz="4" w:space="0"/>
            </w:tcBorders>
            <w:vAlign w:val="center"/>
          </w:tcPr>
          <w:p w14:paraId="2509B3A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bidi="ar"/>
              </w:rPr>
              <w:t>年龄在 35周岁（含）以下。获得博士学位原则上不超过3年或者将在6个月内将取得博士学位。</w:t>
            </w:r>
          </w:p>
        </w:tc>
      </w:tr>
    </w:tbl>
    <w:p w14:paraId="28811015">
      <w:pPr>
        <w:pStyle w:val="3"/>
        <w:adjustRightInd w:val="0"/>
        <w:snapToGrid w:val="0"/>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2D056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方正小标宋简体"/>
          <w:sz w:val="44"/>
          <w:szCs w:val="44"/>
        </w:rPr>
      </w:pPr>
    </w:p>
    <w:p w14:paraId="7E4D7A1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57" w:name="_Toc31983"/>
      <w:bookmarkStart w:id="58" w:name="_Toc22935"/>
      <w:bookmarkStart w:id="59" w:name="_Toc30963"/>
      <w:bookmarkStart w:id="60" w:name="_Toc2783"/>
      <w:r>
        <w:rPr>
          <w:rFonts w:eastAsia="方正小标宋简体"/>
          <w:sz w:val="44"/>
          <w:szCs w:val="44"/>
          <w:highlight w:val="none"/>
        </w:rPr>
        <w:t>西南交通大学</w:t>
      </w:r>
      <w:bookmarkEnd w:id="46"/>
      <w:bookmarkEnd w:id="57"/>
      <w:bookmarkEnd w:id="58"/>
      <w:bookmarkEnd w:id="59"/>
      <w:bookmarkEnd w:id="60"/>
    </w:p>
    <w:tbl>
      <w:tblPr>
        <w:tblStyle w:val="25"/>
        <w:tblpPr w:leftFromText="180" w:rightFromText="180" w:vertAnchor="text" w:horzAnchor="page" w:tblpXSpec="center" w:tblpY="227"/>
        <w:tblOverlap w:val="never"/>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520"/>
        <w:gridCol w:w="2038"/>
        <w:gridCol w:w="1482"/>
        <w:gridCol w:w="1629"/>
        <w:gridCol w:w="1754"/>
      </w:tblGrid>
      <w:tr w14:paraId="242C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pct"/>
            <w:shd w:val="clear" w:color="auto" w:fill="E7E6E6" w:themeFill="background2"/>
            <w:noWrap/>
            <w:vAlign w:val="center"/>
          </w:tcPr>
          <w:p w14:paraId="051D8A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779" w:type="pct"/>
            <w:shd w:val="clear" w:color="auto" w:fill="auto"/>
            <w:noWrap/>
            <w:vAlign w:val="center"/>
          </w:tcPr>
          <w:p w14:paraId="2A6D41FF">
            <w:pPr>
              <w:adjustRightInd w:val="0"/>
              <w:snapToGrid w:val="0"/>
              <w:spacing w:line="240" w:lineRule="auto"/>
              <w:ind w:firstLine="0"/>
              <w:jc w:val="center"/>
              <w:rPr>
                <w:rFonts w:eastAsiaTheme="minorEastAsia"/>
                <w:sz w:val="21"/>
                <w:szCs w:val="21"/>
              </w:rPr>
            </w:pPr>
            <w:r>
              <w:rPr>
                <w:rFonts w:eastAsiaTheme="minorEastAsia"/>
                <w:sz w:val="21"/>
                <w:szCs w:val="21"/>
              </w:rPr>
              <w:t>高等学校</w:t>
            </w:r>
          </w:p>
        </w:tc>
        <w:tc>
          <w:tcPr>
            <w:tcW w:w="1045" w:type="pct"/>
            <w:shd w:val="clear" w:color="auto" w:fill="E7E6E6" w:themeFill="background2"/>
            <w:noWrap/>
            <w:vAlign w:val="center"/>
          </w:tcPr>
          <w:p w14:paraId="02AA05B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760" w:type="pct"/>
            <w:shd w:val="clear" w:color="auto" w:fill="auto"/>
            <w:noWrap/>
            <w:vAlign w:val="center"/>
          </w:tcPr>
          <w:p w14:paraId="5FD9D676">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835" w:type="pct"/>
            <w:shd w:val="clear" w:color="auto" w:fill="E7E6E6" w:themeFill="background2"/>
            <w:noWrap/>
            <w:vAlign w:val="center"/>
          </w:tcPr>
          <w:p w14:paraId="2616E4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896" w:type="pct"/>
            <w:shd w:val="clear" w:color="auto" w:fill="auto"/>
            <w:noWrap/>
            <w:vAlign w:val="center"/>
          </w:tcPr>
          <w:p w14:paraId="39A358F7">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2239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1" w:type="pct"/>
            <w:shd w:val="clear" w:color="auto" w:fill="E7E6E6" w:themeFill="background2"/>
            <w:noWrap/>
            <w:vAlign w:val="center"/>
          </w:tcPr>
          <w:p w14:paraId="271AC3B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4318" w:type="pct"/>
            <w:gridSpan w:val="5"/>
            <w:shd w:val="clear" w:color="auto" w:fill="auto"/>
            <w:noWrap/>
            <w:vAlign w:val="center"/>
          </w:tcPr>
          <w:p w14:paraId="3CF55C7D">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成都市郫都区犀安路999号</w:t>
            </w:r>
          </w:p>
        </w:tc>
      </w:tr>
      <w:tr w14:paraId="68CF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4" w:hRule="atLeast"/>
          <w:jc w:val="center"/>
        </w:trPr>
        <w:tc>
          <w:tcPr>
            <w:tcW w:w="681" w:type="pct"/>
            <w:shd w:val="clear" w:color="auto" w:fill="E7E6E6" w:themeFill="background2"/>
            <w:noWrap/>
            <w:vAlign w:val="center"/>
          </w:tcPr>
          <w:p w14:paraId="1CFA5DD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4318" w:type="pct"/>
            <w:gridSpan w:val="5"/>
            <w:shd w:val="clear" w:color="auto" w:fill="auto"/>
            <w:noWrap/>
            <w:vAlign w:val="center"/>
          </w:tcPr>
          <w:p w14:paraId="39485B06">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西南交通大学是教育部直属全国重点大学，国家首批“双一流”、“211工程”、“985工程优势学科创新平台”、“2011协同创新计划”重点建设高校，设有研究生院。坐落于中国历史文化名城、国家中心城市、“成渝地区双城经济圈”核心城市——成都。</w:t>
            </w:r>
          </w:p>
          <w:p w14:paraId="2AD3EE10">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学校1896年创建于山海关，始称“北洋铁路官学堂”（Imperial Chinese Railway College)，是中国第一所工程教育高等学府，中国土木工程、矿冶工程、交通工程高等教育的发祥地，也是1921年中国首次建立“交通大学”的最早源头之一。</w:t>
            </w:r>
          </w:p>
        </w:tc>
      </w:tr>
      <w:tr w14:paraId="00CC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4" w:hRule="atLeast"/>
          <w:jc w:val="center"/>
        </w:trPr>
        <w:tc>
          <w:tcPr>
            <w:tcW w:w="681" w:type="pct"/>
            <w:shd w:val="clear" w:color="auto" w:fill="E7E6E6" w:themeFill="background2"/>
            <w:noWrap/>
            <w:vAlign w:val="center"/>
          </w:tcPr>
          <w:p w14:paraId="2BA5CA1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40AE97D8">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4318" w:type="pct"/>
            <w:gridSpan w:val="5"/>
            <w:shd w:val="clear" w:color="auto" w:fill="auto"/>
            <w:noWrap/>
            <w:vAlign w:val="center"/>
          </w:tcPr>
          <w:p w14:paraId="39EC4552">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一、经费支持</w:t>
            </w:r>
          </w:p>
          <w:p w14:paraId="5F8040F0">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1. 28-30万元/年（税前）</w:t>
            </w:r>
            <w:r>
              <w:rPr>
                <w:rFonts w:hint="eastAsia" w:eastAsiaTheme="minorEastAsia"/>
                <w:sz w:val="21"/>
                <w:szCs w:val="21"/>
                <w:lang w:eastAsia="zh-CN"/>
              </w:rPr>
              <w:t>。</w:t>
            </w:r>
          </w:p>
          <w:p w14:paraId="2BCC3267">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2. 科研启动费，理工生医科10万元，人文社科5万元</w:t>
            </w:r>
            <w:r>
              <w:rPr>
                <w:rFonts w:hint="eastAsia" w:eastAsiaTheme="minorEastAsia"/>
                <w:sz w:val="21"/>
                <w:szCs w:val="21"/>
                <w:lang w:eastAsia="zh-CN"/>
              </w:rPr>
              <w:t>。</w:t>
            </w:r>
          </w:p>
          <w:p w14:paraId="58090F8C">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3. 政府提供生活资助1000元/月，学校配套提供租房补贴1000元/月</w:t>
            </w:r>
            <w:r>
              <w:rPr>
                <w:rFonts w:hint="eastAsia" w:eastAsiaTheme="minorEastAsia"/>
                <w:sz w:val="21"/>
                <w:szCs w:val="21"/>
                <w:lang w:eastAsia="zh-CN"/>
              </w:rPr>
              <w:t>。</w:t>
            </w:r>
          </w:p>
          <w:p w14:paraId="6F312DC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二、发展支持</w:t>
            </w:r>
          </w:p>
          <w:p w14:paraId="6822ED2E">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1.学校单列专职博士后职称评审指标</w:t>
            </w:r>
            <w:r>
              <w:rPr>
                <w:rFonts w:hint="eastAsia" w:eastAsiaTheme="minorEastAsia"/>
                <w:sz w:val="21"/>
                <w:szCs w:val="21"/>
                <w:lang w:eastAsia="zh-CN"/>
              </w:rPr>
              <w:t>。</w:t>
            </w:r>
          </w:p>
          <w:p w14:paraId="2C3A4CA2">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2.达到学校副高级专业技术职务晋升条件的，可直接申请参加专业技术职务任职资格评审</w:t>
            </w:r>
            <w:r>
              <w:rPr>
                <w:rFonts w:hint="eastAsia" w:eastAsiaTheme="minorEastAsia"/>
                <w:sz w:val="21"/>
                <w:szCs w:val="21"/>
                <w:lang w:eastAsia="zh-CN"/>
              </w:rPr>
              <w:t>。</w:t>
            </w:r>
          </w:p>
          <w:p w14:paraId="2F46F2B8">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3.参加学校副高级专业技术职务资格评审时，近五年以西南交通大学为第一署名单位的项目和论文等成果可作为职称评审业绩使用。</w:t>
            </w:r>
          </w:p>
          <w:p w14:paraId="44C14A98">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4.可申请聘至助理教授或特聘副研究员等预聘制教师岗位</w:t>
            </w:r>
            <w:r>
              <w:rPr>
                <w:rFonts w:hint="eastAsia" w:eastAsiaTheme="minorEastAsia"/>
                <w:sz w:val="21"/>
                <w:szCs w:val="21"/>
                <w:lang w:eastAsia="zh-CN"/>
              </w:rPr>
              <w:t>。</w:t>
            </w:r>
          </w:p>
        </w:tc>
      </w:tr>
    </w:tbl>
    <w:p w14:paraId="2D95048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p w14:paraId="0ACD2696">
      <w:pPr>
        <w:pStyle w:val="3"/>
        <w:adjustRightInd w:val="0"/>
        <w:snapToGrid w:val="0"/>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63ADD331">
      <w:pPr>
        <w:pStyle w:val="5"/>
        <w:adjustRightInd w:val="0"/>
        <w:snapToGrid w:val="0"/>
        <w:spacing w:line="240" w:lineRule="auto"/>
        <w:ind w:firstLine="0"/>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728"/>
        <w:gridCol w:w="1022"/>
        <w:gridCol w:w="1736"/>
        <w:gridCol w:w="1374"/>
        <w:gridCol w:w="2277"/>
      </w:tblGrid>
      <w:tr w14:paraId="0E3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1340" w:type="pct"/>
            <w:shd w:val="clear" w:color="auto" w:fill="E7E6E6" w:themeFill="background2"/>
            <w:noWrap/>
            <w:vAlign w:val="center"/>
          </w:tcPr>
          <w:p w14:paraId="0D3F356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373" w:type="pct"/>
            <w:shd w:val="clear" w:color="auto" w:fill="E7E6E6" w:themeFill="background2"/>
            <w:noWrap/>
            <w:vAlign w:val="center"/>
          </w:tcPr>
          <w:p w14:paraId="460FA76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14:paraId="1044C1A2">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524" w:type="pct"/>
            <w:shd w:val="clear" w:color="auto" w:fill="E7E6E6" w:themeFill="background2"/>
            <w:noWrap/>
            <w:vAlign w:val="center"/>
          </w:tcPr>
          <w:p w14:paraId="00E722B6">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5998261A">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890" w:type="pct"/>
            <w:shd w:val="clear" w:color="auto" w:fill="E7E6E6" w:themeFill="background2"/>
            <w:noWrap/>
            <w:vAlign w:val="center"/>
          </w:tcPr>
          <w:p w14:paraId="516ACCF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A97AFB6">
            <w:pPr>
              <w:adjustRightInd w:val="0"/>
              <w:snapToGrid w:val="0"/>
              <w:spacing w:line="240" w:lineRule="auto"/>
              <w:ind w:firstLine="0"/>
              <w:jc w:val="center"/>
              <w:rPr>
                <w:rFonts w:hint="eastAsia" w:eastAsiaTheme="minorEastAsia"/>
                <w:b/>
                <w:bCs/>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704" w:type="pct"/>
            <w:shd w:val="clear" w:color="auto" w:fill="E7E6E6" w:themeFill="background2"/>
            <w:noWrap/>
            <w:vAlign w:val="center"/>
          </w:tcPr>
          <w:p w14:paraId="46476E73">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167" w:type="pct"/>
            <w:shd w:val="clear" w:color="auto" w:fill="E7E6E6" w:themeFill="background2"/>
            <w:noWrap/>
            <w:vAlign w:val="center"/>
          </w:tcPr>
          <w:p w14:paraId="70314E6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D0F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28EA1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竹基薄膜研究</w:t>
            </w:r>
          </w:p>
        </w:tc>
        <w:tc>
          <w:tcPr>
            <w:tcW w:w="373" w:type="pct"/>
            <w:shd w:val="clear" w:color="000000" w:fill="FFFFFF"/>
            <w:noWrap/>
            <w:vAlign w:val="center"/>
          </w:tcPr>
          <w:p w14:paraId="401D7A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524" w:type="pct"/>
            <w:shd w:val="clear" w:color="000000" w:fill="FFFFFF"/>
            <w:noWrap/>
            <w:vAlign w:val="center"/>
          </w:tcPr>
          <w:p w14:paraId="5EB9FB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kern w:val="2"/>
                <w:sz w:val="21"/>
                <w:szCs w:val="21"/>
                <w:lang w:val="en-US" w:eastAsia="zh-CN" w:bidi="ar-SA"/>
              </w:rPr>
              <w:t>BSH001</w:t>
            </w:r>
          </w:p>
        </w:tc>
        <w:tc>
          <w:tcPr>
            <w:tcW w:w="890" w:type="pct"/>
            <w:shd w:val="clear" w:color="000000" w:fill="FFFFFF"/>
            <w:noWrap/>
            <w:vAlign w:val="center"/>
          </w:tcPr>
          <w:p w14:paraId="653831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7E2AB9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40C5D89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海外或国内985或211高校</w:t>
            </w:r>
          </w:p>
        </w:tc>
      </w:tr>
      <w:tr w14:paraId="1C61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65487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导热高分子复合材料</w:t>
            </w:r>
          </w:p>
        </w:tc>
        <w:tc>
          <w:tcPr>
            <w:tcW w:w="373" w:type="pct"/>
            <w:shd w:val="clear" w:color="000000" w:fill="FFFFFF"/>
            <w:noWrap/>
            <w:vAlign w:val="center"/>
          </w:tcPr>
          <w:p w14:paraId="58F8C4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524" w:type="pct"/>
            <w:shd w:val="clear" w:color="000000" w:fill="FFFFFF"/>
            <w:noWrap/>
            <w:vAlign w:val="center"/>
          </w:tcPr>
          <w:p w14:paraId="549E27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2</w:t>
            </w:r>
          </w:p>
        </w:tc>
        <w:tc>
          <w:tcPr>
            <w:tcW w:w="890" w:type="pct"/>
            <w:shd w:val="clear" w:color="000000" w:fill="FFFFFF"/>
            <w:noWrap/>
            <w:vAlign w:val="center"/>
          </w:tcPr>
          <w:p w14:paraId="7BDD3E9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3CB717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65EA48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国内985或211高校</w:t>
            </w:r>
          </w:p>
        </w:tc>
      </w:tr>
      <w:tr w14:paraId="058B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17069D3">
            <w:pPr>
              <w:keepNext w:val="0"/>
              <w:keepLines w:val="0"/>
              <w:pageBreakBefore w:val="0"/>
              <w:widowControl w:val="0"/>
              <w:kinsoku/>
              <w:wordWrap/>
              <w:overflowPunct/>
              <w:topLinePunct w:val="0"/>
              <w:autoSpaceDE/>
              <w:autoSpaceDN/>
              <w:bidi w:val="0"/>
              <w:adjustRightInd w:val="0"/>
              <w:snapToGrid w:val="0"/>
              <w:spacing w:line="240" w:lineRule="auto"/>
              <w:ind w:left="0"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活性天然产物的</w:t>
            </w:r>
          </w:p>
          <w:p w14:paraId="4C04B61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化学合成</w:t>
            </w:r>
          </w:p>
        </w:tc>
        <w:tc>
          <w:tcPr>
            <w:tcW w:w="373" w:type="pct"/>
            <w:shd w:val="clear" w:color="000000" w:fill="FFFFFF"/>
            <w:noWrap/>
            <w:vAlign w:val="center"/>
          </w:tcPr>
          <w:p w14:paraId="38FD84F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6C0558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3</w:t>
            </w:r>
          </w:p>
        </w:tc>
        <w:tc>
          <w:tcPr>
            <w:tcW w:w="890" w:type="pct"/>
            <w:shd w:val="clear" w:color="000000" w:fill="FFFFFF"/>
            <w:noWrap/>
            <w:vAlign w:val="center"/>
          </w:tcPr>
          <w:p w14:paraId="20E48BD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w:t>
            </w:r>
          </w:p>
        </w:tc>
        <w:tc>
          <w:tcPr>
            <w:tcW w:w="704" w:type="pct"/>
            <w:shd w:val="clear" w:color="000000" w:fill="FFFFFF"/>
            <w:noWrap/>
            <w:vAlign w:val="center"/>
          </w:tcPr>
          <w:p w14:paraId="14B8428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7720A2BF">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有机化学方向</w:t>
            </w:r>
          </w:p>
          <w:p w14:paraId="5299A5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博士毕业</w:t>
            </w:r>
          </w:p>
        </w:tc>
      </w:tr>
      <w:tr w14:paraId="6880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86374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高铁动车电缆终端全寿命周期破坏机理及检测</w:t>
            </w:r>
          </w:p>
        </w:tc>
        <w:tc>
          <w:tcPr>
            <w:tcW w:w="373" w:type="pct"/>
            <w:shd w:val="clear" w:color="000000" w:fill="FFFFFF"/>
            <w:noWrap/>
            <w:vAlign w:val="center"/>
          </w:tcPr>
          <w:p w14:paraId="2A3F01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1F195C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4</w:t>
            </w:r>
          </w:p>
        </w:tc>
        <w:tc>
          <w:tcPr>
            <w:tcW w:w="890" w:type="pct"/>
            <w:shd w:val="clear" w:color="000000" w:fill="FFFFFF"/>
            <w:noWrap/>
            <w:vAlign w:val="center"/>
          </w:tcPr>
          <w:p w14:paraId="5145E1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704" w:type="pct"/>
            <w:shd w:val="clear" w:color="000000" w:fill="FFFFFF"/>
            <w:noWrap/>
            <w:vAlign w:val="center"/>
          </w:tcPr>
          <w:p w14:paraId="3396EE0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220C80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199E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375404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特高压换流站直流套管局部放电与状态评估</w:t>
            </w:r>
          </w:p>
        </w:tc>
        <w:tc>
          <w:tcPr>
            <w:tcW w:w="373" w:type="pct"/>
            <w:shd w:val="clear" w:color="000000" w:fill="FFFFFF"/>
            <w:noWrap/>
            <w:vAlign w:val="center"/>
          </w:tcPr>
          <w:p w14:paraId="12D220E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1E7B48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5</w:t>
            </w:r>
          </w:p>
        </w:tc>
        <w:tc>
          <w:tcPr>
            <w:tcW w:w="890" w:type="pct"/>
            <w:shd w:val="clear" w:color="000000" w:fill="FFFFFF"/>
            <w:noWrap/>
            <w:vAlign w:val="center"/>
          </w:tcPr>
          <w:p w14:paraId="40A864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704" w:type="pct"/>
            <w:shd w:val="clear" w:color="000000" w:fill="FFFFFF"/>
            <w:noWrap/>
            <w:vAlign w:val="center"/>
          </w:tcPr>
          <w:p w14:paraId="3D6687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50F4E1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2F8B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1D72E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复杂环境绝缘子高光谱检测及状态评估</w:t>
            </w:r>
          </w:p>
        </w:tc>
        <w:tc>
          <w:tcPr>
            <w:tcW w:w="373" w:type="pct"/>
            <w:shd w:val="clear" w:color="000000" w:fill="FFFFFF"/>
            <w:noWrap/>
            <w:vAlign w:val="center"/>
          </w:tcPr>
          <w:p w14:paraId="1673BA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490D14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6</w:t>
            </w:r>
          </w:p>
        </w:tc>
        <w:tc>
          <w:tcPr>
            <w:tcW w:w="890" w:type="pct"/>
            <w:shd w:val="clear" w:color="000000" w:fill="FFFFFF"/>
            <w:noWrap/>
            <w:vAlign w:val="center"/>
          </w:tcPr>
          <w:p w14:paraId="19C111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704" w:type="pct"/>
            <w:shd w:val="clear" w:color="000000" w:fill="FFFFFF"/>
            <w:noWrap/>
            <w:vAlign w:val="center"/>
          </w:tcPr>
          <w:p w14:paraId="0347E6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66680E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6886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DA49A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电羧化固定CO2的铜基催化剂设计及反应机制的研究</w:t>
            </w:r>
          </w:p>
        </w:tc>
        <w:tc>
          <w:tcPr>
            <w:tcW w:w="373" w:type="pct"/>
            <w:shd w:val="clear" w:color="000000" w:fill="FFFFFF"/>
            <w:noWrap/>
            <w:vAlign w:val="center"/>
          </w:tcPr>
          <w:p w14:paraId="0F3CA4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524" w:type="pct"/>
            <w:shd w:val="clear" w:color="000000" w:fill="FFFFFF"/>
            <w:noWrap/>
            <w:vAlign w:val="center"/>
          </w:tcPr>
          <w:p w14:paraId="644F00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7</w:t>
            </w:r>
          </w:p>
        </w:tc>
        <w:tc>
          <w:tcPr>
            <w:tcW w:w="890" w:type="pct"/>
            <w:shd w:val="clear" w:color="000000" w:fill="FFFFFF"/>
            <w:noWrap/>
            <w:vAlign w:val="center"/>
          </w:tcPr>
          <w:p w14:paraId="050785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w:t>
            </w:r>
          </w:p>
        </w:tc>
        <w:tc>
          <w:tcPr>
            <w:tcW w:w="704" w:type="pct"/>
            <w:shd w:val="clear" w:color="000000" w:fill="FFFFFF"/>
            <w:noWrap/>
            <w:vAlign w:val="center"/>
          </w:tcPr>
          <w:p w14:paraId="6570AE8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7526F6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211学校毕业博士及以上</w:t>
            </w:r>
          </w:p>
        </w:tc>
      </w:tr>
      <w:tr w14:paraId="6F9D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F6128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应力检测高温传感器研发</w:t>
            </w:r>
          </w:p>
        </w:tc>
        <w:tc>
          <w:tcPr>
            <w:tcW w:w="373" w:type="pct"/>
            <w:shd w:val="clear" w:color="000000" w:fill="FFFFFF"/>
            <w:noWrap/>
            <w:vAlign w:val="center"/>
          </w:tcPr>
          <w:p w14:paraId="188B838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0FE5FB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8</w:t>
            </w:r>
          </w:p>
        </w:tc>
        <w:tc>
          <w:tcPr>
            <w:tcW w:w="890" w:type="pct"/>
            <w:shd w:val="clear" w:color="000000" w:fill="FFFFFF"/>
            <w:noWrap/>
            <w:vAlign w:val="center"/>
          </w:tcPr>
          <w:p w14:paraId="729403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1C4F73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437E17E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7BE5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FCEF9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多场强耦合防护材料技术</w:t>
            </w:r>
          </w:p>
        </w:tc>
        <w:tc>
          <w:tcPr>
            <w:tcW w:w="373" w:type="pct"/>
            <w:shd w:val="clear" w:color="000000" w:fill="FFFFFF"/>
            <w:noWrap/>
            <w:vAlign w:val="center"/>
          </w:tcPr>
          <w:p w14:paraId="2B5E9B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420605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BSH00</w:t>
            </w:r>
            <w:r>
              <w:rPr>
                <w:rFonts w:hint="eastAsia" w:cs="Times New Roman" w:eastAsiaTheme="minorEastAsia"/>
                <w:kern w:val="2"/>
                <w:sz w:val="21"/>
                <w:szCs w:val="21"/>
                <w:lang w:val="en-US" w:eastAsia="zh-CN" w:bidi="ar-SA"/>
              </w:rPr>
              <w:t>9</w:t>
            </w:r>
          </w:p>
        </w:tc>
        <w:tc>
          <w:tcPr>
            <w:tcW w:w="890" w:type="pct"/>
            <w:shd w:val="clear" w:color="000000" w:fill="FFFFFF"/>
            <w:noWrap/>
            <w:vAlign w:val="center"/>
          </w:tcPr>
          <w:p w14:paraId="1EEB39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1D2EFF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481E9C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2E08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C517B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摩擦行为智能控制及检测技术</w:t>
            </w:r>
          </w:p>
        </w:tc>
        <w:tc>
          <w:tcPr>
            <w:tcW w:w="373" w:type="pct"/>
            <w:shd w:val="clear" w:color="000000" w:fill="FFFFFF"/>
            <w:noWrap/>
            <w:vAlign w:val="center"/>
          </w:tcPr>
          <w:p w14:paraId="359E867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51436B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10</w:t>
            </w:r>
          </w:p>
        </w:tc>
        <w:tc>
          <w:tcPr>
            <w:tcW w:w="890" w:type="pct"/>
            <w:shd w:val="clear" w:color="000000" w:fill="FFFFFF"/>
            <w:noWrap/>
            <w:vAlign w:val="center"/>
          </w:tcPr>
          <w:p w14:paraId="4F5AE1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51D172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7BC9482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5215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F8860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新型气敏传感材料及器件</w:t>
            </w:r>
          </w:p>
        </w:tc>
        <w:tc>
          <w:tcPr>
            <w:tcW w:w="373" w:type="pct"/>
            <w:shd w:val="clear" w:color="000000" w:fill="FFFFFF"/>
            <w:noWrap/>
            <w:vAlign w:val="center"/>
          </w:tcPr>
          <w:p w14:paraId="2E0C61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6A37B7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11</w:t>
            </w:r>
          </w:p>
        </w:tc>
        <w:tc>
          <w:tcPr>
            <w:tcW w:w="890" w:type="pct"/>
            <w:shd w:val="clear" w:color="000000" w:fill="FFFFFF"/>
            <w:noWrap/>
            <w:vAlign w:val="center"/>
          </w:tcPr>
          <w:p w14:paraId="1E51ED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0FB29E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1B166BD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5553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049591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拉瓦尔陶瓷喷嘴研发</w:t>
            </w:r>
          </w:p>
        </w:tc>
        <w:tc>
          <w:tcPr>
            <w:tcW w:w="373" w:type="pct"/>
            <w:shd w:val="clear" w:color="000000" w:fill="FFFFFF"/>
            <w:noWrap/>
            <w:vAlign w:val="center"/>
          </w:tcPr>
          <w:p w14:paraId="79AC05C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3986CE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12</w:t>
            </w:r>
          </w:p>
        </w:tc>
        <w:tc>
          <w:tcPr>
            <w:tcW w:w="890" w:type="pct"/>
            <w:shd w:val="clear" w:color="000000" w:fill="FFFFFF"/>
            <w:noWrap/>
            <w:vAlign w:val="center"/>
          </w:tcPr>
          <w:p w14:paraId="6EFE3C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704" w:type="pct"/>
            <w:shd w:val="clear" w:color="000000" w:fill="FFFFFF"/>
            <w:noWrap/>
            <w:vAlign w:val="center"/>
          </w:tcPr>
          <w:p w14:paraId="26D163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167" w:type="pct"/>
            <w:shd w:val="clear" w:color="auto" w:fill="auto"/>
            <w:noWrap/>
            <w:vAlign w:val="center"/>
          </w:tcPr>
          <w:p w14:paraId="7899CE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3E6E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8061D9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材料动态行为的晶体塑性仿真研究</w:t>
            </w:r>
          </w:p>
        </w:tc>
        <w:tc>
          <w:tcPr>
            <w:tcW w:w="373" w:type="pct"/>
            <w:shd w:val="clear" w:color="000000" w:fill="FFFFFF"/>
            <w:noWrap/>
            <w:vAlign w:val="center"/>
          </w:tcPr>
          <w:p w14:paraId="14E55FE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524" w:type="pct"/>
            <w:shd w:val="clear" w:color="000000" w:fill="FFFFFF"/>
            <w:noWrap/>
            <w:vAlign w:val="center"/>
          </w:tcPr>
          <w:p w14:paraId="63992E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13</w:t>
            </w:r>
          </w:p>
        </w:tc>
        <w:tc>
          <w:tcPr>
            <w:tcW w:w="890" w:type="pct"/>
            <w:shd w:val="clear" w:color="000000" w:fill="FFFFFF"/>
            <w:noWrap/>
            <w:vAlign w:val="center"/>
          </w:tcPr>
          <w:p w14:paraId="7BDA5C2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物理学</w:t>
            </w:r>
          </w:p>
        </w:tc>
        <w:tc>
          <w:tcPr>
            <w:tcW w:w="704" w:type="pct"/>
            <w:shd w:val="clear" w:color="000000" w:fill="FFFFFF"/>
            <w:noWrap/>
            <w:vAlign w:val="center"/>
          </w:tcPr>
          <w:p w14:paraId="47E727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A75C7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1655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C7661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材料高速冲击行为仿真研究</w:t>
            </w:r>
          </w:p>
        </w:tc>
        <w:tc>
          <w:tcPr>
            <w:tcW w:w="373" w:type="pct"/>
            <w:shd w:val="clear" w:color="000000" w:fill="FFFFFF"/>
            <w:noWrap/>
            <w:vAlign w:val="center"/>
          </w:tcPr>
          <w:p w14:paraId="18CBD03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25F4E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14</w:t>
            </w:r>
          </w:p>
        </w:tc>
        <w:tc>
          <w:tcPr>
            <w:tcW w:w="890" w:type="pct"/>
            <w:shd w:val="clear" w:color="000000" w:fill="FFFFFF"/>
            <w:noWrap/>
            <w:vAlign w:val="center"/>
          </w:tcPr>
          <w:p w14:paraId="758E02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物理学/力学</w:t>
            </w:r>
          </w:p>
        </w:tc>
        <w:tc>
          <w:tcPr>
            <w:tcW w:w="704" w:type="pct"/>
            <w:shd w:val="clear" w:color="000000" w:fill="FFFFFF"/>
            <w:noWrap/>
            <w:vAlign w:val="center"/>
          </w:tcPr>
          <w:p w14:paraId="2BE90C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E5E08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1AC6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AE14B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高功率激光焊接行为与机理研究</w:t>
            </w:r>
          </w:p>
        </w:tc>
        <w:tc>
          <w:tcPr>
            <w:tcW w:w="373" w:type="pct"/>
            <w:shd w:val="clear" w:color="000000" w:fill="FFFFFF"/>
            <w:noWrap/>
            <w:vAlign w:val="center"/>
          </w:tcPr>
          <w:p w14:paraId="5B55E32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55F776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15</w:t>
            </w:r>
          </w:p>
        </w:tc>
        <w:tc>
          <w:tcPr>
            <w:tcW w:w="890" w:type="pct"/>
            <w:shd w:val="clear" w:color="000000" w:fill="FFFFFF"/>
            <w:noWrap/>
            <w:vAlign w:val="center"/>
          </w:tcPr>
          <w:p w14:paraId="21CB2DE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材料科学与工程</w:t>
            </w:r>
          </w:p>
        </w:tc>
        <w:tc>
          <w:tcPr>
            <w:tcW w:w="704" w:type="pct"/>
            <w:shd w:val="clear" w:color="000000" w:fill="FFFFFF"/>
            <w:noWrap/>
            <w:vAlign w:val="center"/>
          </w:tcPr>
          <w:p w14:paraId="7A59F1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C75B2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材料加工学科</w:t>
            </w:r>
          </w:p>
          <w:p w14:paraId="1DDC11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优势高校</w:t>
            </w:r>
          </w:p>
        </w:tc>
      </w:tr>
      <w:tr w14:paraId="5F5B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5A19F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高温合金激光增材与再制造</w:t>
            </w:r>
          </w:p>
        </w:tc>
        <w:tc>
          <w:tcPr>
            <w:tcW w:w="373" w:type="pct"/>
            <w:shd w:val="clear" w:color="000000" w:fill="FFFFFF"/>
            <w:noWrap/>
            <w:vAlign w:val="center"/>
          </w:tcPr>
          <w:p w14:paraId="445A8C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3564E3C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16</w:t>
            </w:r>
          </w:p>
        </w:tc>
        <w:tc>
          <w:tcPr>
            <w:tcW w:w="890" w:type="pct"/>
            <w:shd w:val="clear" w:color="000000" w:fill="FFFFFF"/>
            <w:noWrap/>
            <w:vAlign w:val="center"/>
          </w:tcPr>
          <w:p w14:paraId="73CDF95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材料科学与工程</w:t>
            </w:r>
          </w:p>
        </w:tc>
        <w:tc>
          <w:tcPr>
            <w:tcW w:w="704" w:type="pct"/>
            <w:shd w:val="clear" w:color="000000" w:fill="FFFFFF"/>
            <w:noWrap/>
            <w:vAlign w:val="center"/>
          </w:tcPr>
          <w:p w14:paraId="4D220F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7540F8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材料加工学科</w:t>
            </w:r>
          </w:p>
          <w:p w14:paraId="1BBE6A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优势高校</w:t>
            </w:r>
          </w:p>
        </w:tc>
      </w:tr>
      <w:tr w14:paraId="2266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5D0BD50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激光表面微纳制造技术开发</w:t>
            </w:r>
          </w:p>
        </w:tc>
        <w:tc>
          <w:tcPr>
            <w:tcW w:w="373" w:type="pct"/>
            <w:shd w:val="clear" w:color="000000" w:fill="FFFFFF"/>
            <w:noWrap/>
            <w:vAlign w:val="center"/>
          </w:tcPr>
          <w:p w14:paraId="794EA7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5FA25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17</w:t>
            </w:r>
          </w:p>
        </w:tc>
        <w:tc>
          <w:tcPr>
            <w:tcW w:w="890" w:type="pct"/>
            <w:shd w:val="clear" w:color="000000" w:fill="FFFFFF"/>
            <w:noWrap/>
            <w:vAlign w:val="center"/>
          </w:tcPr>
          <w:p w14:paraId="09390C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材料科学与工程</w:t>
            </w:r>
          </w:p>
        </w:tc>
        <w:tc>
          <w:tcPr>
            <w:tcW w:w="704" w:type="pct"/>
            <w:shd w:val="clear" w:color="000000" w:fill="FFFFFF"/>
            <w:noWrap/>
            <w:vAlign w:val="center"/>
          </w:tcPr>
          <w:p w14:paraId="684136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65A55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材料加工学科</w:t>
            </w:r>
          </w:p>
          <w:p w14:paraId="4CAA2B2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优势高校</w:t>
            </w:r>
          </w:p>
        </w:tc>
      </w:tr>
      <w:tr w14:paraId="7F9A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925AE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复杂轻合金结构仿真和寿命预测</w:t>
            </w:r>
          </w:p>
        </w:tc>
        <w:tc>
          <w:tcPr>
            <w:tcW w:w="373" w:type="pct"/>
            <w:shd w:val="clear" w:color="000000" w:fill="FFFFFF"/>
            <w:noWrap/>
            <w:vAlign w:val="center"/>
          </w:tcPr>
          <w:p w14:paraId="445DA0C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041261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18</w:t>
            </w:r>
          </w:p>
        </w:tc>
        <w:tc>
          <w:tcPr>
            <w:tcW w:w="890" w:type="pct"/>
            <w:shd w:val="clear" w:color="000000" w:fill="FFFFFF"/>
            <w:noWrap/>
            <w:vAlign w:val="center"/>
          </w:tcPr>
          <w:p w14:paraId="5635A4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材料科学与工程</w:t>
            </w:r>
          </w:p>
        </w:tc>
        <w:tc>
          <w:tcPr>
            <w:tcW w:w="704" w:type="pct"/>
            <w:shd w:val="clear" w:color="000000" w:fill="FFFFFF"/>
            <w:noWrap/>
            <w:vAlign w:val="center"/>
          </w:tcPr>
          <w:p w14:paraId="0A9A0E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8B0C60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材料加工学科</w:t>
            </w:r>
          </w:p>
          <w:p w14:paraId="05B8DC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优势高校</w:t>
            </w:r>
          </w:p>
        </w:tc>
      </w:tr>
      <w:tr w14:paraId="23C6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E579BA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固体废物填埋场复合防渗衬垫设计理论研究</w:t>
            </w:r>
          </w:p>
        </w:tc>
        <w:tc>
          <w:tcPr>
            <w:tcW w:w="373" w:type="pct"/>
            <w:shd w:val="clear" w:color="000000" w:fill="FFFFFF"/>
            <w:noWrap/>
            <w:vAlign w:val="center"/>
          </w:tcPr>
          <w:p w14:paraId="765657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126CEB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19</w:t>
            </w:r>
          </w:p>
        </w:tc>
        <w:tc>
          <w:tcPr>
            <w:tcW w:w="890" w:type="pct"/>
            <w:shd w:val="clear" w:color="000000" w:fill="FFFFFF"/>
            <w:noWrap/>
            <w:vAlign w:val="center"/>
          </w:tcPr>
          <w:p w14:paraId="13104C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4A8CC77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2A8703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海外留学经历者优先考虑</w:t>
            </w:r>
          </w:p>
        </w:tc>
      </w:tr>
      <w:tr w14:paraId="7A00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9AE65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波流耦合作用下跨海桥梁动力响应及承载性能评估方法研究</w:t>
            </w:r>
          </w:p>
        </w:tc>
        <w:tc>
          <w:tcPr>
            <w:tcW w:w="373" w:type="pct"/>
            <w:shd w:val="clear" w:color="000000" w:fill="FFFFFF"/>
            <w:noWrap/>
            <w:vAlign w:val="center"/>
          </w:tcPr>
          <w:p w14:paraId="28AFA17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33F3F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20</w:t>
            </w:r>
          </w:p>
        </w:tc>
        <w:tc>
          <w:tcPr>
            <w:tcW w:w="890" w:type="pct"/>
            <w:shd w:val="clear" w:color="000000" w:fill="FFFFFF"/>
            <w:noWrap/>
            <w:vAlign w:val="center"/>
          </w:tcPr>
          <w:p w14:paraId="103140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34099D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0F3724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国外一流大学</w:t>
            </w:r>
          </w:p>
        </w:tc>
      </w:tr>
      <w:tr w14:paraId="3CF9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340" w:type="pct"/>
            <w:shd w:val="clear" w:color="000000" w:fill="FFFFFF"/>
            <w:noWrap/>
            <w:vAlign w:val="center"/>
          </w:tcPr>
          <w:p w14:paraId="00B3F1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建筑专业相关领域研究</w:t>
            </w:r>
          </w:p>
        </w:tc>
        <w:tc>
          <w:tcPr>
            <w:tcW w:w="373" w:type="pct"/>
            <w:shd w:val="clear" w:color="000000" w:fill="FFFFFF"/>
            <w:noWrap/>
            <w:vAlign w:val="center"/>
          </w:tcPr>
          <w:p w14:paraId="28DAE1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5</w:t>
            </w:r>
          </w:p>
        </w:tc>
        <w:tc>
          <w:tcPr>
            <w:tcW w:w="524" w:type="pct"/>
            <w:shd w:val="clear" w:color="000000" w:fill="FFFFFF"/>
            <w:noWrap/>
            <w:vAlign w:val="center"/>
          </w:tcPr>
          <w:p w14:paraId="0F212A2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21</w:t>
            </w:r>
          </w:p>
        </w:tc>
        <w:tc>
          <w:tcPr>
            <w:tcW w:w="890" w:type="pct"/>
            <w:shd w:val="clear" w:color="000000" w:fill="FFFFFF"/>
            <w:noWrap/>
            <w:vAlign w:val="center"/>
          </w:tcPr>
          <w:p w14:paraId="120B1E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建筑学</w:t>
            </w:r>
          </w:p>
        </w:tc>
        <w:tc>
          <w:tcPr>
            <w:tcW w:w="704" w:type="pct"/>
            <w:shd w:val="clear" w:color="000000" w:fill="FFFFFF"/>
            <w:noWrap/>
            <w:vAlign w:val="center"/>
          </w:tcPr>
          <w:p w14:paraId="3EA42FA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30万元/年</w:t>
            </w:r>
          </w:p>
        </w:tc>
        <w:tc>
          <w:tcPr>
            <w:tcW w:w="1167" w:type="pct"/>
            <w:shd w:val="clear" w:color="auto" w:fill="auto"/>
            <w:noWrap/>
            <w:vAlign w:val="center"/>
          </w:tcPr>
          <w:p w14:paraId="16A244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985、双一流高校或海外高校或学科排名高于我校的高水平大学</w:t>
            </w:r>
          </w:p>
        </w:tc>
      </w:tr>
      <w:tr w14:paraId="0460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40" w:type="pct"/>
            <w:shd w:val="clear" w:color="000000" w:fill="FFFFFF"/>
            <w:noWrap/>
            <w:vAlign w:val="center"/>
          </w:tcPr>
          <w:p w14:paraId="13A7F8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城乡规划专业相关领域研究</w:t>
            </w:r>
          </w:p>
        </w:tc>
        <w:tc>
          <w:tcPr>
            <w:tcW w:w="373" w:type="pct"/>
            <w:shd w:val="clear" w:color="000000" w:fill="FFFFFF"/>
            <w:noWrap/>
            <w:vAlign w:val="center"/>
          </w:tcPr>
          <w:p w14:paraId="67D2DF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524" w:type="pct"/>
            <w:shd w:val="clear" w:color="000000" w:fill="FFFFFF"/>
            <w:noWrap/>
            <w:vAlign w:val="center"/>
          </w:tcPr>
          <w:p w14:paraId="444B89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22</w:t>
            </w:r>
          </w:p>
        </w:tc>
        <w:tc>
          <w:tcPr>
            <w:tcW w:w="890" w:type="pct"/>
            <w:shd w:val="clear" w:color="000000" w:fill="FFFFFF"/>
            <w:noWrap/>
            <w:vAlign w:val="center"/>
          </w:tcPr>
          <w:p w14:paraId="725E32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城乡规划学</w:t>
            </w:r>
          </w:p>
        </w:tc>
        <w:tc>
          <w:tcPr>
            <w:tcW w:w="704" w:type="pct"/>
            <w:shd w:val="clear" w:color="000000" w:fill="FFFFFF"/>
            <w:noWrap/>
            <w:vAlign w:val="center"/>
          </w:tcPr>
          <w:p w14:paraId="63C917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30万元/年</w:t>
            </w:r>
          </w:p>
        </w:tc>
        <w:tc>
          <w:tcPr>
            <w:tcW w:w="1167" w:type="pct"/>
            <w:shd w:val="clear" w:color="auto" w:fill="auto"/>
            <w:noWrap/>
            <w:vAlign w:val="center"/>
          </w:tcPr>
          <w:p w14:paraId="6073A76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985、双一流高校或海外高校或学科排名高于我校的高水平大学</w:t>
            </w:r>
          </w:p>
        </w:tc>
      </w:tr>
      <w:tr w14:paraId="0947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40" w:type="pct"/>
            <w:shd w:val="clear" w:color="000000" w:fill="FFFFFF"/>
            <w:noWrap/>
            <w:vAlign w:val="center"/>
          </w:tcPr>
          <w:p w14:paraId="2B7D9E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风景园林专业相关领域研究</w:t>
            </w:r>
          </w:p>
        </w:tc>
        <w:tc>
          <w:tcPr>
            <w:tcW w:w="373" w:type="pct"/>
            <w:shd w:val="clear" w:color="000000" w:fill="FFFFFF"/>
            <w:noWrap/>
            <w:vAlign w:val="center"/>
          </w:tcPr>
          <w:p w14:paraId="2B0EE3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524" w:type="pct"/>
            <w:shd w:val="clear" w:color="000000" w:fill="FFFFFF"/>
            <w:noWrap/>
            <w:vAlign w:val="center"/>
          </w:tcPr>
          <w:p w14:paraId="711A0B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23</w:t>
            </w:r>
          </w:p>
        </w:tc>
        <w:tc>
          <w:tcPr>
            <w:tcW w:w="890" w:type="pct"/>
            <w:shd w:val="clear" w:color="000000" w:fill="FFFFFF"/>
            <w:noWrap/>
            <w:vAlign w:val="center"/>
          </w:tcPr>
          <w:p w14:paraId="57FF14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风景园林学</w:t>
            </w:r>
          </w:p>
        </w:tc>
        <w:tc>
          <w:tcPr>
            <w:tcW w:w="704" w:type="pct"/>
            <w:shd w:val="clear" w:color="000000" w:fill="FFFFFF"/>
            <w:noWrap/>
            <w:vAlign w:val="center"/>
          </w:tcPr>
          <w:p w14:paraId="298431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30万元/年</w:t>
            </w:r>
          </w:p>
        </w:tc>
        <w:tc>
          <w:tcPr>
            <w:tcW w:w="1167" w:type="pct"/>
            <w:shd w:val="clear" w:color="auto" w:fill="auto"/>
            <w:noWrap/>
            <w:vAlign w:val="center"/>
          </w:tcPr>
          <w:p w14:paraId="511BB0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985、双一流高校或海外高校或学科排名高于我校的高水平大学</w:t>
            </w:r>
          </w:p>
        </w:tc>
      </w:tr>
      <w:tr w14:paraId="6103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17577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美术专业相关领域研究</w:t>
            </w:r>
          </w:p>
        </w:tc>
        <w:tc>
          <w:tcPr>
            <w:tcW w:w="373" w:type="pct"/>
            <w:shd w:val="clear" w:color="000000" w:fill="FFFFFF"/>
            <w:noWrap/>
            <w:vAlign w:val="center"/>
          </w:tcPr>
          <w:p w14:paraId="1DA326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4CABE85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24</w:t>
            </w:r>
          </w:p>
        </w:tc>
        <w:tc>
          <w:tcPr>
            <w:tcW w:w="890" w:type="pct"/>
            <w:shd w:val="clear" w:color="000000" w:fill="FFFFFF"/>
            <w:noWrap/>
            <w:vAlign w:val="center"/>
          </w:tcPr>
          <w:p w14:paraId="6A1AFE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美术学</w:t>
            </w:r>
          </w:p>
        </w:tc>
        <w:tc>
          <w:tcPr>
            <w:tcW w:w="704" w:type="pct"/>
            <w:shd w:val="clear" w:color="000000" w:fill="FFFFFF"/>
            <w:noWrap/>
            <w:vAlign w:val="center"/>
          </w:tcPr>
          <w:p w14:paraId="5B9580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28万元/年</w:t>
            </w:r>
          </w:p>
        </w:tc>
        <w:tc>
          <w:tcPr>
            <w:tcW w:w="1167" w:type="pct"/>
            <w:shd w:val="clear" w:color="auto" w:fill="auto"/>
            <w:noWrap/>
            <w:vAlign w:val="center"/>
          </w:tcPr>
          <w:p w14:paraId="7B291D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985、双一流高校或海外高校或专业美院</w:t>
            </w:r>
          </w:p>
        </w:tc>
      </w:tr>
      <w:tr w14:paraId="4D54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FD7DD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川藏铁路站房综合抗震减灾设计关键技术研究</w:t>
            </w:r>
          </w:p>
        </w:tc>
        <w:tc>
          <w:tcPr>
            <w:tcW w:w="373" w:type="pct"/>
            <w:shd w:val="clear" w:color="000000" w:fill="FFFFFF"/>
            <w:noWrap/>
            <w:vAlign w:val="center"/>
          </w:tcPr>
          <w:p w14:paraId="24D5DC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F7803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25</w:t>
            </w:r>
          </w:p>
        </w:tc>
        <w:tc>
          <w:tcPr>
            <w:tcW w:w="890" w:type="pct"/>
            <w:shd w:val="clear" w:color="000000" w:fill="FFFFFF"/>
            <w:noWrap/>
            <w:vAlign w:val="center"/>
          </w:tcPr>
          <w:p w14:paraId="374BF2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5E7A38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925ED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211高校，抗震方向</w:t>
            </w:r>
          </w:p>
        </w:tc>
      </w:tr>
      <w:tr w14:paraId="3B09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C416C9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滨海地区复杂地层盾构管片椭变机理及处置技术研究</w:t>
            </w:r>
          </w:p>
        </w:tc>
        <w:tc>
          <w:tcPr>
            <w:tcW w:w="373" w:type="pct"/>
            <w:shd w:val="clear" w:color="000000" w:fill="FFFFFF"/>
            <w:noWrap/>
            <w:vAlign w:val="center"/>
          </w:tcPr>
          <w:p w14:paraId="7E02166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501904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26</w:t>
            </w:r>
          </w:p>
        </w:tc>
        <w:tc>
          <w:tcPr>
            <w:tcW w:w="890" w:type="pct"/>
            <w:shd w:val="clear" w:color="000000" w:fill="FFFFFF"/>
            <w:noWrap/>
            <w:vAlign w:val="center"/>
          </w:tcPr>
          <w:p w14:paraId="2EA99A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78898D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D35188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594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0334EB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气候变暖条件下川藏交通廊带高山冻土斜坡（石冰川）失稳机理与危险 性研究</w:t>
            </w:r>
          </w:p>
        </w:tc>
        <w:tc>
          <w:tcPr>
            <w:tcW w:w="373" w:type="pct"/>
            <w:shd w:val="clear" w:color="000000" w:fill="FFFFFF"/>
            <w:noWrap/>
            <w:vAlign w:val="center"/>
          </w:tcPr>
          <w:p w14:paraId="1FA566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4471F9A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27</w:t>
            </w:r>
          </w:p>
        </w:tc>
        <w:tc>
          <w:tcPr>
            <w:tcW w:w="890" w:type="pct"/>
            <w:shd w:val="clear" w:color="000000" w:fill="FFFFFF"/>
            <w:noWrap/>
            <w:vAlign w:val="center"/>
          </w:tcPr>
          <w:p w14:paraId="20AA14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16409A2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1A6789D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双一流高校</w:t>
            </w:r>
          </w:p>
        </w:tc>
      </w:tr>
      <w:tr w14:paraId="7483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05620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面向铁路场景的全天候光与无线协同通信关键技术研究</w:t>
            </w:r>
          </w:p>
        </w:tc>
        <w:tc>
          <w:tcPr>
            <w:tcW w:w="373" w:type="pct"/>
            <w:shd w:val="clear" w:color="000000" w:fill="FFFFFF"/>
            <w:noWrap/>
            <w:vAlign w:val="center"/>
          </w:tcPr>
          <w:p w14:paraId="79AF70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0A7FEA9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28</w:t>
            </w:r>
          </w:p>
        </w:tc>
        <w:tc>
          <w:tcPr>
            <w:tcW w:w="890" w:type="pct"/>
            <w:shd w:val="clear" w:color="000000" w:fill="FFFFFF"/>
            <w:noWrap/>
            <w:vAlign w:val="center"/>
          </w:tcPr>
          <w:p w14:paraId="35B6DA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5F83CA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DD45E1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086E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28545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光子太赫兹异质集成片芯片</w:t>
            </w:r>
          </w:p>
        </w:tc>
        <w:tc>
          <w:tcPr>
            <w:tcW w:w="373" w:type="pct"/>
            <w:shd w:val="clear" w:color="000000" w:fill="FFFFFF"/>
            <w:noWrap/>
            <w:vAlign w:val="center"/>
          </w:tcPr>
          <w:p w14:paraId="4884BC4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1F5C09E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29</w:t>
            </w:r>
          </w:p>
        </w:tc>
        <w:tc>
          <w:tcPr>
            <w:tcW w:w="890" w:type="pct"/>
            <w:shd w:val="clear" w:color="000000" w:fill="FFFFFF"/>
            <w:noWrap/>
            <w:vAlign w:val="center"/>
          </w:tcPr>
          <w:p w14:paraId="0D9EB9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5B1D94E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DC14AE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985/211高校</w:t>
            </w:r>
          </w:p>
        </w:tc>
      </w:tr>
      <w:tr w14:paraId="7690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21D93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超宽带光纤传输系统智能优化理论与方法</w:t>
            </w:r>
          </w:p>
        </w:tc>
        <w:tc>
          <w:tcPr>
            <w:tcW w:w="373" w:type="pct"/>
            <w:shd w:val="clear" w:color="000000" w:fill="FFFFFF"/>
            <w:noWrap/>
            <w:vAlign w:val="center"/>
          </w:tcPr>
          <w:p w14:paraId="67FABE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4F572E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30</w:t>
            </w:r>
          </w:p>
        </w:tc>
        <w:tc>
          <w:tcPr>
            <w:tcW w:w="890" w:type="pct"/>
            <w:shd w:val="clear" w:color="000000" w:fill="FFFFFF"/>
            <w:noWrap/>
            <w:vAlign w:val="center"/>
          </w:tcPr>
          <w:p w14:paraId="234FA9F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7ADF49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0AC93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7555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E7ABB8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面向高铁宽带通信的光学波束赋形理论与器件关键技术研究</w:t>
            </w:r>
          </w:p>
        </w:tc>
        <w:tc>
          <w:tcPr>
            <w:tcW w:w="373" w:type="pct"/>
            <w:shd w:val="clear" w:color="000000" w:fill="FFFFFF"/>
            <w:noWrap/>
            <w:vAlign w:val="center"/>
          </w:tcPr>
          <w:p w14:paraId="0B0920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79FD68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31</w:t>
            </w:r>
          </w:p>
        </w:tc>
        <w:tc>
          <w:tcPr>
            <w:tcW w:w="890" w:type="pct"/>
            <w:shd w:val="clear" w:color="000000" w:fill="FFFFFF"/>
            <w:noWrap/>
            <w:vAlign w:val="center"/>
          </w:tcPr>
          <w:p w14:paraId="0A2854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03A12C5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4BB9D4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3207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02739F8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通感一体化序列编码</w:t>
            </w:r>
          </w:p>
        </w:tc>
        <w:tc>
          <w:tcPr>
            <w:tcW w:w="373" w:type="pct"/>
            <w:shd w:val="clear" w:color="000000" w:fill="FFFFFF"/>
            <w:noWrap/>
            <w:vAlign w:val="center"/>
          </w:tcPr>
          <w:p w14:paraId="05A9A2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588B26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32</w:t>
            </w:r>
          </w:p>
        </w:tc>
        <w:tc>
          <w:tcPr>
            <w:tcW w:w="890" w:type="pct"/>
            <w:shd w:val="clear" w:color="000000" w:fill="FFFFFF"/>
            <w:noWrap/>
            <w:vAlign w:val="center"/>
          </w:tcPr>
          <w:p w14:paraId="3C4084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50237C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w:t>
            </w:r>
            <w:r>
              <w:rPr>
                <w:rFonts w:hint="eastAsia" w:cs="Times New Roman" w:eastAsiaTheme="minorEastAsia"/>
                <w:sz w:val="21"/>
                <w:szCs w:val="21"/>
                <w:lang w:val="en-US" w:eastAsia="zh-CN"/>
              </w:rPr>
              <w:t>0</w:t>
            </w:r>
          </w:p>
        </w:tc>
        <w:tc>
          <w:tcPr>
            <w:tcW w:w="1167" w:type="pct"/>
            <w:shd w:val="clear" w:color="auto" w:fill="auto"/>
            <w:noWrap/>
            <w:vAlign w:val="center"/>
          </w:tcPr>
          <w:p w14:paraId="406CBFF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4D48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E506D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下一代光通信可靠编码的数学理论</w:t>
            </w:r>
          </w:p>
        </w:tc>
        <w:tc>
          <w:tcPr>
            <w:tcW w:w="373" w:type="pct"/>
            <w:shd w:val="clear" w:color="000000" w:fill="FFFFFF"/>
            <w:noWrap/>
            <w:vAlign w:val="center"/>
          </w:tcPr>
          <w:p w14:paraId="43B155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3999C22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33</w:t>
            </w:r>
          </w:p>
        </w:tc>
        <w:tc>
          <w:tcPr>
            <w:tcW w:w="890" w:type="pct"/>
            <w:shd w:val="clear" w:color="000000" w:fill="FFFFFF"/>
            <w:noWrap/>
            <w:vAlign w:val="center"/>
          </w:tcPr>
          <w:p w14:paraId="6CB38D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数学</w:t>
            </w:r>
          </w:p>
        </w:tc>
        <w:tc>
          <w:tcPr>
            <w:tcW w:w="704" w:type="pct"/>
            <w:shd w:val="clear" w:color="000000" w:fill="FFFFFF"/>
            <w:noWrap/>
            <w:vAlign w:val="center"/>
          </w:tcPr>
          <w:p w14:paraId="32C6A8D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1B8E5E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52F6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8CF4E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高频引力波探测</w:t>
            </w:r>
          </w:p>
        </w:tc>
        <w:tc>
          <w:tcPr>
            <w:tcW w:w="373" w:type="pct"/>
            <w:shd w:val="clear" w:color="000000" w:fill="FFFFFF"/>
            <w:noWrap/>
            <w:vAlign w:val="center"/>
          </w:tcPr>
          <w:p w14:paraId="08EFCD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35FBFE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34</w:t>
            </w:r>
          </w:p>
        </w:tc>
        <w:tc>
          <w:tcPr>
            <w:tcW w:w="890" w:type="pct"/>
            <w:shd w:val="clear" w:color="000000" w:fill="FFFFFF"/>
            <w:noWrap/>
            <w:vAlign w:val="center"/>
          </w:tcPr>
          <w:p w14:paraId="315AEB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6737DAC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C1F6F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重庆大学、西南交大</w:t>
            </w:r>
          </w:p>
        </w:tc>
      </w:tr>
      <w:tr w14:paraId="34EE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5FB67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面向区域互联的高速长距离物理层安全光纤通信关键技术研究</w:t>
            </w:r>
          </w:p>
        </w:tc>
        <w:tc>
          <w:tcPr>
            <w:tcW w:w="373" w:type="pct"/>
            <w:shd w:val="clear" w:color="000000" w:fill="FFFFFF"/>
            <w:noWrap/>
            <w:vAlign w:val="center"/>
          </w:tcPr>
          <w:p w14:paraId="4FCA49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5EFDE8F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35</w:t>
            </w:r>
          </w:p>
        </w:tc>
        <w:tc>
          <w:tcPr>
            <w:tcW w:w="890" w:type="pct"/>
            <w:shd w:val="clear" w:color="000000" w:fill="FFFFFF"/>
            <w:noWrap/>
            <w:vAlign w:val="center"/>
          </w:tcPr>
          <w:p w14:paraId="789860C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04C964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47C89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高校及研究所</w:t>
            </w:r>
          </w:p>
        </w:tc>
      </w:tr>
      <w:tr w14:paraId="7F35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D9C79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宽带微波光子链路优化设计与光域调控关键器件研究</w:t>
            </w:r>
          </w:p>
        </w:tc>
        <w:tc>
          <w:tcPr>
            <w:tcW w:w="373" w:type="pct"/>
            <w:shd w:val="clear" w:color="000000" w:fill="FFFFFF"/>
            <w:noWrap/>
            <w:vAlign w:val="center"/>
          </w:tcPr>
          <w:p w14:paraId="137DD2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w:t>
            </w:r>
          </w:p>
        </w:tc>
        <w:tc>
          <w:tcPr>
            <w:tcW w:w="524" w:type="pct"/>
            <w:shd w:val="clear" w:color="000000" w:fill="FFFFFF"/>
            <w:noWrap/>
            <w:vAlign w:val="center"/>
          </w:tcPr>
          <w:p w14:paraId="6129EF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36</w:t>
            </w:r>
          </w:p>
        </w:tc>
        <w:tc>
          <w:tcPr>
            <w:tcW w:w="890" w:type="pct"/>
            <w:shd w:val="clear" w:color="000000" w:fill="FFFFFF"/>
            <w:noWrap/>
            <w:vAlign w:val="center"/>
          </w:tcPr>
          <w:p w14:paraId="382A5F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信息与通信工程</w:t>
            </w:r>
          </w:p>
        </w:tc>
        <w:tc>
          <w:tcPr>
            <w:tcW w:w="704" w:type="pct"/>
            <w:shd w:val="clear" w:color="000000" w:fill="FFFFFF"/>
            <w:noWrap/>
            <w:vAlign w:val="center"/>
          </w:tcPr>
          <w:p w14:paraId="2EF532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D18BC7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高校及研究所</w:t>
            </w:r>
          </w:p>
        </w:tc>
      </w:tr>
      <w:tr w14:paraId="2917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046AB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超高速真空管道磁浮交通研究</w:t>
            </w:r>
          </w:p>
        </w:tc>
        <w:tc>
          <w:tcPr>
            <w:tcW w:w="373" w:type="pct"/>
            <w:shd w:val="clear" w:color="000000" w:fill="FFFFFF"/>
            <w:noWrap/>
            <w:vAlign w:val="center"/>
          </w:tcPr>
          <w:p w14:paraId="7817CA2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27988A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37</w:t>
            </w:r>
          </w:p>
        </w:tc>
        <w:tc>
          <w:tcPr>
            <w:tcW w:w="890" w:type="pct"/>
            <w:shd w:val="clear" w:color="000000" w:fill="FFFFFF"/>
            <w:noWrap/>
            <w:vAlign w:val="center"/>
          </w:tcPr>
          <w:p w14:paraId="5A35AC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力学、动力工程及工程热物理、电气工程、控制科学与工程</w:t>
            </w:r>
          </w:p>
        </w:tc>
        <w:tc>
          <w:tcPr>
            <w:tcW w:w="704" w:type="pct"/>
            <w:shd w:val="clear" w:color="000000" w:fill="FFFFFF"/>
            <w:noWrap/>
            <w:vAlign w:val="center"/>
          </w:tcPr>
          <w:p w14:paraId="76B809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319F3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279C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2A970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高温超导高速磁浮列车工程化研究</w:t>
            </w:r>
          </w:p>
        </w:tc>
        <w:tc>
          <w:tcPr>
            <w:tcW w:w="373" w:type="pct"/>
            <w:shd w:val="clear" w:color="000000" w:fill="FFFFFF"/>
            <w:noWrap/>
            <w:vAlign w:val="center"/>
          </w:tcPr>
          <w:p w14:paraId="6FE5B6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277D50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38</w:t>
            </w:r>
          </w:p>
        </w:tc>
        <w:tc>
          <w:tcPr>
            <w:tcW w:w="890" w:type="pct"/>
            <w:shd w:val="clear" w:color="000000" w:fill="FFFFFF"/>
            <w:noWrap/>
            <w:vAlign w:val="center"/>
          </w:tcPr>
          <w:p w14:paraId="202ADB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机械工程、交通运输工程、电气工程</w:t>
            </w:r>
          </w:p>
        </w:tc>
        <w:tc>
          <w:tcPr>
            <w:tcW w:w="704" w:type="pct"/>
            <w:shd w:val="clear" w:color="000000" w:fill="FFFFFF"/>
            <w:noWrap/>
            <w:vAlign w:val="center"/>
          </w:tcPr>
          <w:p w14:paraId="3537817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BA1D4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4903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6AE400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超导材料及低温工程</w:t>
            </w:r>
          </w:p>
        </w:tc>
        <w:tc>
          <w:tcPr>
            <w:tcW w:w="373" w:type="pct"/>
            <w:shd w:val="clear" w:color="000000" w:fill="FFFFFF"/>
            <w:noWrap/>
            <w:vAlign w:val="center"/>
          </w:tcPr>
          <w:p w14:paraId="4FB944B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4CE08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39</w:t>
            </w:r>
          </w:p>
        </w:tc>
        <w:tc>
          <w:tcPr>
            <w:tcW w:w="890" w:type="pct"/>
            <w:shd w:val="clear" w:color="000000" w:fill="FFFFFF"/>
            <w:noWrap/>
            <w:vAlign w:val="center"/>
          </w:tcPr>
          <w:p w14:paraId="0F0F7B1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超导物理、材料科学工程、低温工程</w:t>
            </w:r>
          </w:p>
        </w:tc>
        <w:tc>
          <w:tcPr>
            <w:tcW w:w="704" w:type="pct"/>
            <w:shd w:val="clear" w:color="000000" w:fill="FFFFFF"/>
            <w:noWrap/>
            <w:vAlign w:val="center"/>
          </w:tcPr>
          <w:p w14:paraId="6E8330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0A50BF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0272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29144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复合材料高温力学</w:t>
            </w:r>
          </w:p>
        </w:tc>
        <w:tc>
          <w:tcPr>
            <w:tcW w:w="373" w:type="pct"/>
            <w:shd w:val="clear" w:color="000000" w:fill="FFFFFF"/>
            <w:noWrap/>
            <w:vAlign w:val="center"/>
          </w:tcPr>
          <w:p w14:paraId="117141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CCF9F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40</w:t>
            </w:r>
          </w:p>
        </w:tc>
        <w:tc>
          <w:tcPr>
            <w:tcW w:w="890" w:type="pct"/>
            <w:shd w:val="clear" w:color="000000" w:fill="FFFFFF"/>
            <w:noWrap/>
            <w:vAlign w:val="center"/>
          </w:tcPr>
          <w:p w14:paraId="695BEA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固体力学</w:t>
            </w:r>
          </w:p>
        </w:tc>
        <w:tc>
          <w:tcPr>
            <w:tcW w:w="704" w:type="pct"/>
            <w:shd w:val="clear" w:color="000000" w:fill="FFFFFF"/>
            <w:noWrap/>
            <w:vAlign w:val="center"/>
          </w:tcPr>
          <w:p w14:paraId="67B3CE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BDCB77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211院校级以上</w:t>
            </w:r>
          </w:p>
        </w:tc>
      </w:tr>
      <w:tr w14:paraId="438D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D26BA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超导磁浮智能监测与预测</w:t>
            </w:r>
          </w:p>
        </w:tc>
        <w:tc>
          <w:tcPr>
            <w:tcW w:w="373" w:type="pct"/>
            <w:shd w:val="clear" w:color="000000" w:fill="FFFFFF"/>
            <w:noWrap/>
            <w:vAlign w:val="center"/>
          </w:tcPr>
          <w:p w14:paraId="67F4D7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91533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41</w:t>
            </w:r>
          </w:p>
        </w:tc>
        <w:tc>
          <w:tcPr>
            <w:tcW w:w="890" w:type="pct"/>
            <w:shd w:val="clear" w:color="000000" w:fill="FFFFFF"/>
            <w:noWrap/>
            <w:vAlign w:val="center"/>
          </w:tcPr>
          <w:p w14:paraId="151D06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w:t>
            </w:r>
          </w:p>
        </w:tc>
        <w:tc>
          <w:tcPr>
            <w:tcW w:w="704" w:type="pct"/>
            <w:shd w:val="clear" w:color="000000" w:fill="FFFFFF"/>
            <w:noWrap/>
            <w:vAlign w:val="center"/>
          </w:tcPr>
          <w:p w14:paraId="1A3A4C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DA0A7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1.知名高校博士毕业，博士期间从事交通运输、电气、车辆、计算机、数学、低温等学科研究；</w:t>
            </w:r>
          </w:p>
          <w:p w14:paraId="4F5645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.已取得良好的学术成果，具备优良的论文写作、汇报和沟通能力，具备较强创新能力、科研能力、解决难题能力；</w:t>
            </w:r>
          </w:p>
          <w:p w14:paraId="4F134A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.个性包容、宽于待人、严于律己、积极进取。</w:t>
            </w:r>
          </w:p>
        </w:tc>
      </w:tr>
      <w:tr w14:paraId="25F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56D47E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高速列车车轮非圆化定量诊断与剩余寿命预测方法研究</w:t>
            </w:r>
          </w:p>
        </w:tc>
        <w:tc>
          <w:tcPr>
            <w:tcW w:w="373" w:type="pct"/>
            <w:shd w:val="clear" w:color="000000" w:fill="FFFFFF"/>
            <w:noWrap/>
            <w:vAlign w:val="center"/>
          </w:tcPr>
          <w:p w14:paraId="021919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C8F82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42</w:t>
            </w:r>
          </w:p>
        </w:tc>
        <w:tc>
          <w:tcPr>
            <w:tcW w:w="890" w:type="pct"/>
            <w:shd w:val="clear" w:color="000000" w:fill="FFFFFF"/>
            <w:noWrap/>
            <w:vAlign w:val="center"/>
          </w:tcPr>
          <w:p w14:paraId="6CCA1D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w:t>
            </w:r>
          </w:p>
        </w:tc>
        <w:tc>
          <w:tcPr>
            <w:tcW w:w="704" w:type="pct"/>
            <w:shd w:val="clear" w:color="000000" w:fill="FFFFFF"/>
            <w:noWrap/>
            <w:vAlign w:val="center"/>
          </w:tcPr>
          <w:p w14:paraId="20F5B2A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0EFB7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支撑学科为A或A+</w:t>
            </w:r>
          </w:p>
        </w:tc>
      </w:tr>
      <w:tr w14:paraId="090A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A90BD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列车被动安全</w:t>
            </w:r>
          </w:p>
        </w:tc>
        <w:tc>
          <w:tcPr>
            <w:tcW w:w="373" w:type="pct"/>
            <w:shd w:val="clear" w:color="000000" w:fill="FFFFFF"/>
            <w:noWrap/>
            <w:vAlign w:val="center"/>
          </w:tcPr>
          <w:p w14:paraId="6EAD068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5A000A1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43</w:t>
            </w:r>
          </w:p>
        </w:tc>
        <w:tc>
          <w:tcPr>
            <w:tcW w:w="890" w:type="pct"/>
            <w:shd w:val="clear" w:color="000000" w:fill="FFFFFF"/>
            <w:noWrap/>
            <w:vAlign w:val="center"/>
          </w:tcPr>
          <w:p w14:paraId="142B1B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w:t>
            </w:r>
          </w:p>
        </w:tc>
        <w:tc>
          <w:tcPr>
            <w:tcW w:w="704" w:type="pct"/>
            <w:shd w:val="clear" w:color="000000" w:fill="FFFFFF"/>
            <w:noWrap/>
            <w:vAlign w:val="center"/>
          </w:tcPr>
          <w:p w14:paraId="78E295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016CD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1430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A9876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列车数字孪生</w:t>
            </w:r>
          </w:p>
        </w:tc>
        <w:tc>
          <w:tcPr>
            <w:tcW w:w="373" w:type="pct"/>
            <w:shd w:val="clear" w:color="000000" w:fill="FFFFFF"/>
            <w:noWrap/>
            <w:vAlign w:val="center"/>
          </w:tcPr>
          <w:p w14:paraId="091DA6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493191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44</w:t>
            </w:r>
          </w:p>
        </w:tc>
        <w:tc>
          <w:tcPr>
            <w:tcW w:w="890" w:type="pct"/>
            <w:shd w:val="clear" w:color="000000" w:fill="FFFFFF"/>
            <w:noWrap/>
            <w:vAlign w:val="center"/>
          </w:tcPr>
          <w:p w14:paraId="49C060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w:t>
            </w:r>
          </w:p>
        </w:tc>
        <w:tc>
          <w:tcPr>
            <w:tcW w:w="704" w:type="pct"/>
            <w:shd w:val="clear" w:color="000000" w:fill="FFFFFF"/>
            <w:noWrap/>
            <w:vAlign w:val="center"/>
          </w:tcPr>
          <w:p w14:paraId="62AEE4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0846CB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3F88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A11AC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车辆系统动力学与智能运维技术</w:t>
            </w:r>
          </w:p>
        </w:tc>
        <w:tc>
          <w:tcPr>
            <w:tcW w:w="373" w:type="pct"/>
            <w:shd w:val="clear" w:color="000000" w:fill="FFFFFF"/>
            <w:noWrap/>
            <w:vAlign w:val="center"/>
          </w:tcPr>
          <w:p w14:paraId="28FE5E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7BD497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45</w:t>
            </w:r>
          </w:p>
        </w:tc>
        <w:tc>
          <w:tcPr>
            <w:tcW w:w="890" w:type="pct"/>
            <w:shd w:val="clear" w:color="000000" w:fill="FFFFFF"/>
            <w:noWrap/>
            <w:vAlign w:val="center"/>
          </w:tcPr>
          <w:p w14:paraId="00CA06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w:t>
            </w:r>
          </w:p>
        </w:tc>
        <w:tc>
          <w:tcPr>
            <w:tcW w:w="704" w:type="pct"/>
            <w:shd w:val="clear" w:color="000000" w:fill="FFFFFF"/>
            <w:noWrap/>
            <w:vAlign w:val="center"/>
          </w:tcPr>
          <w:p w14:paraId="1E088E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7D6FC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“双一流”建设高校；以第一作者发表2篇及以上高水平学术文章</w:t>
            </w:r>
          </w:p>
        </w:tc>
      </w:tr>
      <w:tr w14:paraId="2144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018077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铁路轨道服役性能与维护理论</w:t>
            </w:r>
          </w:p>
        </w:tc>
        <w:tc>
          <w:tcPr>
            <w:tcW w:w="373" w:type="pct"/>
            <w:shd w:val="clear" w:color="000000" w:fill="FFFFFF"/>
            <w:noWrap/>
            <w:vAlign w:val="center"/>
          </w:tcPr>
          <w:p w14:paraId="115D3D7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14351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46</w:t>
            </w:r>
          </w:p>
        </w:tc>
        <w:tc>
          <w:tcPr>
            <w:tcW w:w="890" w:type="pct"/>
            <w:shd w:val="clear" w:color="000000" w:fill="FFFFFF"/>
            <w:noWrap/>
            <w:vAlign w:val="center"/>
          </w:tcPr>
          <w:p w14:paraId="70CB0D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w:t>
            </w:r>
          </w:p>
        </w:tc>
        <w:tc>
          <w:tcPr>
            <w:tcW w:w="704" w:type="pct"/>
            <w:shd w:val="clear" w:color="000000" w:fill="FFFFFF"/>
            <w:noWrap/>
            <w:vAlign w:val="center"/>
          </w:tcPr>
          <w:p w14:paraId="698946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8FF0B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博士毕业于985高校，道路与铁道工程、土木工程、材料工程或智能监测检测等相关专业方向</w:t>
            </w:r>
          </w:p>
        </w:tc>
      </w:tr>
      <w:tr w14:paraId="33DE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C5611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高烈度地震区山岭隧道抗减震理论</w:t>
            </w:r>
          </w:p>
        </w:tc>
        <w:tc>
          <w:tcPr>
            <w:tcW w:w="373" w:type="pct"/>
            <w:shd w:val="clear" w:color="000000" w:fill="FFFFFF"/>
            <w:noWrap/>
            <w:vAlign w:val="center"/>
          </w:tcPr>
          <w:p w14:paraId="6782B4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058AE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47</w:t>
            </w:r>
          </w:p>
        </w:tc>
        <w:tc>
          <w:tcPr>
            <w:tcW w:w="890" w:type="pct"/>
            <w:shd w:val="clear" w:color="000000" w:fill="FFFFFF"/>
            <w:noWrap/>
            <w:vAlign w:val="center"/>
          </w:tcPr>
          <w:p w14:paraId="09D753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77ADDBB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10-15</w:t>
            </w:r>
          </w:p>
        </w:tc>
        <w:tc>
          <w:tcPr>
            <w:tcW w:w="1167" w:type="pct"/>
            <w:shd w:val="clear" w:color="auto" w:fill="auto"/>
            <w:noWrap/>
            <w:vAlign w:val="center"/>
          </w:tcPr>
          <w:p w14:paraId="2F4F0A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1.年龄35周岁以下，具有较强的科研能力和创新研究潜力；获得博士学位一般不超过3年；</w:t>
            </w:r>
          </w:p>
          <w:p w14:paraId="5E580E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2.具有地震动力学/隧道施工力学/岩土工程学等方面的坚实理论基础。</w:t>
            </w:r>
          </w:p>
        </w:tc>
      </w:tr>
      <w:tr w14:paraId="571B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9B21B9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城市深部地下空间建造理论与方法</w:t>
            </w:r>
          </w:p>
        </w:tc>
        <w:tc>
          <w:tcPr>
            <w:tcW w:w="373" w:type="pct"/>
            <w:shd w:val="clear" w:color="000000" w:fill="FFFFFF"/>
            <w:noWrap/>
            <w:vAlign w:val="center"/>
          </w:tcPr>
          <w:p w14:paraId="490303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49E5AC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48</w:t>
            </w:r>
          </w:p>
        </w:tc>
        <w:tc>
          <w:tcPr>
            <w:tcW w:w="890" w:type="pct"/>
            <w:shd w:val="clear" w:color="000000" w:fill="FFFFFF"/>
            <w:noWrap/>
            <w:vAlign w:val="center"/>
          </w:tcPr>
          <w:p w14:paraId="2DEFA1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715160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10-15</w:t>
            </w:r>
          </w:p>
        </w:tc>
        <w:tc>
          <w:tcPr>
            <w:tcW w:w="1167" w:type="pct"/>
            <w:shd w:val="clear" w:color="auto" w:fill="auto"/>
            <w:noWrap/>
            <w:vAlign w:val="center"/>
          </w:tcPr>
          <w:p w14:paraId="19E3CA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1.年龄35周岁以下，具有较强的科研能力和创新研究潜力；获得博士学位一般不超过3年；</w:t>
            </w:r>
          </w:p>
          <w:p w14:paraId="7D5153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2.具有隧道施工力学/岩土工程学等方面的坚实理论基础。</w:t>
            </w:r>
          </w:p>
        </w:tc>
      </w:tr>
      <w:tr w14:paraId="6F44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06166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丛代数的范畴化</w:t>
            </w:r>
          </w:p>
        </w:tc>
        <w:tc>
          <w:tcPr>
            <w:tcW w:w="373" w:type="pct"/>
            <w:shd w:val="clear" w:color="000000" w:fill="FFFFFF"/>
            <w:noWrap/>
            <w:vAlign w:val="center"/>
          </w:tcPr>
          <w:p w14:paraId="367F9C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5FDD52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49</w:t>
            </w:r>
          </w:p>
        </w:tc>
        <w:tc>
          <w:tcPr>
            <w:tcW w:w="890" w:type="pct"/>
            <w:shd w:val="clear" w:color="000000" w:fill="FFFFFF"/>
            <w:noWrap/>
            <w:vAlign w:val="center"/>
          </w:tcPr>
          <w:p w14:paraId="4510F96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数学</w:t>
            </w:r>
          </w:p>
        </w:tc>
        <w:tc>
          <w:tcPr>
            <w:tcW w:w="704" w:type="pct"/>
            <w:shd w:val="clear" w:color="000000" w:fill="FFFFFF"/>
            <w:noWrap/>
            <w:vAlign w:val="center"/>
          </w:tcPr>
          <w:p w14:paraId="1155A8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7F124C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2E51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3E73A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偏微分方程的适定性及长时间行为研究</w:t>
            </w:r>
          </w:p>
        </w:tc>
        <w:tc>
          <w:tcPr>
            <w:tcW w:w="373" w:type="pct"/>
            <w:shd w:val="clear" w:color="000000" w:fill="FFFFFF"/>
            <w:noWrap/>
            <w:vAlign w:val="center"/>
          </w:tcPr>
          <w:p w14:paraId="600218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4E1E44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50</w:t>
            </w:r>
          </w:p>
        </w:tc>
        <w:tc>
          <w:tcPr>
            <w:tcW w:w="890" w:type="pct"/>
            <w:shd w:val="clear" w:color="000000" w:fill="FFFFFF"/>
            <w:noWrap/>
            <w:vAlign w:val="center"/>
          </w:tcPr>
          <w:p w14:paraId="350D1D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数学</w:t>
            </w:r>
          </w:p>
        </w:tc>
        <w:tc>
          <w:tcPr>
            <w:tcW w:w="704" w:type="pct"/>
            <w:shd w:val="clear" w:color="000000" w:fill="FFFFFF"/>
            <w:noWrap/>
            <w:vAlign w:val="center"/>
          </w:tcPr>
          <w:p w14:paraId="3B568F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137FB5F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41DA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E20B94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混频大数据环境下考虑极端冲击的非线性时间序列理论及应用</w:t>
            </w:r>
          </w:p>
        </w:tc>
        <w:tc>
          <w:tcPr>
            <w:tcW w:w="373" w:type="pct"/>
            <w:shd w:val="clear" w:color="000000" w:fill="FFFFFF"/>
            <w:noWrap/>
            <w:vAlign w:val="center"/>
          </w:tcPr>
          <w:p w14:paraId="34DB5C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3E285C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51</w:t>
            </w:r>
          </w:p>
        </w:tc>
        <w:tc>
          <w:tcPr>
            <w:tcW w:w="890" w:type="pct"/>
            <w:shd w:val="clear" w:color="000000" w:fill="FFFFFF"/>
            <w:noWrap/>
            <w:vAlign w:val="center"/>
          </w:tcPr>
          <w:p w14:paraId="7B5FD6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数学、统计学</w:t>
            </w:r>
          </w:p>
        </w:tc>
        <w:tc>
          <w:tcPr>
            <w:tcW w:w="704" w:type="pct"/>
            <w:shd w:val="clear" w:color="000000" w:fill="FFFFFF"/>
            <w:noWrap/>
            <w:vAlign w:val="center"/>
          </w:tcPr>
          <w:p w14:paraId="69DA03E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1C5AED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5A8A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41025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移动场景通信感知一体化波形设计与相关理论问题</w:t>
            </w:r>
          </w:p>
        </w:tc>
        <w:tc>
          <w:tcPr>
            <w:tcW w:w="373" w:type="pct"/>
            <w:shd w:val="clear" w:color="000000" w:fill="FFFFFF"/>
            <w:noWrap/>
            <w:vAlign w:val="center"/>
          </w:tcPr>
          <w:p w14:paraId="3F34BC2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51B4B5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52</w:t>
            </w:r>
          </w:p>
        </w:tc>
        <w:tc>
          <w:tcPr>
            <w:tcW w:w="890" w:type="pct"/>
            <w:shd w:val="clear" w:color="000000" w:fill="FFFFFF"/>
            <w:noWrap/>
            <w:vAlign w:val="center"/>
          </w:tcPr>
          <w:p w14:paraId="511F50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数学、统计学</w:t>
            </w:r>
          </w:p>
        </w:tc>
        <w:tc>
          <w:tcPr>
            <w:tcW w:w="704" w:type="pct"/>
            <w:shd w:val="clear" w:color="000000" w:fill="FFFFFF"/>
            <w:noWrap/>
            <w:vAlign w:val="center"/>
          </w:tcPr>
          <w:p w14:paraId="44C5099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B8CFF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686A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89AEE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复杂山区桥梁智能抗风及桥上行车安全</w:t>
            </w:r>
          </w:p>
        </w:tc>
        <w:tc>
          <w:tcPr>
            <w:tcW w:w="373" w:type="pct"/>
            <w:shd w:val="clear" w:color="000000" w:fill="FFFFFF"/>
            <w:noWrap/>
            <w:vAlign w:val="center"/>
          </w:tcPr>
          <w:p w14:paraId="4E81A5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A027D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53</w:t>
            </w:r>
          </w:p>
        </w:tc>
        <w:tc>
          <w:tcPr>
            <w:tcW w:w="890" w:type="pct"/>
            <w:shd w:val="clear" w:color="000000" w:fill="FFFFFF"/>
            <w:noWrap/>
            <w:vAlign w:val="center"/>
          </w:tcPr>
          <w:p w14:paraId="48CE11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w:t>
            </w:r>
          </w:p>
        </w:tc>
        <w:tc>
          <w:tcPr>
            <w:tcW w:w="704" w:type="pct"/>
            <w:shd w:val="clear" w:color="000000" w:fill="FFFFFF"/>
            <w:noWrap/>
            <w:vAlign w:val="center"/>
          </w:tcPr>
          <w:p w14:paraId="02AE78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30万/年</w:t>
            </w:r>
          </w:p>
        </w:tc>
        <w:tc>
          <w:tcPr>
            <w:tcW w:w="1167" w:type="pct"/>
            <w:shd w:val="clear" w:color="auto" w:fill="auto"/>
            <w:noWrap/>
            <w:vAlign w:val="center"/>
          </w:tcPr>
          <w:p w14:paraId="0DB419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土木工程双一流学科、211以上高校或海外知名高校毕业</w:t>
            </w:r>
          </w:p>
        </w:tc>
      </w:tr>
      <w:tr w14:paraId="33A5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5F2F6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复杂山区桥址区风环境</w:t>
            </w:r>
          </w:p>
        </w:tc>
        <w:tc>
          <w:tcPr>
            <w:tcW w:w="373" w:type="pct"/>
            <w:shd w:val="clear" w:color="000000" w:fill="FFFFFF"/>
            <w:noWrap/>
            <w:vAlign w:val="center"/>
          </w:tcPr>
          <w:p w14:paraId="0457B52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7C44F5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54</w:t>
            </w:r>
          </w:p>
        </w:tc>
        <w:tc>
          <w:tcPr>
            <w:tcW w:w="890" w:type="pct"/>
            <w:shd w:val="clear" w:color="000000" w:fill="FFFFFF"/>
            <w:noWrap/>
            <w:vAlign w:val="center"/>
          </w:tcPr>
          <w:p w14:paraId="32F5789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33364F2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30万/年</w:t>
            </w:r>
          </w:p>
        </w:tc>
        <w:tc>
          <w:tcPr>
            <w:tcW w:w="1167" w:type="pct"/>
            <w:shd w:val="clear" w:color="auto" w:fill="auto"/>
            <w:noWrap/>
            <w:vAlign w:val="center"/>
          </w:tcPr>
          <w:p w14:paraId="5E3A57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土木工程双一流学科、211以上高校或海外知名高校毕业</w:t>
            </w:r>
          </w:p>
        </w:tc>
      </w:tr>
      <w:tr w14:paraId="5581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0765A8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铁路线路病害智能识别与评估</w:t>
            </w:r>
          </w:p>
        </w:tc>
        <w:tc>
          <w:tcPr>
            <w:tcW w:w="373" w:type="pct"/>
            <w:shd w:val="clear" w:color="000000" w:fill="FFFFFF"/>
            <w:noWrap/>
            <w:vAlign w:val="center"/>
          </w:tcPr>
          <w:p w14:paraId="5D9EEE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629946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55</w:t>
            </w:r>
          </w:p>
        </w:tc>
        <w:tc>
          <w:tcPr>
            <w:tcW w:w="890" w:type="pct"/>
            <w:shd w:val="clear" w:color="000000" w:fill="FFFFFF"/>
            <w:noWrap/>
            <w:vAlign w:val="center"/>
          </w:tcPr>
          <w:p w14:paraId="6A9D2A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交通运输工程、计算机科学与技术等智能交通相关学科</w:t>
            </w:r>
          </w:p>
        </w:tc>
        <w:tc>
          <w:tcPr>
            <w:tcW w:w="704" w:type="pct"/>
            <w:shd w:val="clear" w:color="000000" w:fill="FFFFFF"/>
            <w:noWrap/>
            <w:vAlign w:val="center"/>
          </w:tcPr>
          <w:p w14:paraId="394C0A8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1EDCEB8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206C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5D1321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轨道交通运维智能感知、智能诊断及自动化技术研究</w:t>
            </w:r>
          </w:p>
        </w:tc>
        <w:tc>
          <w:tcPr>
            <w:tcW w:w="373" w:type="pct"/>
            <w:shd w:val="clear" w:color="000000" w:fill="FFFFFF"/>
            <w:noWrap/>
            <w:vAlign w:val="center"/>
          </w:tcPr>
          <w:p w14:paraId="140ABE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15715E2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56</w:t>
            </w:r>
          </w:p>
        </w:tc>
        <w:tc>
          <w:tcPr>
            <w:tcW w:w="890" w:type="pct"/>
            <w:shd w:val="clear" w:color="000000" w:fill="FFFFFF"/>
            <w:noWrap/>
            <w:vAlign w:val="center"/>
          </w:tcPr>
          <w:p w14:paraId="66377D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w:t>
            </w:r>
          </w:p>
        </w:tc>
        <w:tc>
          <w:tcPr>
            <w:tcW w:w="704" w:type="pct"/>
            <w:shd w:val="clear" w:color="000000" w:fill="FFFFFF"/>
            <w:noWrap/>
            <w:vAlign w:val="center"/>
          </w:tcPr>
          <w:p w14:paraId="4979DA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82D76F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测控技术、自动化、计算机、机电、车辆工程及从事轨道交通装备测试、智能诊断与智能控制相关专业与研究的博士毕业生。</w:t>
            </w:r>
          </w:p>
        </w:tc>
      </w:tr>
      <w:tr w14:paraId="1AD2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1CFDCE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智能电动车辆工程相关领域科技成果转化</w:t>
            </w:r>
          </w:p>
        </w:tc>
        <w:tc>
          <w:tcPr>
            <w:tcW w:w="373" w:type="pct"/>
            <w:shd w:val="clear" w:color="000000" w:fill="FFFFFF"/>
            <w:noWrap/>
            <w:vAlign w:val="center"/>
          </w:tcPr>
          <w:p w14:paraId="7FBBF0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9A0E2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57</w:t>
            </w:r>
          </w:p>
        </w:tc>
        <w:tc>
          <w:tcPr>
            <w:tcW w:w="890" w:type="pct"/>
            <w:shd w:val="clear" w:color="000000" w:fill="FFFFFF"/>
            <w:noWrap/>
            <w:vAlign w:val="center"/>
          </w:tcPr>
          <w:p w14:paraId="7687BE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w:t>
            </w:r>
          </w:p>
        </w:tc>
        <w:tc>
          <w:tcPr>
            <w:tcW w:w="704" w:type="pct"/>
            <w:shd w:val="clear" w:color="000000" w:fill="FFFFFF"/>
            <w:noWrap/>
            <w:vAlign w:val="center"/>
          </w:tcPr>
          <w:p w14:paraId="132EA98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58C36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3BCA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BD2BCB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国家自然科学基金项目-智能适配多元检修模式的轨道车辆转向架检修线可持续优化设计等</w:t>
            </w:r>
          </w:p>
        </w:tc>
        <w:tc>
          <w:tcPr>
            <w:tcW w:w="373" w:type="pct"/>
            <w:shd w:val="clear" w:color="000000" w:fill="FFFFFF"/>
            <w:noWrap/>
            <w:vAlign w:val="center"/>
          </w:tcPr>
          <w:p w14:paraId="54ED358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357885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58</w:t>
            </w:r>
          </w:p>
        </w:tc>
        <w:tc>
          <w:tcPr>
            <w:tcW w:w="890" w:type="pct"/>
            <w:shd w:val="clear" w:color="000000" w:fill="FFFFFF"/>
            <w:noWrap/>
            <w:vAlign w:val="center"/>
          </w:tcPr>
          <w:p w14:paraId="40DDC2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机械工程、计算机科学与技术</w:t>
            </w:r>
          </w:p>
        </w:tc>
        <w:tc>
          <w:tcPr>
            <w:tcW w:w="704" w:type="pct"/>
            <w:shd w:val="clear" w:color="000000" w:fill="FFFFFF"/>
            <w:noWrap/>
            <w:vAlign w:val="center"/>
          </w:tcPr>
          <w:p w14:paraId="3D8DEE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019A6F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有较好的科研研究经历。</w:t>
            </w:r>
          </w:p>
        </w:tc>
      </w:tr>
      <w:tr w14:paraId="5112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B9F86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交通暂留空间人工环境形成机理与高校营造</w:t>
            </w:r>
          </w:p>
        </w:tc>
        <w:tc>
          <w:tcPr>
            <w:tcW w:w="373" w:type="pct"/>
            <w:shd w:val="clear" w:color="000000" w:fill="FFFFFF"/>
            <w:noWrap/>
            <w:vAlign w:val="center"/>
          </w:tcPr>
          <w:p w14:paraId="69E211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03EF3E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59</w:t>
            </w:r>
          </w:p>
        </w:tc>
        <w:tc>
          <w:tcPr>
            <w:tcW w:w="890" w:type="pct"/>
            <w:shd w:val="clear" w:color="000000" w:fill="FFFFFF"/>
            <w:noWrap/>
            <w:vAlign w:val="center"/>
          </w:tcPr>
          <w:p w14:paraId="479334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6BC519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678D67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1.宜为国内“211”大学以上、或国外QS100以内学校获得博士学位；</w:t>
            </w:r>
          </w:p>
          <w:p w14:paraId="3F8A02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2.公开发表EI、SCI学术论文2篇以上。</w:t>
            </w:r>
          </w:p>
        </w:tc>
      </w:tr>
      <w:tr w14:paraId="1872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A6DE8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工业生产和建筑机电梯级协同用能优化研究</w:t>
            </w:r>
          </w:p>
        </w:tc>
        <w:tc>
          <w:tcPr>
            <w:tcW w:w="373" w:type="pct"/>
            <w:shd w:val="clear" w:color="000000" w:fill="FFFFFF"/>
            <w:noWrap/>
            <w:vAlign w:val="center"/>
          </w:tcPr>
          <w:p w14:paraId="44BD61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5CD375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60</w:t>
            </w:r>
          </w:p>
        </w:tc>
        <w:tc>
          <w:tcPr>
            <w:tcW w:w="890" w:type="pct"/>
            <w:shd w:val="clear" w:color="000000" w:fill="FFFFFF"/>
            <w:noWrap/>
            <w:vAlign w:val="center"/>
          </w:tcPr>
          <w:p w14:paraId="29DC8A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p>
        </w:tc>
        <w:tc>
          <w:tcPr>
            <w:tcW w:w="704" w:type="pct"/>
            <w:shd w:val="clear" w:color="000000" w:fill="FFFFFF"/>
            <w:noWrap/>
            <w:vAlign w:val="center"/>
          </w:tcPr>
          <w:p w14:paraId="1B0F48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566AE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“211”大学及以上。</w:t>
            </w:r>
          </w:p>
        </w:tc>
      </w:tr>
      <w:tr w14:paraId="1D5D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63140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原子级抛光</w:t>
            </w:r>
          </w:p>
        </w:tc>
        <w:tc>
          <w:tcPr>
            <w:tcW w:w="373" w:type="pct"/>
            <w:shd w:val="clear" w:color="000000" w:fill="FFFFFF"/>
            <w:noWrap/>
            <w:vAlign w:val="center"/>
          </w:tcPr>
          <w:p w14:paraId="2FAB165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43FD065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61</w:t>
            </w:r>
          </w:p>
        </w:tc>
        <w:tc>
          <w:tcPr>
            <w:tcW w:w="890" w:type="pct"/>
            <w:shd w:val="clear" w:color="000000" w:fill="FFFFFF"/>
            <w:noWrap/>
            <w:vAlign w:val="center"/>
          </w:tcPr>
          <w:p w14:paraId="757B94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0E4BDA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BC892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6112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0B94B8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原子级制造</w:t>
            </w:r>
          </w:p>
        </w:tc>
        <w:tc>
          <w:tcPr>
            <w:tcW w:w="373" w:type="pct"/>
            <w:shd w:val="clear" w:color="000000" w:fill="FFFFFF"/>
            <w:noWrap/>
            <w:vAlign w:val="center"/>
          </w:tcPr>
          <w:p w14:paraId="41AA51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2656BA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62</w:t>
            </w:r>
          </w:p>
        </w:tc>
        <w:tc>
          <w:tcPr>
            <w:tcW w:w="890" w:type="pct"/>
            <w:shd w:val="clear" w:color="000000" w:fill="FFFFFF"/>
            <w:noWrap/>
            <w:vAlign w:val="center"/>
          </w:tcPr>
          <w:p w14:paraId="320D11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57E0F91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64A751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0E21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9FB30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原子级表面该项</w:t>
            </w:r>
          </w:p>
        </w:tc>
        <w:tc>
          <w:tcPr>
            <w:tcW w:w="373" w:type="pct"/>
            <w:shd w:val="clear" w:color="000000" w:fill="FFFFFF"/>
            <w:noWrap/>
            <w:vAlign w:val="center"/>
          </w:tcPr>
          <w:p w14:paraId="3658AB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4576B7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63</w:t>
            </w:r>
          </w:p>
        </w:tc>
        <w:tc>
          <w:tcPr>
            <w:tcW w:w="890" w:type="pct"/>
            <w:shd w:val="clear" w:color="000000" w:fill="FFFFFF"/>
            <w:noWrap/>
            <w:vAlign w:val="center"/>
          </w:tcPr>
          <w:p w14:paraId="6EBEE49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2CADF4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38914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0608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53C4B3E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超级制动</w:t>
            </w:r>
          </w:p>
        </w:tc>
        <w:tc>
          <w:tcPr>
            <w:tcW w:w="373" w:type="pct"/>
            <w:shd w:val="clear" w:color="000000" w:fill="FFFFFF"/>
            <w:noWrap/>
            <w:vAlign w:val="center"/>
          </w:tcPr>
          <w:p w14:paraId="0F9E83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0FC452F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64</w:t>
            </w:r>
          </w:p>
        </w:tc>
        <w:tc>
          <w:tcPr>
            <w:tcW w:w="890" w:type="pct"/>
            <w:shd w:val="clear" w:color="000000" w:fill="FFFFFF"/>
            <w:noWrap/>
            <w:vAlign w:val="center"/>
          </w:tcPr>
          <w:p w14:paraId="74E3F5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75EA464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CEA756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7E34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49CF0C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复杂运营环境高速轮轨滚动接触疲劳损伤机理与控制研究</w:t>
            </w:r>
          </w:p>
        </w:tc>
        <w:tc>
          <w:tcPr>
            <w:tcW w:w="373" w:type="pct"/>
            <w:shd w:val="clear" w:color="000000" w:fill="FFFFFF"/>
            <w:noWrap/>
            <w:vAlign w:val="center"/>
          </w:tcPr>
          <w:p w14:paraId="190E2EF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2E0F0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65</w:t>
            </w:r>
          </w:p>
        </w:tc>
        <w:tc>
          <w:tcPr>
            <w:tcW w:w="890" w:type="pct"/>
            <w:shd w:val="clear" w:color="000000" w:fill="FFFFFF"/>
            <w:noWrap/>
            <w:vAlign w:val="center"/>
          </w:tcPr>
          <w:p w14:paraId="5C0D23C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6DD41BB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8F298C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162C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2C541D6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激光熔覆过程无损检测技术与监测机理研究</w:t>
            </w:r>
          </w:p>
        </w:tc>
        <w:tc>
          <w:tcPr>
            <w:tcW w:w="373" w:type="pct"/>
            <w:shd w:val="clear" w:color="000000" w:fill="FFFFFF"/>
            <w:noWrap/>
            <w:vAlign w:val="center"/>
          </w:tcPr>
          <w:p w14:paraId="7D4753B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32C34F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66</w:t>
            </w:r>
          </w:p>
        </w:tc>
        <w:tc>
          <w:tcPr>
            <w:tcW w:w="890" w:type="pct"/>
            <w:shd w:val="clear" w:color="000000" w:fill="FFFFFF"/>
            <w:noWrap/>
            <w:vAlign w:val="center"/>
          </w:tcPr>
          <w:p w14:paraId="48A367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397FF25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D1C666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0E0B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D5569B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基于数字孪生技术的轮轨磨损预测模型与方法研究</w:t>
            </w:r>
          </w:p>
        </w:tc>
        <w:tc>
          <w:tcPr>
            <w:tcW w:w="373" w:type="pct"/>
            <w:shd w:val="clear" w:color="000000" w:fill="FFFFFF"/>
            <w:noWrap/>
            <w:vAlign w:val="center"/>
          </w:tcPr>
          <w:p w14:paraId="319347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080C51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67</w:t>
            </w:r>
          </w:p>
        </w:tc>
        <w:tc>
          <w:tcPr>
            <w:tcW w:w="890" w:type="pct"/>
            <w:shd w:val="clear" w:color="000000" w:fill="FFFFFF"/>
            <w:noWrap/>
            <w:vAlign w:val="center"/>
          </w:tcPr>
          <w:p w14:paraId="3A1CED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53F11D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63E8DA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047E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6071F2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核电装备和材料服役</w:t>
            </w:r>
          </w:p>
        </w:tc>
        <w:tc>
          <w:tcPr>
            <w:tcW w:w="373" w:type="pct"/>
            <w:shd w:val="clear" w:color="000000" w:fill="FFFFFF"/>
            <w:noWrap/>
            <w:vAlign w:val="center"/>
          </w:tcPr>
          <w:p w14:paraId="4061B7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EE137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68</w:t>
            </w:r>
          </w:p>
        </w:tc>
        <w:tc>
          <w:tcPr>
            <w:tcW w:w="890" w:type="pct"/>
            <w:shd w:val="clear" w:color="000000" w:fill="FFFFFF"/>
            <w:noWrap/>
            <w:vAlign w:val="center"/>
          </w:tcPr>
          <w:p w14:paraId="1C1917B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60F75E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57CCB2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1586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817A6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航空装备服役可靠性</w:t>
            </w:r>
          </w:p>
        </w:tc>
        <w:tc>
          <w:tcPr>
            <w:tcW w:w="373" w:type="pct"/>
            <w:shd w:val="clear" w:color="000000" w:fill="FFFFFF"/>
            <w:noWrap/>
            <w:vAlign w:val="center"/>
          </w:tcPr>
          <w:p w14:paraId="3BC3C51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1E6D19A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69</w:t>
            </w:r>
          </w:p>
        </w:tc>
        <w:tc>
          <w:tcPr>
            <w:tcW w:w="890" w:type="pct"/>
            <w:shd w:val="clear" w:color="000000" w:fill="FFFFFF"/>
            <w:noWrap/>
            <w:vAlign w:val="center"/>
          </w:tcPr>
          <w:p w14:paraId="46DB60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4A61A41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93B415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05EA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31A494A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汽轮机和燃气轮机装备和高温材料</w:t>
            </w:r>
          </w:p>
        </w:tc>
        <w:tc>
          <w:tcPr>
            <w:tcW w:w="373" w:type="pct"/>
            <w:shd w:val="clear" w:color="000000" w:fill="FFFFFF"/>
            <w:noWrap/>
            <w:vAlign w:val="center"/>
          </w:tcPr>
          <w:p w14:paraId="6AFE3B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1ECA9D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70</w:t>
            </w:r>
          </w:p>
        </w:tc>
        <w:tc>
          <w:tcPr>
            <w:tcW w:w="890" w:type="pct"/>
            <w:shd w:val="clear" w:color="000000" w:fill="FFFFFF"/>
            <w:noWrap/>
            <w:vAlign w:val="center"/>
          </w:tcPr>
          <w:p w14:paraId="212462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机械工程、材料科学与工程、力学</w:t>
            </w:r>
          </w:p>
        </w:tc>
        <w:tc>
          <w:tcPr>
            <w:tcW w:w="704" w:type="pct"/>
            <w:shd w:val="clear" w:color="000000" w:fill="FFFFFF"/>
            <w:noWrap/>
            <w:vAlign w:val="center"/>
          </w:tcPr>
          <w:p w14:paraId="514DEF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4C545D9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发表过SCI相关论文，具有较好的科研工作经历。</w:t>
            </w:r>
          </w:p>
        </w:tc>
      </w:tr>
      <w:tr w14:paraId="543E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509068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国产XXX工具组件</w:t>
            </w:r>
          </w:p>
        </w:tc>
        <w:tc>
          <w:tcPr>
            <w:tcW w:w="373" w:type="pct"/>
            <w:shd w:val="clear" w:color="000000" w:fill="FFFFFF"/>
            <w:noWrap/>
            <w:vAlign w:val="center"/>
          </w:tcPr>
          <w:p w14:paraId="1C1E40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524" w:type="pct"/>
            <w:shd w:val="clear" w:color="000000" w:fill="FFFFFF"/>
            <w:noWrap/>
            <w:vAlign w:val="center"/>
          </w:tcPr>
          <w:p w14:paraId="6046F2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71</w:t>
            </w:r>
          </w:p>
        </w:tc>
        <w:tc>
          <w:tcPr>
            <w:tcW w:w="890" w:type="pct"/>
            <w:shd w:val="clear" w:color="000000" w:fill="FFFFFF"/>
            <w:noWrap/>
            <w:vAlign w:val="center"/>
          </w:tcPr>
          <w:p w14:paraId="6DF9EE0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机械工程</w:t>
            </w:r>
          </w:p>
        </w:tc>
        <w:tc>
          <w:tcPr>
            <w:tcW w:w="704" w:type="pct"/>
            <w:shd w:val="clear" w:color="000000" w:fill="FFFFFF"/>
            <w:noWrap/>
            <w:vAlign w:val="center"/>
          </w:tcPr>
          <w:p w14:paraId="7ECFBD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2E19DE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985/211高校</w:t>
            </w:r>
          </w:p>
        </w:tc>
      </w:tr>
      <w:tr w14:paraId="689F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000000" w:fill="FFFFFF"/>
            <w:noWrap/>
            <w:vAlign w:val="center"/>
          </w:tcPr>
          <w:p w14:paraId="7C4767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工业领域大模型驱动智能运维</w:t>
            </w:r>
          </w:p>
        </w:tc>
        <w:tc>
          <w:tcPr>
            <w:tcW w:w="373" w:type="pct"/>
            <w:shd w:val="clear" w:color="000000" w:fill="FFFFFF"/>
            <w:noWrap/>
            <w:vAlign w:val="center"/>
          </w:tcPr>
          <w:p w14:paraId="2FF3F21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524" w:type="pct"/>
            <w:shd w:val="clear" w:color="000000" w:fill="FFFFFF"/>
            <w:noWrap/>
            <w:vAlign w:val="center"/>
          </w:tcPr>
          <w:p w14:paraId="688E97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72</w:t>
            </w:r>
          </w:p>
        </w:tc>
        <w:tc>
          <w:tcPr>
            <w:tcW w:w="890" w:type="pct"/>
            <w:shd w:val="clear" w:color="000000" w:fill="FFFFFF"/>
            <w:noWrap/>
            <w:vAlign w:val="center"/>
          </w:tcPr>
          <w:p w14:paraId="092D4A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机械电子工程</w:t>
            </w:r>
          </w:p>
        </w:tc>
        <w:tc>
          <w:tcPr>
            <w:tcW w:w="704" w:type="pct"/>
            <w:shd w:val="clear" w:color="000000" w:fill="FFFFFF"/>
            <w:noWrap/>
            <w:vAlign w:val="center"/>
          </w:tcPr>
          <w:p w14:paraId="7A1AA4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30</w:t>
            </w:r>
          </w:p>
        </w:tc>
        <w:tc>
          <w:tcPr>
            <w:tcW w:w="1167" w:type="pct"/>
            <w:shd w:val="clear" w:color="auto" w:fill="auto"/>
            <w:noWrap/>
            <w:vAlign w:val="center"/>
          </w:tcPr>
          <w:p w14:paraId="39BCF8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r>
      <w:tr w14:paraId="16C3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08BBCA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中国当代文学海外传播与影响研究</w:t>
            </w:r>
          </w:p>
        </w:tc>
        <w:tc>
          <w:tcPr>
            <w:tcW w:w="373" w:type="pct"/>
            <w:shd w:val="clear" w:color="auto" w:fill="FFFFFF"/>
            <w:noWrap/>
            <w:vAlign w:val="center"/>
          </w:tcPr>
          <w:p w14:paraId="6EB1D3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A251FF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73</w:t>
            </w:r>
          </w:p>
        </w:tc>
        <w:tc>
          <w:tcPr>
            <w:tcW w:w="890" w:type="pct"/>
            <w:shd w:val="clear" w:color="auto" w:fill="FFFFFF"/>
            <w:noWrap/>
            <w:vAlign w:val="center"/>
          </w:tcPr>
          <w:p w14:paraId="332CCA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中国语言文学</w:t>
            </w:r>
          </w:p>
          <w:p w14:paraId="743DB87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新闻传播学</w:t>
            </w:r>
          </w:p>
        </w:tc>
        <w:tc>
          <w:tcPr>
            <w:tcW w:w="704" w:type="pct"/>
            <w:shd w:val="clear" w:color="auto" w:fill="FFFFFF"/>
            <w:noWrap/>
            <w:vAlign w:val="center"/>
          </w:tcPr>
          <w:p w14:paraId="223DC8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17D09B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w:t>
            </w:r>
          </w:p>
        </w:tc>
      </w:tr>
      <w:tr w14:paraId="1546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3329F9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中国现当代文学中的交通叙事研究</w:t>
            </w:r>
          </w:p>
        </w:tc>
        <w:tc>
          <w:tcPr>
            <w:tcW w:w="373" w:type="pct"/>
            <w:shd w:val="clear" w:color="auto" w:fill="FFFFFF"/>
            <w:noWrap/>
            <w:vAlign w:val="center"/>
          </w:tcPr>
          <w:p w14:paraId="4608E3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6CB77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74</w:t>
            </w:r>
          </w:p>
        </w:tc>
        <w:tc>
          <w:tcPr>
            <w:tcW w:w="890" w:type="pct"/>
            <w:shd w:val="clear" w:color="auto" w:fill="FFFFFF"/>
            <w:noWrap/>
            <w:vAlign w:val="center"/>
          </w:tcPr>
          <w:p w14:paraId="0CF2D5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中国语言文学</w:t>
            </w:r>
          </w:p>
          <w:p w14:paraId="0885EC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中国史</w:t>
            </w:r>
          </w:p>
        </w:tc>
        <w:tc>
          <w:tcPr>
            <w:tcW w:w="704" w:type="pct"/>
            <w:shd w:val="clear" w:color="auto" w:fill="FFFFFF"/>
            <w:noWrap/>
            <w:vAlign w:val="center"/>
          </w:tcPr>
          <w:p w14:paraId="494DABB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44A6371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w:t>
            </w:r>
          </w:p>
        </w:tc>
      </w:tr>
      <w:tr w14:paraId="6064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0F7C11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中国现当代文学中的情感叙事和文化政治研究</w:t>
            </w:r>
          </w:p>
        </w:tc>
        <w:tc>
          <w:tcPr>
            <w:tcW w:w="373" w:type="pct"/>
            <w:shd w:val="clear" w:color="auto" w:fill="FFFFFF"/>
            <w:noWrap/>
            <w:vAlign w:val="center"/>
          </w:tcPr>
          <w:p w14:paraId="5AFD7D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F6B608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75</w:t>
            </w:r>
          </w:p>
        </w:tc>
        <w:tc>
          <w:tcPr>
            <w:tcW w:w="890" w:type="pct"/>
            <w:shd w:val="clear" w:color="auto" w:fill="FFFFFF"/>
            <w:noWrap/>
            <w:vAlign w:val="center"/>
          </w:tcPr>
          <w:p w14:paraId="68EE6BD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中国语言文学</w:t>
            </w:r>
          </w:p>
          <w:p w14:paraId="186193A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外国语言文学</w:t>
            </w:r>
          </w:p>
        </w:tc>
        <w:tc>
          <w:tcPr>
            <w:tcW w:w="704" w:type="pct"/>
            <w:shd w:val="clear" w:color="auto" w:fill="FFFFFF"/>
            <w:noWrap/>
            <w:vAlign w:val="center"/>
          </w:tcPr>
          <w:p w14:paraId="0E0639F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3014AE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w:t>
            </w:r>
          </w:p>
        </w:tc>
      </w:tr>
      <w:tr w14:paraId="1089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1D950D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道教经典的深度整理与研究</w:t>
            </w:r>
          </w:p>
        </w:tc>
        <w:tc>
          <w:tcPr>
            <w:tcW w:w="373" w:type="pct"/>
            <w:shd w:val="clear" w:color="auto" w:fill="FFFFFF"/>
            <w:noWrap/>
            <w:vAlign w:val="center"/>
          </w:tcPr>
          <w:p w14:paraId="76ACBE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2C4BF64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76</w:t>
            </w:r>
          </w:p>
        </w:tc>
        <w:tc>
          <w:tcPr>
            <w:tcW w:w="890" w:type="pct"/>
            <w:shd w:val="clear" w:color="auto" w:fill="FFFFFF"/>
            <w:noWrap/>
            <w:vAlign w:val="center"/>
          </w:tcPr>
          <w:p w14:paraId="086CA4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中国语言文学</w:t>
            </w:r>
          </w:p>
        </w:tc>
        <w:tc>
          <w:tcPr>
            <w:tcW w:w="704" w:type="pct"/>
            <w:shd w:val="clear" w:color="auto" w:fill="FFFFFF"/>
            <w:noWrap/>
            <w:vAlign w:val="center"/>
          </w:tcPr>
          <w:p w14:paraId="4361098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3B23885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古典文献学方向博士优先</w:t>
            </w:r>
          </w:p>
        </w:tc>
      </w:tr>
      <w:tr w14:paraId="7DD6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5C17AD7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语言考据学研究</w:t>
            </w:r>
          </w:p>
        </w:tc>
        <w:tc>
          <w:tcPr>
            <w:tcW w:w="373" w:type="pct"/>
            <w:shd w:val="clear" w:color="auto" w:fill="FFFFFF"/>
            <w:noWrap/>
            <w:vAlign w:val="center"/>
          </w:tcPr>
          <w:p w14:paraId="1E0A8F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44F28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77</w:t>
            </w:r>
          </w:p>
        </w:tc>
        <w:tc>
          <w:tcPr>
            <w:tcW w:w="890" w:type="pct"/>
            <w:shd w:val="clear" w:color="auto" w:fill="FFFFFF"/>
            <w:noWrap/>
            <w:vAlign w:val="center"/>
          </w:tcPr>
          <w:p w14:paraId="702C880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中国语言文学</w:t>
            </w:r>
          </w:p>
        </w:tc>
        <w:tc>
          <w:tcPr>
            <w:tcW w:w="704" w:type="pct"/>
            <w:shd w:val="clear" w:color="auto" w:fill="FFFFFF"/>
            <w:noWrap/>
            <w:vAlign w:val="center"/>
          </w:tcPr>
          <w:p w14:paraId="5E1B2F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32FD8C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7A64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54259F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方言文献整理</w:t>
            </w:r>
          </w:p>
        </w:tc>
        <w:tc>
          <w:tcPr>
            <w:tcW w:w="373" w:type="pct"/>
            <w:shd w:val="clear" w:color="auto" w:fill="FFFFFF"/>
            <w:noWrap/>
            <w:vAlign w:val="center"/>
          </w:tcPr>
          <w:p w14:paraId="3E987F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A14E8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78</w:t>
            </w:r>
          </w:p>
        </w:tc>
        <w:tc>
          <w:tcPr>
            <w:tcW w:w="890" w:type="pct"/>
            <w:shd w:val="clear" w:color="auto" w:fill="FFFFFF"/>
            <w:noWrap/>
            <w:vAlign w:val="center"/>
          </w:tcPr>
          <w:p w14:paraId="43F460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中国语言文学</w:t>
            </w:r>
          </w:p>
        </w:tc>
        <w:tc>
          <w:tcPr>
            <w:tcW w:w="704" w:type="pct"/>
            <w:shd w:val="clear" w:color="auto" w:fill="FFFFFF"/>
            <w:noWrap/>
            <w:vAlign w:val="center"/>
          </w:tcPr>
          <w:p w14:paraId="2554ED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7BF93D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DF5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1DB6F3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活性天然产物成药性研究</w:t>
            </w:r>
          </w:p>
        </w:tc>
        <w:tc>
          <w:tcPr>
            <w:tcW w:w="373" w:type="pct"/>
            <w:shd w:val="clear" w:color="auto" w:fill="FFFFFF"/>
            <w:noWrap/>
            <w:vAlign w:val="center"/>
          </w:tcPr>
          <w:p w14:paraId="6F71F08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3C8B04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79</w:t>
            </w:r>
          </w:p>
        </w:tc>
        <w:tc>
          <w:tcPr>
            <w:tcW w:w="890" w:type="pct"/>
            <w:shd w:val="clear" w:color="auto" w:fill="FFFFFF"/>
            <w:noWrap/>
            <w:vAlign w:val="center"/>
          </w:tcPr>
          <w:p w14:paraId="7EF5F2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有机化学</w:t>
            </w:r>
          </w:p>
          <w:p w14:paraId="30145E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药物化学</w:t>
            </w:r>
          </w:p>
          <w:p w14:paraId="7EC8240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药理学</w:t>
            </w:r>
          </w:p>
        </w:tc>
        <w:tc>
          <w:tcPr>
            <w:tcW w:w="704" w:type="pct"/>
            <w:shd w:val="clear" w:color="auto" w:fill="FFFFFF"/>
            <w:noWrap/>
            <w:vAlign w:val="center"/>
          </w:tcPr>
          <w:p w14:paraId="0A72D6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60万元</w:t>
            </w:r>
          </w:p>
        </w:tc>
        <w:tc>
          <w:tcPr>
            <w:tcW w:w="1167" w:type="pct"/>
            <w:shd w:val="clear" w:color="auto" w:fill="FFFFFF"/>
            <w:noWrap/>
            <w:vAlign w:val="center"/>
          </w:tcPr>
          <w:p w14:paraId="2A5FEC7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1. 申请者应具有或即将获得有机化学、（天然）药物化学、药物设计、化学生物学、药理学等相关专业博士学位，有扎实的理论基础和实验操作能力。年龄在35周岁以下，有同行认可的学术成果；</w:t>
            </w:r>
          </w:p>
          <w:p w14:paraId="072540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2. 申请者应对新药研发有浓厚的兴趣，具有强烈的事业心和责任感，具有良好的团队协作精神和沟通协调能力，有志于做出高水平科研成果；</w:t>
            </w:r>
          </w:p>
          <w:p w14:paraId="70DE467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3. 能熟练阅读英文文献，并具有较好的中英文写作能力，能够独立撰写论文、专利和科研项目；</w:t>
            </w:r>
          </w:p>
          <w:p w14:paraId="2E0975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 工作勤奋主动，严谨负责，有创新意识，能独立或指导研究生开展相关工作。</w:t>
            </w:r>
          </w:p>
        </w:tc>
      </w:tr>
      <w:tr w14:paraId="2A58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232346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基于生物反应的微纳米药物递送研究</w:t>
            </w:r>
          </w:p>
        </w:tc>
        <w:tc>
          <w:tcPr>
            <w:tcW w:w="373" w:type="pct"/>
            <w:shd w:val="clear" w:color="auto" w:fill="FFFFFF"/>
            <w:noWrap/>
            <w:vAlign w:val="center"/>
          </w:tcPr>
          <w:p w14:paraId="0C05EE0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C4BB5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80</w:t>
            </w:r>
          </w:p>
        </w:tc>
        <w:tc>
          <w:tcPr>
            <w:tcW w:w="890" w:type="pct"/>
            <w:shd w:val="clear" w:color="auto" w:fill="FFFFFF"/>
            <w:noWrap/>
            <w:vAlign w:val="center"/>
          </w:tcPr>
          <w:p w14:paraId="367E39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生物工程</w:t>
            </w:r>
          </w:p>
        </w:tc>
        <w:tc>
          <w:tcPr>
            <w:tcW w:w="704" w:type="pct"/>
            <w:shd w:val="clear" w:color="auto" w:fill="FFFFFF"/>
            <w:noWrap/>
            <w:vAlign w:val="center"/>
          </w:tcPr>
          <w:p w14:paraId="282109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ADDF61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985或211高校博士生</w:t>
            </w:r>
          </w:p>
        </w:tc>
      </w:tr>
      <w:tr w14:paraId="05DE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3E2A82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医药化学品的流动生物催化创制研究</w:t>
            </w:r>
          </w:p>
        </w:tc>
        <w:tc>
          <w:tcPr>
            <w:tcW w:w="373" w:type="pct"/>
            <w:shd w:val="clear" w:color="auto" w:fill="FFFFFF"/>
            <w:noWrap/>
            <w:vAlign w:val="center"/>
          </w:tcPr>
          <w:p w14:paraId="2061B1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482F95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81</w:t>
            </w:r>
          </w:p>
        </w:tc>
        <w:tc>
          <w:tcPr>
            <w:tcW w:w="890" w:type="pct"/>
            <w:shd w:val="clear" w:color="auto" w:fill="FFFFFF"/>
            <w:noWrap/>
            <w:vAlign w:val="center"/>
          </w:tcPr>
          <w:p w14:paraId="507A15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生物工程</w:t>
            </w:r>
          </w:p>
        </w:tc>
        <w:tc>
          <w:tcPr>
            <w:tcW w:w="704" w:type="pct"/>
            <w:shd w:val="clear" w:color="auto" w:fill="FFFFFF"/>
            <w:noWrap/>
            <w:vAlign w:val="center"/>
          </w:tcPr>
          <w:p w14:paraId="6DCFF0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7B4CAA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985或211高校博士生</w:t>
            </w:r>
          </w:p>
        </w:tc>
      </w:tr>
      <w:tr w14:paraId="07B1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7B3F941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中药（民族药）前沿研究与开发创新团队</w:t>
            </w:r>
          </w:p>
        </w:tc>
        <w:tc>
          <w:tcPr>
            <w:tcW w:w="373" w:type="pct"/>
            <w:shd w:val="clear" w:color="auto" w:fill="FFFFFF"/>
            <w:noWrap/>
            <w:vAlign w:val="center"/>
          </w:tcPr>
          <w:p w14:paraId="024395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190FBF8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82</w:t>
            </w:r>
          </w:p>
        </w:tc>
        <w:tc>
          <w:tcPr>
            <w:tcW w:w="890" w:type="pct"/>
            <w:shd w:val="clear" w:color="auto" w:fill="FFFFFF"/>
            <w:noWrap/>
            <w:vAlign w:val="center"/>
          </w:tcPr>
          <w:p w14:paraId="0B1D1A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药学/生物学/中药学</w:t>
            </w:r>
          </w:p>
        </w:tc>
        <w:tc>
          <w:tcPr>
            <w:tcW w:w="704" w:type="pct"/>
            <w:shd w:val="clear" w:color="auto" w:fill="FFFFFF"/>
            <w:noWrap/>
            <w:vAlign w:val="center"/>
          </w:tcPr>
          <w:p w14:paraId="7EA05B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60</w:t>
            </w:r>
          </w:p>
        </w:tc>
        <w:tc>
          <w:tcPr>
            <w:tcW w:w="1167" w:type="pct"/>
            <w:shd w:val="clear" w:color="auto" w:fill="FFFFFF"/>
            <w:noWrap/>
            <w:vAlign w:val="center"/>
          </w:tcPr>
          <w:p w14:paraId="10219BD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985/211/双一流</w:t>
            </w:r>
          </w:p>
        </w:tc>
      </w:tr>
      <w:tr w14:paraId="614B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3C38EE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靶向FoxM1抗肿瘤多肽药物分子作用机制</w:t>
            </w:r>
          </w:p>
        </w:tc>
        <w:tc>
          <w:tcPr>
            <w:tcW w:w="373" w:type="pct"/>
            <w:shd w:val="clear" w:color="auto" w:fill="FFFFFF"/>
            <w:noWrap/>
            <w:vAlign w:val="center"/>
          </w:tcPr>
          <w:p w14:paraId="343FE17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20B315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83</w:t>
            </w:r>
          </w:p>
        </w:tc>
        <w:tc>
          <w:tcPr>
            <w:tcW w:w="890" w:type="pct"/>
            <w:shd w:val="clear" w:color="auto" w:fill="FFFFFF"/>
            <w:noWrap/>
            <w:vAlign w:val="center"/>
          </w:tcPr>
          <w:p w14:paraId="2681CA4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材料科学与工程/药物与载体材料</w:t>
            </w:r>
          </w:p>
        </w:tc>
        <w:tc>
          <w:tcPr>
            <w:tcW w:w="704" w:type="pct"/>
            <w:shd w:val="clear" w:color="auto" w:fill="FFFFFF"/>
            <w:noWrap/>
            <w:vAlign w:val="center"/>
          </w:tcPr>
          <w:p w14:paraId="3C3B31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602ED8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生物医药研究背景</w:t>
            </w:r>
          </w:p>
        </w:tc>
      </w:tr>
      <w:tr w14:paraId="4A93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5023E9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靶向抗肿瘤小分子药物发现</w:t>
            </w:r>
          </w:p>
        </w:tc>
        <w:tc>
          <w:tcPr>
            <w:tcW w:w="373" w:type="pct"/>
            <w:shd w:val="clear" w:color="auto" w:fill="FFFFFF"/>
            <w:noWrap/>
            <w:vAlign w:val="center"/>
          </w:tcPr>
          <w:p w14:paraId="78EB8E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732DF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84</w:t>
            </w:r>
          </w:p>
        </w:tc>
        <w:tc>
          <w:tcPr>
            <w:tcW w:w="890" w:type="pct"/>
            <w:shd w:val="clear" w:color="auto" w:fill="FFFFFF"/>
            <w:noWrap/>
            <w:vAlign w:val="center"/>
          </w:tcPr>
          <w:p w14:paraId="7D5C5B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药学</w:t>
            </w:r>
          </w:p>
        </w:tc>
        <w:tc>
          <w:tcPr>
            <w:tcW w:w="704" w:type="pct"/>
            <w:shd w:val="clear" w:color="auto" w:fill="FFFFFF"/>
            <w:noWrap/>
            <w:vAlign w:val="center"/>
          </w:tcPr>
          <w:p w14:paraId="624306D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18AD2D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4FA7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2C0F62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药物及载体材料</w:t>
            </w:r>
          </w:p>
        </w:tc>
        <w:tc>
          <w:tcPr>
            <w:tcW w:w="373" w:type="pct"/>
            <w:shd w:val="clear" w:color="auto" w:fill="FFFFFF"/>
            <w:noWrap/>
            <w:vAlign w:val="center"/>
          </w:tcPr>
          <w:p w14:paraId="09CC0B1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D7F41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85</w:t>
            </w:r>
          </w:p>
        </w:tc>
        <w:tc>
          <w:tcPr>
            <w:tcW w:w="890" w:type="pct"/>
            <w:shd w:val="clear" w:color="auto" w:fill="FFFFFF"/>
            <w:noWrap/>
            <w:vAlign w:val="center"/>
          </w:tcPr>
          <w:p w14:paraId="3EFEC3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材料学</w:t>
            </w:r>
          </w:p>
        </w:tc>
        <w:tc>
          <w:tcPr>
            <w:tcW w:w="704" w:type="pct"/>
            <w:shd w:val="clear" w:color="auto" w:fill="FFFFFF"/>
            <w:noWrap/>
            <w:vAlign w:val="center"/>
          </w:tcPr>
          <w:p w14:paraId="39C96B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51637F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54F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229D672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羟甲基自由基驱动的电化学有机合成</w:t>
            </w:r>
          </w:p>
        </w:tc>
        <w:tc>
          <w:tcPr>
            <w:tcW w:w="373" w:type="pct"/>
            <w:shd w:val="clear" w:color="auto" w:fill="FFFFFF"/>
            <w:noWrap/>
            <w:vAlign w:val="center"/>
          </w:tcPr>
          <w:p w14:paraId="61FE327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F072E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86</w:t>
            </w:r>
          </w:p>
        </w:tc>
        <w:tc>
          <w:tcPr>
            <w:tcW w:w="890" w:type="pct"/>
            <w:shd w:val="clear" w:color="auto" w:fill="FFFFFF"/>
            <w:noWrap/>
            <w:vAlign w:val="center"/>
          </w:tcPr>
          <w:p w14:paraId="48EEDB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药化</w:t>
            </w:r>
          </w:p>
        </w:tc>
        <w:tc>
          <w:tcPr>
            <w:tcW w:w="704" w:type="pct"/>
            <w:shd w:val="clear" w:color="auto" w:fill="FFFFFF"/>
            <w:noWrap/>
            <w:vAlign w:val="center"/>
          </w:tcPr>
          <w:p w14:paraId="255F99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1F4772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0EA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0114369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四川典型粮油作物促生抗逆生物制剂研发与应用</w:t>
            </w:r>
          </w:p>
        </w:tc>
        <w:tc>
          <w:tcPr>
            <w:tcW w:w="373" w:type="pct"/>
            <w:shd w:val="clear" w:color="auto" w:fill="FFFFFF"/>
            <w:noWrap/>
            <w:vAlign w:val="center"/>
          </w:tcPr>
          <w:p w14:paraId="6C85EC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686778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87</w:t>
            </w:r>
          </w:p>
        </w:tc>
        <w:tc>
          <w:tcPr>
            <w:tcW w:w="890" w:type="pct"/>
            <w:shd w:val="clear" w:color="auto" w:fill="FFFFFF"/>
            <w:noWrap/>
            <w:vAlign w:val="center"/>
          </w:tcPr>
          <w:p w14:paraId="34832B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生物工程</w:t>
            </w:r>
          </w:p>
        </w:tc>
        <w:tc>
          <w:tcPr>
            <w:tcW w:w="704" w:type="pct"/>
            <w:shd w:val="clear" w:color="auto" w:fill="FFFFFF"/>
            <w:noWrap/>
            <w:vAlign w:val="center"/>
          </w:tcPr>
          <w:p w14:paraId="1A311F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2174C0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双一流高校</w:t>
            </w:r>
          </w:p>
        </w:tc>
      </w:tr>
      <w:tr w14:paraId="194D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256E2B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多功能生态有机肥制备关键技术应用与示范</w:t>
            </w:r>
          </w:p>
        </w:tc>
        <w:tc>
          <w:tcPr>
            <w:tcW w:w="373" w:type="pct"/>
            <w:shd w:val="clear" w:color="auto" w:fill="FFFFFF"/>
            <w:noWrap/>
            <w:vAlign w:val="center"/>
          </w:tcPr>
          <w:p w14:paraId="5366CB1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F5BF8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88</w:t>
            </w:r>
          </w:p>
        </w:tc>
        <w:tc>
          <w:tcPr>
            <w:tcW w:w="890" w:type="pct"/>
            <w:shd w:val="clear" w:color="auto" w:fill="FFFFFF"/>
            <w:noWrap/>
            <w:vAlign w:val="center"/>
          </w:tcPr>
          <w:p w14:paraId="60AE63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材料学</w:t>
            </w:r>
          </w:p>
        </w:tc>
        <w:tc>
          <w:tcPr>
            <w:tcW w:w="704" w:type="pct"/>
            <w:shd w:val="clear" w:color="auto" w:fill="FFFFFF"/>
            <w:noWrap/>
            <w:vAlign w:val="center"/>
          </w:tcPr>
          <w:p w14:paraId="2887A6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78155CD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双一流高校</w:t>
            </w:r>
          </w:p>
        </w:tc>
      </w:tr>
      <w:tr w14:paraId="28ED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72879F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凉山烟区粮烟复合种植下植烟土壤健康调控技术研究与应用</w:t>
            </w:r>
          </w:p>
        </w:tc>
        <w:tc>
          <w:tcPr>
            <w:tcW w:w="373" w:type="pct"/>
            <w:shd w:val="clear" w:color="auto" w:fill="FFFFFF"/>
            <w:noWrap/>
            <w:vAlign w:val="center"/>
          </w:tcPr>
          <w:p w14:paraId="1B75A6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9FB13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89</w:t>
            </w:r>
          </w:p>
        </w:tc>
        <w:tc>
          <w:tcPr>
            <w:tcW w:w="890" w:type="pct"/>
            <w:shd w:val="clear" w:color="auto" w:fill="FFFFFF"/>
            <w:noWrap/>
            <w:vAlign w:val="center"/>
          </w:tcPr>
          <w:p w14:paraId="24975D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生物工程</w:t>
            </w:r>
          </w:p>
        </w:tc>
        <w:tc>
          <w:tcPr>
            <w:tcW w:w="704" w:type="pct"/>
            <w:shd w:val="clear" w:color="auto" w:fill="FFFFFF"/>
            <w:noWrap/>
            <w:vAlign w:val="center"/>
          </w:tcPr>
          <w:p w14:paraId="1925D7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00F51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双一流高校</w:t>
            </w:r>
          </w:p>
        </w:tc>
      </w:tr>
      <w:tr w14:paraId="1730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40" w:type="pct"/>
            <w:shd w:val="clear" w:color="auto" w:fill="FFFFFF"/>
            <w:noWrap/>
            <w:vAlign w:val="center"/>
          </w:tcPr>
          <w:p w14:paraId="09D8ED0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花椒中抗阿尔茨海默症活性物质的发现、合成作用机制及临床前研究</w:t>
            </w:r>
          </w:p>
        </w:tc>
        <w:tc>
          <w:tcPr>
            <w:tcW w:w="373" w:type="pct"/>
            <w:shd w:val="clear" w:color="auto" w:fill="FFFFFF"/>
            <w:noWrap/>
            <w:vAlign w:val="center"/>
          </w:tcPr>
          <w:p w14:paraId="045B8F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289429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90</w:t>
            </w:r>
          </w:p>
        </w:tc>
        <w:tc>
          <w:tcPr>
            <w:tcW w:w="890" w:type="pct"/>
            <w:shd w:val="clear" w:color="auto" w:fill="FFFFFF"/>
            <w:noWrap/>
            <w:vAlign w:val="center"/>
          </w:tcPr>
          <w:p w14:paraId="2B7A9F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药学</w:t>
            </w:r>
          </w:p>
        </w:tc>
        <w:tc>
          <w:tcPr>
            <w:tcW w:w="704" w:type="pct"/>
            <w:shd w:val="clear" w:color="auto" w:fill="FFFFFF"/>
            <w:noWrap/>
            <w:vAlign w:val="center"/>
          </w:tcPr>
          <w:p w14:paraId="5716FD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60</w:t>
            </w:r>
          </w:p>
        </w:tc>
        <w:tc>
          <w:tcPr>
            <w:tcW w:w="1167" w:type="pct"/>
            <w:shd w:val="clear" w:color="auto" w:fill="FFFFFF"/>
            <w:noWrap/>
            <w:vAlign w:val="center"/>
          </w:tcPr>
          <w:p w14:paraId="671445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985或211高校</w:t>
            </w:r>
          </w:p>
        </w:tc>
      </w:tr>
      <w:tr w14:paraId="7113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229CC6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非托卡马克等离子体性能改善的新方法和新技术研究</w:t>
            </w:r>
          </w:p>
        </w:tc>
        <w:tc>
          <w:tcPr>
            <w:tcW w:w="373" w:type="pct"/>
            <w:shd w:val="clear" w:color="auto" w:fill="FFFFFF"/>
            <w:noWrap/>
            <w:vAlign w:val="center"/>
          </w:tcPr>
          <w:p w14:paraId="22C5028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2D8DF38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91</w:t>
            </w:r>
          </w:p>
        </w:tc>
        <w:tc>
          <w:tcPr>
            <w:tcW w:w="890" w:type="pct"/>
            <w:shd w:val="clear" w:color="auto" w:fill="FFFFFF"/>
            <w:noWrap/>
            <w:vAlign w:val="center"/>
          </w:tcPr>
          <w:p w14:paraId="183206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384335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46251E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1C7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2F420A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先进位形准环对称仿星器中关键物理问题研究</w:t>
            </w:r>
          </w:p>
        </w:tc>
        <w:tc>
          <w:tcPr>
            <w:tcW w:w="373" w:type="pct"/>
            <w:shd w:val="clear" w:color="auto" w:fill="FFFFFF"/>
            <w:noWrap/>
            <w:vAlign w:val="center"/>
          </w:tcPr>
          <w:p w14:paraId="3726A3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470C3F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92</w:t>
            </w:r>
          </w:p>
        </w:tc>
        <w:tc>
          <w:tcPr>
            <w:tcW w:w="890" w:type="pct"/>
            <w:shd w:val="clear" w:color="auto" w:fill="FFFFFF"/>
            <w:noWrap/>
            <w:vAlign w:val="center"/>
          </w:tcPr>
          <w:p w14:paraId="3BC20B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702D8E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17AA5D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1142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6A7A262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基于羲和号空间Halpha资料开展太阳活动规律大样本统计研究</w:t>
            </w:r>
          </w:p>
        </w:tc>
        <w:tc>
          <w:tcPr>
            <w:tcW w:w="373" w:type="pct"/>
            <w:shd w:val="clear" w:color="auto" w:fill="FFFFFF"/>
            <w:noWrap/>
            <w:vAlign w:val="center"/>
          </w:tcPr>
          <w:p w14:paraId="4D94412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3F793C9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93</w:t>
            </w:r>
          </w:p>
        </w:tc>
        <w:tc>
          <w:tcPr>
            <w:tcW w:w="890" w:type="pct"/>
            <w:shd w:val="clear" w:color="auto" w:fill="FFFFFF"/>
            <w:noWrap/>
            <w:vAlign w:val="center"/>
          </w:tcPr>
          <w:p w14:paraId="42B897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r>
              <w:rPr>
                <w:rFonts w:hint="eastAsia" w:cs="Times New Roman" w:eastAsiaTheme="minorEastAsia"/>
                <w:sz w:val="21"/>
                <w:szCs w:val="21"/>
                <w:lang w:eastAsia="zh-CN"/>
              </w:rPr>
              <w:t>、</w:t>
            </w:r>
            <w:r>
              <w:rPr>
                <w:rFonts w:hint="eastAsia" w:ascii="Times New Roman" w:hAnsi="Times New Roman" w:cs="Times New Roman" w:eastAsiaTheme="minorEastAsia"/>
                <w:sz w:val="21"/>
                <w:szCs w:val="21"/>
              </w:rPr>
              <w:t>天文学</w:t>
            </w:r>
          </w:p>
        </w:tc>
        <w:tc>
          <w:tcPr>
            <w:tcW w:w="704" w:type="pct"/>
            <w:shd w:val="clear" w:color="auto" w:fill="FFFFFF"/>
            <w:noWrap/>
            <w:vAlign w:val="center"/>
          </w:tcPr>
          <w:p w14:paraId="3FFB881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CCA5B1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3454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335C0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基于LHAASO的科学研究</w:t>
            </w:r>
          </w:p>
        </w:tc>
        <w:tc>
          <w:tcPr>
            <w:tcW w:w="373" w:type="pct"/>
            <w:shd w:val="clear" w:color="auto" w:fill="FFFFFF"/>
            <w:noWrap/>
            <w:vAlign w:val="center"/>
          </w:tcPr>
          <w:p w14:paraId="0F5A6E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DD3916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94</w:t>
            </w:r>
          </w:p>
        </w:tc>
        <w:tc>
          <w:tcPr>
            <w:tcW w:w="890" w:type="pct"/>
            <w:shd w:val="clear" w:color="auto" w:fill="FFFFFF"/>
            <w:noWrap/>
            <w:vAlign w:val="center"/>
          </w:tcPr>
          <w:p w14:paraId="53BD8C0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天体物理</w:t>
            </w:r>
          </w:p>
        </w:tc>
        <w:tc>
          <w:tcPr>
            <w:tcW w:w="704" w:type="pct"/>
            <w:shd w:val="clear" w:color="auto" w:fill="FFFFFF"/>
            <w:noWrap/>
            <w:vAlign w:val="center"/>
          </w:tcPr>
          <w:p w14:paraId="3C52D7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6F106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793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246A69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天线阵高效建模与计算技术</w:t>
            </w:r>
          </w:p>
        </w:tc>
        <w:tc>
          <w:tcPr>
            <w:tcW w:w="373" w:type="pct"/>
            <w:shd w:val="clear" w:color="auto" w:fill="FFFFFF"/>
            <w:noWrap/>
            <w:vAlign w:val="center"/>
          </w:tcPr>
          <w:p w14:paraId="4F731E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792319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95</w:t>
            </w:r>
          </w:p>
        </w:tc>
        <w:tc>
          <w:tcPr>
            <w:tcW w:w="890" w:type="pct"/>
            <w:shd w:val="clear" w:color="auto" w:fill="FFFFFF"/>
            <w:noWrap/>
            <w:vAlign w:val="center"/>
          </w:tcPr>
          <w:p w14:paraId="358CA46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w:t>
            </w:r>
          </w:p>
        </w:tc>
        <w:tc>
          <w:tcPr>
            <w:tcW w:w="704" w:type="pct"/>
            <w:shd w:val="clear" w:color="auto" w:fill="FFFFFF"/>
            <w:noWrap/>
            <w:vAlign w:val="center"/>
          </w:tcPr>
          <w:p w14:paraId="5EDCCA3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69021B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3615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0E9998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电磁干扰监测与定位技术研究</w:t>
            </w:r>
          </w:p>
        </w:tc>
        <w:tc>
          <w:tcPr>
            <w:tcW w:w="373" w:type="pct"/>
            <w:shd w:val="clear" w:color="auto" w:fill="FFFFFF"/>
            <w:noWrap/>
            <w:vAlign w:val="center"/>
          </w:tcPr>
          <w:p w14:paraId="2410DF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A6510B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96</w:t>
            </w:r>
          </w:p>
        </w:tc>
        <w:tc>
          <w:tcPr>
            <w:tcW w:w="890" w:type="pct"/>
            <w:shd w:val="clear" w:color="auto" w:fill="FFFFFF"/>
            <w:noWrap/>
            <w:vAlign w:val="center"/>
          </w:tcPr>
          <w:p w14:paraId="79A761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w:t>
            </w:r>
          </w:p>
        </w:tc>
        <w:tc>
          <w:tcPr>
            <w:tcW w:w="704" w:type="pct"/>
            <w:shd w:val="clear" w:color="auto" w:fill="FFFFFF"/>
            <w:noWrap/>
            <w:vAlign w:val="center"/>
          </w:tcPr>
          <w:p w14:paraId="79D4E7F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1B2D2CD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 高校</w:t>
            </w:r>
          </w:p>
        </w:tc>
      </w:tr>
      <w:tr w14:paraId="19DC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8E48A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多原子波导QED中的量子调控</w:t>
            </w:r>
          </w:p>
        </w:tc>
        <w:tc>
          <w:tcPr>
            <w:tcW w:w="373" w:type="pct"/>
            <w:shd w:val="clear" w:color="auto" w:fill="FFFFFF"/>
            <w:noWrap/>
            <w:vAlign w:val="center"/>
          </w:tcPr>
          <w:p w14:paraId="3F8489E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3F48078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97</w:t>
            </w:r>
          </w:p>
        </w:tc>
        <w:tc>
          <w:tcPr>
            <w:tcW w:w="890" w:type="pct"/>
            <w:shd w:val="clear" w:color="auto" w:fill="FFFFFF"/>
            <w:noWrap/>
            <w:vAlign w:val="center"/>
          </w:tcPr>
          <w:p w14:paraId="7DD2B5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3437CE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23641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具有量子光学，量子物理，凝聚态物理等的研究背景</w:t>
            </w:r>
          </w:p>
        </w:tc>
      </w:tr>
      <w:tr w14:paraId="3C2B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45B2A0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热界面材料导热通路的构筑与仿真</w:t>
            </w:r>
          </w:p>
        </w:tc>
        <w:tc>
          <w:tcPr>
            <w:tcW w:w="373" w:type="pct"/>
            <w:shd w:val="clear" w:color="auto" w:fill="FFFFFF"/>
            <w:noWrap/>
            <w:vAlign w:val="center"/>
          </w:tcPr>
          <w:p w14:paraId="5AF770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142EB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98</w:t>
            </w:r>
          </w:p>
        </w:tc>
        <w:tc>
          <w:tcPr>
            <w:tcW w:w="890" w:type="pct"/>
            <w:shd w:val="clear" w:color="auto" w:fill="FFFFFF"/>
            <w:noWrap/>
            <w:vAlign w:val="center"/>
          </w:tcPr>
          <w:p w14:paraId="554E6D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54E0EA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2772C9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985/211高校</w:t>
            </w:r>
          </w:p>
        </w:tc>
      </w:tr>
      <w:tr w14:paraId="2D77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B1D29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数据驱动新材料设计</w:t>
            </w:r>
          </w:p>
        </w:tc>
        <w:tc>
          <w:tcPr>
            <w:tcW w:w="373" w:type="pct"/>
            <w:shd w:val="clear" w:color="auto" w:fill="FFFFFF"/>
            <w:noWrap/>
            <w:vAlign w:val="center"/>
          </w:tcPr>
          <w:p w14:paraId="6917B6A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B5B59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BSH0</w:t>
            </w:r>
            <w:r>
              <w:rPr>
                <w:rFonts w:hint="eastAsia" w:cs="Times New Roman" w:eastAsiaTheme="minorEastAsia"/>
                <w:kern w:val="2"/>
                <w:sz w:val="21"/>
                <w:szCs w:val="21"/>
                <w:lang w:val="en-US" w:eastAsia="zh-CN" w:bidi="ar-SA"/>
              </w:rPr>
              <w:t>99</w:t>
            </w:r>
          </w:p>
        </w:tc>
        <w:tc>
          <w:tcPr>
            <w:tcW w:w="890" w:type="pct"/>
            <w:shd w:val="clear" w:color="auto" w:fill="FFFFFF"/>
            <w:noWrap/>
            <w:vAlign w:val="center"/>
          </w:tcPr>
          <w:p w14:paraId="5BB56AA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2C890C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09E61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985/211高校</w:t>
            </w:r>
          </w:p>
        </w:tc>
      </w:tr>
      <w:tr w14:paraId="5FBE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0F41B8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高温超导薄膜和高温超导带材</w:t>
            </w:r>
          </w:p>
        </w:tc>
        <w:tc>
          <w:tcPr>
            <w:tcW w:w="373" w:type="pct"/>
            <w:shd w:val="clear" w:color="auto" w:fill="FFFFFF"/>
            <w:noWrap/>
            <w:vAlign w:val="center"/>
          </w:tcPr>
          <w:p w14:paraId="417A3A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61E4D84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100</w:t>
            </w:r>
          </w:p>
        </w:tc>
        <w:tc>
          <w:tcPr>
            <w:tcW w:w="890" w:type="pct"/>
            <w:shd w:val="clear" w:color="auto" w:fill="FFFFFF"/>
            <w:noWrap/>
            <w:vAlign w:val="center"/>
          </w:tcPr>
          <w:p w14:paraId="725DD8A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3C66041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D3089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985/211高校</w:t>
            </w:r>
          </w:p>
        </w:tc>
      </w:tr>
      <w:tr w14:paraId="4638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D6516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阵列集成化气敏传感器</w:t>
            </w:r>
          </w:p>
        </w:tc>
        <w:tc>
          <w:tcPr>
            <w:tcW w:w="373" w:type="pct"/>
            <w:shd w:val="clear" w:color="auto" w:fill="FFFFFF"/>
            <w:noWrap/>
            <w:vAlign w:val="center"/>
          </w:tcPr>
          <w:p w14:paraId="5D4AAA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76A6C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101</w:t>
            </w:r>
          </w:p>
        </w:tc>
        <w:tc>
          <w:tcPr>
            <w:tcW w:w="890" w:type="pct"/>
            <w:shd w:val="clear" w:color="auto" w:fill="FFFFFF"/>
            <w:noWrap/>
            <w:vAlign w:val="center"/>
          </w:tcPr>
          <w:p w14:paraId="3922E3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物理学</w:t>
            </w:r>
          </w:p>
        </w:tc>
        <w:tc>
          <w:tcPr>
            <w:tcW w:w="704" w:type="pct"/>
            <w:shd w:val="clear" w:color="auto" w:fill="FFFFFF"/>
            <w:noWrap/>
            <w:vAlign w:val="center"/>
          </w:tcPr>
          <w:p w14:paraId="3F762C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89876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985/211高校</w:t>
            </w:r>
          </w:p>
        </w:tc>
      </w:tr>
      <w:tr w14:paraId="2534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38C28D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隧道智能建造技术</w:t>
            </w:r>
          </w:p>
        </w:tc>
        <w:tc>
          <w:tcPr>
            <w:tcW w:w="373" w:type="pct"/>
            <w:shd w:val="clear" w:color="auto" w:fill="FFFFFF"/>
            <w:noWrap/>
            <w:vAlign w:val="center"/>
          </w:tcPr>
          <w:p w14:paraId="176626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5C574F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102</w:t>
            </w:r>
          </w:p>
        </w:tc>
        <w:tc>
          <w:tcPr>
            <w:tcW w:w="890" w:type="pct"/>
            <w:shd w:val="clear" w:color="auto" w:fill="FFFFFF"/>
            <w:noWrap/>
            <w:vAlign w:val="center"/>
          </w:tcPr>
          <w:p w14:paraId="239384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土木工程</w:t>
            </w:r>
          </w:p>
        </w:tc>
        <w:tc>
          <w:tcPr>
            <w:tcW w:w="704" w:type="pct"/>
            <w:shd w:val="clear" w:color="auto" w:fill="FFFFFF"/>
            <w:noWrap/>
            <w:vAlign w:val="center"/>
          </w:tcPr>
          <w:p w14:paraId="20DF95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4A62E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具有智能建造相关基础</w:t>
            </w:r>
          </w:p>
        </w:tc>
      </w:tr>
      <w:tr w14:paraId="3593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0ADCB07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大数据驱动的固废循环过程解析与代谢优化</w:t>
            </w:r>
          </w:p>
        </w:tc>
        <w:tc>
          <w:tcPr>
            <w:tcW w:w="373" w:type="pct"/>
            <w:shd w:val="clear" w:color="auto" w:fill="FFFFFF"/>
            <w:noWrap/>
            <w:vAlign w:val="center"/>
          </w:tcPr>
          <w:p w14:paraId="0B6533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D4D1D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103</w:t>
            </w:r>
          </w:p>
        </w:tc>
        <w:tc>
          <w:tcPr>
            <w:tcW w:w="890" w:type="pct"/>
            <w:shd w:val="clear" w:color="auto" w:fill="FFFFFF"/>
            <w:noWrap/>
            <w:vAlign w:val="center"/>
          </w:tcPr>
          <w:p w14:paraId="251B5B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环境科学与工程、测绘科学与技术、土木工程</w:t>
            </w:r>
          </w:p>
        </w:tc>
        <w:tc>
          <w:tcPr>
            <w:tcW w:w="704" w:type="pct"/>
            <w:shd w:val="clear" w:color="auto" w:fill="FFFFFF"/>
            <w:noWrap/>
            <w:vAlign w:val="center"/>
          </w:tcPr>
          <w:p w14:paraId="7BCE07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E7089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年龄35周岁以下，获得博士学位不超过3年；具有211以上高校或海外高校学习经历，以第一作者发表过高质量文章不少于2篇。能熟练应用大数据挖掘、融合、建模技术的优先考虑</w:t>
            </w:r>
          </w:p>
        </w:tc>
      </w:tr>
      <w:tr w14:paraId="7EF6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1240CDA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交通建造碳排放测度与减排路径</w:t>
            </w:r>
          </w:p>
        </w:tc>
        <w:tc>
          <w:tcPr>
            <w:tcW w:w="373" w:type="pct"/>
            <w:shd w:val="clear" w:color="auto" w:fill="FFFFFF"/>
            <w:noWrap/>
            <w:vAlign w:val="center"/>
          </w:tcPr>
          <w:p w14:paraId="700F56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F637A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104</w:t>
            </w:r>
          </w:p>
        </w:tc>
        <w:tc>
          <w:tcPr>
            <w:tcW w:w="890" w:type="pct"/>
            <w:shd w:val="clear" w:color="auto" w:fill="FFFFFF"/>
            <w:noWrap/>
            <w:vAlign w:val="center"/>
          </w:tcPr>
          <w:p w14:paraId="65DCEF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环境科学与工程、交通运输工程、土木工程</w:t>
            </w:r>
          </w:p>
        </w:tc>
        <w:tc>
          <w:tcPr>
            <w:tcW w:w="704" w:type="pct"/>
            <w:shd w:val="clear" w:color="auto" w:fill="FFFFFF"/>
            <w:noWrap/>
            <w:vAlign w:val="center"/>
          </w:tcPr>
          <w:p w14:paraId="451DB3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F53D2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年龄35周岁以下，获得博士学位不超过3年；具有211以上高校或海外高校学习经历，以第一作者发表过高质量文章不少于2篇。能熟练应用LCA分析工具的优先考虑</w:t>
            </w:r>
          </w:p>
        </w:tc>
      </w:tr>
      <w:tr w14:paraId="4B75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2FC8742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亲环境行为与减排绩效评估</w:t>
            </w:r>
          </w:p>
        </w:tc>
        <w:tc>
          <w:tcPr>
            <w:tcW w:w="373" w:type="pct"/>
            <w:shd w:val="clear" w:color="auto" w:fill="FFFFFF"/>
            <w:noWrap/>
            <w:vAlign w:val="center"/>
          </w:tcPr>
          <w:p w14:paraId="73B4C49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6FAC4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105</w:t>
            </w:r>
          </w:p>
        </w:tc>
        <w:tc>
          <w:tcPr>
            <w:tcW w:w="890" w:type="pct"/>
            <w:shd w:val="clear" w:color="auto" w:fill="FFFFFF"/>
            <w:noWrap/>
            <w:vAlign w:val="center"/>
          </w:tcPr>
          <w:p w14:paraId="589941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管理科学与工程、建筑学、环境科学与工程</w:t>
            </w:r>
          </w:p>
        </w:tc>
        <w:tc>
          <w:tcPr>
            <w:tcW w:w="704" w:type="pct"/>
            <w:shd w:val="clear" w:color="auto" w:fill="FFFFFF"/>
            <w:noWrap/>
            <w:vAlign w:val="center"/>
          </w:tcPr>
          <w:p w14:paraId="5B89EB7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28</w:t>
            </w:r>
          </w:p>
        </w:tc>
        <w:tc>
          <w:tcPr>
            <w:tcW w:w="1167" w:type="pct"/>
            <w:shd w:val="clear" w:color="auto" w:fill="FFFFFF"/>
            <w:noWrap/>
            <w:vAlign w:val="center"/>
          </w:tcPr>
          <w:p w14:paraId="5AB9390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年龄35周岁以下，获得博士学位不超过3年；具有211以上高校或海外高校学习经历，以第一作者发表过高质量文章不少于2篇；能熟练应用EEG、量表分析工具的优先考虑</w:t>
            </w:r>
          </w:p>
        </w:tc>
      </w:tr>
      <w:tr w14:paraId="0F77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15D87EC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减污降碳：COx等的转化反应路线开发，催化材料设计和反应机理研究。</w:t>
            </w:r>
          </w:p>
        </w:tc>
        <w:tc>
          <w:tcPr>
            <w:tcW w:w="373" w:type="pct"/>
            <w:shd w:val="clear" w:color="auto" w:fill="FFFFFF"/>
            <w:noWrap/>
            <w:vAlign w:val="center"/>
          </w:tcPr>
          <w:p w14:paraId="3B48775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AEF40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106</w:t>
            </w:r>
          </w:p>
        </w:tc>
        <w:tc>
          <w:tcPr>
            <w:tcW w:w="890" w:type="pct"/>
            <w:shd w:val="clear" w:color="auto" w:fill="FFFFFF"/>
            <w:noWrap/>
            <w:vAlign w:val="center"/>
          </w:tcPr>
          <w:p w14:paraId="2C3E0B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环境、化学、材料等相关专业</w:t>
            </w:r>
          </w:p>
        </w:tc>
        <w:tc>
          <w:tcPr>
            <w:tcW w:w="704" w:type="pct"/>
            <w:shd w:val="clear" w:color="auto" w:fill="FFFFFF"/>
            <w:noWrap/>
            <w:vAlign w:val="center"/>
          </w:tcPr>
          <w:p w14:paraId="292C74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r>
              <w:rPr>
                <w:rFonts w:hint="eastAsia" w:ascii="Times New Roman" w:hAnsi="Times New Roman" w:cs="Times New Roman" w:eastAsiaTheme="minorEastAsia"/>
                <w:sz w:val="21"/>
                <w:szCs w:val="21"/>
              </w:rPr>
              <w:t>按国家博士后相关规定及西南交通大学办法执行（自然科学30万元/年）；</w:t>
            </w: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按国家和西南交通大学相关规定提供的基础年薪外，可提供额外项目补助；</w:t>
            </w: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提供国内外学术及企业的交流平台和合作机会，协助博士后期间自然科学青年基金、博士后科学基金等科研项目的申请及推荐。</w:t>
            </w:r>
          </w:p>
        </w:tc>
        <w:tc>
          <w:tcPr>
            <w:tcW w:w="1167" w:type="pct"/>
            <w:shd w:val="clear" w:color="auto" w:fill="FFFFFF"/>
            <w:noWrap/>
            <w:vAlign w:val="center"/>
          </w:tcPr>
          <w:p w14:paraId="5FADA1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1.</w:t>
            </w:r>
            <w:r>
              <w:rPr>
                <w:rFonts w:hint="eastAsia" w:ascii="Times New Roman" w:hAnsi="Times New Roman" w:cs="Times New Roman" w:eastAsiaTheme="minorEastAsia"/>
                <w:sz w:val="21"/>
                <w:szCs w:val="21"/>
              </w:rPr>
              <w:t>35周岁以下，即将获得博士学位，或获得博士学位不超过三年；</w:t>
            </w:r>
          </w:p>
          <w:p w14:paraId="6BEC52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以第一作者身份在专业领域期刊发表过论文；</w:t>
            </w:r>
          </w:p>
          <w:p w14:paraId="091CDD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具有良好的科学素养、事业心、责任感和团队协作精神；</w:t>
            </w:r>
          </w:p>
          <w:p w14:paraId="09BDE5D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④ 进校后须全职在西南交通大学工作。</w:t>
            </w:r>
          </w:p>
        </w:tc>
      </w:tr>
      <w:tr w14:paraId="06A1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1D0942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环境安全与监测：新污染物治理、环境生态学、环境分析化学等。</w:t>
            </w:r>
          </w:p>
        </w:tc>
        <w:tc>
          <w:tcPr>
            <w:tcW w:w="373" w:type="pct"/>
            <w:shd w:val="clear" w:color="auto" w:fill="FFFFFF"/>
            <w:noWrap/>
            <w:vAlign w:val="center"/>
          </w:tcPr>
          <w:p w14:paraId="237BF9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74C18B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107</w:t>
            </w:r>
          </w:p>
        </w:tc>
        <w:tc>
          <w:tcPr>
            <w:tcW w:w="890" w:type="pct"/>
            <w:shd w:val="clear" w:color="auto" w:fill="FFFFFF"/>
            <w:noWrap/>
            <w:vAlign w:val="center"/>
          </w:tcPr>
          <w:p w14:paraId="6C8DFE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环境、化学、材料等相关专业</w:t>
            </w:r>
          </w:p>
        </w:tc>
        <w:tc>
          <w:tcPr>
            <w:tcW w:w="704" w:type="pct"/>
            <w:shd w:val="clear" w:color="auto" w:fill="FFFFFF"/>
            <w:noWrap/>
            <w:vAlign w:val="center"/>
          </w:tcPr>
          <w:p w14:paraId="2CD870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r>
              <w:rPr>
                <w:rFonts w:hint="eastAsia" w:ascii="Times New Roman" w:hAnsi="Times New Roman" w:cs="Times New Roman" w:eastAsiaTheme="minorEastAsia"/>
                <w:sz w:val="21"/>
                <w:szCs w:val="21"/>
              </w:rPr>
              <w:t>按国家博士后相关规定及西南交通大学办法执行（自然科学30万元/年）；</w:t>
            </w: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按国家和西南交通大学相关规定提供具有竞争力的基础年薪外，可提供额外项目补助；</w:t>
            </w: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 xml:space="preserve"> 提供国内外学术及企业的交流平台和合作机会，协助博士后期间自然科学青年基金、博士后科学基金等科研项目的申请及推荐。</w:t>
            </w:r>
          </w:p>
        </w:tc>
        <w:tc>
          <w:tcPr>
            <w:tcW w:w="1167" w:type="pct"/>
            <w:shd w:val="clear" w:color="auto" w:fill="FFFFFF"/>
            <w:noWrap/>
            <w:vAlign w:val="center"/>
          </w:tcPr>
          <w:p w14:paraId="33AEA99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1.</w:t>
            </w:r>
            <w:r>
              <w:rPr>
                <w:rFonts w:hint="eastAsia" w:ascii="Times New Roman" w:hAnsi="Times New Roman" w:cs="Times New Roman" w:eastAsiaTheme="minorEastAsia"/>
                <w:sz w:val="21"/>
                <w:szCs w:val="21"/>
              </w:rPr>
              <w:t>35周岁以下，即将获得博士学位，或获得博士学位不超过三年；</w:t>
            </w:r>
          </w:p>
          <w:p w14:paraId="2B9E798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以第一作者身份在专业领域期刊发表过论文；</w:t>
            </w:r>
          </w:p>
          <w:p w14:paraId="425892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具有良好的科学素养、事业心、责任感和团队协作精神；</w:t>
            </w:r>
          </w:p>
          <w:p w14:paraId="6D9648F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w:t>
            </w:r>
            <w:r>
              <w:rPr>
                <w:rFonts w:hint="eastAsia" w:ascii="Times New Roman" w:hAnsi="Times New Roman" w:cs="Times New Roman" w:eastAsiaTheme="minorEastAsia"/>
                <w:sz w:val="21"/>
                <w:szCs w:val="21"/>
              </w:rPr>
              <w:t>进校后须全职在西南交通大学工作。</w:t>
            </w:r>
          </w:p>
        </w:tc>
      </w:tr>
      <w:tr w14:paraId="0C8D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6950D4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基于表面增强拉曼光谱的智能化污水化学指纹信息提取及设备研究</w:t>
            </w:r>
          </w:p>
        </w:tc>
        <w:tc>
          <w:tcPr>
            <w:tcW w:w="373" w:type="pct"/>
            <w:shd w:val="clear" w:color="auto" w:fill="FFFFFF"/>
            <w:noWrap/>
            <w:vAlign w:val="center"/>
          </w:tcPr>
          <w:p w14:paraId="20F7FD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116530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108</w:t>
            </w:r>
          </w:p>
        </w:tc>
        <w:tc>
          <w:tcPr>
            <w:tcW w:w="890" w:type="pct"/>
            <w:shd w:val="clear" w:color="auto" w:fill="FFFFFF"/>
            <w:noWrap/>
            <w:vAlign w:val="center"/>
          </w:tcPr>
          <w:p w14:paraId="1C7863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环境化学/分析化学/物理化学</w:t>
            </w:r>
          </w:p>
        </w:tc>
        <w:tc>
          <w:tcPr>
            <w:tcW w:w="704" w:type="pct"/>
            <w:shd w:val="clear" w:color="auto" w:fill="FFFFFF"/>
            <w:noWrap/>
            <w:vAlign w:val="center"/>
          </w:tcPr>
          <w:p w14:paraId="48804B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88EC4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1.</w:t>
            </w:r>
            <w:r>
              <w:rPr>
                <w:rFonts w:hint="eastAsia" w:ascii="Times New Roman" w:hAnsi="Times New Roman" w:cs="Times New Roman" w:eastAsiaTheme="minorEastAsia"/>
                <w:sz w:val="21"/>
                <w:szCs w:val="21"/>
              </w:rPr>
              <w:t>35周岁以下，即将获得博士学位，或获得博士学位不超过三年；</w:t>
            </w:r>
          </w:p>
          <w:p w14:paraId="683D729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eastAsia" w:ascii="Times New Roman" w:hAnsi="Times New Roman" w:cs="Times New Roman" w:eastAsiaTheme="minorEastAsia"/>
                <w:sz w:val="21"/>
                <w:szCs w:val="21"/>
              </w:rPr>
              <w:t>以第一作者身份在专业领域中科院一区期刊发表过论文；</w:t>
            </w:r>
          </w:p>
          <w:p w14:paraId="50AF1F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eastAsia" w:ascii="Times New Roman" w:hAnsi="Times New Roman" w:cs="Times New Roman" w:eastAsiaTheme="minorEastAsia"/>
                <w:sz w:val="21"/>
                <w:szCs w:val="21"/>
              </w:rPr>
              <w:t>具有良好的科学素养、事业心、责任感和团队协作精神；</w:t>
            </w:r>
          </w:p>
          <w:p w14:paraId="55AD72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w:t>
            </w:r>
            <w:r>
              <w:rPr>
                <w:rFonts w:hint="eastAsia" w:ascii="Times New Roman" w:hAnsi="Times New Roman" w:cs="Times New Roman" w:eastAsiaTheme="minorEastAsia"/>
                <w:sz w:val="21"/>
                <w:szCs w:val="21"/>
              </w:rPr>
              <w:t>进校后须全职在西南交通大学工作。</w:t>
            </w:r>
          </w:p>
        </w:tc>
      </w:tr>
      <w:tr w14:paraId="7F95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7788A5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4D打印高分子材料工艺力学及其本构关系研究</w:t>
            </w:r>
          </w:p>
        </w:tc>
        <w:tc>
          <w:tcPr>
            <w:tcW w:w="373" w:type="pct"/>
            <w:shd w:val="clear" w:color="auto" w:fill="FFFFFF"/>
            <w:noWrap/>
            <w:vAlign w:val="center"/>
          </w:tcPr>
          <w:p w14:paraId="57E5C7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4CE2C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109</w:t>
            </w:r>
          </w:p>
        </w:tc>
        <w:tc>
          <w:tcPr>
            <w:tcW w:w="890" w:type="pct"/>
            <w:shd w:val="clear" w:color="auto" w:fill="FFFFFF"/>
            <w:noWrap/>
            <w:vAlign w:val="center"/>
          </w:tcPr>
          <w:p w14:paraId="0E4CAD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w:t>
            </w:r>
          </w:p>
        </w:tc>
        <w:tc>
          <w:tcPr>
            <w:tcW w:w="704" w:type="pct"/>
            <w:shd w:val="clear" w:color="auto" w:fill="FFFFFF"/>
            <w:noWrap/>
            <w:vAlign w:val="center"/>
          </w:tcPr>
          <w:p w14:paraId="60E063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B2F28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双一流高校</w:t>
            </w:r>
          </w:p>
        </w:tc>
      </w:tr>
      <w:tr w14:paraId="7F16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33802FD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高性能聚合物材料抗疲劳的结构设计</w:t>
            </w:r>
          </w:p>
        </w:tc>
        <w:tc>
          <w:tcPr>
            <w:tcW w:w="373" w:type="pct"/>
            <w:shd w:val="clear" w:color="auto" w:fill="FFFFFF"/>
            <w:noWrap/>
            <w:vAlign w:val="center"/>
          </w:tcPr>
          <w:p w14:paraId="768F20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57A07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110</w:t>
            </w:r>
          </w:p>
        </w:tc>
        <w:tc>
          <w:tcPr>
            <w:tcW w:w="890" w:type="pct"/>
            <w:shd w:val="clear" w:color="auto" w:fill="FFFFFF"/>
            <w:noWrap/>
            <w:vAlign w:val="center"/>
          </w:tcPr>
          <w:p w14:paraId="67545A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w:t>
            </w:r>
          </w:p>
        </w:tc>
        <w:tc>
          <w:tcPr>
            <w:tcW w:w="704" w:type="pct"/>
            <w:shd w:val="clear" w:color="auto" w:fill="FFFFFF"/>
            <w:noWrap/>
            <w:vAlign w:val="center"/>
          </w:tcPr>
          <w:p w14:paraId="3ED06C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1BD6813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双一流高校</w:t>
            </w:r>
          </w:p>
        </w:tc>
      </w:tr>
      <w:tr w14:paraId="7D47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1C2809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力学超材料结构优化设计及多场耦合调控机制</w:t>
            </w:r>
          </w:p>
          <w:p w14:paraId="0C478D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（实验+理论+模拟）</w:t>
            </w:r>
          </w:p>
        </w:tc>
        <w:tc>
          <w:tcPr>
            <w:tcW w:w="373" w:type="pct"/>
            <w:shd w:val="clear" w:color="auto" w:fill="FFFFFF"/>
            <w:noWrap/>
            <w:vAlign w:val="center"/>
          </w:tcPr>
          <w:p w14:paraId="3205EFE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C6993A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111</w:t>
            </w:r>
          </w:p>
        </w:tc>
        <w:tc>
          <w:tcPr>
            <w:tcW w:w="890" w:type="pct"/>
            <w:shd w:val="clear" w:color="auto" w:fill="FFFFFF"/>
            <w:noWrap/>
            <w:vAlign w:val="center"/>
          </w:tcPr>
          <w:p w14:paraId="6382DC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w:t>
            </w:r>
          </w:p>
        </w:tc>
        <w:tc>
          <w:tcPr>
            <w:tcW w:w="704" w:type="pct"/>
            <w:shd w:val="clear" w:color="auto" w:fill="FFFFFF"/>
            <w:noWrap/>
            <w:vAlign w:val="center"/>
          </w:tcPr>
          <w:p w14:paraId="4186C0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766CF0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国内力学学科评估B+以上单位毕业的博士或国际排名前200大学毕业的博士</w:t>
            </w:r>
          </w:p>
        </w:tc>
      </w:tr>
      <w:tr w14:paraId="28EB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2B2988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复合材料的损伤、疲劳及可靠性评估</w:t>
            </w:r>
          </w:p>
        </w:tc>
        <w:tc>
          <w:tcPr>
            <w:tcW w:w="373" w:type="pct"/>
            <w:shd w:val="clear" w:color="auto" w:fill="FFFFFF"/>
            <w:noWrap/>
            <w:vAlign w:val="center"/>
          </w:tcPr>
          <w:p w14:paraId="774BBA9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4B6F62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112</w:t>
            </w:r>
          </w:p>
        </w:tc>
        <w:tc>
          <w:tcPr>
            <w:tcW w:w="890" w:type="pct"/>
            <w:shd w:val="clear" w:color="auto" w:fill="FFFFFF"/>
            <w:noWrap/>
            <w:vAlign w:val="center"/>
          </w:tcPr>
          <w:p w14:paraId="07B605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固体力学</w:t>
            </w:r>
          </w:p>
        </w:tc>
        <w:tc>
          <w:tcPr>
            <w:tcW w:w="704" w:type="pct"/>
            <w:shd w:val="clear" w:color="auto" w:fill="FFFFFF"/>
            <w:noWrap/>
            <w:vAlign w:val="center"/>
          </w:tcPr>
          <w:p w14:paraId="1541BBF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49390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具备一定的复合材料力学或疲劳可靠性相关研究经验</w:t>
            </w:r>
          </w:p>
        </w:tc>
      </w:tr>
      <w:tr w14:paraId="7BDD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pct"/>
            <w:shd w:val="clear" w:color="auto" w:fill="FFFFFF"/>
            <w:noWrap/>
            <w:vAlign w:val="center"/>
          </w:tcPr>
          <w:p w14:paraId="30F73B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轻质超结构的设计-制备-性能分析</w:t>
            </w:r>
          </w:p>
        </w:tc>
        <w:tc>
          <w:tcPr>
            <w:tcW w:w="373" w:type="pct"/>
            <w:shd w:val="clear" w:color="auto" w:fill="FFFFFF"/>
            <w:noWrap/>
            <w:vAlign w:val="center"/>
          </w:tcPr>
          <w:p w14:paraId="00D337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B5105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113</w:t>
            </w:r>
          </w:p>
        </w:tc>
        <w:tc>
          <w:tcPr>
            <w:tcW w:w="890" w:type="pct"/>
            <w:shd w:val="clear" w:color="auto" w:fill="FFFFFF"/>
            <w:noWrap/>
            <w:vAlign w:val="center"/>
          </w:tcPr>
          <w:p w14:paraId="20FA4A7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固体力学</w:t>
            </w:r>
          </w:p>
        </w:tc>
        <w:tc>
          <w:tcPr>
            <w:tcW w:w="704" w:type="pct"/>
            <w:shd w:val="clear" w:color="auto" w:fill="FFFFFF"/>
            <w:noWrap/>
            <w:vAlign w:val="center"/>
          </w:tcPr>
          <w:p w14:paraId="10D18AE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98A106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具备一定的轻质结构设计与分析经验</w:t>
            </w:r>
          </w:p>
        </w:tc>
      </w:tr>
      <w:tr w14:paraId="585C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626756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金属基复合材料制备工艺与力学性能研究</w:t>
            </w:r>
          </w:p>
        </w:tc>
        <w:tc>
          <w:tcPr>
            <w:tcW w:w="373" w:type="pct"/>
            <w:shd w:val="clear" w:color="auto" w:fill="FFFFFF"/>
            <w:noWrap/>
            <w:vAlign w:val="center"/>
          </w:tcPr>
          <w:p w14:paraId="1E9769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31D9A9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114</w:t>
            </w:r>
          </w:p>
        </w:tc>
        <w:tc>
          <w:tcPr>
            <w:tcW w:w="890" w:type="pct"/>
            <w:shd w:val="clear" w:color="auto" w:fill="FFFFFF"/>
            <w:noWrap/>
            <w:vAlign w:val="center"/>
          </w:tcPr>
          <w:p w14:paraId="4CAC78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材料科学与工程；力学</w:t>
            </w:r>
          </w:p>
        </w:tc>
        <w:tc>
          <w:tcPr>
            <w:tcW w:w="704" w:type="pct"/>
            <w:shd w:val="clear" w:color="auto" w:fill="FFFFFF"/>
            <w:noWrap/>
            <w:vAlign w:val="center"/>
          </w:tcPr>
          <w:p w14:paraId="7A2C1B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C8FB0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有金属基复合材料或金属塑性加工相关研究背景</w:t>
            </w:r>
          </w:p>
        </w:tc>
      </w:tr>
      <w:tr w14:paraId="56B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A2F01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场辅助烧结技术研究</w:t>
            </w:r>
          </w:p>
        </w:tc>
        <w:tc>
          <w:tcPr>
            <w:tcW w:w="373" w:type="pct"/>
            <w:shd w:val="clear" w:color="auto" w:fill="FFFFFF"/>
            <w:noWrap/>
            <w:vAlign w:val="center"/>
          </w:tcPr>
          <w:p w14:paraId="1CB1FD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w:t>
            </w:r>
          </w:p>
        </w:tc>
        <w:tc>
          <w:tcPr>
            <w:tcW w:w="524" w:type="pct"/>
            <w:shd w:val="clear" w:color="auto" w:fill="FFFFFF"/>
            <w:noWrap/>
            <w:vAlign w:val="center"/>
          </w:tcPr>
          <w:p w14:paraId="2E8CFFB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115</w:t>
            </w:r>
          </w:p>
        </w:tc>
        <w:tc>
          <w:tcPr>
            <w:tcW w:w="890" w:type="pct"/>
            <w:shd w:val="clear" w:color="auto" w:fill="FFFFFF"/>
            <w:noWrap/>
            <w:vAlign w:val="center"/>
          </w:tcPr>
          <w:p w14:paraId="0D8B4D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材料科学与工程；冶金工程</w:t>
            </w:r>
          </w:p>
        </w:tc>
        <w:tc>
          <w:tcPr>
            <w:tcW w:w="704" w:type="pct"/>
            <w:shd w:val="clear" w:color="auto" w:fill="FFFFFF"/>
            <w:noWrap/>
            <w:vAlign w:val="center"/>
          </w:tcPr>
          <w:p w14:paraId="0F7CB8D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364587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有硬质合金、结构陶瓷、烧结技术或金属热加工相关研究背景</w:t>
            </w:r>
          </w:p>
        </w:tc>
      </w:tr>
      <w:tr w14:paraId="20B6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3D60FF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智能材料与结构力学</w:t>
            </w:r>
          </w:p>
        </w:tc>
        <w:tc>
          <w:tcPr>
            <w:tcW w:w="373" w:type="pct"/>
            <w:shd w:val="clear" w:color="auto" w:fill="FFFFFF"/>
            <w:noWrap/>
            <w:vAlign w:val="center"/>
          </w:tcPr>
          <w:p w14:paraId="56874B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ED7E6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116</w:t>
            </w:r>
          </w:p>
        </w:tc>
        <w:tc>
          <w:tcPr>
            <w:tcW w:w="890" w:type="pct"/>
            <w:shd w:val="clear" w:color="auto" w:fill="FFFFFF"/>
            <w:noWrap/>
            <w:vAlign w:val="center"/>
          </w:tcPr>
          <w:p w14:paraId="534398A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w:t>
            </w:r>
          </w:p>
        </w:tc>
        <w:tc>
          <w:tcPr>
            <w:tcW w:w="704" w:type="pct"/>
            <w:shd w:val="clear" w:color="auto" w:fill="FFFFFF"/>
            <w:noWrap/>
            <w:vAlign w:val="center"/>
          </w:tcPr>
          <w:p w14:paraId="46DA2BB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30万元/年</w:t>
            </w:r>
          </w:p>
        </w:tc>
        <w:tc>
          <w:tcPr>
            <w:tcW w:w="1167" w:type="pct"/>
            <w:shd w:val="clear" w:color="auto" w:fill="FFFFFF"/>
            <w:noWrap/>
            <w:vAlign w:val="center"/>
          </w:tcPr>
          <w:p w14:paraId="792D3A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1ECC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7901C7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固体本构关系</w:t>
            </w:r>
          </w:p>
        </w:tc>
        <w:tc>
          <w:tcPr>
            <w:tcW w:w="373" w:type="pct"/>
            <w:shd w:val="clear" w:color="auto" w:fill="FFFFFF"/>
            <w:noWrap/>
            <w:vAlign w:val="center"/>
          </w:tcPr>
          <w:p w14:paraId="7D253D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720B4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117</w:t>
            </w:r>
          </w:p>
        </w:tc>
        <w:tc>
          <w:tcPr>
            <w:tcW w:w="890" w:type="pct"/>
            <w:shd w:val="clear" w:color="auto" w:fill="FFFFFF"/>
            <w:noWrap/>
            <w:vAlign w:val="center"/>
          </w:tcPr>
          <w:p w14:paraId="0B6991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w:t>
            </w:r>
          </w:p>
        </w:tc>
        <w:tc>
          <w:tcPr>
            <w:tcW w:w="704" w:type="pct"/>
            <w:shd w:val="clear" w:color="auto" w:fill="FFFFFF"/>
            <w:noWrap/>
            <w:vAlign w:val="center"/>
          </w:tcPr>
          <w:p w14:paraId="48EACFD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30万元/年</w:t>
            </w:r>
          </w:p>
        </w:tc>
        <w:tc>
          <w:tcPr>
            <w:tcW w:w="1167" w:type="pct"/>
            <w:shd w:val="clear" w:color="auto" w:fill="FFFFFF"/>
            <w:noWrap/>
            <w:vAlign w:val="center"/>
          </w:tcPr>
          <w:p w14:paraId="13FFCD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7106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91B07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增材制造Ti-6Al-4V的工艺-组织-性能研究</w:t>
            </w:r>
          </w:p>
        </w:tc>
        <w:tc>
          <w:tcPr>
            <w:tcW w:w="373" w:type="pct"/>
            <w:shd w:val="clear" w:color="auto" w:fill="FFFFFF"/>
            <w:noWrap/>
            <w:vAlign w:val="center"/>
          </w:tcPr>
          <w:p w14:paraId="684A4FE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w:t>
            </w:r>
          </w:p>
        </w:tc>
        <w:tc>
          <w:tcPr>
            <w:tcW w:w="524" w:type="pct"/>
            <w:shd w:val="clear" w:color="auto" w:fill="FFFFFF"/>
            <w:noWrap/>
            <w:vAlign w:val="center"/>
          </w:tcPr>
          <w:p w14:paraId="11A677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118</w:t>
            </w:r>
          </w:p>
        </w:tc>
        <w:tc>
          <w:tcPr>
            <w:tcW w:w="890" w:type="pct"/>
            <w:shd w:val="clear" w:color="auto" w:fill="FFFFFF"/>
            <w:noWrap/>
            <w:vAlign w:val="center"/>
          </w:tcPr>
          <w:p w14:paraId="0162C56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力学、材料、机械</w:t>
            </w:r>
          </w:p>
        </w:tc>
        <w:tc>
          <w:tcPr>
            <w:tcW w:w="704" w:type="pct"/>
            <w:shd w:val="clear" w:color="auto" w:fill="FFFFFF"/>
            <w:noWrap/>
            <w:vAlign w:val="center"/>
          </w:tcPr>
          <w:p w14:paraId="6534285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1F45A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186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72B3B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激光冲击强化铝合金疲劳寿命预测</w:t>
            </w:r>
          </w:p>
        </w:tc>
        <w:tc>
          <w:tcPr>
            <w:tcW w:w="373" w:type="pct"/>
            <w:shd w:val="clear" w:color="auto" w:fill="FFFFFF"/>
            <w:noWrap/>
            <w:vAlign w:val="center"/>
          </w:tcPr>
          <w:p w14:paraId="07C5F2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228B01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119</w:t>
            </w:r>
          </w:p>
        </w:tc>
        <w:tc>
          <w:tcPr>
            <w:tcW w:w="890" w:type="pct"/>
            <w:shd w:val="clear" w:color="auto" w:fill="FFFFFF"/>
            <w:noWrap/>
            <w:vAlign w:val="center"/>
          </w:tcPr>
          <w:p w14:paraId="687DEA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力学、材料、机械</w:t>
            </w:r>
          </w:p>
        </w:tc>
        <w:tc>
          <w:tcPr>
            <w:tcW w:w="704" w:type="pct"/>
            <w:shd w:val="clear" w:color="auto" w:fill="FFFFFF"/>
            <w:noWrap/>
            <w:vAlign w:val="center"/>
          </w:tcPr>
          <w:p w14:paraId="1FCA6B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88573C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0856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7A3684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机器学习赋能先进材料力学性能的计算模拟</w:t>
            </w:r>
          </w:p>
        </w:tc>
        <w:tc>
          <w:tcPr>
            <w:tcW w:w="373" w:type="pct"/>
            <w:shd w:val="clear" w:color="auto" w:fill="FFFFFF"/>
            <w:noWrap/>
            <w:vAlign w:val="center"/>
          </w:tcPr>
          <w:p w14:paraId="3F4AAF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A28E6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120</w:t>
            </w:r>
          </w:p>
        </w:tc>
        <w:tc>
          <w:tcPr>
            <w:tcW w:w="890" w:type="pct"/>
            <w:shd w:val="clear" w:color="auto" w:fill="FFFFFF"/>
            <w:noWrap/>
            <w:vAlign w:val="center"/>
          </w:tcPr>
          <w:p w14:paraId="04A7D6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力学、机械、材料</w:t>
            </w:r>
          </w:p>
        </w:tc>
        <w:tc>
          <w:tcPr>
            <w:tcW w:w="704" w:type="pct"/>
            <w:shd w:val="clear" w:color="auto" w:fill="FFFFFF"/>
            <w:noWrap/>
            <w:vAlign w:val="center"/>
          </w:tcPr>
          <w:p w14:paraId="126EA51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E950D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2364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DB37A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量子力学材料计算</w:t>
            </w:r>
          </w:p>
        </w:tc>
        <w:tc>
          <w:tcPr>
            <w:tcW w:w="373" w:type="pct"/>
            <w:shd w:val="clear" w:color="auto" w:fill="FFFFFF"/>
            <w:noWrap/>
            <w:vAlign w:val="center"/>
          </w:tcPr>
          <w:p w14:paraId="07A4549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A8263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121</w:t>
            </w:r>
          </w:p>
        </w:tc>
        <w:tc>
          <w:tcPr>
            <w:tcW w:w="890" w:type="pct"/>
            <w:shd w:val="clear" w:color="auto" w:fill="FFFFFF"/>
            <w:noWrap/>
            <w:vAlign w:val="center"/>
          </w:tcPr>
          <w:p w14:paraId="08EA4E3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材料科学，物理</w:t>
            </w:r>
          </w:p>
        </w:tc>
        <w:tc>
          <w:tcPr>
            <w:tcW w:w="704" w:type="pct"/>
            <w:shd w:val="clear" w:color="auto" w:fill="FFFFFF"/>
            <w:noWrap/>
            <w:vAlign w:val="center"/>
          </w:tcPr>
          <w:p w14:paraId="38F7F9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A222B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2F63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34542F8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金属材料制备与表征</w:t>
            </w:r>
          </w:p>
        </w:tc>
        <w:tc>
          <w:tcPr>
            <w:tcW w:w="373" w:type="pct"/>
            <w:shd w:val="clear" w:color="auto" w:fill="FFFFFF"/>
            <w:noWrap/>
            <w:vAlign w:val="center"/>
          </w:tcPr>
          <w:p w14:paraId="43379A9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BCBF0E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122</w:t>
            </w:r>
          </w:p>
        </w:tc>
        <w:tc>
          <w:tcPr>
            <w:tcW w:w="890" w:type="pct"/>
            <w:shd w:val="clear" w:color="auto" w:fill="FFFFFF"/>
            <w:noWrap/>
            <w:vAlign w:val="center"/>
          </w:tcPr>
          <w:p w14:paraId="284166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w:t>
            </w:r>
          </w:p>
        </w:tc>
        <w:tc>
          <w:tcPr>
            <w:tcW w:w="704" w:type="pct"/>
            <w:shd w:val="clear" w:color="auto" w:fill="FFFFFF"/>
            <w:noWrap/>
            <w:vAlign w:val="center"/>
          </w:tcPr>
          <w:p w14:paraId="26C5C7A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041D57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1DFB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BE0BB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金属材料热处理</w:t>
            </w:r>
          </w:p>
        </w:tc>
        <w:tc>
          <w:tcPr>
            <w:tcW w:w="373" w:type="pct"/>
            <w:shd w:val="clear" w:color="auto" w:fill="FFFFFF"/>
            <w:noWrap/>
            <w:vAlign w:val="center"/>
          </w:tcPr>
          <w:p w14:paraId="5BB36E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13BEB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123</w:t>
            </w:r>
          </w:p>
        </w:tc>
        <w:tc>
          <w:tcPr>
            <w:tcW w:w="890" w:type="pct"/>
            <w:shd w:val="clear" w:color="auto" w:fill="FFFFFF"/>
            <w:noWrap/>
            <w:vAlign w:val="center"/>
          </w:tcPr>
          <w:p w14:paraId="581832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w:t>
            </w:r>
          </w:p>
        </w:tc>
        <w:tc>
          <w:tcPr>
            <w:tcW w:w="704" w:type="pct"/>
            <w:shd w:val="clear" w:color="auto" w:fill="FFFFFF"/>
            <w:noWrap/>
            <w:vAlign w:val="center"/>
          </w:tcPr>
          <w:p w14:paraId="059E94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B5AF3E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45BF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23B32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电气化铁路牵引供电系统光伏储能先进柔性接入理论与技术</w:t>
            </w:r>
          </w:p>
        </w:tc>
        <w:tc>
          <w:tcPr>
            <w:tcW w:w="373" w:type="pct"/>
            <w:shd w:val="clear" w:color="auto" w:fill="FFFFFF"/>
            <w:noWrap/>
            <w:vAlign w:val="center"/>
          </w:tcPr>
          <w:p w14:paraId="7CDAE3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87D59B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124</w:t>
            </w:r>
          </w:p>
        </w:tc>
        <w:tc>
          <w:tcPr>
            <w:tcW w:w="890" w:type="pct"/>
            <w:shd w:val="clear" w:color="auto" w:fill="FFFFFF"/>
            <w:noWrap/>
            <w:vAlign w:val="center"/>
          </w:tcPr>
          <w:p w14:paraId="04FF2B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4E2545A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D5B355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大功率电力电子研究方向</w:t>
            </w:r>
          </w:p>
        </w:tc>
      </w:tr>
      <w:tr w14:paraId="00A6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08B9CA0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全贯通柔性直流牵引供电系统及其关键技术研究</w:t>
            </w:r>
          </w:p>
        </w:tc>
        <w:tc>
          <w:tcPr>
            <w:tcW w:w="373" w:type="pct"/>
            <w:shd w:val="clear" w:color="auto" w:fill="FFFFFF"/>
            <w:noWrap/>
            <w:vAlign w:val="center"/>
          </w:tcPr>
          <w:p w14:paraId="548968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1-2</w:t>
            </w:r>
          </w:p>
        </w:tc>
        <w:tc>
          <w:tcPr>
            <w:tcW w:w="524" w:type="pct"/>
            <w:shd w:val="clear" w:color="auto" w:fill="FFFFFF"/>
            <w:noWrap/>
            <w:vAlign w:val="center"/>
          </w:tcPr>
          <w:p w14:paraId="2620889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125</w:t>
            </w:r>
          </w:p>
        </w:tc>
        <w:tc>
          <w:tcPr>
            <w:tcW w:w="890" w:type="pct"/>
            <w:shd w:val="clear" w:color="auto" w:fill="FFFFFF"/>
            <w:noWrap/>
            <w:vAlign w:val="center"/>
          </w:tcPr>
          <w:p w14:paraId="2FA8016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控制科学与工程或电气工程</w:t>
            </w:r>
          </w:p>
        </w:tc>
        <w:tc>
          <w:tcPr>
            <w:tcW w:w="704" w:type="pct"/>
            <w:shd w:val="clear" w:color="auto" w:fill="FFFFFF"/>
            <w:noWrap/>
            <w:vAlign w:val="center"/>
          </w:tcPr>
          <w:p w14:paraId="601CA0D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FF388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2ABA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746EA0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全贯通柔性交流牵引供电系统及其关键技术研究</w:t>
            </w:r>
          </w:p>
        </w:tc>
        <w:tc>
          <w:tcPr>
            <w:tcW w:w="373" w:type="pct"/>
            <w:shd w:val="clear" w:color="auto" w:fill="FFFFFF"/>
            <w:noWrap/>
            <w:vAlign w:val="center"/>
          </w:tcPr>
          <w:p w14:paraId="3B5F909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1-2</w:t>
            </w:r>
          </w:p>
        </w:tc>
        <w:tc>
          <w:tcPr>
            <w:tcW w:w="524" w:type="pct"/>
            <w:shd w:val="clear" w:color="auto" w:fill="FFFFFF"/>
            <w:noWrap/>
            <w:vAlign w:val="center"/>
          </w:tcPr>
          <w:p w14:paraId="169A6F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126</w:t>
            </w:r>
          </w:p>
        </w:tc>
        <w:tc>
          <w:tcPr>
            <w:tcW w:w="890" w:type="pct"/>
            <w:shd w:val="clear" w:color="auto" w:fill="FFFFFF"/>
            <w:noWrap/>
            <w:vAlign w:val="center"/>
          </w:tcPr>
          <w:p w14:paraId="5DA40D4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电气工程或控制科学与工程</w:t>
            </w:r>
          </w:p>
        </w:tc>
        <w:tc>
          <w:tcPr>
            <w:tcW w:w="704" w:type="pct"/>
            <w:shd w:val="clear" w:color="auto" w:fill="FFFFFF"/>
            <w:noWrap/>
            <w:vAlign w:val="center"/>
          </w:tcPr>
          <w:p w14:paraId="024EC47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26DC2D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7188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03B1371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电能质量分析与控制</w:t>
            </w:r>
          </w:p>
        </w:tc>
        <w:tc>
          <w:tcPr>
            <w:tcW w:w="373" w:type="pct"/>
            <w:shd w:val="clear" w:color="auto" w:fill="FFFFFF"/>
            <w:noWrap/>
            <w:vAlign w:val="center"/>
          </w:tcPr>
          <w:p w14:paraId="2FD3C48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FC12E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127</w:t>
            </w:r>
          </w:p>
        </w:tc>
        <w:tc>
          <w:tcPr>
            <w:tcW w:w="890" w:type="pct"/>
            <w:shd w:val="clear" w:color="auto" w:fill="FFFFFF"/>
            <w:noWrap/>
            <w:vAlign w:val="center"/>
          </w:tcPr>
          <w:p w14:paraId="195AFE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45A7F7E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A7F7A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57C3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48F956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多能接入贯通供电系统关键技术与应用研究</w:t>
            </w:r>
          </w:p>
        </w:tc>
        <w:tc>
          <w:tcPr>
            <w:tcW w:w="373" w:type="pct"/>
            <w:shd w:val="clear" w:color="auto" w:fill="FFFFFF"/>
            <w:noWrap/>
            <w:vAlign w:val="center"/>
          </w:tcPr>
          <w:p w14:paraId="19E1A4D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4EBEC8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128</w:t>
            </w:r>
          </w:p>
        </w:tc>
        <w:tc>
          <w:tcPr>
            <w:tcW w:w="890" w:type="pct"/>
            <w:shd w:val="clear" w:color="auto" w:fill="FFFFFF"/>
            <w:noWrap/>
            <w:vAlign w:val="center"/>
          </w:tcPr>
          <w:p w14:paraId="4B91DF6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463033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2CB92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3DB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0F32E2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轨道交通智能供控与自动驾驶技术研究</w:t>
            </w:r>
          </w:p>
        </w:tc>
        <w:tc>
          <w:tcPr>
            <w:tcW w:w="373" w:type="pct"/>
            <w:shd w:val="clear" w:color="auto" w:fill="FFFFFF"/>
            <w:noWrap/>
            <w:vAlign w:val="center"/>
          </w:tcPr>
          <w:p w14:paraId="0F08FB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38548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129</w:t>
            </w:r>
          </w:p>
        </w:tc>
        <w:tc>
          <w:tcPr>
            <w:tcW w:w="890" w:type="pct"/>
            <w:shd w:val="clear" w:color="auto" w:fill="FFFFFF"/>
            <w:noWrap/>
            <w:vAlign w:val="center"/>
          </w:tcPr>
          <w:p w14:paraId="1B09AD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1C5E13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5C23D1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319E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617280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新制式轨道交通牵引供电与机车车辆技术研究</w:t>
            </w:r>
          </w:p>
        </w:tc>
        <w:tc>
          <w:tcPr>
            <w:tcW w:w="373" w:type="pct"/>
            <w:shd w:val="clear" w:color="auto" w:fill="FFFFFF"/>
            <w:noWrap/>
            <w:vAlign w:val="center"/>
          </w:tcPr>
          <w:p w14:paraId="622D05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5B7C1E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130</w:t>
            </w:r>
          </w:p>
        </w:tc>
        <w:tc>
          <w:tcPr>
            <w:tcW w:w="890" w:type="pct"/>
            <w:shd w:val="clear" w:color="auto" w:fill="FFFFFF"/>
            <w:noWrap/>
            <w:vAlign w:val="center"/>
          </w:tcPr>
          <w:p w14:paraId="7D558E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5C9C9E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6F40C2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027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7529CB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电化学二氧化碳还原及高效C-N偶联反应</w:t>
            </w:r>
          </w:p>
        </w:tc>
        <w:tc>
          <w:tcPr>
            <w:tcW w:w="373" w:type="pct"/>
            <w:shd w:val="clear" w:color="auto" w:fill="FFFFFF"/>
            <w:noWrap/>
            <w:vAlign w:val="center"/>
          </w:tcPr>
          <w:p w14:paraId="4888E8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451C77A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131</w:t>
            </w:r>
          </w:p>
        </w:tc>
        <w:tc>
          <w:tcPr>
            <w:tcW w:w="890" w:type="pct"/>
            <w:shd w:val="clear" w:color="auto" w:fill="FFFFFF"/>
            <w:noWrap/>
            <w:vAlign w:val="center"/>
          </w:tcPr>
          <w:p w14:paraId="7F246DA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材料科学与工程或化学或电气工程</w:t>
            </w:r>
          </w:p>
        </w:tc>
        <w:tc>
          <w:tcPr>
            <w:tcW w:w="704" w:type="pct"/>
            <w:shd w:val="clear" w:color="auto" w:fill="FFFFFF"/>
            <w:noWrap/>
            <w:vAlign w:val="center"/>
          </w:tcPr>
          <w:p w14:paraId="23C26E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1710236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具有材料科学与工程、或化学、或清洁氢能等专业背景</w:t>
            </w:r>
          </w:p>
        </w:tc>
      </w:tr>
      <w:tr w14:paraId="6537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B7D174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高效低温PEM燃料电池催化剂开发与电池性能表征</w:t>
            </w:r>
          </w:p>
        </w:tc>
        <w:tc>
          <w:tcPr>
            <w:tcW w:w="373" w:type="pct"/>
            <w:shd w:val="clear" w:color="auto" w:fill="FFFFFF"/>
            <w:noWrap/>
            <w:vAlign w:val="center"/>
          </w:tcPr>
          <w:p w14:paraId="4BB15E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2BCBB30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132</w:t>
            </w:r>
          </w:p>
        </w:tc>
        <w:tc>
          <w:tcPr>
            <w:tcW w:w="890" w:type="pct"/>
            <w:shd w:val="clear" w:color="auto" w:fill="FFFFFF"/>
            <w:noWrap/>
            <w:vAlign w:val="center"/>
          </w:tcPr>
          <w:p w14:paraId="6EB071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材料科学与工程或化学或电气工程</w:t>
            </w:r>
          </w:p>
        </w:tc>
        <w:tc>
          <w:tcPr>
            <w:tcW w:w="704" w:type="pct"/>
            <w:shd w:val="clear" w:color="auto" w:fill="FFFFFF"/>
            <w:noWrap/>
            <w:vAlign w:val="center"/>
          </w:tcPr>
          <w:p w14:paraId="09E7CA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C62436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具有材料科学与工程、或化学、或清洁氢能等专业背景</w:t>
            </w:r>
          </w:p>
        </w:tc>
      </w:tr>
      <w:tr w14:paraId="5666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68C376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风电叶片无损检测</w:t>
            </w:r>
          </w:p>
        </w:tc>
        <w:tc>
          <w:tcPr>
            <w:tcW w:w="373" w:type="pct"/>
            <w:shd w:val="clear" w:color="auto" w:fill="FFFFFF"/>
            <w:noWrap/>
            <w:vAlign w:val="center"/>
          </w:tcPr>
          <w:p w14:paraId="4D5122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864A2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133</w:t>
            </w:r>
          </w:p>
        </w:tc>
        <w:tc>
          <w:tcPr>
            <w:tcW w:w="890" w:type="pct"/>
            <w:shd w:val="clear" w:color="auto" w:fill="FFFFFF"/>
            <w:noWrap/>
            <w:vAlign w:val="center"/>
          </w:tcPr>
          <w:p w14:paraId="7CB441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电子科学与技术、物理</w:t>
            </w:r>
          </w:p>
        </w:tc>
        <w:tc>
          <w:tcPr>
            <w:tcW w:w="704" w:type="pct"/>
            <w:shd w:val="clear" w:color="auto" w:fill="FFFFFF"/>
            <w:noWrap/>
            <w:vAlign w:val="center"/>
          </w:tcPr>
          <w:p w14:paraId="4B19DB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6943F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3C35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379E73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毫米波相控阵雷达</w:t>
            </w:r>
          </w:p>
        </w:tc>
        <w:tc>
          <w:tcPr>
            <w:tcW w:w="373" w:type="pct"/>
            <w:shd w:val="clear" w:color="auto" w:fill="FFFFFF"/>
            <w:noWrap/>
            <w:vAlign w:val="center"/>
          </w:tcPr>
          <w:p w14:paraId="2454BA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644FEB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134</w:t>
            </w:r>
          </w:p>
        </w:tc>
        <w:tc>
          <w:tcPr>
            <w:tcW w:w="890" w:type="pct"/>
            <w:shd w:val="clear" w:color="auto" w:fill="FFFFFF"/>
            <w:noWrap/>
            <w:vAlign w:val="center"/>
          </w:tcPr>
          <w:p w14:paraId="7F3D18A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w:t>
            </w:r>
          </w:p>
        </w:tc>
        <w:tc>
          <w:tcPr>
            <w:tcW w:w="704" w:type="pct"/>
            <w:shd w:val="clear" w:color="auto" w:fill="FFFFFF"/>
            <w:noWrap/>
            <w:vAlign w:val="center"/>
          </w:tcPr>
          <w:p w14:paraId="46C625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73B13C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6FB7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5186BC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矿井巷道测风激光雷达</w:t>
            </w:r>
          </w:p>
        </w:tc>
        <w:tc>
          <w:tcPr>
            <w:tcW w:w="373" w:type="pct"/>
            <w:shd w:val="clear" w:color="auto" w:fill="FFFFFF"/>
            <w:noWrap/>
            <w:vAlign w:val="center"/>
          </w:tcPr>
          <w:p w14:paraId="22D5FC3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42D57C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135</w:t>
            </w:r>
          </w:p>
        </w:tc>
        <w:tc>
          <w:tcPr>
            <w:tcW w:w="890" w:type="pct"/>
            <w:shd w:val="clear" w:color="auto" w:fill="FFFFFF"/>
            <w:noWrap/>
            <w:vAlign w:val="center"/>
          </w:tcPr>
          <w:p w14:paraId="003019E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电子科学与技术、物理</w:t>
            </w:r>
          </w:p>
        </w:tc>
        <w:tc>
          <w:tcPr>
            <w:tcW w:w="704" w:type="pct"/>
            <w:shd w:val="clear" w:color="auto" w:fill="FFFFFF"/>
            <w:noWrap/>
            <w:vAlign w:val="center"/>
          </w:tcPr>
          <w:p w14:paraId="099BDA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4E2948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7D97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410CC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碳化硅牵引系统多物理场耦合机理及调控关键技术</w:t>
            </w:r>
          </w:p>
        </w:tc>
        <w:tc>
          <w:tcPr>
            <w:tcW w:w="373" w:type="pct"/>
            <w:shd w:val="clear" w:color="auto" w:fill="FFFFFF"/>
            <w:noWrap/>
            <w:vAlign w:val="center"/>
          </w:tcPr>
          <w:p w14:paraId="323AEB8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16EA587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136</w:t>
            </w:r>
          </w:p>
        </w:tc>
        <w:tc>
          <w:tcPr>
            <w:tcW w:w="890" w:type="pct"/>
            <w:shd w:val="clear" w:color="auto" w:fill="FFFFFF"/>
            <w:noWrap/>
            <w:vAlign w:val="center"/>
          </w:tcPr>
          <w:p w14:paraId="1251578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63FF7A5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32</w:t>
            </w:r>
          </w:p>
        </w:tc>
        <w:tc>
          <w:tcPr>
            <w:tcW w:w="1167" w:type="pct"/>
            <w:shd w:val="clear" w:color="auto" w:fill="FFFFFF"/>
            <w:noWrap/>
            <w:vAlign w:val="center"/>
          </w:tcPr>
          <w:p w14:paraId="0EDD87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211及以上高校或中科院等研究院所</w:t>
            </w:r>
          </w:p>
        </w:tc>
      </w:tr>
      <w:tr w14:paraId="762F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2900BF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10kV碳化硅功率器件设计与制备关键技术</w:t>
            </w:r>
          </w:p>
        </w:tc>
        <w:tc>
          <w:tcPr>
            <w:tcW w:w="373" w:type="pct"/>
            <w:shd w:val="clear" w:color="auto" w:fill="FFFFFF"/>
            <w:noWrap/>
            <w:vAlign w:val="center"/>
          </w:tcPr>
          <w:p w14:paraId="1D903C0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551F5A7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137</w:t>
            </w:r>
          </w:p>
        </w:tc>
        <w:tc>
          <w:tcPr>
            <w:tcW w:w="890" w:type="pct"/>
            <w:shd w:val="clear" w:color="auto" w:fill="FFFFFF"/>
            <w:noWrap/>
            <w:vAlign w:val="center"/>
          </w:tcPr>
          <w:p w14:paraId="0A0E81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电子科学与技术</w:t>
            </w:r>
          </w:p>
        </w:tc>
        <w:tc>
          <w:tcPr>
            <w:tcW w:w="704" w:type="pct"/>
            <w:shd w:val="clear" w:color="auto" w:fill="FFFFFF"/>
            <w:noWrap/>
            <w:vAlign w:val="center"/>
          </w:tcPr>
          <w:p w14:paraId="238C8EB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32</w:t>
            </w:r>
          </w:p>
        </w:tc>
        <w:tc>
          <w:tcPr>
            <w:tcW w:w="1167" w:type="pct"/>
            <w:shd w:val="clear" w:color="auto" w:fill="FFFFFF"/>
            <w:noWrap/>
            <w:vAlign w:val="center"/>
          </w:tcPr>
          <w:p w14:paraId="21A0A6C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211及以上高校或中科院等研究院所</w:t>
            </w:r>
          </w:p>
        </w:tc>
      </w:tr>
      <w:tr w14:paraId="0775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DD448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电力牵引系统数字孪生建模与状态监测技术</w:t>
            </w:r>
          </w:p>
        </w:tc>
        <w:tc>
          <w:tcPr>
            <w:tcW w:w="373" w:type="pct"/>
            <w:shd w:val="clear" w:color="auto" w:fill="FFFFFF"/>
            <w:noWrap/>
            <w:vAlign w:val="center"/>
          </w:tcPr>
          <w:p w14:paraId="0AA16E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C5A2EA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138</w:t>
            </w:r>
          </w:p>
        </w:tc>
        <w:tc>
          <w:tcPr>
            <w:tcW w:w="890" w:type="pct"/>
            <w:shd w:val="clear" w:color="auto" w:fill="FFFFFF"/>
            <w:noWrap/>
            <w:vAlign w:val="center"/>
          </w:tcPr>
          <w:p w14:paraId="085D678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电气工程、计算科学与技术、控制科学与工程</w:t>
            </w:r>
          </w:p>
        </w:tc>
        <w:tc>
          <w:tcPr>
            <w:tcW w:w="704" w:type="pct"/>
            <w:shd w:val="clear" w:color="auto" w:fill="FFFFFF"/>
            <w:noWrap/>
            <w:vAlign w:val="center"/>
          </w:tcPr>
          <w:p w14:paraId="1693A9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32</w:t>
            </w:r>
          </w:p>
        </w:tc>
        <w:tc>
          <w:tcPr>
            <w:tcW w:w="1167" w:type="pct"/>
            <w:shd w:val="clear" w:color="auto" w:fill="FFFFFF"/>
            <w:noWrap/>
            <w:vAlign w:val="center"/>
          </w:tcPr>
          <w:p w14:paraId="1F4737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211及以上高校或中科院等研究院所</w:t>
            </w:r>
          </w:p>
        </w:tc>
      </w:tr>
      <w:tr w14:paraId="783D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55CB57E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脉冲负载功率变换技术</w:t>
            </w:r>
          </w:p>
        </w:tc>
        <w:tc>
          <w:tcPr>
            <w:tcW w:w="373" w:type="pct"/>
            <w:shd w:val="clear" w:color="auto" w:fill="FFFFFF"/>
            <w:noWrap/>
            <w:vAlign w:val="center"/>
          </w:tcPr>
          <w:p w14:paraId="084AD8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01DB51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139</w:t>
            </w:r>
          </w:p>
        </w:tc>
        <w:tc>
          <w:tcPr>
            <w:tcW w:w="890" w:type="pct"/>
            <w:shd w:val="clear" w:color="auto" w:fill="FFFFFF"/>
            <w:noWrap/>
            <w:vAlign w:val="center"/>
          </w:tcPr>
          <w:p w14:paraId="29777AC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76E87A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3E8A5B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毕业于电力电子专业领域</w:t>
            </w:r>
          </w:p>
        </w:tc>
      </w:tr>
      <w:tr w14:paraId="0CD4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4863E3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燃料电池健康管理关键技术</w:t>
            </w:r>
          </w:p>
        </w:tc>
        <w:tc>
          <w:tcPr>
            <w:tcW w:w="373" w:type="pct"/>
            <w:shd w:val="clear" w:color="auto" w:fill="FFFFFF"/>
            <w:noWrap/>
            <w:vAlign w:val="center"/>
          </w:tcPr>
          <w:p w14:paraId="3BA949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297070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140</w:t>
            </w:r>
          </w:p>
        </w:tc>
        <w:tc>
          <w:tcPr>
            <w:tcW w:w="890" w:type="pct"/>
            <w:shd w:val="clear" w:color="auto" w:fill="FFFFFF"/>
            <w:noWrap/>
            <w:vAlign w:val="center"/>
          </w:tcPr>
          <w:p w14:paraId="6E46FE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128232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w:t>
            </w:r>
          </w:p>
        </w:tc>
        <w:tc>
          <w:tcPr>
            <w:tcW w:w="1167" w:type="pct"/>
            <w:shd w:val="clear" w:color="auto" w:fill="FFFFFF"/>
            <w:noWrap/>
            <w:vAlign w:val="center"/>
          </w:tcPr>
          <w:p w14:paraId="74B391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211、985、海外前100名校</w:t>
            </w:r>
          </w:p>
        </w:tc>
      </w:tr>
      <w:tr w14:paraId="3C4E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2304B2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铁路预埋传感器无线供电技术研究</w:t>
            </w:r>
          </w:p>
        </w:tc>
        <w:tc>
          <w:tcPr>
            <w:tcW w:w="373" w:type="pct"/>
            <w:shd w:val="clear" w:color="auto" w:fill="FFFFFF"/>
            <w:noWrap/>
            <w:vAlign w:val="center"/>
          </w:tcPr>
          <w:p w14:paraId="32B850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76B219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141</w:t>
            </w:r>
          </w:p>
        </w:tc>
        <w:tc>
          <w:tcPr>
            <w:tcW w:w="890" w:type="pct"/>
            <w:shd w:val="clear" w:color="auto" w:fill="FFFFFF"/>
            <w:noWrap/>
            <w:vAlign w:val="center"/>
          </w:tcPr>
          <w:p w14:paraId="7B524DD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78A80D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36</w:t>
            </w:r>
          </w:p>
        </w:tc>
        <w:tc>
          <w:tcPr>
            <w:tcW w:w="1167" w:type="pct"/>
            <w:shd w:val="clear" w:color="auto" w:fill="FFFFFF"/>
            <w:noWrap/>
            <w:vAlign w:val="center"/>
          </w:tcPr>
          <w:p w14:paraId="42D367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4DE9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12037B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高速磁浮无线供电技术研究</w:t>
            </w:r>
          </w:p>
        </w:tc>
        <w:tc>
          <w:tcPr>
            <w:tcW w:w="373" w:type="pct"/>
            <w:shd w:val="clear" w:color="auto" w:fill="FFFFFF"/>
            <w:noWrap/>
            <w:vAlign w:val="center"/>
          </w:tcPr>
          <w:p w14:paraId="573128D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344B42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142</w:t>
            </w:r>
          </w:p>
        </w:tc>
        <w:tc>
          <w:tcPr>
            <w:tcW w:w="890" w:type="pct"/>
            <w:shd w:val="clear" w:color="auto" w:fill="FFFFFF"/>
            <w:noWrap/>
            <w:vAlign w:val="center"/>
          </w:tcPr>
          <w:p w14:paraId="79E152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0DBD0E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36</w:t>
            </w:r>
          </w:p>
        </w:tc>
        <w:tc>
          <w:tcPr>
            <w:tcW w:w="1167" w:type="pct"/>
            <w:shd w:val="clear" w:color="auto" w:fill="FFFFFF"/>
            <w:noWrap/>
            <w:vAlign w:val="center"/>
          </w:tcPr>
          <w:p w14:paraId="2988D3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r w14:paraId="20B9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40" w:type="pct"/>
            <w:shd w:val="clear" w:color="auto" w:fill="FFFFFF"/>
            <w:noWrap/>
            <w:vAlign w:val="center"/>
          </w:tcPr>
          <w:p w14:paraId="4950B6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转轴状态监测无线供电技术研究</w:t>
            </w:r>
          </w:p>
        </w:tc>
        <w:tc>
          <w:tcPr>
            <w:tcW w:w="373" w:type="pct"/>
            <w:shd w:val="clear" w:color="auto" w:fill="FFFFFF"/>
            <w:noWrap/>
            <w:vAlign w:val="center"/>
          </w:tcPr>
          <w:p w14:paraId="610311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524" w:type="pct"/>
            <w:shd w:val="clear" w:color="auto" w:fill="FFFFFF"/>
            <w:noWrap/>
            <w:vAlign w:val="center"/>
          </w:tcPr>
          <w:p w14:paraId="265A4B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kern w:val="2"/>
                <w:sz w:val="21"/>
                <w:szCs w:val="21"/>
                <w:lang w:val="en-US" w:eastAsia="zh-CN" w:bidi="ar-SA"/>
              </w:rPr>
              <w:t>BSH</w:t>
            </w:r>
            <w:r>
              <w:rPr>
                <w:rFonts w:hint="eastAsia" w:cs="Times New Roman" w:eastAsiaTheme="minorEastAsia"/>
                <w:kern w:val="2"/>
                <w:sz w:val="21"/>
                <w:szCs w:val="21"/>
                <w:lang w:val="en-US" w:eastAsia="zh-CN" w:bidi="ar-SA"/>
              </w:rPr>
              <w:t>143</w:t>
            </w:r>
          </w:p>
        </w:tc>
        <w:tc>
          <w:tcPr>
            <w:tcW w:w="890" w:type="pct"/>
            <w:shd w:val="clear" w:color="auto" w:fill="FFFFFF"/>
            <w:noWrap/>
            <w:vAlign w:val="center"/>
          </w:tcPr>
          <w:p w14:paraId="487F381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p>
        </w:tc>
        <w:tc>
          <w:tcPr>
            <w:tcW w:w="704" w:type="pct"/>
            <w:shd w:val="clear" w:color="auto" w:fill="FFFFFF"/>
            <w:noWrap/>
            <w:vAlign w:val="center"/>
          </w:tcPr>
          <w:p w14:paraId="7CDF0D1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36</w:t>
            </w:r>
          </w:p>
        </w:tc>
        <w:tc>
          <w:tcPr>
            <w:tcW w:w="1167" w:type="pct"/>
            <w:shd w:val="clear" w:color="auto" w:fill="FFFFFF"/>
            <w:noWrap/>
            <w:vAlign w:val="center"/>
          </w:tcPr>
          <w:p w14:paraId="4772CF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w:t>
            </w:r>
          </w:p>
        </w:tc>
      </w:tr>
    </w:tbl>
    <w:p w14:paraId="251B2234">
      <w:pPr>
        <w:pStyle w:val="3"/>
        <w:adjustRightInd w:val="0"/>
        <w:snapToGrid w:val="0"/>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37A399F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39329B6">
      <w:pPr>
        <w:adjustRightInd w:val="0"/>
        <w:snapToGrid w:val="0"/>
        <w:spacing w:line="240" w:lineRule="auto"/>
        <w:ind w:firstLine="0"/>
        <w:jc w:val="center"/>
        <w:outlineLvl w:val="0"/>
        <w:rPr>
          <w:rFonts w:eastAsia="方正小标宋简体"/>
          <w:sz w:val="44"/>
          <w:szCs w:val="44"/>
        </w:rPr>
      </w:pPr>
      <w:bookmarkStart w:id="61" w:name="_Toc23203"/>
      <w:bookmarkStart w:id="62" w:name="_Toc3344"/>
      <w:bookmarkStart w:id="63" w:name="_Toc8953"/>
      <w:bookmarkStart w:id="64" w:name="_Toc4617"/>
      <w:bookmarkStart w:id="65" w:name="_Toc11288"/>
      <w:bookmarkStart w:id="66" w:name="_Toc24538"/>
      <w:r>
        <w:rPr>
          <w:rFonts w:eastAsia="方正小标宋简体"/>
          <w:sz w:val="44"/>
          <w:szCs w:val="44"/>
          <w:highlight w:val="none"/>
        </w:rPr>
        <w:t>西南科技大学</w:t>
      </w:r>
      <w:bookmarkEnd w:id="61"/>
      <w:bookmarkEnd w:id="62"/>
      <w:bookmarkEnd w:id="63"/>
      <w:bookmarkEnd w:id="64"/>
      <w:bookmarkEnd w:id="65"/>
    </w:p>
    <w:p w14:paraId="2FCA0AA4">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39"/>
        <w:gridCol w:w="728"/>
        <w:gridCol w:w="565"/>
        <w:gridCol w:w="454"/>
        <w:gridCol w:w="1165"/>
        <w:gridCol w:w="1331"/>
        <w:gridCol w:w="270"/>
        <w:gridCol w:w="1747"/>
        <w:gridCol w:w="793"/>
        <w:gridCol w:w="1392"/>
      </w:tblGrid>
      <w:tr w14:paraId="383D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3" w:type="dxa"/>
            <w:shd w:val="clear" w:color="auto" w:fill="E7E6E6" w:themeFill="background2"/>
            <w:noWrap/>
            <w:vAlign w:val="center"/>
          </w:tcPr>
          <w:p w14:paraId="6AD36B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97" w:type="dxa"/>
            <w:gridSpan w:val="3"/>
            <w:shd w:val="clear" w:color="auto" w:fill="auto"/>
            <w:noWrap/>
            <w:vAlign w:val="center"/>
          </w:tcPr>
          <w:p w14:paraId="3678E707">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76" w:type="dxa"/>
            <w:gridSpan w:val="2"/>
            <w:shd w:val="clear" w:color="auto" w:fill="E7E6E6" w:themeFill="background2"/>
            <w:noWrap/>
            <w:vAlign w:val="center"/>
          </w:tcPr>
          <w:p w14:paraId="66A0B35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59" w:type="dxa"/>
            <w:gridSpan w:val="2"/>
            <w:shd w:val="clear" w:color="auto" w:fill="auto"/>
            <w:noWrap/>
            <w:vAlign w:val="center"/>
          </w:tcPr>
          <w:p w14:paraId="26B758E5">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01" w:type="dxa"/>
            <w:shd w:val="clear" w:color="auto" w:fill="E7E6E6" w:themeFill="background2"/>
            <w:noWrap/>
            <w:vAlign w:val="center"/>
          </w:tcPr>
          <w:p w14:paraId="71AB9CF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7" w:type="dxa"/>
            <w:gridSpan w:val="2"/>
            <w:shd w:val="clear" w:color="auto" w:fill="auto"/>
            <w:noWrap/>
            <w:vAlign w:val="center"/>
          </w:tcPr>
          <w:p w14:paraId="2EF0E2D1">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0B0A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3" w:type="dxa"/>
            <w:shd w:val="clear" w:color="auto" w:fill="E7E6E6" w:themeFill="background2"/>
            <w:noWrap/>
            <w:vAlign w:val="center"/>
          </w:tcPr>
          <w:p w14:paraId="49E4CEF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0" w:type="dxa"/>
            <w:gridSpan w:val="10"/>
            <w:shd w:val="clear" w:color="auto" w:fill="auto"/>
            <w:noWrap/>
            <w:vAlign w:val="center"/>
          </w:tcPr>
          <w:p w14:paraId="51D29CF3">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四川省绵阳市涪城区青龙大道中段59号</w:t>
            </w:r>
          </w:p>
        </w:tc>
      </w:tr>
      <w:tr w14:paraId="49A3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8" w:hRule="atLeast"/>
          <w:jc w:val="center"/>
        </w:trPr>
        <w:tc>
          <w:tcPr>
            <w:tcW w:w="1233" w:type="dxa"/>
            <w:shd w:val="clear" w:color="auto" w:fill="E7E6E6" w:themeFill="background2"/>
            <w:noWrap/>
            <w:vAlign w:val="center"/>
          </w:tcPr>
          <w:p w14:paraId="3045657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0" w:type="dxa"/>
            <w:gridSpan w:val="10"/>
            <w:shd w:val="clear" w:color="auto" w:fill="auto"/>
            <w:vAlign w:val="center"/>
          </w:tcPr>
          <w:p w14:paraId="1665EA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西南科技大学坐落于中国（绵阳）科技城，是国家重点建设的西部14所高校之一。学校是四川省人民政府与教育部共建高校，是四川省人民政府与国家国防科技工业局共建高校，拥有首批国家大学科技园。学校有5个博士学位授权一级学科，3个博士后流动站，24个硕士学位授权一级学科，16个硕士专业学位类别。5个学科入选四川省新一轮“双一流”建设贡嘎计划，现有省级优势学科4个、省级重点学科11个，化学工程、材料科学与工程等8个学科进入软科2023世界一流学科，位列省属高校第二名。2023年自然指数中国内地高校TOP200中位居四川省属高校第1位。学校5个学科入选2022年US News世界大学排行榜排名，其中凝聚态物理、物理化学、工程学、材料学4个学科跻身全球前500；材料科学、工程学、化学、环境/生态学4个学科进入ESI前1%，其中材料科学、工程学和化学等学科进入ESI前5‰。</w:t>
            </w:r>
          </w:p>
        </w:tc>
      </w:tr>
      <w:tr w14:paraId="1902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1233" w:type="dxa"/>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017B53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0"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14:paraId="578CB4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1.学校为青年博士后、骨干博士后、优秀博士后分别提供22万元、28万元、35万元协议年薪和5万元工作经费，团队或合作导师将根据工作开展情况另外发放劳务费并提供相应工作经费；</w:t>
            </w:r>
          </w:p>
          <w:p w14:paraId="5607A1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2.取得的科研成果如符合学校科研奖励办法的可按政策予以奖励；</w:t>
            </w:r>
          </w:p>
          <w:p w14:paraId="375059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3.在站期间可认定中级职称，学术成果特别突出的，可破格申报高级职称；</w:t>
            </w:r>
          </w:p>
          <w:p w14:paraId="55B0E3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4.在站期间可为博士后研究人员提供公寓一套供居住；</w:t>
            </w:r>
          </w:p>
          <w:p w14:paraId="4F44EB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5.博士后子女可按规定就读我校幼儿园、小学；</w:t>
            </w:r>
          </w:p>
          <w:p w14:paraId="3E7EA9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6.在站期间评聘为高级职称，或获批国家自然科学基金项目，或获批国、省人才计划，或出站达到学校当年人才引进“优秀人才层次”可直接考核入职教师岗位。</w:t>
            </w:r>
          </w:p>
        </w:tc>
      </w:tr>
      <w:tr w14:paraId="1055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71" w:type="dxa"/>
            <w:gridSpan w:val="2"/>
            <w:shd w:val="clear" w:color="auto" w:fill="E7E6E6" w:themeFill="background2"/>
            <w:noWrap/>
            <w:vAlign w:val="center"/>
          </w:tcPr>
          <w:p w14:paraId="33EEE76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09" w:type="dxa"/>
            <w:shd w:val="clear" w:color="auto" w:fill="E7E6E6" w:themeFill="background2"/>
            <w:vAlign w:val="center"/>
          </w:tcPr>
          <w:p w14:paraId="1589325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gridSpan w:val="2"/>
            <w:shd w:val="clear" w:color="auto" w:fill="E7E6E6" w:themeFill="background2"/>
            <w:vAlign w:val="center"/>
          </w:tcPr>
          <w:p w14:paraId="10642582">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86EC1E4">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2430" w:type="dxa"/>
            <w:gridSpan w:val="2"/>
            <w:shd w:val="clear" w:color="auto" w:fill="E7E6E6" w:themeFill="background2"/>
            <w:vAlign w:val="center"/>
          </w:tcPr>
          <w:p w14:paraId="50EB7B0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0F0C60">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2736" w:type="dxa"/>
            <w:gridSpan w:val="3"/>
            <w:shd w:val="clear" w:color="auto" w:fill="E7E6E6" w:themeFill="background2"/>
            <w:vAlign w:val="center"/>
          </w:tcPr>
          <w:p w14:paraId="1549875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355" w:type="dxa"/>
            <w:shd w:val="clear" w:color="auto" w:fill="E7E6E6" w:themeFill="background2"/>
            <w:vAlign w:val="center"/>
          </w:tcPr>
          <w:p w14:paraId="72AA50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142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27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8F768A7">
            <w:pPr>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材料科学与工程博士后科研流动站</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4A039C0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8D888A5">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BSH001</w:t>
            </w:r>
          </w:p>
        </w:tc>
        <w:tc>
          <w:tcPr>
            <w:tcW w:w="24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361733D">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材料科学与工程、化学等相关学科</w:t>
            </w:r>
          </w:p>
        </w:tc>
        <w:tc>
          <w:tcPr>
            <w:tcW w:w="273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0715678">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1.学校提供22-35万元协议年薪和5万元工作经费</w:t>
            </w:r>
          </w:p>
          <w:p w14:paraId="59B77D48">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2.团队或导师提供10万元科研经费</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4AD6F94D">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5182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27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E42524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环境科学与工程博士后科研流动站</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5D8008A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15</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E5F2FE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BSH002</w:t>
            </w:r>
          </w:p>
        </w:tc>
        <w:tc>
          <w:tcPr>
            <w:tcW w:w="24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2F846F6">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环境科学与工程、材料科学与工程、核科学与技术、生物学、化学等相关学科</w:t>
            </w:r>
          </w:p>
        </w:tc>
        <w:tc>
          <w:tcPr>
            <w:tcW w:w="273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C67CED5">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1.学校提供22-35万元协议年薪和5万元工作经费</w:t>
            </w:r>
          </w:p>
          <w:p w14:paraId="5A577659">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2.团队或导师提供10万元科研经费</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39DC719F">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0A4C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27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0ED1A03">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控制科学与工程博士后科研流动站</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573232A">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15</w:t>
            </w:r>
          </w:p>
        </w:tc>
        <w:tc>
          <w:tcPr>
            <w:tcW w:w="9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4010DB6">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BSH003</w:t>
            </w:r>
          </w:p>
        </w:tc>
        <w:tc>
          <w:tcPr>
            <w:tcW w:w="243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381B63A">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控制科学与工程学科（控制理论与控制工程、检测技术与自动化装置、模式识别与智能系统、机器人科学与工程、智能电网与低碳能源专业方向）</w:t>
            </w:r>
          </w:p>
        </w:tc>
        <w:tc>
          <w:tcPr>
            <w:tcW w:w="273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30EB13F">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1.学校提供22-35万元协议年薪和5万元工作经费</w:t>
            </w:r>
          </w:p>
          <w:p w14:paraId="6743191F">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2.团队或导师提供待遇5-10万元和科研经费5-30万</w:t>
            </w:r>
          </w:p>
        </w:tc>
        <w:tc>
          <w:tcPr>
            <w:tcW w:w="1355" w:type="dxa"/>
            <w:tcBorders>
              <w:top w:val="single" w:color="auto" w:sz="4" w:space="0"/>
              <w:left w:val="single" w:color="auto" w:sz="4" w:space="0"/>
              <w:bottom w:val="single" w:color="auto" w:sz="4" w:space="0"/>
              <w:right w:val="single" w:color="auto" w:sz="4" w:space="0"/>
            </w:tcBorders>
            <w:shd w:val="clear" w:color="auto" w:fill="FFFFFF"/>
            <w:vAlign w:val="center"/>
          </w:tcPr>
          <w:p w14:paraId="1726E084">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西部高校、科研院所</w:t>
            </w:r>
          </w:p>
        </w:tc>
      </w:tr>
    </w:tbl>
    <w:p w14:paraId="09AB4685">
      <w:pPr>
        <w:pStyle w:val="5"/>
        <w:adjustRightInd w:val="0"/>
        <w:snapToGrid w:val="0"/>
        <w:spacing w:line="240" w:lineRule="auto"/>
        <w:ind w:firstLine="0"/>
        <w:rPr>
          <w:sz w:val="21"/>
          <w:szCs w:val="21"/>
        </w:rPr>
      </w:pPr>
      <w:r>
        <w:rPr>
          <w:sz w:val="21"/>
          <w:szCs w:val="21"/>
        </w:rPr>
        <w:br w:type="page"/>
      </w:r>
    </w:p>
    <w:p w14:paraId="67859716">
      <w:pPr>
        <w:adjustRightInd w:val="0"/>
        <w:snapToGrid w:val="0"/>
        <w:spacing w:line="240" w:lineRule="auto"/>
        <w:ind w:firstLine="0"/>
        <w:jc w:val="center"/>
        <w:rPr>
          <w:rFonts w:eastAsia="方正小标宋简体"/>
          <w:sz w:val="44"/>
          <w:szCs w:val="44"/>
        </w:rPr>
      </w:pPr>
    </w:p>
    <w:p w14:paraId="008A2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pPr>
      <w:bookmarkStart w:id="67" w:name="_Toc18241"/>
      <w:bookmarkStart w:id="68" w:name="_Toc4394"/>
      <w:bookmarkStart w:id="69" w:name="_Toc2103"/>
      <w:bookmarkStart w:id="70" w:name="_Toc31174"/>
      <w:r>
        <w:rPr>
          <w:rFonts w:eastAsia="方正小标宋简体"/>
          <w:sz w:val="44"/>
          <w:szCs w:val="44"/>
          <w:highlight w:val="none"/>
        </w:rPr>
        <w:t>西南民族大学</w:t>
      </w:r>
      <w:bookmarkEnd w:id="66"/>
      <w:bookmarkEnd w:id="67"/>
      <w:bookmarkEnd w:id="68"/>
      <w:bookmarkEnd w:id="69"/>
      <w:bookmarkEnd w:id="70"/>
    </w:p>
    <w:p w14:paraId="20424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591"/>
        <w:gridCol w:w="1695"/>
        <w:gridCol w:w="2280"/>
        <w:gridCol w:w="1556"/>
        <w:gridCol w:w="1323"/>
      </w:tblGrid>
      <w:tr w14:paraId="5B27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94761A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49" w:type="dxa"/>
            <w:shd w:val="clear" w:color="000000" w:fill="auto"/>
            <w:noWrap/>
            <w:vAlign w:val="center"/>
          </w:tcPr>
          <w:p w14:paraId="59A742B2">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50" w:type="dxa"/>
            <w:shd w:val="clear" w:color="auto" w:fill="E7E6E6" w:themeFill="background2"/>
            <w:noWrap/>
            <w:vAlign w:val="center"/>
          </w:tcPr>
          <w:p w14:paraId="4B5F07EB">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2220" w:type="dxa"/>
            <w:shd w:val="clear" w:color="000000" w:fill="auto"/>
            <w:noWrap/>
            <w:vAlign w:val="center"/>
          </w:tcPr>
          <w:p w14:paraId="7745BD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流动站</w:t>
            </w:r>
          </w:p>
        </w:tc>
        <w:tc>
          <w:tcPr>
            <w:tcW w:w="1515" w:type="dxa"/>
            <w:shd w:val="clear" w:color="auto" w:fill="E7E6E6" w:themeFill="background2"/>
            <w:noWrap/>
            <w:vAlign w:val="center"/>
          </w:tcPr>
          <w:p w14:paraId="702E345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288" w:type="dxa"/>
            <w:shd w:val="clear" w:color="000000" w:fill="auto"/>
            <w:noWrap/>
            <w:vAlign w:val="center"/>
          </w:tcPr>
          <w:p w14:paraId="79532C2D">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92E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B264DD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22" w:type="dxa"/>
            <w:gridSpan w:val="5"/>
            <w:shd w:val="clear" w:color="000000" w:fill="auto"/>
            <w:noWrap/>
            <w:vAlign w:val="center"/>
          </w:tcPr>
          <w:p w14:paraId="60126708">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四川省成都市双流区大件路文星段168号</w:t>
            </w:r>
          </w:p>
        </w:tc>
      </w:tr>
      <w:tr w14:paraId="5F98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3" w:hRule="atLeast"/>
          <w:jc w:val="center"/>
        </w:trPr>
        <w:tc>
          <w:tcPr>
            <w:tcW w:w="1271" w:type="dxa"/>
            <w:shd w:val="clear" w:color="auto" w:fill="E7E6E6" w:themeFill="background2"/>
            <w:noWrap/>
            <w:vAlign w:val="center"/>
          </w:tcPr>
          <w:p w14:paraId="5B7E8C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22" w:type="dxa"/>
            <w:gridSpan w:val="5"/>
            <w:shd w:val="clear" w:color="000000" w:fill="auto"/>
            <w:vAlign w:val="center"/>
          </w:tcPr>
          <w:p w14:paraId="6205E3A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西南民族大学坐落于有“天府之国”美誉的国家历史文化名城——成都，是国家民委直属综合性普通高校，国家民委、教育部、四川省、成都市共建高校。</w:t>
            </w:r>
          </w:p>
          <w:p w14:paraId="7F3DEC28">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学校有56个民族的全日制博士、硕士、本科、预科等各类学生3万余人，教职员工近3000人，其中博、硕士生导师842人。学校现有26个学院，有4个一级学科博士学位授权点、2个博士后流动站、1个博士后创新实践基地、25个一级学科硕士学位授权点、24个硕士专业学位授权点，有涵盖12个学科门类的本科招生专业75个，省（部）级重点（建设）学科9个，四川省高等学校“双一流”建设贡嘎计划建设（培育）学科10个，工程学、化学学科进入ESI学科排名全球前1%。学校现有2个国家级平台“四川若尔盖高寒湿地生态系统国家野外科学观测研究站”和“国家语言文字推广基地”，1个国家级科学家精神教育基地“青藏高原科学家精神教育基地”，49个重点实验室、省部共建协同创新分中心、省部级智库等省（部）级设立或委托建设的科研平台、培训基地。《西南民族大学学报（人文社会科学版）》《民族学刊》连续多次入选CSSCI来源期刊、中国人文社会科学期刊综合评价AMI核心期刊和北大中文核心期刊。《西南民族大学学报（自然科学版）》入选中国科技核心期刊。</w:t>
            </w:r>
          </w:p>
          <w:p w14:paraId="0658159A">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（学校简介详见西南民族大学主页：www.swun.edu.cn）</w:t>
            </w:r>
          </w:p>
        </w:tc>
      </w:tr>
      <w:tr w14:paraId="58E4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1271" w:type="dxa"/>
            <w:shd w:val="clear" w:color="auto" w:fill="E7E6E6" w:themeFill="background2"/>
            <w:noWrap/>
            <w:vAlign w:val="center"/>
          </w:tcPr>
          <w:p w14:paraId="64BF90A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22" w:type="dxa"/>
            <w:gridSpan w:val="5"/>
            <w:shd w:val="clear" w:color="000000" w:fill="auto"/>
            <w:vAlign w:val="center"/>
          </w:tcPr>
          <w:p w14:paraId="356048BC">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1.主要为《西南民族大学博士后科研流动站管理办法（暂行）》《西南民族大学师资博士后管理办法（试行）》等文件；</w:t>
            </w:r>
          </w:p>
          <w:p w14:paraId="061E3AA1">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2.学校按照在职教职工中级十级科研岗标准发放博士后工资待遇，在职称评审、子女上学、住房公积金、社会保险等方面享受与校内在职教职工同等的待遇；</w:t>
            </w:r>
          </w:p>
          <w:p w14:paraId="7943A749">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3.学校免费提供博士后公寓（成都市辖区外的进站人员），期限为2年。</w:t>
            </w:r>
          </w:p>
        </w:tc>
      </w:tr>
    </w:tbl>
    <w:p w14:paraId="29DD42A2">
      <w:pPr>
        <w:pStyle w:val="3"/>
        <w:adjustRightInd w:val="0"/>
        <w:snapToGrid w:val="0"/>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63137168">
      <w:pPr>
        <w:pStyle w:val="5"/>
        <w:adjustRightInd w:val="0"/>
        <w:snapToGrid w:val="0"/>
        <w:spacing w:line="240" w:lineRule="auto"/>
        <w:ind w:firstLine="0"/>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828"/>
        <w:gridCol w:w="1055"/>
        <w:gridCol w:w="1705"/>
        <w:gridCol w:w="2069"/>
        <w:gridCol w:w="2148"/>
      </w:tblGrid>
      <w:tr w14:paraId="739D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38" w:type="dxa"/>
            <w:shd w:val="clear" w:color="auto" w:fill="E7E6E6" w:themeFill="background2"/>
            <w:noWrap/>
            <w:vAlign w:val="center"/>
          </w:tcPr>
          <w:p w14:paraId="165F770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82" w:type="dxa"/>
            <w:shd w:val="clear" w:color="auto" w:fill="E7E6E6" w:themeFill="background2"/>
            <w:vAlign w:val="center"/>
          </w:tcPr>
          <w:p w14:paraId="2F9779B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6" w:type="dxa"/>
            <w:shd w:val="clear" w:color="auto" w:fill="E7E6E6" w:themeFill="background2"/>
            <w:vAlign w:val="center"/>
          </w:tcPr>
          <w:p w14:paraId="559228D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BE8E905">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610" w:type="dxa"/>
            <w:shd w:val="clear" w:color="auto" w:fill="E7E6E6" w:themeFill="background2"/>
            <w:vAlign w:val="center"/>
          </w:tcPr>
          <w:p w14:paraId="193153D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651922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954" w:type="dxa"/>
            <w:shd w:val="clear" w:color="auto" w:fill="E7E6E6" w:themeFill="background2"/>
            <w:vAlign w:val="center"/>
          </w:tcPr>
          <w:p w14:paraId="55F526C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DB86C0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9" w:type="dxa"/>
            <w:shd w:val="clear" w:color="auto" w:fill="E7E6E6" w:themeFill="background2"/>
            <w:vAlign w:val="center"/>
          </w:tcPr>
          <w:p w14:paraId="0C38752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DB7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jc w:val="center"/>
        </w:trPr>
        <w:tc>
          <w:tcPr>
            <w:tcW w:w="1838" w:type="dxa"/>
            <w:shd w:val="clear" w:color="000000" w:fill="FFFFFF"/>
            <w:noWrap/>
            <w:vAlign w:val="center"/>
          </w:tcPr>
          <w:p w14:paraId="775F40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民族学博士后流动站</w:t>
            </w:r>
          </w:p>
        </w:tc>
        <w:tc>
          <w:tcPr>
            <w:tcW w:w="782" w:type="dxa"/>
            <w:shd w:val="clear" w:color="000000" w:fill="FFFFFF"/>
            <w:vAlign w:val="center"/>
          </w:tcPr>
          <w:p w14:paraId="2EEAD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996" w:type="dxa"/>
            <w:shd w:val="clear" w:color="000000" w:fill="FFFFFF"/>
            <w:vAlign w:val="center"/>
          </w:tcPr>
          <w:p w14:paraId="6FBCB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10" w:type="dxa"/>
            <w:shd w:val="clear" w:color="000000" w:fill="FFFFFF"/>
            <w:vAlign w:val="center"/>
          </w:tcPr>
          <w:p w14:paraId="29B90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民族学</w:t>
            </w:r>
          </w:p>
        </w:tc>
        <w:tc>
          <w:tcPr>
            <w:tcW w:w="1954" w:type="dxa"/>
            <w:vMerge w:val="restart"/>
            <w:shd w:val="clear" w:color="000000" w:fill="FFFFFF"/>
            <w:vAlign w:val="center"/>
          </w:tcPr>
          <w:p w14:paraId="636CA1B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（一）学校按照在职教职工中级十级科研岗标准发放博士后工资待遇，发放期2年。</w:t>
            </w:r>
          </w:p>
          <w:p w14:paraId="7331C514">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（二）博士后研究人员在职称评审、子女上学、住房公积金、社会保险等方面享受与校内在职教职工同等的待遇。</w:t>
            </w:r>
          </w:p>
          <w:p w14:paraId="4137B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（三）学校免费为博士后研究人员提供博士后公寓，期限为2年。</w:t>
            </w:r>
          </w:p>
        </w:tc>
        <w:tc>
          <w:tcPr>
            <w:tcW w:w="2029" w:type="dxa"/>
            <w:vMerge w:val="restart"/>
            <w:shd w:val="clear" w:color="000000" w:fill="auto"/>
            <w:vAlign w:val="center"/>
          </w:tcPr>
          <w:p w14:paraId="6E950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具体条件及要求参见学校发布的博士后招聘公告</w:t>
            </w:r>
          </w:p>
        </w:tc>
      </w:tr>
      <w:tr w14:paraId="39DA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1" w:hRule="atLeast"/>
          <w:jc w:val="center"/>
        </w:trPr>
        <w:tc>
          <w:tcPr>
            <w:tcW w:w="1838" w:type="dxa"/>
            <w:shd w:val="clear" w:color="000000" w:fill="FFFFFF"/>
            <w:noWrap/>
            <w:vAlign w:val="center"/>
          </w:tcPr>
          <w:p w14:paraId="1F64E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中国语言文学博士后流动站</w:t>
            </w:r>
          </w:p>
        </w:tc>
        <w:tc>
          <w:tcPr>
            <w:tcW w:w="782" w:type="dxa"/>
            <w:shd w:val="clear" w:color="000000" w:fill="FFFFFF"/>
            <w:vAlign w:val="center"/>
          </w:tcPr>
          <w:p w14:paraId="75BFA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996" w:type="dxa"/>
            <w:shd w:val="clear" w:color="000000" w:fill="FFFFFF"/>
            <w:vAlign w:val="center"/>
          </w:tcPr>
          <w:p w14:paraId="68D33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10" w:type="dxa"/>
            <w:shd w:val="clear" w:color="000000" w:fill="FFFFFF"/>
            <w:vAlign w:val="center"/>
          </w:tcPr>
          <w:p w14:paraId="4AB62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中国语言文学</w:t>
            </w:r>
          </w:p>
        </w:tc>
        <w:tc>
          <w:tcPr>
            <w:tcW w:w="1954" w:type="dxa"/>
            <w:vMerge w:val="continue"/>
            <w:shd w:val="clear" w:color="000000" w:fill="FFFFFF"/>
            <w:vAlign w:val="center"/>
          </w:tcPr>
          <w:p w14:paraId="119D0B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c>
          <w:tcPr>
            <w:tcW w:w="2029" w:type="dxa"/>
            <w:vMerge w:val="continue"/>
            <w:shd w:val="clear" w:color="000000" w:fill="auto"/>
            <w:vAlign w:val="center"/>
          </w:tcPr>
          <w:p w14:paraId="44635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r>
      <w:tr w14:paraId="154C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1838" w:type="dxa"/>
            <w:shd w:val="clear" w:color="000000" w:fill="FFFFFF"/>
            <w:noWrap/>
            <w:vAlign w:val="center"/>
          </w:tcPr>
          <w:p w14:paraId="6F194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博士后创新实践基地</w:t>
            </w:r>
          </w:p>
        </w:tc>
        <w:tc>
          <w:tcPr>
            <w:tcW w:w="782" w:type="dxa"/>
            <w:shd w:val="clear" w:color="000000" w:fill="FFFFFF"/>
            <w:vAlign w:val="center"/>
          </w:tcPr>
          <w:p w14:paraId="7A3C2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996" w:type="dxa"/>
            <w:shd w:val="clear" w:color="000000" w:fill="FFFFFF"/>
            <w:vAlign w:val="center"/>
          </w:tcPr>
          <w:p w14:paraId="2B931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10" w:type="dxa"/>
            <w:shd w:val="clear" w:color="000000" w:fill="FFFFFF"/>
            <w:vAlign w:val="center"/>
          </w:tcPr>
          <w:p w14:paraId="7B8A0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草学、生态学（与扬州大学草学博士后流动站联合培养）</w:t>
            </w:r>
          </w:p>
        </w:tc>
        <w:tc>
          <w:tcPr>
            <w:tcW w:w="1954" w:type="dxa"/>
            <w:vMerge w:val="continue"/>
            <w:shd w:val="clear" w:color="000000" w:fill="FFFFFF"/>
            <w:vAlign w:val="center"/>
          </w:tcPr>
          <w:p w14:paraId="59C3A2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c>
          <w:tcPr>
            <w:tcW w:w="2029" w:type="dxa"/>
            <w:vMerge w:val="continue"/>
            <w:shd w:val="clear" w:color="000000" w:fill="auto"/>
            <w:vAlign w:val="center"/>
          </w:tcPr>
          <w:p w14:paraId="1794B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r>
    </w:tbl>
    <w:p w14:paraId="049D2ED7">
      <w:pPr>
        <w:pStyle w:val="3"/>
        <w:outlineLvl w:val="9"/>
        <w:rPr>
          <w:rFonts w:ascii="Times New Roman" w:hAnsi="Times New Roman"/>
        </w:rPr>
      </w:pPr>
      <w:r>
        <w:rPr>
          <w:rFonts w:ascii="Times New Roman" w:hAnsi="Times New Roman"/>
        </w:rPr>
        <w:br w:type="page"/>
      </w:r>
    </w:p>
    <w:p w14:paraId="72FE8346">
      <w:pPr>
        <w:adjustRightInd w:val="0"/>
        <w:snapToGrid w:val="0"/>
        <w:spacing w:line="240" w:lineRule="auto"/>
        <w:ind w:firstLine="0"/>
        <w:jc w:val="center"/>
        <w:rPr>
          <w:rFonts w:eastAsia="方正小标宋简体"/>
          <w:sz w:val="44"/>
          <w:szCs w:val="44"/>
        </w:rPr>
      </w:pPr>
    </w:p>
    <w:p w14:paraId="55FD73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71" w:name="_Toc17094"/>
      <w:bookmarkStart w:id="72" w:name="_Toc14253"/>
      <w:bookmarkStart w:id="73" w:name="_Toc23110"/>
      <w:bookmarkStart w:id="74" w:name="_Toc21087"/>
      <w:bookmarkStart w:id="75" w:name="_Toc22090"/>
      <w:r>
        <w:rPr>
          <w:rFonts w:eastAsia="方正小标宋简体"/>
          <w:sz w:val="44"/>
          <w:szCs w:val="44"/>
          <w:highlight w:val="none"/>
        </w:rPr>
        <w:t>西南石油大学</w:t>
      </w:r>
      <w:bookmarkEnd w:id="71"/>
      <w:bookmarkEnd w:id="72"/>
      <w:bookmarkEnd w:id="73"/>
      <w:bookmarkEnd w:id="74"/>
      <w:bookmarkEnd w:id="75"/>
    </w:p>
    <w:p w14:paraId="3562C0EB">
      <w:pPr>
        <w:pStyle w:val="5"/>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747"/>
        <w:gridCol w:w="1745"/>
        <w:gridCol w:w="1167"/>
        <w:gridCol w:w="1602"/>
        <w:gridCol w:w="2330"/>
      </w:tblGrid>
      <w:tr w14:paraId="0A85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570ABEF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01" w:type="dxa"/>
            <w:shd w:val="clear" w:color="000000" w:fill="FFFFFF"/>
            <w:noWrap/>
            <w:vAlign w:val="center"/>
          </w:tcPr>
          <w:p w14:paraId="7CABDD3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99" w:type="dxa"/>
            <w:shd w:val="clear" w:color="auto" w:fill="E7E6E6" w:themeFill="background2"/>
            <w:noWrap/>
            <w:vAlign w:val="center"/>
          </w:tcPr>
          <w:p w14:paraId="6409695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136" w:type="dxa"/>
            <w:shd w:val="clear" w:color="000000" w:fill="FFFFFF"/>
            <w:noWrap/>
            <w:vAlign w:val="center"/>
          </w:tcPr>
          <w:p w14:paraId="168364EE">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60" w:type="dxa"/>
            <w:shd w:val="clear" w:color="auto" w:fill="E7E6E6" w:themeFill="background2"/>
            <w:noWrap/>
            <w:vAlign w:val="center"/>
          </w:tcPr>
          <w:p w14:paraId="253520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68" w:type="dxa"/>
            <w:shd w:val="clear" w:color="000000" w:fill="FFFFFF"/>
            <w:noWrap/>
            <w:vAlign w:val="center"/>
          </w:tcPr>
          <w:p w14:paraId="50212338">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72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9" w:type="dxa"/>
            <w:shd w:val="clear" w:color="auto" w:fill="E7E6E6" w:themeFill="background2"/>
            <w:noWrap/>
            <w:vAlign w:val="center"/>
          </w:tcPr>
          <w:p w14:paraId="17BB3C8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4" w:type="dxa"/>
            <w:gridSpan w:val="5"/>
            <w:shd w:val="clear" w:color="000000" w:fill="FFFFFF"/>
            <w:noWrap/>
            <w:vAlign w:val="center"/>
          </w:tcPr>
          <w:p w14:paraId="377E3F2F">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四川省成都市新都区新都大道8号</w:t>
            </w:r>
          </w:p>
        </w:tc>
      </w:tr>
      <w:tr w14:paraId="248A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1" w:hRule="atLeast"/>
          <w:jc w:val="center"/>
        </w:trPr>
        <w:tc>
          <w:tcPr>
            <w:tcW w:w="1129" w:type="dxa"/>
            <w:shd w:val="clear" w:color="auto" w:fill="E7E6E6" w:themeFill="background2"/>
            <w:noWrap/>
            <w:vAlign w:val="center"/>
          </w:tcPr>
          <w:p w14:paraId="4FFD2C1E">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364" w:type="dxa"/>
            <w:gridSpan w:val="5"/>
            <w:shd w:val="clear" w:color="000000" w:fill="FFFFFF"/>
            <w:vAlign w:val="center"/>
          </w:tcPr>
          <w:p w14:paraId="55640388">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西南石油大学是新中国创建的第二所石油本科院校，是一所中央与地方共建、以四川省人民政府管理为主的高等学校。2013年，学校入选"国家中西部高校基础能力建设工程"，成为入选该工程的100所高校之一。2017年9月，入选为国家首批“双一流”世界一流学科建设高校。2022年2月，入选国家第二轮“双一流”建设高校及建设学科名单。学校现有教职工2753人，有正高级专业技术职务人员382人，副高级专业技术职务人员721人。其中有中国工程院院士1人，德国工程院院士1人，中国两院院士增选有效候选人3人。</w:t>
            </w:r>
          </w:p>
          <w:p w14:paraId="38E5E9AF">
            <w:pPr>
              <w:adjustRightInd w:val="0"/>
              <w:snapToGrid w:val="0"/>
              <w:spacing w:line="360" w:lineRule="auto"/>
              <w:ind w:firstLine="420" w:firstLineChars="200"/>
              <w:rPr>
                <w:rFonts w:eastAsiaTheme="minorEastAsia"/>
                <w:sz w:val="18"/>
                <w:szCs w:val="18"/>
              </w:rPr>
            </w:pPr>
            <w:r>
              <w:rPr>
                <w:rFonts w:hint="eastAsia" w:eastAsiaTheme="minorEastAsia"/>
                <w:sz w:val="21"/>
                <w:szCs w:val="21"/>
              </w:rPr>
              <w:t xml:space="preserve">    西南石油大学于1991年设立博士后科研流动站，现有石油与天然气工程、地质资源与地质工程、机械工程、化学工程与技术、地质学5个博士后科研流动站。其中石油与天然气工程博士后科研流动站在2005年、2020年评为“全国优秀博士后科研流动站”。</w:t>
            </w:r>
          </w:p>
        </w:tc>
      </w:tr>
      <w:tr w14:paraId="34A9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1129" w:type="dxa"/>
            <w:shd w:val="clear" w:color="auto" w:fill="E7E6E6" w:themeFill="background2"/>
            <w:noWrap/>
            <w:vAlign w:val="center"/>
          </w:tcPr>
          <w:p w14:paraId="2404A11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4" w:type="dxa"/>
            <w:gridSpan w:val="5"/>
            <w:shd w:val="clear" w:color="000000" w:fill="FFFFFF"/>
            <w:vAlign w:val="center"/>
          </w:tcPr>
          <w:p w14:paraId="349ECC36">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由于学校将出台新的博士后政策，因此请有意向到本校从事博士后研究的优秀博士关注学校主页，查询最新的引进政策。</w:t>
            </w:r>
          </w:p>
          <w:p w14:paraId="1957F483">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其余博士后的薪酬待遇与引进政策根据项目与博士后自身情况面议。</w:t>
            </w:r>
          </w:p>
        </w:tc>
      </w:tr>
    </w:tbl>
    <w:p w14:paraId="7F28415E">
      <w:pPr>
        <w:adjustRightInd w:val="0"/>
        <w:snapToGrid w:val="0"/>
        <w:spacing w:line="14"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764"/>
        <w:gridCol w:w="966"/>
        <w:gridCol w:w="1537"/>
        <w:gridCol w:w="1751"/>
        <w:gridCol w:w="2172"/>
      </w:tblGrid>
      <w:tr w14:paraId="57EB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blHeader/>
          <w:jc w:val="center"/>
        </w:trPr>
        <w:tc>
          <w:tcPr>
            <w:tcW w:w="2561" w:type="dxa"/>
            <w:shd w:val="clear" w:color="auto" w:fill="E7E6E6" w:themeFill="background2"/>
            <w:noWrap/>
            <w:vAlign w:val="center"/>
          </w:tcPr>
          <w:p w14:paraId="46CECDC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64" w:type="dxa"/>
            <w:shd w:val="clear" w:color="auto" w:fill="E7E6E6" w:themeFill="background2"/>
            <w:vAlign w:val="center"/>
          </w:tcPr>
          <w:p w14:paraId="7E556D5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66" w:type="dxa"/>
            <w:shd w:val="clear" w:color="auto" w:fill="E7E6E6" w:themeFill="background2"/>
            <w:vAlign w:val="center"/>
          </w:tcPr>
          <w:p w14:paraId="5772ADB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DCEA48C">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37" w:type="dxa"/>
            <w:shd w:val="clear" w:color="auto" w:fill="E7E6E6" w:themeFill="background2"/>
            <w:vAlign w:val="center"/>
          </w:tcPr>
          <w:p w14:paraId="10DA488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F6F2A1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51" w:type="dxa"/>
            <w:shd w:val="clear" w:color="auto" w:fill="E7E6E6" w:themeFill="background2"/>
            <w:vAlign w:val="center"/>
          </w:tcPr>
          <w:p w14:paraId="11C65B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117FB3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72" w:type="dxa"/>
            <w:shd w:val="clear" w:color="auto" w:fill="E7E6E6" w:themeFill="background2"/>
            <w:vAlign w:val="center"/>
          </w:tcPr>
          <w:p w14:paraId="22B18D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596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61" w:type="dxa"/>
            <w:shd w:val="clear" w:color="000000" w:fill="FFFFFF"/>
            <w:noWrap/>
            <w:vAlign w:val="center"/>
          </w:tcPr>
          <w:p w14:paraId="1D352C3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师资博士后</w:t>
            </w:r>
          </w:p>
        </w:tc>
        <w:tc>
          <w:tcPr>
            <w:tcW w:w="764" w:type="dxa"/>
            <w:shd w:val="clear" w:color="000000" w:fill="FFFFFF"/>
            <w:vAlign w:val="center"/>
          </w:tcPr>
          <w:p w14:paraId="5DAE9BC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20</w:t>
            </w:r>
          </w:p>
        </w:tc>
        <w:tc>
          <w:tcPr>
            <w:tcW w:w="966" w:type="dxa"/>
            <w:shd w:val="clear" w:color="000000" w:fill="FFFFFF"/>
            <w:vAlign w:val="center"/>
          </w:tcPr>
          <w:p w14:paraId="47D3FDC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537" w:type="dxa"/>
            <w:shd w:val="clear" w:color="000000" w:fill="FFFFFF"/>
            <w:vAlign w:val="center"/>
          </w:tcPr>
          <w:p w14:paraId="4E515AC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石油与天然气工程</w:t>
            </w:r>
          </w:p>
        </w:tc>
        <w:tc>
          <w:tcPr>
            <w:tcW w:w="1751" w:type="dxa"/>
            <w:shd w:val="clear" w:color="000000" w:fill="FFFFFF"/>
            <w:vAlign w:val="center"/>
          </w:tcPr>
          <w:p w14:paraId="490811B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c>
          <w:tcPr>
            <w:tcW w:w="2172" w:type="dxa"/>
            <w:shd w:val="clear" w:color="000000" w:fill="FFFFFF"/>
            <w:vAlign w:val="center"/>
          </w:tcPr>
          <w:p w14:paraId="244CF75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r>
      <w:tr w14:paraId="3BCF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61" w:type="dxa"/>
            <w:shd w:val="clear" w:color="000000" w:fill="FFFFFF"/>
            <w:noWrap/>
            <w:vAlign w:val="center"/>
          </w:tcPr>
          <w:p w14:paraId="2EF208F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师资博士后</w:t>
            </w:r>
          </w:p>
        </w:tc>
        <w:tc>
          <w:tcPr>
            <w:tcW w:w="764" w:type="dxa"/>
            <w:shd w:val="clear" w:color="000000" w:fill="FFFFFF"/>
            <w:vAlign w:val="center"/>
          </w:tcPr>
          <w:p w14:paraId="4D1E5A8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3</w:t>
            </w:r>
          </w:p>
        </w:tc>
        <w:tc>
          <w:tcPr>
            <w:tcW w:w="966" w:type="dxa"/>
            <w:shd w:val="clear" w:color="000000" w:fill="FFFFFF"/>
            <w:vAlign w:val="center"/>
          </w:tcPr>
          <w:p w14:paraId="57DB5DD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BSH002</w:t>
            </w:r>
          </w:p>
        </w:tc>
        <w:tc>
          <w:tcPr>
            <w:tcW w:w="1537" w:type="dxa"/>
            <w:shd w:val="clear" w:color="000000" w:fill="FFFFFF"/>
            <w:vAlign w:val="center"/>
          </w:tcPr>
          <w:p w14:paraId="60BBB0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地质资源与地质工程</w:t>
            </w:r>
          </w:p>
        </w:tc>
        <w:tc>
          <w:tcPr>
            <w:tcW w:w="1751" w:type="dxa"/>
            <w:shd w:val="clear" w:color="000000" w:fill="FFFFFF"/>
            <w:vAlign w:val="center"/>
          </w:tcPr>
          <w:p w14:paraId="7529B14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c>
          <w:tcPr>
            <w:tcW w:w="2172" w:type="dxa"/>
            <w:shd w:val="clear" w:color="000000" w:fill="FFFFFF"/>
            <w:vAlign w:val="center"/>
          </w:tcPr>
          <w:p w14:paraId="4BB708E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r>
      <w:tr w14:paraId="4F7F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3C7DA2F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师资博士后</w:t>
            </w:r>
          </w:p>
        </w:tc>
        <w:tc>
          <w:tcPr>
            <w:tcW w:w="764" w:type="dxa"/>
            <w:shd w:val="clear" w:color="000000" w:fill="FFFFFF"/>
            <w:vAlign w:val="center"/>
          </w:tcPr>
          <w:p w14:paraId="2FF5FBB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1</w:t>
            </w:r>
          </w:p>
        </w:tc>
        <w:tc>
          <w:tcPr>
            <w:tcW w:w="966" w:type="dxa"/>
            <w:shd w:val="clear" w:color="000000" w:fill="FFFFFF"/>
            <w:vAlign w:val="center"/>
          </w:tcPr>
          <w:p w14:paraId="788ACA8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BSH003</w:t>
            </w:r>
          </w:p>
        </w:tc>
        <w:tc>
          <w:tcPr>
            <w:tcW w:w="1537" w:type="dxa"/>
            <w:shd w:val="clear" w:color="000000" w:fill="FFFFFF"/>
            <w:vAlign w:val="center"/>
          </w:tcPr>
          <w:p w14:paraId="0AB0783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地质学</w:t>
            </w:r>
          </w:p>
        </w:tc>
        <w:tc>
          <w:tcPr>
            <w:tcW w:w="1751" w:type="dxa"/>
            <w:shd w:val="clear" w:color="000000" w:fill="FFFFFF"/>
            <w:vAlign w:val="center"/>
          </w:tcPr>
          <w:p w14:paraId="3DB5659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c>
          <w:tcPr>
            <w:tcW w:w="2172" w:type="dxa"/>
            <w:shd w:val="clear" w:color="000000" w:fill="FFFFFF"/>
            <w:vAlign w:val="center"/>
          </w:tcPr>
          <w:p w14:paraId="03CB937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r>
      <w:tr w14:paraId="7310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7E4AAED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师资博士后</w:t>
            </w:r>
          </w:p>
        </w:tc>
        <w:tc>
          <w:tcPr>
            <w:tcW w:w="764" w:type="dxa"/>
            <w:shd w:val="clear" w:color="000000" w:fill="FFFFFF"/>
            <w:vAlign w:val="center"/>
          </w:tcPr>
          <w:p w14:paraId="6473671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5</w:t>
            </w:r>
          </w:p>
        </w:tc>
        <w:tc>
          <w:tcPr>
            <w:tcW w:w="966" w:type="dxa"/>
            <w:shd w:val="clear" w:color="000000" w:fill="FFFFFF"/>
            <w:vAlign w:val="center"/>
          </w:tcPr>
          <w:p w14:paraId="4377EA9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BSH004</w:t>
            </w:r>
          </w:p>
        </w:tc>
        <w:tc>
          <w:tcPr>
            <w:tcW w:w="1537" w:type="dxa"/>
            <w:shd w:val="clear" w:color="000000" w:fill="FFFFFF"/>
            <w:vAlign w:val="center"/>
          </w:tcPr>
          <w:p w14:paraId="68DF515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机械工程</w:t>
            </w:r>
          </w:p>
        </w:tc>
        <w:tc>
          <w:tcPr>
            <w:tcW w:w="1751" w:type="dxa"/>
            <w:shd w:val="clear" w:color="000000" w:fill="FFFFFF"/>
            <w:vAlign w:val="center"/>
          </w:tcPr>
          <w:p w14:paraId="6B1874C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c>
          <w:tcPr>
            <w:tcW w:w="2172" w:type="dxa"/>
            <w:shd w:val="clear" w:color="000000" w:fill="FFFFFF"/>
            <w:vAlign w:val="center"/>
          </w:tcPr>
          <w:p w14:paraId="71BC7EB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r>
      <w:tr w14:paraId="3AC2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40C2416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师资博士后</w:t>
            </w:r>
          </w:p>
        </w:tc>
        <w:tc>
          <w:tcPr>
            <w:tcW w:w="764" w:type="dxa"/>
            <w:shd w:val="clear" w:color="000000" w:fill="FFFFFF"/>
            <w:vAlign w:val="center"/>
          </w:tcPr>
          <w:p w14:paraId="38C8AEF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2</w:t>
            </w:r>
          </w:p>
        </w:tc>
        <w:tc>
          <w:tcPr>
            <w:tcW w:w="966" w:type="dxa"/>
            <w:shd w:val="clear" w:color="000000" w:fill="FFFFFF"/>
            <w:vAlign w:val="center"/>
          </w:tcPr>
          <w:p w14:paraId="08A2DC8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BSH005</w:t>
            </w:r>
          </w:p>
        </w:tc>
        <w:tc>
          <w:tcPr>
            <w:tcW w:w="1537" w:type="dxa"/>
            <w:shd w:val="clear" w:color="000000" w:fill="FFFFFF"/>
            <w:vAlign w:val="center"/>
          </w:tcPr>
          <w:p w14:paraId="3085215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化学工程与技术</w:t>
            </w:r>
          </w:p>
        </w:tc>
        <w:tc>
          <w:tcPr>
            <w:tcW w:w="1751" w:type="dxa"/>
            <w:shd w:val="clear" w:color="000000" w:fill="FFFFFF"/>
            <w:vAlign w:val="center"/>
          </w:tcPr>
          <w:p w14:paraId="2A0F08E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c>
          <w:tcPr>
            <w:tcW w:w="2172" w:type="dxa"/>
            <w:shd w:val="clear" w:color="000000" w:fill="FFFFFF"/>
            <w:vAlign w:val="center"/>
          </w:tcPr>
          <w:p w14:paraId="63072C4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详见西南石油大学主页招聘信息</w:t>
            </w:r>
          </w:p>
        </w:tc>
      </w:tr>
      <w:tr w14:paraId="11CB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1A9EC84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油气井工程</w:t>
            </w:r>
          </w:p>
        </w:tc>
        <w:tc>
          <w:tcPr>
            <w:tcW w:w="764" w:type="dxa"/>
            <w:shd w:val="clear" w:color="000000" w:fill="FFFFFF"/>
            <w:vAlign w:val="center"/>
          </w:tcPr>
          <w:p w14:paraId="1A649F2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3</w:t>
            </w:r>
          </w:p>
        </w:tc>
        <w:tc>
          <w:tcPr>
            <w:tcW w:w="966" w:type="dxa"/>
            <w:shd w:val="clear" w:color="000000" w:fill="FFFFFF"/>
            <w:vAlign w:val="center"/>
          </w:tcPr>
          <w:p w14:paraId="3B66E27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BSH006</w:t>
            </w:r>
          </w:p>
        </w:tc>
        <w:tc>
          <w:tcPr>
            <w:tcW w:w="1537" w:type="dxa"/>
            <w:shd w:val="clear" w:color="000000" w:fill="FFFFFF"/>
            <w:vAlign w:val="center"/>
          </w:tcPr>
          <w:p w14:paraId="240CE96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石油与天然气工程</w:t>
            </w:r>
          </w:p>
        </w:tc>
        <w:tc>
          <w:tcPr>
            <w:tcW w:w="1751" w:type="dxa"/>
            <w:shd w:val="clear" w:color="000000" w:fill="FFFFFF"/>
            <w:vAlign w:val="center"/>
          </w:tcPr>
          <w:p w14:paraId="164B184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面议</w:t>
            </w:r>
          </w:p>
        </w:tc>
        <w:tc>
          <w:tcPr>
            <w:tcW w:w="2172" w:type="dxa"/>
            <w:vMerge w:val="restart"/>
            <w:shd w:val="clear" w:color="000000" w:fill="FFFFFF"/>
            <w:vAlign w:val="center"/>
          </w:tcPr>
          <w:p w14:paraId="208A90E4">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无</w:t>
            </w:r>
          </w:p>
        </w:tc>
      </w:tr>
      <w:tr w14:paraId="4659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2A5CEC1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油气田开发工程</w:t>
            </w:r>
          </w:p>
        </w:tc>
        <w:tc>
          <w:tcPr>
            <w:tcW w:w="764" w:type="dxa"/>
            <w:shd w:val="clear" w:color="000000" w:fill="FFFFFF"/>
            <w:vAlign w:val="center"/>
          </w:tcPr>
          <w:p w14:paraId="00A7D18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3</w:t>
            </w:r>
          </w:p>
        </w:tc>
        <w:tc>
          <w:tcPr>
            <w:tcW w:w="966" w:type="dxa"/>
            <w:shd w:val="clear" w:color="000000" w:fill="FFFFFF"/>
            <w:vAlign w:val="center"/>
          </w:tcPr>
          <w:p w14:paraId="700EBFC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BSH007</w:t>
            </w:r>
          </w:p>
        </w:tc>
        <w:tc>
          <w:tcPr>
            <w:tcW w:w="1537" w:type="dxa"/>
            <w:shd w:val="clear" w:color="000000" w:fill="FFFFFF"/>
            <w:vAlign w:val="center"/>
          </w:tcPr>
          <w:p w14:paraId="4CC495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石油与天然气工程</w:t>
            </w:r>
          </w:p>
        </w:tc>
        <w:tc>
          <w:tcPr>
            <w:tcW w:w="1751" w:type="dxa"/>
            <w:shd w:val="clear" w:color="000000" w:fill="FFFFFF"/>
            <w:vAlign w:val="center"/>
          </w:tcPr>
          <w:p w14:paraId="4783039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面议</w:t>
            </w:r>
          </w:p>
        </w:tc>
        <w:tc>
          <w:tcPr>
            <w:tcW w:w="2172" w:type="dxa"/>
            <w:vMerge w:val="continue"/>
            <w:shd w:val="clear" w:color="000000" w:fill="FFFFFF"/>
            <w:vAlign w:val="center"/>
          </w:tcPr>
          <w:p w14:paraId="73A6EA5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604D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7D25241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油气储运工程</w:t>
            </w:r>
          </w:p>
        </w:tc>
        <w:tc>
          <w:tcPr>
            <w:tcW w:w="764" w:type="dxa"/>
            <w:shd w:val="clear" w:color="000000" w:fill="FFFFFF"/>
            <w:vAlign w:val="center"/>
          </w:tcPr>
          <w:p w14:paraId="2EB1C79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2</w:t>
            </w:r>
          </w:p>
        </w:tc>
        <w:tc>
          <w:tcPr>
            <w:tcW w:w="966" w:type="dxa"/>
            <w:shd w:val="clear" w:color="000000" w:fill="FFFFFF"/>
            <w:vAlign w:val="center"/>
          </w:tcPr>
          <w:p w14:paraId="3DD8502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BSH008</w:t>
            </w:r>
          </w:p>
        </w:tc>
        <w:tc>
          <w:tcPr>
            <w:tcW w:w="1537" w:type="dxa"/>
            <w:shd w:val="clear" w:color="000000" w:fill="FFFFFF"/>
            <w:vAlign w:val="center"/>
          </w:tcPr>
          <w:p w14:paraId="5615F4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石油与天然气工程</w:t>
            </w:r>
          </w:p>
        </w:tc>
        <w:tc>
          <w:tcPr>
            <w:tcW w:w="1751" w:type="dxa"/>
            <w:shd w:val="clear" w:color="000000" w:fill="FFFFFF"/>
            <w:vAlign w:val="center"/>
          </w:tcPr>
          <w:p w14:paraId="566D921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面议</w:t>
            </w:r>
          </w:p>
        </w:tc>
        <w:tc>
          <w:tcPr>
            <w:tcW w:w="2172" w:type="dxa"/>
            <w:vMerge w:val="continue"/>
            <w:shd w:val="clear" w:color="000000" w:fill="FFFFFF"/>
            <w:vAlign w:val="center"/>
          </w:tcPr>
          <w:p w14:paraId="6E592C5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976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6E7C031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海洋油气工程</w:t>
            </w:r>
          </w:p>
        </w:tc>
        <w:tc>
          <w:tcPr>
            <w:tcW w:w="764" w:type="dxa"/>
            <w:shd w:val="clear" w:color="000000" w:fill="FFFFFF"/>
            <w:vAlign w:val="center"/>
          </w:tcPr>
          <w:p w14:paraId="6BFA4A1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2</w:t>
            </w:r>
          </w:p>
        </w:tc>
        <w:tc>
          <w:tcPr>
            <w:tcW w:w="966" w:type="dxa"/>
            <w:shd w:val="clear" w:color="000000" w:fill="FFFFFF"/>
            <w:vAlign w:val="center"/>
          </w:tcPr>
          <w:p w14:paraId="611C42E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BSH009</w:t>
            </w:r>
          </w:p>
        </w:tc>
        <w:tc>
          <w:tcPr>
            <w:tcW w:w="1537" w:type="dxa"/>
            <w:shd w:val="clear" w:color="000000" w:fill="FFFFFF"/>
            <w:vAlign w:val="center"/>
          </w:tcPr>
          <w:p w14:paraId="78029B6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石油与天然气工程</w:t>
            </w:r>
          </w:p>
        </w:tc>
        <w:tc>
          <w:tcPr>
            <w:tcW w:w="1751" w:type="dxa"/>
            <w:shd w:val="clear" w:color="000000" w:fill="FFFFFF"/>
            <w:vAlign w:val="center"/>
          </w:tcPr>
          <w:p w14:paraId="39BBB21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面议</w:t>
            </w:r>
          </w:p>
        </w:tc>
        <w:tc>
          <w:tcPr>
            <w:tcW w:w="2172" w:type="dxa"/>
            <w:vMerge w:val="continue"/>
            <w:shd w:val="clear" w:color="000000" w:fill="FFFFFF"/>
            <w:vAlign w:val="center"/>
          </w:tcPr>
          <w:p w14:paraId="583F63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685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28E4CE8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走滑断层及其控储控藏理论技术研究</w:t>
            </w:r>
          </w:p>
        </w:tc>
        <w:tc>
          <w:tcPr>
            <w:tcW w:w="764" w:type="dxa"/>
            <w:shd w:val="clear" w:color="000000" w:fill="FFFFFF"/>
            <w:vAlign w:val="center"/>
          </w:tcPr>
          <w:p w14:paraId="49B0496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966" w:type="dxa"/>
            <w:shd w:val="clear" w:color="000000" w:fill="FFFFFF"/>
            <w:vAlign w:val="center"/>
          </w:tcPr>
          <w:p w14:paraId="1097E3B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BSH010</w:t>
            </w:r>
          </w:p>
        </w:tc>
        <w:tc>
          <w:tcPr>
            <w:tcW w:w="1537" w:type="dxa"/>
            <w:shd w:val="clear" w:color="000000" w:fill="FFFFFF"/>
            <w:vAlign w:val="center"/>
          </w:tcPr>
          <w:p w14:paraId="5BE002C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地质学/地质资源与地质工程</w:t>
            </w:r>
          </w:p>
        </w:tc>
        <w:tc>
          <w:tcPr>
            <w:tcW w:w="1751" w:type="dxa"/>
            <w:shd w:val="clear" w:color="000000" w:fill="FFFFFF"/>
            <w:vAlign w:val="center"/>
          </w:tcPr>
          <w:p w14:paraId="70FDBFD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val="en-US" w:eastAsia="zh-CN"/>
              </w:rPr>
              <w:t>面议</w:t>
            </w:r>
          </w:p>
        </w:tc>
        <w:tc>
          <w:tcPr>
            <w:tcW w:w="2172" w:type="dxa"/>
            <w:vMerge w:val="continue"/>
            <w:shd w:val="clear" w:color="000000" w:fill="FFFFFF"/>
            <w:vAlign w:val="center"/>
          </w:tcPr>
          <w:p w14:paraId="40DFD22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615A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561" w:type="dxa"/>
            <w:shd w:val="clear" w:color="000000" w:fill="FFFFFF"/>
            <w:noWrap/>
            <w:vAlign w:val="center"/>
          </w:tcPr>
          <w:p w14:paraId="6361C4A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川南深层海相页岩气地质-工程双甜点预测理论与关键技术研究</w:t>
            </w:r>
          </w:p>
        </w:tc>
        <w:tc>
          <w:tcPr>
            <w:tcW w:w="764" w:type="dxa"/>
            <w:shd w:val="clear" w:color="000000" w:fill="FFFFFF"/>
            <w:vAlign w:val="center"/>
          </w:tcPr>
          <w:p w14:paraId="5A9490B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966" w:type="dxa"/>
            <w:shd w:val="clear" w:color="000000" w:fill="FFFFFF"/>
            <w:vAlign w:val="center"/>
          </w:tcPr>
          <w:p w14:paraId="6449451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BSH011</w:t>
            </w:r>
          </w:p>
        </w:tc>
        <w:tc>
          <w:tcPr>
            <w:tcW w:w="1537" w:type="dxa"/>
            <w:shd w:val="clear" w:color="000000" w:fill="FFFFFF"/>
            <w:vAlign w:val="center"/>
          </w:tcPr>
          <w:p w14:paraId="039CCB3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地质资源与地质工程/地质学</w:t>
            </w:r>
          </w:p>
        </w:tc>
        <w:tc>
          <w:tcPr>
            <w:tcW w:w="1751" w:type="dxa"/>
            <w:shd w:val="clear" w:color="000000" w:fill="FFFFFF"/>
            <w:vAlign w:val="center"/>
          </w:tcPr>
          <w:p w14:paraId="1492DBD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172" w:type="dxa"/>
            <w:shd w:val="clear" w:color="000000" w:fill="FFFFFF"/>
            <w:vAlign w:val="center"/>
          </w:tcPr>
          <w:p w14:paraId="6F9A222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985高校或211高校或双一流高校</w:t>
            </w:r>
          </w:p>
        </w:tc>
      </w:tr>
    </w:tbl>
    <w:p w14:paraId="7FE9401D">
      <w:pPr>
        <w:pStyle w:val="3"/>
        <w:outlineLvl w:val="9"/>
        <w:rPr>
          <w:rFonts w:ascii="Times New Roman" w:hAnsi="Times New Roman"/>
        </w:rPr>
      </w:pPr>
      <w:r>
        <w:rPr>
          <w:rFonts w:ascii="Times New Roman" w:hAnsi="Times New Roman"/>
        </w:rPr>
        <w:br w:type="page"/>
      </w:r>
    </w:p>
    <w:p w14:paraId="36A909C5">
      <w:pPr>
        <w:adjustRightInd w:val="0"/>
        <w:snapToGrid w:val="0"/>
        <w:spacing w:line="240" w:lineRule="auto"/>
        <w:ind w:firstLine="0"/>
        <w:jc w:val="center"/>
        <w:rPr>
          <w:rFonts w:eastAsia="方正小标宋简体"/>
          <w:sz w:val="44"/>
          <w:szCs w:val="44"/>
        </w:rPr>
      </w:pPr>
    </w:p>
    <w:p w14:paraId="4B102E3B">
      <w:pPr>
        <w:adjustRightInd w:val="0"/>
        <w:snapToGrid w:val="0"/>
        <w:spacing w:line="240" w:lineRule="auto"/>
        <w:ind w:firstLine="0"/>
        <w:jc w:val="center"/>
        <w:outlineLvl w:val="0"/>
        <w:rPr>
          <w:rFonts w:eastAsia="方正小标宋简体"/>
          <w:sz w:val="44"/>
          <w:szCs w:val="44"/>
          <w:highlight w:val="none"/>
        </w:rPr>
      </w:pPr>
      <w:bookmarkStart w:id="76" w:name="_Toc19682"/>
      <w:bookmarkStart w:id="77" w:name="_Toc27316"/>
      <w:bookmarkStart w:id="78" w:name="_Toc26844"/>
      <w:bookmarkStart w:id="79" w:name="_Toc31456"/>
      <w:bookmarkStart w:id="80" w:name="_Toc17049"/>
      <w:bookmarkStart w:id="81" w:name="_Toc19649"/>
      <w:r>
        <w:rPr>
          <w:rFonts w:eastAsia="方正小标宋简体"/>
          <w:sz w:val="44"/>
          <w:szCs w:val="44"/>
          <w:highlight w:val="none"/>
        </w:rPr>
        <w:t>中国工程物理研究院材料研究所</w:t>
      </w:r>
      <w:bookmarkEnd w:id="76"/>
      <w:bookmarkEnd w:id="77"/>
      <w:bookmarkEnd w:id="78"/>
      <w:bookmarkEnd w:id="79"/>
      <w:bookmarkEnd w:id="80"/>
    </w:p>
    <w:p w14:paraId="1CC47212">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901"/>
        <w:gridCol w:w="825"/>
        <w:gridCol w:w="7"/>
        <w:gridCol w:w="1153"/>
        <w:gridCol w:w="724"/>
        <w:gridCol w:w="1009"/>
        <w:gridCol w:w="59"/>
        <w:gridCol w:w="1430"/>
        <w:gridCol w:w="196"/>
        <w:gridCol w:w="1769"/>
      </w:tblGrid>
      <w:tr w14:paraId="2108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shd w:val="clear" w:color="auto" w:fill="E7E6E6" w:themeFill="background2"/>
            <w:noWrap/>
            <w:vAlign w:val="center"/>
          </w:tcPr>
          <w:p w14:paraId="0455FFD5">
            <w:pPr>
              <w:adjustRightInd w:val="0"/>
              <w:snapToGrid w:val="0"/>
              <w:spacing w:line="240" w:lineRule="auto"/>
              <w:ind w:firstLine="0"/>
              <w:jc w:val="center"/>
              <w:rPr>
                <w:rFonts w:eastAsia="宋体"/>
                <w:b/>
                <w:bCs/>
                <w:sz w:val="21"/>
                <w:szCs w:val="21"/>
              </w:rPr>
            </w:pPr>
            <w:r>
              <w:rPr>
                <w:rFonts w:eastAsia="宋体"/>
                <w:b/>
                <w:bCs/>
                <w:sz w:val="21"/>
                <w:szCs w:val="21"/>
              </w:rPr>
              <w:t>单位性质</w:t>
            </w:r>
          </w:p>
        </w:tc>
        <w:tc>
          <w:tcPr>
            <w:tcW w:w="1733" w:type="dxa"/>
            <w:gridSpan w:val="3"/>
            <w:shd w:val="clear" w:color="000000" w:fill="auto"/>
            <w:noWrap/>
            <w:vAlign w:val="center"/>
          </w:tcPr>
          <w:p w14:paraId="2F6347F7">
            <w:pPr>
              <w:adjustRightInd w:val="0"/>
              <w:snapToGrid w:val="0"/>
              <w:spacing w:line="240" w:lineRule="auto"/>
              <w:ind w:firstLine="0"/>
              <w:jc w:val="center"/>
              <w:rPr>
                <w:rFonts w:eastAsia="宋体"/>
                <w:sz w:val="21"/>
                <w:szCs w:val="21"/>
              </w:rPr>
            </w:pPr>
            <w:r>
              <w:rPr>
                <w:rFonts w:eastAsia="宋体"/>
                <w:sz w:val="21"/>
                <w:szCs w:val="21"/>
              </w:rPr>
              <w:t>科研院所</w:t>
            </w:r>
          </w:p>
        </w:tc>
        <w:tc>
          <w:tcPr>
            <w:tcW w:w="1877" w:type="dxa"/>
            <w:gridSpan w:val="2"/>
            <w:shd w:val="clear" w:color="auto" w:fill="E7E6E6" w:themeFill="background2"/>
            <w:noWrap/>
            <w:vAlign w:val="center"/>
          </w:tcPr>
          <w:p w14:paraId="1DA1A4B5">
            <w:pPr>
              <w:adjustRightInd w:val="0"/>
              <w:snapToGrid w:val="0"/>
              <w:spacing w:line="240" w:lineRule="auto"/>
              <w:ind w:firstLine="0"/>
              <w:jc w:val="center"/>
              <w:rPr>
                <w:rFonts w:eastAsia="宋体"/>
                <w:b/>
                <w:bCs/>
                <w:sz w:val="21"/>
                <w:szCs w:val="21"/>
              </w:rPr>
            </w:pPr>
            <w:r>
              <w:rPr>
                <w:rFonts w:eastAsia="宋体"/>
                <w:b/>
                <w:bCs/>
                <w:sz w:val="21"/>
                <w:szCs w:val="21"/>
              </w:rPr>
              <w:t>设站单位类型</w:t>
            </w:r>
          </w:p>
        </w:tc>
        <w:tc>
          <w:tcPr>
            <w:tcW w:w="1068" w:type="dxa"/>
            <w:gridSpan w:val="2"/>
            <w:shd w:val="clear" w:color="000000" w:fill="auto"/>
            <w:noWrap/>
            <w:vAlign w:val="center"/>
          </w:tcPr>
          <w:p w14:paraId="219A513A">
            <w:pPr>
              <w:adjustRightInd w:val="0"/>
              <w:snapToGrid w:val="0"/>
              <w:spacing w:line="240" w:lineRule="auto"/>
              <w:ind w:firstLine="0"/>
              <w:jc w:val="center"/>
              <w:rPr>
                <w:rFonts w:eastAsia="宋体"/>
                <w:sz w:val="21"/>
                <w:szCs w:val="21"/>
              </w:rPr>
            </w:pPr>
            <w:r>
              <w:rPr>
                <w:rFonts w:eastAsia="宋体"/>
                <w:sz w:val="21"/>
                <w:szCs w:val="21"/>
              </w:rPr>
              <w:t>流动站</w:t>
            </w:r>
          </w:p>
        </w:tc>
        <w:tc>
          <w:tcPr>
            <w:tcW w:w="1626" w:type="dxa"/>
            <w:gridSpan w:val="2"/>
            <w:shd w:val="clear" w:color="auto" w:fill="E7E6E6" w:themeFill="background2"/>
            <w:noWrap/>
            <w:vAlign w:val="center"/>
          </w:tcPr>
          <w:p w14:paraId="57E5E516">
            <w:pPr>
              <w:adjustRightInd w:val="0"/>
              <w:snapToGrid w:val="0"/>
              <w:spacing w:line="240" w:lineRule="auto"/>
              <w:ind w:firstLine="0"/>
              <w:jc w:val="center"/>
              <w:rPr>
                <w:rFonts w:eastAsia="宋体"/>
                <w:b/>
                <w:bCs/>
                <w:sz w:val="21"/>
                <w:szCs w:val="21"/>
              </w:rPr>
            </w:pPr>
            <w:r>
              <w:rPr>
                <w:rFonts w:eastAsia="宋体"/>
                <w:b/>
                <w:bCs/>
                <w:sz w:val="21"/>
                <w:szCs w:val="21"/>
              </w:rPr>
              <w:t>单位所在城市</w:t>
            </w:r>
          </w:p>
        </w:tc>
        <w:tc>
          <w:tcPr>
            <w:tcW w:w="1769" w:type="dxa"/>
            <w:shd w:val="clear" w:color="000000" w:fill="auto"/>
            <w:noWrap/>
            <w:vAlign w:val="center"/>
          </w:tcPr>
          <w:p w14:paraId="73C6688A">
            <w:pPr>
              <w:adjustRightInd w:val="0"/>
              <w:snapToGrid w:val="0"/>
              <w:spacing w:line="240" w:lineRule="auto"/>
              <w:ind w:firstLine="0"/>
              <w:jc w:val="center"/>
              <w:rPr>
                <w:rFonts w:eastAsia="宋体"/>
                <w:sz w:val="21"/>
                <w:szCs w:val="21"/>
              </w:rPr>
            </w:pPr>
            <w:r>
              <w:rPr>
                <w:rFonts w:eastAsia="宋体"/>
                <w:sz w:val="21"/>
                <w:szCs w:val="21"/>
              </w:rPr>
              <w:t>江油</w:t>
            </w:r>
          </w:p>
        </w:tc>
      </w:tr>
      <w:tr w14:paraId="7795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dxa"/>
            <w:shd w:val="clear" w:color="auto" w:fill="E7E6E6" w:themeFill="background2"/>
            <w:noWrap/>
            <w:vAlign w:val="center"/>
          </w:tcPr>
          <w:p w14:paraId="45BD04E6">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073" w:type="dxa"/>
            <w:gridSpan w:val="10"/>
            <w:shd w:val="clear" w:color="000000" w:fill="auto"/>
            <w:noWrap/>
            <w:vAlign w:val="center"/>
          </w:tcPr>
          <w:p w14:paraId="122F0F3A">
            <w:pPr>
              <w:adjustRightInd w:val="0"/>
              <w:snapToGrid w:val="0"/>
              <w:spacing w:line="240" w:lineRule="auto"/>
              <w:ind w:firstLine="0"/>
              <w:jc w:val="center"/>
              <w:rPr>
                <w:rFonts w:eastAsia="宋体"/>
                <w:sz w:val="21"/>
                <w:szCs w:val="21"/>
              </w:rPr>
            </w:pPr>
            <w:r>
              <w:rPr>
                <w:rFonts w:hint="eastAsia" w:eastAsia="宋体"/>
                <w:sz w:val="21"/>
                <w:szCs w:val="21"/>
              </w:rPr>
              <w:t>四川省江油市华丰新村9信箱25分箱</w:t>
            </w:r>
          </w:p>
        </w:tc>
      </w:tr>
      <w:tr w14:paraId="3D5E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7" w:hRule="atLeast"/>
          <w:jc w:val="center"/>
        </w:trPr>
        <w:tc>
          <w:tcPr>
            <w:tcW w:w="1678" w:type="dxa"/>
            <w:shd w:val="clear" w:color="auto" w:fill="E7E6E6" w:themeFill="background2"/>
            <w:noWrap/>
            <w:vAlign w:val="center"/>
          </w:tcPr>
          <w:p w14:paraId="0B2B1231">
            <w:pPr>
              <w:adjustRightInd w:val="0"/>
              <w:snapToGrid w:val="0"/>
              <w:spacing w:line="240" w:lineRule="auto"/>
              <w:ind w:firstLine="0"/>
              <w:jc w:val="center"/>
              <w:rPr>
                <w:rFonts w:eastAsia="宋体"/>
                <w:b/>
                <w:bCs/>
                <w:sz w:val="21"/>
                <w:szCs w:val="21"/>
              </w:rPr>
            </w:pPr>
            <w:r>
              <w:rPr>
                <w:rFonts w:eastAsia="宋体"/>
                <w:b/>
                <w:bCs/>
                <w:sz w:val="21"/>
                <w:szCs w:val="21"/>
              </w:rPr>
              <w:t>单位简介</w:t>
            </w:r>
          </w:p>
        </w:tc>
        <w:tc>
          <w:tcPr>
            <w:tcW w:w="8073" w:type="dxa"/>
            <w:gridSpan w:val="10"/>
            <w:shd w:val="clear" w:color="000000" w:fill="auto"/>
            <w:vAlign w:val="center"/>
          </w:tcPr>
          <w:p w14:paraId="5CEA13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材料研究所创建于1969 年，是国家重点投资建设，拥有国内外先进技术装备，承担科研和生产任务的重要基地。 </w:t>
            </w:r>
          </w:p>
          <w:p w14:paraId="2977FB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sz w:val="21"/>
                <w:szCs w:val="21"/>
              </w:rPr>
            </w:pPr>
            <w:r>
              <w:rPr>
                <w:rFonts w:hint="default" w:ascii="Times New Roman" w:hAnsi="Times New Roman" w:cs="Times New Roman" w:eastAsiaTheme="minorEastAsia"/>
                <w:sz w:val="21"/>
                <w:szCs w:val="21"/>
              </w:rPr>
              <w:t>国家计划中单列，为国务院所属的全民所有制科研事业单位。材料研究所坚持“人才强所”战略，实施全方位、立体化的人才培养与发展体系。通过新聘人员以老带新、设立特聘岗位、骨干外派研修、依托高校培养等多种途径和措施，以及充分发挥博士后流动站、国家级技能大师工作室和所技能强化培训工作站的作用，在基础研究、技术研发、操作技能等方面培养造就创新型人才。现具有“核燃料循环与材料专业”、“辐射防护及环境保护专业”、“材料科学与工程专业”“机械工程专业”博士和硕士学位授权点，“核技术及应用专业”硕士学位授权点，现有博士研究生导师32名、硕士研究生导师67名。</w:t>
            </w:r>
          </w:p>
        </w:tc>
      </w:tr>
      <w:tr w14:paraId="50FE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678" w:type="dxa"/>
            <w:shd w:val="clear" w:color="auto" w:fill="E7E6E6" w:themeFill="background2"/>
            <w:noWrap/>
            <w:vAlign w:val="center"/>
          </w:tcPr>
          <w:p w14:paraId="6F867C55">
            <w:pPr>
              <w:adjustRightInd w:val="0"/>
              <w:snapToGrid w:val="0"/>
              <w:spacing w:line="240" w:lineRule="auto"/>
              <w:ind w:firstLine="0"/>
              <w:jc w:val="center"/>
              <w:rPr>
                <w:rFonts w:eastAsia="宋体"/>
                <w:b/>
                <w:bCs/>
                <w:sz w:val="21"/>
                <w:szCs w:val="21"/>
              </w:rPr>
            </w:pPr>
            <w:r>
              <w:rPr>
                <w:rFonts w:eastAsia="宋体"/>
                <w:b/>
                <w:bCs/>
                <w:sz w:val="21"/>
                <w:szCs w:val="21"/>
              </w:rPr>
              <w:t>单位博士后</w:t>
            </w:r>
          </w:p>
          <w:p w14:paraId="130E8B12">
            <w:pPr>
              <w:adjustRightInd w:val="0"/>
              <w:snapToGrid w:val="0"/>
              <w:spacing w:line="240" w:lineRule="auto"/>
              <w:ind w:firstLine="0"/>
              <w:jc w:val="center"/>
              <w:rPr>
                <w:rFonts w:eastAsia="宋体"/>
                <w:b/>
                <w:bCs/>
                <w:sz w:val="21"/>
                <w:szCs w:val="21"/>
              </w:rPr>
            </w:pPr>
            <w:r>
              <w:rPr>
                <w:rFonts w:eastAsia="宋体"/>
                <w:b/>
                <w:bCs/>
                <w:sz w:val="21"/>
                <w:szCs w:val="21"/>
              </w:rPr>
              <w:t>主要政策</w:t>
            </w:r>
          </w:p>
        </w:tc>
        <w:tc>
          <w:tcPr>
            <w:tcW w:w="8073" w:type="dxa"/>
            <w:gridSpan w:val="10"/>
            <w:shd w:val="clear" w:color="000000" w:fill="auto"/>
            <w:vAlign w:val="center"/>
          </w:tcPr>
          <w:p w14:paraId="6B1099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sz w:val="21"/>
                <w:szCs w:val="21"/>
              </w:rPr>
            </w:pPr>
            <w:r>
              <w:rPr>
                <w:rFonts w:hint="eastAsia" w:eastAsia="宋体"/>
                <w:sz w:val="21"/>
                <w:szCs w:val="21"/>
              </w:rPr>
              <w:t>申请进站人员原则上应是在国内外获得博士学位两年以内，品学兼优，身心健康，具备较高的学术水平和较强的科研能力；博士后入站后，视情况可给予相应经费资助；博士后人员期满出站，其就业实行双向选择、自主择业，在站期间表现优异的博士后人员，可在期满后参加院内招聘，招聘通过后方可留所工作；博士后人员实行年薪制。</w:t>
            </w:r>
          </w:p>
        </w:tc>
      </w:tr>
      <w:tr w14:paraId="7472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579" w:type="dxa"/>
            <w:gridSpan w:val="2"/>
            <w:shd w:val="clear" w:color="auto" w:fill="E7E6E6" w:themeFill="background2"/>
            <w:noWrap/>
            <w:vAlign w:val="center"/>
          </w:tcPr>
          <w:p w14:paraId="5523EF51">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825" w:type="dxa"/>
            <w:shd w:val="clear" w:color="auto" w:fill="E7E6E6" w:themeFill="background2"/>
            <w:vAlign w:val="center"/>
          </w:tcPr>
          <w:p w14:paraId="004DBA51">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160" w:type="dxa"/>
            <w:gridSpan w:val="2"/>
            <w:shd w:val="clear" w:color="auto" w:fill="E7E6E6" w:themeFill="background2"/>
            <w:vAlign w:val="center"/>
          </w:tcPr>
          <w:p w14:paraId="2F852200">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733" w:type="dxa"/>
            <w:gridSpan w:val="2"/>
            <w:shd w:val="clear" w:color="auto" w:fill="E7E6E6" w:themeFill="background2"/>
            <w:vAlign w:val="center"/>
          </w:tcPr>
          <w:p w14:paraId="77FD289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3B45DE8">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9" w:type="dxa"/>
            <w:gridSpan w:val="2"/>
            <w:shd w:val="clear" w:color="auto" w:fill="E7E6E6" w:themeFill="background2"/>
            <w:vAlign w:val="center"/>
          </w:tcPr>
          <w:p w14:paraId="3472C8B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659EEE7">
            <w:pPr>
              <w:adjustRightInd w:val="0"/>
              <w:snapToGrid w:val="0"/>
              <w:spacing w:line="240" w:lineRule="auto"/>
              <w:ind w:firstLine="0" w:firstLineChars="0"/>
              <w:jc w:val="center"/>
              <w:rPr>
                <w:rFonts w:eastAsia="宋体"/>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65" w:type="dxa"/>
            <w:gridSpan w:val="2"/>
            <w:shd w:val="clear" w:color="auto" w:fill="E7E6E6" w:themeFill="background2"/>
            <w:vAlign w:val="center"/>
          </w:tcPr>
          <w:p w14:paraId="2AC5D51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4194602">
            <w:pPr>
              <w:adjustRightInd w:val="0"/>
              <w:snapToGrid w:val="0"/>
              <w:spacing w:line="240" w:lineRule="auto"/>
              <w:ind w:firstLine="0"/>
              <w:jc w:val="center"/>
              <w:rPr>
                <w:rFonts w:eastAsia="宋体"/>
                <w:b/>
                <w:bCs/>
                <w:sz w:val="21"/>
                <w:szCs w:val="21"/>
              </w:rPr>
            </w:pPr>
            <w:r>
              <w:rPr>
                <w:rFonts w:eastAsiaTheme="minorEastAsia"/>
                <w:b/>
                <w:bCs/>
                <w:sz w:val="21"/>
                <w:szCs w:val="21"/>
              </w:rPr>
              <w:t>等要求</w:t>
            </w:r>
          </w:p>
        </w:tc>
      </w:tr>
      <w:tr w14:paraId="302C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595CE8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基于催化加氢的新型多元合金催化剂的设计、制备及构效关系研究</w:t>
            </w:r>
          </w:p>
        </w:tc>
        <w:tc>
          <w:tcPr>
            <w:tcW w:w="825" w:type="dxa"/>
            <w:tcBorders>
              <w:top w:val="single" w:color="auto" w:sz="4" w:space="0"/>
              <w:left w:val="single" w:color="auto" w:sz="4" w:space="0"/>
              <w:bottom w:val="single" w:color="auto" w:sz="4" w:space="0"/>
              <w:right w:val="single" w:color="auto" w:sz="4" w:space="0"/>
            </w:tcBorders>
            <w:vAlign w:val="center"/>
          </w:tcPr>
          <w:p w14:paraId="50F95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1</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5E0C7E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BSH001</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18503E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材料或化学</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2ABB9B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5402CA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符合中物院博士后进站基本要求的院校</w:t>
            </w:r>
          </w:p>
        </w:tc>
      </w:tr>
      <w:tr w14:paraId="1B4A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25F513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高性能Ti、Zr、V、Mg基贮氢材料的高通量设计、表界面活性调控及机理研究</w:t>
            </w:r>
            <w:r>
              <w:rPr>
                <w:rFonts w:hint="default" w:ascii="Times New Roman" w:hAnsi="Times New Roman" w:cs="Times New Roman" w:eastAsiaTheme="minorEastAsia"/>
                <w:sz w:val="21"/>
                <w:szCs w:val="21"/>
                <w:lang w:val="en-US" w:eastAsia="zh-CN"/>
              </w:rPr>
              <w:t>(国家自然科学基金重点项目)</w:t>
            </w:r>
          </w:p>
        </w:tc>
        <w:tc>
          <w:tcPr>
            <w:tcW w:w="825" w:type="dxa"/>
            <w:tcBorders>
              <w:top w:val="single" w:color="auto" w:sz="4" w:space="0"/>
              <w:left w:val="single" w:color="auto" w:sz="4" w:space="0"/>
              <w:bottom w:val="single" w:color="auto" w:sz="4" w:space="0"/>
              <w:right w:val="single" w:color="auto" w:sz="4" w:space="0"/>
            </w:tcBorders>
            <w:vAlign w:val="center"/>
          </w:tcPr>
          <w:p w14:paraId="61E4E2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lang w:val="en-US" w:eastAsia="zh-CN"/>
              </w:rPr>
              <w:t>2</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7C5107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BSH002</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63E3CF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材料、物理、化学、核技术</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30D163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2A4F7C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211、985学校或全国高校高水平博士</w:t>
            </w:r>
          </w:p>
        </w:tc>
      </w:tr>
      <w:tr w14:paraId="5F36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579" w:type="dxa"/>
            <w:gridSpan w:val="2"/>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5B13BBCC">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eastAsia="宋体"/>
                <w:b/>
                <w:bCs/>
                <w:sz w:val="21"/>
                <w:szCs w:val="21"/>
              </w:rPr>
              <w:t>项目名称</w:t>
            </w:r>
          </w:p>
        </w:tc>
        <w:tc>
          <w:tcPr>
            <w:tcW w:w="825"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B4D0E88">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eastAsia="宋体"/>
                <w:b/>
                <w:bCs/>
                <w:sz w:val="21"/>
                <w:szCs w:val="21"/>
              </w:rPr>
              <w:t>需求人数</w:t>
            </w:r>
          </w:p>
        </w:tc>
        <w:tc>
          <w:tcPr>
            <w:tcW w:w="1160"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82F9616">
            <w:pPr>
              <w:adjustRightInd w:val="0"/>
              <w:snapToGrid w:val="0"/>
              <w:spacing w:line="240" w:lineRule="auto"/>
              <w:ind w:firstLine="0"/>
              <w:jc w:val="center"/>
              <w:rPr>
                <w:rFonts w:eastAsia="宋体"/>
                <w:b/>
                <w:bCs/>
                <w:sz w:val="21"/>
                <w:szCs w:val="21"/>
              </w:rPr>
            </w:pPr>
            <w:r>
              <w:rPr>
                <w:rFonts w:eastAsia="宋体"/>
                <w:b/>
                <w:bCs/>
                <w:sz w:val="21"/>
                <w:szCs w:val="21"/>
              </w:rPr>
              <w:t>岗位</w:t>
            </w:r>
          </w:p>
          <w:p w14:paraId="490268FB">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eastAsia="宋体"/>
                <w:b/>
                <w:bCs/>
                <w:sz w:val="21"/>
                <w:szCs w:val="21"/>
              </w:rPr>
              <w:t>编号</w:t>
            </w:r>
          </w:p>
        </w:tc>
        <w:tc>
          <w:tcPr>
            <w:tcW w:w="1733"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7EC65A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30984B9">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489"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49E5958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D094A30">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65"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C6F82E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7300CB8">
            <w:pPr>
              <w:adjustRightInd w:val="0"/>
              <w:snapToGrid w:val="0"/>
              <w:spacing w:line="240" w:lineRule="auto"/>
              <w:ind w:firstLine="0" w:firstLineChars="0"/>
              <w:jc w:val="center"/>
              <w:rPr>
                <w:rFonts w:hint="eastAsia" w:ascii="Times New Roman" w:hAnsi="Times New Roman" w:eastAsia="宋体" w:cs="Times New Roman"/>
                <w:b/>
                <w:bCs/>
                <w:kern w:val="2"/>
                <w:sz w:val="21"/>
                <w:szCs w:val="21"/>
                <w:lang w:val="en-US" w:eastAsia="zh-CN" w:bidi="ar-SA"/>
              </w:rPr>
            </w:pPr>
            <w:r>
              <w:rPr>
                <w:rFonts w:eastAsiaTheme="minorEastAsia"/>
                <w:b/>
                <w:bCs/>
                <w:sz w:val="21"/>
                <w:szCs w:val="21"/>
              </w:rPr>
              <w:t>等要求</w:t>
            </w:r>
          </w:p>
        </w:tc>
      </w:tr>
      <w:tr w14:paraId="410A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7BCFF9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密度泛函理论结合对偶费米子方法研究</w:t>
            </w:r>
          </w:p>
        </w:tc>
        <w:tc>
          <w:tcPr>
            <w:tcW w:w="825" w:type="dxa"/>
            <w:tcBorders>
              <w:top w:val="single" w:color="auto" w:sz="4" w:space="0"/>
              <w:left w:val="single" w:color="auto" w:sz="4" w:space="0"/>
              <w:bottom w:val="single" w:color="auto" w:sz="4" w:space="0"/>
              <w:right w:val="single" w:color="auto" w:sz="4" w:space="0"/>
            </w:tcBorders>
            <w:vAlign w:val="center"/>
          </w:tcPr>
          <w:p w14:paraId="17B76E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1</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52A328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BSH003</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4A6048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凝聚态物理</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69DA35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vMerge w:val="restart"/>
            <w:tcBorders>
              <w:top w:val="single" w:color="auto" w:sz="4" w:space="0"/>
              <w:left w:val="single" w:color="auto" w:sz="4" w:space="0"/>
              <w:right w:val="single" w:color="auto" w:sz="4" w:space="0"/>
            </w:tcBorders>
            <w:vAlign w:val="center"/>
          </w:tcPr>
          <w:p w14:paraId="21A932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不限</w:t>
            </w:r>
          </w:p>
        </w:tc>
      </w:tr>
      <w:tr w14:paraId="257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5476F8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钚腐蚀计算模拟研究</w:t>
            </w:r>
          </w:p>
        </w:tc>
        <w:tc>
          <w:tcPr>
            <w:tcW w:w="825" w:type="dxa"/>
            <w:tcBorders>
              <w:top w:val="single" w:color="auto" w:sz="4" w:space="0"/>
              <w:left w:val="single" w:color="auto" w:sz="4" w:space="0"/>
              <w:bottom w:val="single" w:color="auto" w:sz="4" w:space="0"/>
              <w:right w:val="single" w:color="auto" w:sz="4" w:space="0"/>
            </w:tcBorders>
            <w:vAlign w:val="center"/>
          </w:tcPr>
          <w:p w14:paraId="56CECC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1</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3D8698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BSH004</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56D34F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凝聚态物理</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33E6E8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vMerge w:val="continue"/>
            <w:tcBorders>
              <w:left w:val="single" w:color="auto" w:sz="4" w:space="0"/>
              <w:right w:val="single" w:color="auto" w:sz="4" w:space="0"/>
            </w:tcBorders>
            <w:vAlign w:val="center"/>
          </w:tcPr>
          <w:p w14:paraId="0E8E2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r>
      <w:tr w14:paraId="5FCC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6D1FEE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重锕系化合物电子结构计算研究</w:t>
            </w:r>
          </w:p>
        </w:tc>
        <w:tc>
          <w:tcPr>
            <w:tcW w:w="825" w:type="dxa"/>
            <w:tcBorders>
              <w:top w:val="single" w:color="auto" w:sz="4" w:space="0"/>
              <w:left w:val="single" w:color="auto" w:sz="4" w:space="0"/>
              <w:bottom w:val="single" w:color="auto" w:sz="4" w:space="0"/>
              <w:right w:val="single" w:color="auto" w:sz="4" w:space="0"/>
            </w:tcBorders>
            <w:vAlign w:val="center"/>
          </w:tcPr>
          <w:p w14:paraId="15040E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1</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372FCF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BSH005</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249760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凝聚态物理</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390611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vMerge w:val="continue"/>
            <w:tcBorders>
              <w:left w:val="single" w:color="auto" w:sz="4" w:space="0"/>
              <w:bottom w:val="single" w:color="auto" w:sz="4" w:space="0"/>
              <w:right w:val="single" w:color="auto" w:sz="4" w:space="0"/>
            </w:tcBorders>
            <w:vAlign w:val="center"/>
          </w:tcPr>
          <w:p w14:paraId="54F94C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p>
        </w:tc>
      </w:tr>
      <w:tr w14:paraId="66D2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79" w:type="dxa"/>
            <w:gridSpan w:val="2"/>
            <w:tcBorders>
              <w:top w:val="single" w:color="auto" w:sz="4" w:space="0"/>
              <w:left w:val="single" w:color="auto" w:sz="4" w:space="0"/>
              <w:bottom w:val="single" w:color="auto" w:sz="4" w:space="0"/>
              <w:right w:val="single" w:color="auto" w:sz="4" w:space="0"/>
            </w:tcBorders>
            <w:noWrap/>
            <w:vAlign w:val="center"/>
          </w:tcPr>
          <w:p w14:paraId="14B116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人工智能技术在辐射损伤效应评估及辐射防护药物设计筛选中的应用</w:t>
            </w:r>
          </w:p>
        </w:tc>
        <w:tc>
          <w:tcPr>
            <w:tcW w:w="825" w:type="dxa"/>
            <w:tcBorders>
              <w:top w:val="single" w:color="auto" w:sz="4" w:space="0"/>
              <w:left w:val="single" w:color="auto" w:sz="4" w:space="0"/>
              <w:bottom w:val="single" w:color="auto" w:sz="4" w:space="0"/>
              <w:right w:val="single" w:color="auto" w:sz="4" w:space="0"/>
            </w:tcBorders>
            <w:vAlign w:val="center"/>
          </w:tcPr>
          <w:p w14:paraId="281521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1</w:t>
            </w:r>
          </w:p>
        </w:tc>
        <w:tc>
          <w:tcPr>
            <w:tcW w:w="1160" w:type="dxa"/>
            <w:gridSpan w:val="2"/>
            <w:tcBorders>
              <w:top w:val="single" w:color="auto" w:sz="4" w:space="0"/>
              <w:left w:val="single" w:color="auto" w:sz="4" w:space="0"/>
              <w:bottom w:val="single" w:color="auto" w:sz="4" w:space="0"/>
              <w:right w:val="single" w:color="auto" w:sz="4" w:space="0"/>
            </w:tcBorders>
            <w:vAlign w:val="center"/>
          </w:tcPr>
          <w:p w14:paraId="129301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6</w:t>
            </w:r>
          </w:p>
        </w:tc>
        <w:tc>
          <w:tcPr>
            <w:tcW w:w="1733" w:type="dxa"/>
            <w:gridSpan w:val="2"/>
            <w:tcBorders>
              <w:top w:val="single" w:color="auto" w:sz="4" w:space="0"/>
              <w:left w:val="single" w:color="auto" w:sz="4" w:space="0"/>
              <w:bottom w:val="single" w:color="auto" w:sz="4" w:space="0"/>
              <w:right w:val="single" w:color="auto" w:sz="4" w:space="0"/>
            </w:tcBorders>
            <w:vAlign w:val="center"/>
          </w:tcPr>
          <w:p w14:paraId="71234F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计算机科学与技术、药学、核科学与技术等相关专业</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0D03FB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35-40</w:t>
            </w: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1F3BA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sz w:val="21"/>
                <w:szCs w:val="21"/>
              </w:rPr>
              <w:t>国内外具备相关专业的大学及研究所</w:t>
            </w:r>
          </w:p>
        </w:tc>
      </w:tr>
    </w:tbl>
    <w:p w14:paraId="08DD495D">
      <w:pPr>
        <w:pStyle w:val="16"/>
      </w:pPr>
      <w:r>
        <w:br w:type="page"/>
      </w:r>
    </w:p>
    <w:p w14:paraId="4F29BA30">
      <w:pPr>
        <w:adjustRightInd w:val="0"/>
        <w:snapToGrid w:val="0"/>
        <w:spacing w:line="240" w:lineRule="auto"/>
        <w:ind w:firstLine="0"/>
        <w:jc w:val="center"/>
        <w:rPr>
          <w:rFonts w:eastAsia="方正小标宋简体"/>
          <w:sz w:val="44"/>
          <w:szCs w:val="44"/>
        </w:rPr>
      </w:pPr>
    </w:p>
    <w:p w14:paraId="15FB365D">
      <w:pPr>
        <w:adjustRightInd w:val="0"/>
        <w:snapToGrid w:val="0"/>
        <w:spacing w:line="240" w:lineRule="auto"/>
        <w:ind w:firstLine="0"/>
        <w:jc w:val="center"/>
        <w:outlineLvl w:val="0"/>
        <w:rPr>
          <w:rFonts w:eastAsia="方正小标宋简体"/>
          <w:sz w:val="44"/>
          <w:szCs w:val="44"/>
          <w:highlight w:val="none"/>
        </w:rPr>
      </w:pPr>
      <w:bookmarkStart w:id="82" w:name="_Toc3023"/>
      <w:bookmarkStart w:id="83" w:name="_Toc10202"/>
      <w:bookmarkStart w:id="84" w:name="_Toc13651"/>
      <w:bookmarkStart w:id="85" w:name="_Toc1799"/>
      <w:bookmarkStart w:id="86" w:name="_Toc14502"/>
      <w:bookmarkStart w:id="87" w:name="_Toc3872"/>
      <w:bookmarkStart w:id="88" w:name="_Toc26045"/>
      <w:r>
        <w:rPr>
          <w:rFonts w:eastAsia="方正小标宋简体"/>
          <w:sz w:val="44"/>
          <w:szCs w:val="44"/>
          <w:highlight w:val="none"/>
        </w:rPr>
        <w:t>中国工程物理研究院</w:t>
      </w:r>
      <w:r>
        <w:rPr>
          <w:rFonts w:hint="eastAsia" w:eastAsia="方正小标宋简体"/>
          <w:sz w:val="44"/>
          <w:szCs w:val="44"/>
          <w:highlight w:val="none"/>
          <w:lang w:val="en-US" w:eastAsia="zh-CN"/>
        </w:rPr>
        <w:t>电子</w:t>
      </w:r>
      <w:r>
        <w:rPr>
          <w:rFonts w:eastAsia="方正小标宋简体"/>
          <w:sz w:val="44"/>
          <w:szCs w:val="44"/>
          <w:highlight w:val="none"/>
        </w:rPr>
        <w:t>工程研究所</w:t>
      </w:r>
      <w:bookmarkEnd w:id="82"/>
      <w:bookmarkEnd w:id="83"/>
      <w:bookmarkEnd w:id="84"/>
      <w:bookmarkEnd w:id="85"/>
      <w:bookmarkEnd w:id="86"/>
      <w:bookmarkEnd w:id="87"/>
      <w:bookmarkEnd w:id="88"/>
    </w:p>
    <w:p w14:paraId="0EF5F022">
      <w:pPr>
        <w:adjustRightInd w:val="0"/>
        <w:snapToGrid w:val="0"/>
        <w:spacing w:line="240" w:lineRule="auto"/>
        <w:ind w:firstLine="0"/>
        <w:jc w:val="center"/>
        <w:rPr>
          <w:rFonts w:eastAsia="方正小标宋简体"/>
          <w:sz w:val="21"/>
          <w:szCs w:val="21"/>
        </w:rPr>
      </w:pPr>
    </w:p>
    <w:tbl>
      <w:tblPr>
        <w:tblStyle w:val="25"/>
        <w:tblW w:w="9751" w:type="dxa"/>
        <w:jc w:val="center"/>
        <w:tblLayout w:type="fixed"/>
        <w:tblCellMar>
          <w:top w:w="0" w:type="dxa"/>
          <w:left w:w="108" w:type="dxa"/>
          <w:bottom w:w="0" w:type="dxa"/>
          <w:right w:w="108" w:type="dxa"/>
        </w:tblCellMar>
      </w:tblPr>
      <w:tblGrid>
        <w:gridCol w:w="1338"/>
        <w:gridCol w:w="1353"/>
        <w:gridCol w:w="250"/>
        <w:gridCol w:w="707"/>
        <w:gridCol w:w="970"/>
        <w:gridCol w:w="223"/>
        <w:gridCol w:w="1082"/>
        <w:gridCol w:w="700"/>
        <w:gridCol w:w="1217"/>
        <w:gridCol w:w="185"/>
        <w:gridCol w:w="1726"/>
      </w:tblGrid>
      <w:tr w14:paraId="09B06219">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164EBF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tcBorders>
              <w:top w:val="single" w:color="auto" w:sz="4" w:space="0"/>
              <w:left w:val="nil"/>
              <w:bottom w:val="single" w:color="auto" w:sz="4" w:space="0"/>
              <w:right w:val="single" w:color="auto" w:sz="4" w:space="0"/>
            </w:tcBorders>
            <w:vAlign w:val="center"/>
          </w:tcPr>
          <w:p w14:paraId="15120216">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2" w:type="dxa"/>
            <w:gridSpan w:val="3"/>
            <w:tcBorders>
              <w:top w:val="single" w:color="auto" w:sz="4" w:space="0"/>
              <w:left w:val="nil"/>
              <w:bottom w:val="single" w:color="auto" w:sz="4" w:space="0"/>
              <w:right w:val="single" w:color="auto" w:sz="4" w:space="0"/>
            </w:tcBorders>
            <w:shd w:val="clear" w:color="auto" w:fill="E7E6E6" w:themeFill="background2"/>
            <w:vAlign w:val="center"/>
          </w:tcPr>
          <w:p w14:paraId="44DA4E0B">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40" w:type="dxa"/>
            <w:gridSpan w:val="2"/>
            <w:tcBorders>
              <w:top w:val="single" w:color="auto" w:sz="4" w:space="0"/>
              <w:left w:val="nil"/>
              <w:bottom w:val="single" w:color="auto" w:sz="4" w:space="0"/>
              <w:right w:val="single" w:color="auto" w:sz="4" w:space="0"/>
            </w:tcBorders>
            <w:vAlign w:val="center"/>
          </w:tcPr>
          <w:p w14:paraId="1CFD3D8C">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2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106C06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16" w:type="dxa"/>
            <w:gridSpan w:val="2"/>
            <w:tcBorders>
              <w:top w:val="single" w:color="auto" w:sz="4" w:space="0"/>
              <w:left w:val="nil"/>
              <w:bottom w:val="single" w:color="auto" w:sz="4" w:space="0"/>
              <w:right w:val="single" w:color="auto" w:sz="4" w:space="0"/>
            </w:tcBorders>
            <w:vAlign w:val="center"/>
          </w:tcPr>
          <w:p w14:paraId="1F216C9A">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4D04A250">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147504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10"/>
            <w:tcBorders>
              <w:top w:val="single" w:color="auto" w:sz="4" w:space="0"/>
              <w:left w:val="nil"/>
              <w:bottom w:val="single" w:color="auto" w:sz="4" w:space="0"/>
              <w:right w:val="single" w:color="auto" w:sz="4" w:space="0"/>
            </w:tcBorders>
            <w:vAlign w:val="center"/>
          </w:tcPr>
          <w:p w14:paraId="208CBE27">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hint="eastAsia" w:eastAsiaTheme="minorEastAsia"/>
                <w:sz w:val="21"/>
                <w:szCs w:val="21"/>
                <w:lang w:val="en-US" w:eastAsia="zh-CN"/>
              </w:rPr>
              <w:t>省</w:t>
            </w:r>
            <w:r>
              <w:rPr>
                <w:rFonts w:eastAsiaTheme="minorEastAsia"/>
                <w:sz w:val="21"/>
                <w:szCs w:val="21"/>
              </w:rPr>
              <w:t>绵阳</w:t>
            </w:r>
            <w:r>
              <w:rPr>
                <w:rFonts w:hint="eastAsia" w:eastAsiaTheme="minorEastAsia"/>
                <w:sz w:val="21"/>
                <w:szCs w:val="21"/>
                <w:lang w:val="en-US" w:eastAsia="zh-CN"/>
              </w:rPr>
              <w:t>市</w:t>
            </w:r>
            <w:r>
              <w:rPr>
                <w:rFonts w:eastAsiaTheme="minorEastAsia"/>
                <w:sz w:val="21"/>
                <w:szCs w:val="21"/>
              </w:rPr>
              <w:t>科学城</w:t>
            </w:r>
          </w:p>
        </w:tc>
      </w:tr>
      <w:tr w14:paraId="546A1F88">
        <w:tblPrEx>
          <w:tblCellMar>
            <w:top w:w="0" w:type="dxa"/>
            <w:left w:w="108" w:type="dxa"/>
            <w:bottom w:w="0" w:type="dxa"/>
            <w:right w:w="108" w:type="dxa"/>
          </w:tblCellMar>
        </w:tblPrEx>
        <w:trPr>
          <w:trHeight w:val="4221"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460EA7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10"/>
            <w:tcBorders>
              <w:top w:val="single" w:color="auto" w:sz="4" w:space="0"/>
              <w:left w:val="nil"/>
              <w:bottom w:val="single" w:color="auto" w:sz="4" w:space="0"/>
              <w:right w:val="single" w:color="auto" w:sz="4" w:space="0"/>
            </w:tcBorders>
            <w:vAlign w:val="center"/>
          </w:tcPr>
          <w:p w14:paraId="0F4565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中国工程物理研究院电子工程研究所创建于1969年，隶属于中国工程物理研究院，是以发展国防尖端武器电子学系统为主的集研究、设计、试验、生产、检验于一体的大型多学科综合性研究所。</w:t>
            </w:r>
          </w:p>
          <w:p w14:paraId="70C366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经国家批准，电子工程研究所拥有无线电物理、材料科学与工程、核技术及应用三个专业具有博士学位授予权，信息与通信工程、物理电子学、无线电物理、材料科学与工程、核技术及应用五个专业具有硕士学位授予权，同时还设有物理学博士后流动站。</w:t>
            </w:r>
          </w:p>
        </w:tc>
      </w:tr>
      <w:tr w14:paraId="575056B7">
        <w:tblPrEx>
          <w:tblCellMar>
            <w:top w:w="0" w:type="dxa"/>
            <w:left w:w="108" w:type="dxa"/>
            <w:bottom w:w="0" w:type="dxa"/>
            <w:right w:w="108" w:type="dxa"/>
          </w:tblCellMar>
        </w:tblPrEx>
        <w:trPr>
          <w:trHeight w:val="2046"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96BB61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6AF81DF3">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95" w:type="dxa"/>
            <w:gridSpan w:val="10"/>
            <w:tcBorders>
              <w:top w:val="single" w:color="auto" w:sz="4" w:space="0"/>
              <w:left w:val="nil"/>
              <w:bottom w:val="single" w:color="auto" w:sz="4" w:space="0"/>
              <w:right w:val="single" w:color="auto" w:sz="4" w:space="0"/>
            </w:tcBorders>
            <w:vAlign w:val="center"/>
          </w:tcPr>
          <w:p w14:paraId="336563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申请者需要满足博士后进站的基本条件，不招收在职人员。博士后在所期间管理模式等同于在岗职工管理，薪酬与岗位相关，年底依据考核给予适当奖励。</w:t>
            </w:r>
          </w:p>
        </w:tc>
      </w:tr>
      <w:tr w14:paraId="0984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5" w:type="dxa"/>
            <w:gridSpan w:val="3"/>
            <w:shd w:val="clear" w:color="auto" w:fill="E7E6E6" w:themeFill="background2"/>
            <w:vAlign w:val="center"/>
          </w:tcPr>
          <w:p w14:paraId="4D0BE74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shd w:val="clear" w:color="auto" w:fill="E7E6E6" w:themeFill="background2"/>
            <w:vAlign w:val="center"/>
          </w:tcPr>
          <w:p w14:paraId="22D6383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shd w:val="clear" w:color="auto" w:fill="E7E6E6" w:themeFill="background2"/>
            <w:vAlign w:val="center"/>
          </w:tcPr>
          <w:p w14:paraId="660B0C7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3" w:type="dxa"/>
            <w:gridSpan w:val="2"/>
            <w:shd w:val="clear" w:color="auto" w:fill="E7E6E6" w:themeFill="background2"/>
            <w:vAlign w:val="center"/>
          </w:tcPr>
          <w:p w14:paraId="58C6B09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913F4F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32" w:type="dxa"/>
            <w:gridSpan w:val="2"/>
            <w:shd w:val="clear" w:color="auto" w:fill="E7E6E6" w:themeFill="background2"/>
            <w:vAlign w:val="center"/>
          </w:tcPr>
          <w:p w14:paraId="6692690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D41F88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40" w:type="dxa"/>
            <w:shd w:val="clear" w:color="auto" w:fill="E7E6E6" w:themeFill="background2"/>
            <w:vAlign w:val="center"/>
          </w:tcPr>
          <w:p w14:paraId="31D020A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7129E6A">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183E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795" w:type="dxa"/>
            <w:gridSpan w:val="3"/>
            <w:vAlign w:val="center"/>
          </w:tcPr>
          <w:p w14:paraId="27DE270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抗干扰网络传输和无线安全通信技术</w:t>
            </w:r>
          </w:p>
        </w:tc>
        <w:tc>
          <w:tcPr>
            <w:tcW w:w="672" w:type="dxa"/>
            <w:vAlign w:val="center"/>
          </w:tcPr>
          <w:p w14:paraId="460AF7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vAlign w:val="center"/>
          </w:tcPr>
          <w:p w14:paraId="575F4A8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693" w:type="dxa"/>
            <w:gridSpan w:val="2"/>
            <w:vAlign w:val="center"/>
          </w:tcPr>
          <w:p w14:paraId="0C11018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物理</w:t>
            </w:r>
            <w:r>
              <w:rPr>
                <w:rFonts w:hint="eastAsia"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无线电物理</w:t>
            </w:r>
            <w:r>
              <w:rPr>
                <w:rFonts w:hint="eastAsia" w:ascii="Times New Roman" w:hAnsi="Times New Roman" w:cs="Times New Roman" w:eastAsiaTheme="minorEastAsia"/>
                <w:sz w:val="21"/>
                <w:szCs w:val="21"/>
                <w:lang w:eastAsia="zh-CN"/>
              </w:rPr>
              <w:t>）</w:t>
            </w:r>
          </w:p>
        </w:tc>
        <w:tc>
          <w:tcPr>
            <w:tcW w:w="1332" w:type="dxa"/>
            <w:gridSpan w:val="2"/>
            <w:vAlign w:val="center"/>
          </w:tcPr>
          <w:p w14:paraId="3F81DBC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按所管理规定</w:t>
            </w:r>
          </w:p>
        </w:tc>
        <w:tc>
          <w:tcPr>
            <w:tcW w:w="1640" w:type="dxa"/>
            <w:vAlign w:val="center"/>
          </w:tcPr>
          <w:p w14:paraId="2E15EBD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985、221院校</w:t>
            </w:r>
          </w:p>
        </w:tc>
      </w:tr>
      <w:tr w14:paraId="595D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795" w:type="dxa"/>
            <w:gridSpan w:val="3"/>
            <w:vAlign w:val="center"/>
          </w:tcPr>
          <w:p w14:paraId="3FB6054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高性能贮备电池关键材料设计及性能研究</w:t>
            </w:r>
          </w:p>
        </w:tc>
        <w:tc>
          <w:tcPr>
            <w:tcW w:w="672" w:type="dxa"/>
            <w:vAlign w:val="center"/>
          </w:tcPr>
          <w:p w14:paraId="6D6FA47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1D280EC5">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693" w:type="dxa"/>
            <w:gridSpan w:val="2"/>
            <w:vAlign w:val="center"/>
          </w:tcPr>
          <w:p w14:paraId="0DE454E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332" w:type="dxa"/>
            <w:gridSpan w:val="2"/>
            <w:vAlign w:val="center"/>
          </w:tcPr>
          <w:p w14:paraId="7E90A7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按所管理规定</w:t>
            </w:r>
          </w:p>
        </w:tc>
        <w:tc>
          <w:tcPr>
            <w:tcW w:w="1640" w:type="dxa"/>
            <w:vAlign w:val="center"/>
          </w:tcPr>
          <w:p w14:paraId="2692E33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择优</w:t>
            </w:r>
          </w:p>
        </w:tc>
      </w:tr>
      <w:tr w14:paraId="6C3F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795" w:type="dxa"/>
            <w:gridSpan w:val="3"/>
            <w:vAlign w:val="center"/>
          </w:tcPr>
          <w:p w14:paraId="2B83445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电池材料设计技术</w:t>
            </w:r>
          </w:p>
        </w:tc>
        <w:tc>
          <w:tcPr>
            <w:tcW w:w="672" w:type="dxa"/>
            <w:vAlign w:val="center"/>
          </w:tcPr>
          <w:p w14:paraId="10CD7FF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vAlign w:val="center"/>
          </w:tcPr>
          <w:p w14:paraId="37D03823">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693" w:type="dxa"/>
            <w:gridSpan w:val="2"/>
            <w:vAlign w:val="center"/>
          </w:tcPr>
          <w:p w14:paraId="1956D89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能源材料或物理化学</w:t>
            </w:r>
          </w:p>
        </w:tc>
        <w:tc>
          <w:tcPr>
            <w:tcW w:w="1332" w:type="dxa"/>
            <w:gridSpan w:val="2"/>
            <w:vAlign w:val="center"/>
          </w:tcPr>
          <w:p w14:paraId="6ED8F0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按所管理规定</w:t>
            </w:r>
          </w:p>
        </w:tc>
        <w:tc>
          <w:tcPr>
            <w:tcW w:w="1640" w:type="dxa"/>
            <w:vAlign w:val="center"/>
          </w:tcPr>
          <w:p w14:paraId="44F805E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985、221院校</w:t>
            </w:r>
          </w:p>
        </w:tc>
      </w:tr>
    </w:tbl>
    <w:p w14:paraId="13EFA1BA">
      <w:pPr>
        <w:adjustRightInd w:val="0"/>
        <w:snapToGrid w:val="0"/>
        <w:spacing w:line="240" w:lineRule="auto"/>
        <w:ind w:firstLine="0"/>
        <w:jc w:val="center"/>
        <w:rPr>
          <w:rFonts w:eastAsia="方正小标宋简体"/>
          <w:sz w:val="44"/>
          <w:szCs w:val="44"/>
        </w:rPr>
      </w:pPr>
    </w:p>
    <w:p w14:paraId="39C81C49">
      <w:pPr>
        <w:adjustRightInd w:val="0"/>
        <w:snapToGrid w:val="0"/>
        <w:spacing w:line="240" w:lineRule="auto"/>
        <w:ind w:firstLine="0"/>
        <w:jc w:val="center"/>
        <w:outlineLvl w:val="0"/>
        <w:rPr>
          <w:rFonts w:eastAsia="方正小标宋简体"/>
          <w:sz w:val="44"/>
          <w:szCs w:val="44"/>
          <w:highlight w:val="none"/>
        </w:rPr>
      </w:pPr>
      <w:bookmarkStart w:id="89" w:name="_Toc9613"/>
      <w:bookmarkStart w:id="90" w:name="_Toc15801"/>
      <w:bookmarkStart w:id="91" w:name="_Toc8242"/>
      <w:bookmarkStart w:id="92" w:name="_Toc19987"/>
      <w:bookmarkStart w:id="93" w:name="_Toc12507"/>
      <w:bookmarkStart w:id="94" w:name="_Toc32335"/>
      <w:bookmarkStart w:id="95" w:name="_Toc10007"/>
      <w:r>
        <w:rPr>
          <w:rFonts w:eastAsia="方正小标宋简体"/>
          <w:sz w:val="44"/>
          <w:szCs w:val="44"/>
          <w:highlight w:val="none"/>
        </w:rPr>
        <w:t>中国工程物理研究院核物理与化学研究所</w:t>
      </w:r>
      <w:bookmarkEnd w:id="89"/>
      <w:bookmarkEnd w:id="90"/>
      <w:bookmarkEnd w:id="91"/>
      <w:bookmarkEnd w:id="92"/>
      <w:bookmarkEnd w:id="93"/>
      <w:bookmarkEnd w:id="94"/>
      <w:bookmarkEnd w:id="95"/>
    </w:p>
    <w:p w14:paraId="4CEBB9E0">
      <w:pPr>
        <w:adjustRightInd w:val="0"/>
        <w:snapToGrid w:val="0"/>
        <w:spacing w:line="240" w:lineRule="auto"/>
        <w:ind w:firstLine="0"/>
        <w:jc w:val="center"/>
        <w:rPr>
          <w:rFonts w:eastAsia="方正小标宋简体"/>
          <w:sz w:val="21"/>
          <w:szCs w:val="21"/>
        </w:rPr>
      </w:pPr>
    </w:p>
    <w:tbl>
      <w:tblPr>
        <w:tblStyle w:val="25"/>
        <w:tblW w:w="9751" w:type="dxa"/>
        <w:jc w:val="center"/>
        <w:tblLayout w:type="fixed"/>
        <w:tblCellMar>
          <w:top w:w="0" w:type="dxa"/>
          <w:left w:w="108" w:type="dxa"/>
          <w:bottom w:w="0" w:type="dxa"/>
          <w:right w:w="108" w:type="dxa"/>
        </w:tblCellMar>
      </w:tblPr>
      <w:tblGrid>
        <w:gridCol w:w="1286"/>
        <w:gridCol w:w="1291"/>
        <w:gridCol w:w="75"/>
        <w:gridCol w:w="1073"/>
        <w:gridCol w:w="785"/>
        <w:gridCol w:w="362"/>
        <w:gridCol w:w="860"/>
        <w:gridCol w:w="861"/>
        <w:gridCol w:w="1014"/>
        <w:gridCol w:w="564"/>
        <w:gridCol w:w="1569"/>
        <w:gridCol w:w="11"/>
      </w:tblGrid>
      <w:tr w14:paraId="4EAB5633">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909F60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50" w:type="dxa"/>
            <w:gridSpan w:val="2"/>
            <w:tcBorders>
              <w:top w:val="single" w:color="auto" w:sz="4" w:space="0"/>
              <w:left w:val="nil"/>
              <w:bottom w:val="single" w:color="auto" w:sz="4" w:space="0"/>
              <w:right w:val="single" w:color="auto" w:sz="4" w:space="0"/>
            </w:tcBorders>
            <w:vAlign w:val="center"/>
          </w:tcPr>
          <w:p w14:paraId="512B03D9">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6"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274FDC9B">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08" w:type="dxa"/>
            <w:gridSpan w:val="2"/>
            <w:tcBorders>
              <w:top w:val="single" w:color="auto" w:sz="4" w:space="0"/>
              <w:left w:val="nil"/>
              <w:bottom w:val="single" w:color="auto" w:sz="4" w:space="0"/>
              <w:right w:val="single" w:color="auto" w:sz="4" w:space="0"/>
            </w:tcBorders>
            <w:vAlign w:val="center"/>
          </w:tcPr>
          <w:p w14:paraId="6AA72F11">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53"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7338D0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16" w:type="dxa"/>
            <w:gridSpan w:val="3"/>
            <w:tcBorders>
              <w:top w:val="single" w:color="auto" w:sz="4" w:space="0"/>
              <w:left w:val="nil"/>
              <w:bottom w:val="single" w:color="auto" w:sz="4" w:space="0"/>
              <w:right w:val="single" w:color="auto" w:sz="4" w:space="0"/>
            </w:tcBorders>
            <w:vAlign w:val="center"/>
          </w:tcPr>
          <w:p w14:paraId="4D25823E">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7339110E">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AF06976">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3" w:type="dxa"/>
            <w:gridSpan w:val="11"/>
            <w:tcBorders>
              <w:top w:val="single" w:color="auto" w:sz="4" w:space="0"/>
              <w:left w:val="nil"/>
              <w:bottom w:val="single" w:color="auto" w:sz="4" w:space="0"/>
              <w:right w:val="single" w:color="auto" w:sz="4" w:space="0"/>
            </w:tcBorders>
            <w:vAlign w:val="center"/>
          </w:tcPr>
          <w:p w14:paraId="29487F32">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四川省绵阳市</w:t>
            </w:r>
            <w:r>
              <w:rPr>
                <w:rFonts w:eastAsiaTheme="minorEastAsia"/>
                <w:sz w:val="21"/>
                <w:szCs w:val="21"/>
              </w:rPr>
              <w:t>科学城</w:t>
            </w:r>
          </w:p>
        </w:tc>
      </w:tr>
      <w:tr w14:paraId="5A827CB9">
        <w:tblPrEx>
          <w:tblCellMar>
            <w:top w:w="0" w:type="dxa"/>
            <w:left w:w="108" w:type="dxa"/>
            <w:bottom w:w="0" w:type="dxa"/>
            <w:right w:w="108" w:type="dxa"/>
          </w:tblCellMar>
        </w:tblPrEx>
        <w:trPr>
          <w:trHeight w:val="2910"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10181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8363" w:type="dxa"/>
            <w:gridSpan w:val="11"/>
            <w:tcBorders>
              <w:top w:val="single" w:color="auto" w:sz="4" w:space="0"/>
              <w:left w:val="single" w:color="auto" w:sz="4" w:space="0"/>
              <w:bottom w:val="single" w:color="auto" w:sz="4" w:space="0"/>
              <w:right w:val="single" w:color="auto" w:sz="4" w:space="0"/>
            </w:tcBorders>
            <w:vAlign w:val="center"/>
          </w:tcPr>
          <w:p w14:paraId="32738357">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中国工程物理研究院核物理与化学研究所成立于1958年。是以核物理、放射化学、核技术应用为主的国家综合性科研单位。</w:t>
            </w:r>
          </w:p>
          <w:p w14:paraId="28B4C0A9">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研究所现有在岗职工800余人，其中具有研究生学历人员占百分之五十。经国家批准，核燃料循环与材料专业、核能科学与工程、核技术及应用三个专业具有博士学位授予权，粒子物理与原子核物理、核能科学与工程、核燃料循环与材料、核技术及应用四个专业具有硕士学位授予权，同时还设有核科学与技术、物理学博士后流动站。</w:t>
            </w:r>
          </w:p>
        </w:tc>
      </w:tr>
      <w:tr w14:paraId="3A41BD2C">
        <w:tblPrEx>
          <w:tblCellMar>
            <w:top w:w="0" w:type="dxa"/>
            <w:left w:w="108" w:type="dxa"/>
            <w:bottom w:w="0" w:type="dxa"/>
            <w:right w:w="108" w:type="dxa"/>
          </w:tblCellMar>
        </w:tblPrEx>
        <w:trPr>
          <w:trHeight w:val="981"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C45B4C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50B3F5BE">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63" w:type="dxa"/>
            <w:gridSpan w:val="11"/>
            <w:tcBorders>
              <w:top w:val="single" w:color="auto" w:sz="4" w:space="0"/>
              <w:left w:val="nil"/>
              <w:bottom w:val="single" w:color="auto" w:sz="4" w:space="0"/>
              <w:right w:val="single" w:color="auto" w:sz="4" w:space="0"/>
            </w:tcBorders>
            <w:vAlign w:val="center"/>
          </w:tcPr>
          <w:p w14:paraId="6B608CD8">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申请者需要满足博士后进站的基本条件，原则上不招收在职人员。博士后在所期间管理模式等同于在岗职工管理，薪酬与岗位相关，年底依据考核给予适当奖励。</w:t>
            </w:r>
          </w:p>
        </w:tc>
      </w:tr>
      <w:tr w14:paraId="17FFCE09">
        <w:tblPrEx>
          <w:tblCellMar>
            <w:top w:w="0" w:type="dxa"/>
            <w:left w:w="108" w:type="dxa"/>
            <w:bottom w:w="0" w:type="dxa"/>
            <w:right w:w="108" w:type="dxa"/>
          </w:tblCellMar>
        </w:tblPrEx>
        <w:trPr>
          <w:gridAfter w:val="1"/>
          <w:wAfter w:w="10" w:type="dxa"/>
          <w:trHeight w:val="748" w:hRule="atLeast"/>
          <w:tblHeader/>
          <w:jc w:val="center"/>
        </w:trPr>
        <w:tc>
          <w:tcPr>
            <w:tcW w:w="2547"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1FFF942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4"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248C4FA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57A334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67FDC98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98C247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59"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2D1D49E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821185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49" w:type="dxa"/>
            <w:tcBorders>
              <w:top w:val="single" w:color="auto" w:sz="4" w:space="0"/>
              <w:left w:val="nil"/>
              <w:bottom w:val="single" w:color="auto" w:sz="4" w:space="0"/>
              <w:right w:val="single" w:color="auto" w:sz="4" w:space="0"/>
            </w:tcBorders>
            <w:shd w:val="clear" w:color="auto" w:fill="E7E6E6" w:themeFill="background2"/>
            <w:vAlign w:val="center"/>
          </w:tcPr>
          <w:p w14:paraId="194E51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D953AFA">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14:paraId="3708858F">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63CBA3D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钛氢体系计算方法发展</w:t>
            </w:r>
          </w:p>
        </w:tc>
        <w:tc>
          <w:tcPr>
            <w:tcW w:w="1134" w:type="dxa"/>
            <w:gridSpan w:val="2"/>
            <w:tcBorders>
              <w:top w:val="single" w:color="auto" w:sz="4" w:space="0"/>
              <w:left w:val="nil"/>
              <w:bottom w:val="single" w:color="auto" w:sz="4" w:space="0"/>
              <w:right w:val="single" w:color="auto" w:sz="4" w:space="0"/>
            </w:tcBorders>
            <w:vAlign w:val="center"/>
          </w:tcPr>
          <w:p w14:paraId="782B69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346E1A9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01" w:type="dxa"/>
            <w:gridSpan w:val="2"/>
            <w:tcBorders>
              <w:top w:val="single" w:color="auto" w:sz="4" w:space="0"/>
              <w:left w:val="nil"/>
              <w:bottom w:val="single" w:color="auto" w:sz="4" w:space="0"/>
              <w:right w:val="single" w:color="auto" w:sz="4" w:space="0"/>
            </w:tcBorders>
            <w:vAlign w:val="center"/>
          </w:tcPr>
          <w:p w14:paraId="785348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物理、化学或材料</w:t>
            </w:r>
          </w:p>
        </w:tc>
        <w:tc>
          <w:tcPr>
            <w:tcW w:w="1559" w:type="dxa"/>
            <w:gridSpan w:val="2"/>
            <w:tcBorders>
              <w:top w:val="single" w:color="auto" w:sz="4" w:space="0"/>
              <w:left w:val="nil"/>
              <w:bottom w:val="single" w:color="auto" w:sz="4" w:space="0"/>
              <w:right w:val="single" w:color="auto" w:sz="4" w:space="0"/>
            </w:tcBorders>
            <w:vAlign w:val="center"/>
          </w:tcPr>
          <w:p w14:paraId="0CF39C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restart"/>
            <w:tcBorders>
              <w:top w:val="single" w:color="auto" w:sz="4" w:space="0"/>
              <w:left w:val="nil"/>
              <w:right w:val="single" w:color="auto" w:sz="4" w:space="0"/>
            </w:tcBorders>
            <w:vAlign w:val="center"/>
          </w:tcPr>
          <w:p w14:paraId="5CD34B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1院校</w:t>
            </w:r>
          </w:p>
        </w:tc>
      </w:tr>
      <w:tr w14:paraId="12CE5042">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2BC0E7E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中子散射新技术</w:t>
            </w:r>
          </w:p>
        </w:tc>
        <w:tc>
          <w:tcPr>
            <w:tcW w:w="1134" w:type="dxa"/>
            <w:gridSpan w:val="2"/>
            <w:tcBorders>
              <w:top w:val="single" w:color="auto" w:sz="4" w:space="0"/>
              <w:left w:val="nil"/>
              <w:bottom w:val="single" w:color="auto" w:sz="4" w:space="0"/>
              <w:right w:val="single" w:color="auto" w:sz="4" w:space="0"/>
            </w:tcBorders>
            <w:vAlign w:val="center"/>
          </w:tcPr>
          <w:p w14:paraId="1E4C0B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34" w:type="dxa"/>
            <w:gridSpan w:val="2"/>
            <w:tcBorders>
              <w:top w:val="single" w:color="auto" w:sz="4" w:space="0"/>
              <w:left w:val="nil"/>
              <w:bottom w:val="single" w:color="auto" w:sz="4" w:space="0"/>
              <w:right w:val="single" w:color="auto" w:sz="4" w:space="0"/>
            </w:tcBorders>
            <w:vAlign w:val="center"/>
          </w:tcPr>
          <w:p w14:paraId="19D6F74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2</w:t>
            </w:r>
          </w:p>
        </w:tc>
        <w:tc>
          <w:tcPr>
            <w:tcW w:w="1701" w:type="dxa"/>
            <w:gridSpan w:val="2"/>
            <w:tcBorders>
              <w:top w:val="single" w:color="auto" w:sz="4" w:space="0"/>
              <w:left w:val="nil"/>
              <w:bottom w:val="single" w:color="auto" w:sz="4" w:space="0"/>
              <w:right w:val="single" w:color="auto" w:sz="4" w:space="0"/>
            </w:tcBorders>
            <w:vAlign w:val="center"/>
          </w:tcPr>
          <w:p w14:paraId="445E68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核科学与技术</w:t>
            </w:r>
          </w:p>
        </w:tc>
        <w:tc>
          <w:tcPr>
            <w:tcW w:w="1559" w:type="dxa"/>
            <w:gridSpan w:val="2"/>
            <w:tcBorders>
              <w:top w:val="single" w:color="auto" w:sz="4" w:space="0"/>
              <w:left w:val="nil"/>
              <w:bottom w:val="single" w:color="auto" w:sz="4" w:space="0"/>
              <w:right w:val="single" w:color="auto" w:sz="4" w:space="0"/>
            </w:tcBorders>
            <w:vAlign w:val="center"/>
          </w:tcPr>
          <w:p w14:paraId="0B0AA0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right w:val="single" w:color="auto" w:sz="4" w:space="0"/>
            </w:tcBorders>
            <w:vAlign w:val="center"/>
          </w:tcPr>
          <w:p w14:paraId="258203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9407987">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1C644FD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凝聚态物质结构与动力学的中子散射研究</w:t>
            </w:r>
          </w:p>
        </w:tc>
        <w:tc>
          <w:tcPr>
            <w:tcW w:w="1134" w:type="dxa"/>
            <w:gridSpan w:val="2"/>
            <w:tcBorders>
              <w:top w:val="single" w:color="auto" w:sz="4" w:space="0"/>
              <w:left w:val="nil"/>
              <w:bottom w:val="single" w:color="auto" w:sz="4" w:space="0"/>
              <w:right w:val="single" w:color="auto" w:sz="4" w:space="0"/>
            </w:tcBorders>
            <w:vAlign w:val="center"/>
          </w:tcPr>
          <w:p w14:paraId="01063F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34" w:type="dxa"/>
            <w:gridSpan w:val="2"/>
            <w:tcBorders>
              <w:top w:val="single" w:color="auto" w:sz="4" w:space="0"/>
              <w:left w:val="nil"/>
              <w:bottom w:val="single" w:color="auto" w:sz="4" w:space="0"/>
              <w:right w:val="single" w:color="auto" w:sz="4" w:space="0"/>
            </w:tcBorders>
            <w:vAlign w:val="center"/>
          </w:tcPr>
          <w:p w14:paraId="7FAFDFD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701" w:type="dxa"/>
            <w:gridSpan w:val="2"/>
            <w:tcBorders>
              <w:top w:val="single" w:color="auto" w:sz="4" w:space="0"/>
              <w:left w:val="nil"/>
              <w:bottom w:val="single" w:color="auto" w:sz="4" w:space="0"/>
              <w:right w:val="single" w:color="auto" w:sz="4" w:space="0"/>
            </w:tcBorders>
            <w:vAlign w:val="center"/>
          </w:tcPr>
          <w:p w14:paraId="3BF9BF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物理学</w:t>
            </w:r>
          </w:p>
        </w:tc>
        <w:tc>
          <w:tcPr>
            <w:tcW w:w="1559" w:type="dxa"/>
            <w:gridSpan w:val="2"/>
            <w:tcBorders>
              <w:top w:val="single" w:color="auto" w:sz="4" w:space="0"/>
              <w:left w:val="nil"/>
              <w:bottom w:val="single" w:color="auto" w:sz="4" w:space="0"/>
              <w:right w:val="single" w:color="auto" w:sz="4" w:space="0"/>
            </w:tcBorders>
            <w:vAlign w:val="center"/>
          </w:tcPr>
          <w:p w14:paraId="0EE924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right w:val="single" w:color="auto" w:sz="4" w:space="0"/>
            </w:tcBorders>
            <w:vAlign w:val="center"/>
          </w:tcPr>
          <w:p w14:paraId="297DA2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7B0FF9C2">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23B39B4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高性能微型堆芯裂变室技术研究</w:t>
            </w:r>
          </w:p>
        </w:tc>
        <w:tc>
          <w:tcPr>
            <w:tcW w:w="1134" w:type="dxa"/>
            <w:gridSpan w:val="2"/>
            <w:tcBorders>
              <w:top w:val="single" w:color="auto" w:sz="4" w:space="0"/>
              <w:left w:val="nil"/>
              <w:bottom w:val="single" w:color="auto" w:sz="4" w:space="0"/>
              <w:right w:val="single" w:color="auto" w:sz="4" w:space="0"/>
            </w:tcBorders>
            <w:vAlign w:val="center"/>
          </w:tcPr>
          <w:p w14:paraId="59A153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40729D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701" w:type="dxa"/>
            <w:gridSpan w:val="2"/>
            <w:tcBorders>
              <w:top w:val="single" w:color="auto" w:sz="4" w:space="0"/>
              <w:left w:val="nil"/>
              <w:bottom w:val="single" w:color="auto" w:sz="4" w:space="0"/>
              <w:right w:val="single" w:color="auto" w:sz="4" w:space="0"/>
            </w:tcBorders>
            <w:vAlign w:val="center"/>
          </w:tcPr>
          <w:p w14:paraId="79F2E8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核物理、核工程</w:t>
            </w:r>
          </w:p>
        </w:tc>
        <w:tc>
          <w:tcPr>
            <w:tcW w:w="1559" w:type="dxa"/>
            <w:gridSpan w:val="2"/>
            <w:tcBorders>
              <w:top w:val="single" w:color="auto" w:sz="4" w:space="0"/>
              <w:left w:val="nil"/>
              <w:bottom w:val="single" w:color="auto" w:sz="4" w:space="0"/>
              <w:right w:val="single" w:color="auto" w:sz="4" w:space="0"/>
            </w:tcBorders>
            <w:vAlign w:val="center"/>
          </w:tcPr>
          <w:p w14:paraId="10742A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right w:val="single" w:color="auto" w:sz="4" w:space="0"/>
            </w:tcBorders>
            <w:vAlign w:val="center"/>
          </w:tcPr>
          <w:p w14:paraId="40D75B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1922286B">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5D62C3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新型裂变TPC探测器技术研究</w:t>
            </w:r>
          </w:p>
        </w:tc>
        <w:tc>
          <w:tcPr>
            <w:tcW w:w="1134" w:type="dxa"/>
            <w:gridSpan w:val="2"/>
            <w:tcBorders>
              <w:top w:val="single" w:color="auto" w:sz="4" w:space="0"/>
              <w:left w:val="nil"/>
              <w:bottom w:val="single" w:color="auto" w:sz="4" w:space="0"/>
              <w:right w:val="single" w:color="auto" w:sz="4" w:space="0"/>
            </w:tcBorders>
            <w:vAlign w:val="center"/>
          </w:tcPr>
          <w:p w14:paraId="7558AC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57F5A0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5</w:t>
            </w:r>
          </w:p>
        </w:tc>
        <w:tc>
          <w:tcPr>
            <w:tcW w:w="1701" w:type="dxa"/>
            <w:gridSpan w:val="2"/>
            <w:tcBorders>
              <w:top w:val="single" w:color="auto" w:sz="4" w:space="0"/>
              <w:left w:val="nil"/>
              <w:bottom w:val="single" w:color="auto" w:sz="4" w:space="0"/>
              <w:right w:val="single" w:color="auto" w:sz="4" w:space="0"/>
            </w:tcBorders>
            <w:vAlign w:val="center"/>
          </w:tcPr>
          <w:p w14:paraId="5D9F11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核物理、核工程</w:t>
            </w:r>
          </w:p>
        </w:tc>
        <w:tc>
          <w:tcPr>
            <w:tcW w:w="1559" w:type="dxa"/>
            <w:gridSpan w:val="2"/>
            <w:tcBorders>
              <w:top w:val="single" w:color="auto" w:sz="4" w:space="0"/>
              <w:left w:val="nil"/>
              <w:bottom w:val="single" w:color="auto" w:sz="4" w:space="0"/>
              <w:right w:val="single" w:color="auto" w:sz="4" w:space="0"/>
            </w:tcBorders>
            <w:vAlign w:val="center"/>
          </w:tcPr>
          <w:p w14:paraId="067329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bottom w:val="single" w:color="auto" w:sz="4" w:space="0"/>
              <w:right w:val="single" w:color="auto" w:sz="4" w:space="0"/>
            </w:tcBorders>
            <w:vAlign w:val="center"/>
          </w:tcPr>
          <w:p w14:paraId="5B22D2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D9C3C6E">
        <w:tblPrEx>
          <w:tblCellMar>
            <w:top w:w="0" w:type="dxa"/>
            <w:left w:w="108" w:type="dxa"/>
            <w:bottom w:w="0" w:type="dxa"/>
            <w:right w:w="108" w:type="dxa"/>
          </w:tblCellMar>
        </w:tblPrEx>
        <w:trPr>
          <w:gridAfter w:val="1"/>
          <w:wAfter w:w="10" w:type="dxa"/>
          <w:trHeight w:val="748" w:hRule="exact"/>
          <w:jc w:val="center"/>
        </w:trPr>
        <w:tc>
          <w:tcPr>
            <w:tcW w:w="2547"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F9AD04E">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134"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C8E4626">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34"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70D61B7">
            <w:pPr>
              <w:adjustRightInd w:val="0"/>
              <w:snapToGrid w:val="0"/>
              <w:spacing w:line="240" w:lineRule="auto"/>
              <w:ind w:firstLine="0"/>
              <w:jc w:val="center"/>
              <w:rPr>
                <w:rFonts w:eastAsia="宋体"/>
                <w:kern w:val="0"/>
                <w:sz w:val="21"/>
                <w:szCs w:val="21"/>
              </w:rPr>
            </w:pPr>
            <w:r>
              <w:rPr>
                <w:rFonts w:eastAsiaTheme="minorEastAsia"/>
                <w:b/>
                <w:bCs/>
                <w:sz w:val="21"/>
                <w:szCs w:val="21"/>
              </w:rPr>
              <w:t>岗位编号</w:t>
            </w:r>
          </w:p>
        </w:tc>
        <w:tc>
          <w:tcPr>
            <w:tcW w:w="170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69EBDB7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88BBA8F">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59"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5AABD96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26BBE6B">
            <w:pPr>
              <w:adjustRightInd w:val="0"/>
              <w:snapToGrid w:val="0"/>
              <w:spacing w:line="240" w:lineRule="auto"/>
              <w:ind w:firstLine="0" w:firstLineChars="0"/>
              <w:jc w:val="center"/>
              <w:rPr>
                <w:rFonts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49" w:type="dxa"/>
            <w:tcBorders>
              <w:top w:val="single" w:color="auto" w:sz="4" w:space="0"/>
              <w:left w:val="nil"/>
              <w:bottom w:val="single" w:color="auto" w:sz="4" w:space="0"/>
              <w:right w:val="single" w:color="auto" w:sz="4" w:space="0"/>
            </w:tcBorders>
            <w:shd w:val="clear" w:color="auto" w:fill="E7E6E6" w:themeFill="background2"/>
            <w:vAlign w:val="center"/>
          </w:tcPr>
          <w:p w14:paraId="5A096B0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8718C4D">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等要求</w:t>
            </w:r>
          </w:p>
        </w:tc>
      </w:tr>
      <w:tr w14:paraId="5E0773E5">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4573970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中子管技术研发</w:t>
            </w:r>
          </w:p>
        </w:tc>
        <w:tc>
          <w:tcPr>
            <w:tcW w:w="1134" w:type="dxa"/>
            <w:gridSpan w:val="2"/>
            <w:tcBorders>
              <w:top w:val="single" w:color="auto" w:sz="4" w:space="0"/>
              <w:left w:val="nil"/>
              <w:bottom w:val="single" w:color="auto" w:sz="4" w:space="0"/>
              <w:right w:val="single" w:color="auto" w:sz="4" w:space="0"/>
            </w:tcBorders>
            <w:vAlign w:val="center"/>
          </w:tcPr>
          <w:p w14:paraId="746005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1DB59DD2">
            <w:pPr>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val="en-US" w:eastAsia="zh-CN"/>
              </w:rPr>
              <w:t xml:space="preserve"> </w:t>
            </w: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701" w:type="dxa"/>
            <w:gridSpan w:val="2"/>
            <w:tcBorders>
              <w:top w:val="single" w:color="auto" w:sz="4" w:space="0"/>
              <w:left w:val="nil"/>
              <w:bottom w:val="single" w:color="auto" w:sz="4" w:space="0"/>
              <w:right w:val="single" w:color="auto" w:sz="4" w:space="0"/>
            </w:tcBorders>
            <w:vAlign w:val="center"/>
          </w:tcPr>
          <w:p w14:paraId="5878E90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核物理、加速器物理、等离子体物理</w:t>
            </w:r>
          </w:p>
        </w:tc>
        <w:tc>
          <w:tcPr>
            <w:tcW w:w="1559" w:type="dxa"/>
            <w:gridSpan w:val="2"/>
            <w:tcBorders>
              <w:top w:val="single" w:color="auto" w:sz="4" w:space="0"/>
              <w:left w:val="nil"/>
              <w:bottom w:val="single" w:color="auto" w:sz="4" w:space="0"/>
              <w:right w:val="single" w:color="auto" w:sz="4" w:space="0"/>
            </w:tcBorders>
            <w:vAlign w:val="center"/>
          </w:tcPr>
          <w:p w14:paraId="685917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18-30</w:t>
            </w:r>
          </w:p>
        </w:tc>
        <w:tc>
          <w:tcPr>
            <w:tcW w:w="1549" w:type="dxa"/>
            <w:tcBorders>
              <w:top w:val="single" w:color="auto" w:sz="4" w:space="0"/>
              <w:left w:val="nil"/>
              <w:bottom w:val="single" w:color="auto" w:sz="4" w:space="0"/>
              <w:right w:val="single" w:color="auto" w:sz="4" w:space="0"/>
            </w:tcBorders>
            <w:vAlign w:val="center"/>
          </w:tcPr>
          <w:p w14:paraId="4871A2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985、2</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1院校</w:t>
            </w:r>
          </w:p>
        </w:tc>
      </w:tr>
      <w:tr w14:paraId="76642E09">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16B5440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聚变等离子体技术研究</w:t>
            </w:r>
          </w:p>
        </w:tc>
        <w:tc>
          <w:tcPr>
            <w:tcW w:w="1134" w:type="dxa"/>
            <w:gridSpan w:val="2"/>
            <w:tcBorders>
              <w:top w:val="single" w:color="auto" w:sz="4" w:space="0"/>
              <w:left w:val="nil"/>
              <w:bottom w:val="single" w:color="auto" w:sz="4" w:space="0"/>
              <w:right w:val="single" w:color="auto" w:sz="4" w:space="0"/>
            </w:tcBorders>
            <w:vAlign w:val="center"/>
          </w:tcPr>
          <w:p w14:paraId="047A08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34" w:type="dxa"/>
            <w:gridSpan w:val="2"/>
            <w:tcBorders>
              <w:top w:val="single" w:color="auto" w:sz="4" w:space="0"/>
              <w:left w:val="nil"/>
              <w:bottom w:val="single" w:color="auto" w:sz="4" w:space="0"/>
              <w:right w:val="single" w:color="auto" w:sz="4" w:space="0"/>
            </w:tcBorders>
            <w:vAlign w:val="center"/>
          </w:tcPr>
          <w:p w14:paraId="6D961F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07</w:t>
            </w:r>
          </w:p>
        </w:tc>
        <w:tc>
          <w:tcPr>
            <w:tcW w:w="1701" w:type="dxa"/>
            <w:gridSpan w:val="2"/>
            <w:tcBorders>
              <w:top w:val="single" w:color="auto" w:sz="4" w:space="0"/>
              <w:left w:val="nil"/>
              <w:bottom w:val="single" w:color="auto" w:sz="4" w:space="0"/>
              <w:right w:val="single" w:color="auto" w:sz="4" w:space="0"/>
            </w:tcBorders>
            <w:vAlign w:val="center"/>
          </w:tcPr>
          <w:p w14:paraId="681E11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等离子体物理</w:t>
            </w:r>
          </w:p>
        </w:tc>
        <w:tc>
          <w:tcPr>
            <w:tcW w:w="1559" w:type="dxa"/>
            <w:gridSpan w:val="2"/>
            <w:tcBorders>
              <w:top w:val="single" w:color="auto" w:sz="4" w:space="0"/>
              <w:left w:val="nil"/>
              <w:bottom w:val="single" w:color="auto" w:sz="4" w:space="0"/>
              <w:right w:val="single" w:color="auto" w:sz="4" w:space="0"/>
            </w:tcBorders>
            <w:vAlign w:val="center"/>
          </w:tcPr>
          <w:p w14:paraId="122B33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restart"/>
            <w:tcBorders>
              <w:top w:val="single" w:color="auto" w:sz="4" w:space="0"/>
              <w:left w:val="nil"/>
              <w:right w:val="single" w:color="auto" w:sz="4" w:space="0"/>
            </w:tcBorders>
            <w:vAlign w:val="center"/>
          </w:tcPr>
          <w:p w14:paraId="00B3B1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985院校</w:t>
            </w:r>
          </w:p>
        </w:tc>
      </w:tr>
      <w:tr w14:paraId="030543D1">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546E04F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混合堆次临界包层技术研究</w:t>
            </w:r>
          </w:p>
        </w:tc>
        <w:tc>
          <w:tcPr>
            <w:tcW w:w="1134" w:type="dxa"/>
            <w:gridSpan w:val="2"/>
            <w:tcBorders>
              <w:top w:val="single" w:color="auto" w:sz="4" w:space="0"/>
              <w:left w:val="nil"/>
              <w:bottom w:val="single" w:color="auto" w:sz="4" w:space="0"/>
              <w:right w:val="single" w:color="auto" w:sz="4" w:space="0"/>
            </w:tcBorders>
            <w:vAlign w:val="center"/>
          </w:tcPr>
          <w:p w14:paraId="1D375A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34" w:type="dxa"/>
            <w:gridSpan w:val="2"/>
            <w:tcBorders>
              <w:top w:val="single" w:color="auto" w:sz="4" w:space="0"/>
              <w:left w:val="nil"/>
              <w:bottom w:val="single" w:color="auto" w:sz="4" w:space="0"/>
              <w:right w:val="single" w:color="auto" w:sz="4" w:space="0"/>
            </w:tcBorders>
            <w:vAlign w:val="center"/>
          </w:tcPr>
          <w:p w14:paraId="31B65D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08</w:t>
            </w:r>
          </w:p>
        </w:tc>
        <w:tc>
          <w:tcPr>
            <w:tcW w:w="1701" w:type="dxa"/>
            <w:gridSpan w:val="2"/>
            <w:tcBorders>
              <w:top w:val="single" w:color="auto" w:sz="4" w:space="0"/>
              <w:left w:val="nil"/>
              <w:bottom w:val="single" w:color="auto" w:sz="4" w:space="0"/>
              <w:right w:val="single" w:color="auto" w:sz="4" w:space="0"/>
            </w:tcBorders>
            <w:vAlign w:val="center"/>
          </w:tcPr>
          <w:p w14:paraId="3E5052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热工、核物理</w:t>
            </w:r>
          </w:p>
        </w:tc>
        <w:tc>
          <w:tcPr>
            <w:tcW w:w="1559" w:type="dxa"/>
            <w:gridSpan w:val="2"/>
            <w:tcBorders>
              <w:top w:val="single" w:color="auto" w:sz="4" w:space="0"/>
              <w:left w:val="nil"/>
              <w:bottom w:val="single" w:color="auto" w:sz="4" w:space="0"/>
              <w:right w:val="single" w:color="auto" w:sz="4" w:space="0"/>
            </w:tcBorders>
            <w:vAlign w:val="center"/>
          </w:tcPr>
          <w:p w14:paraId="3327E3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bottom w:val="single" w:color="auto" w:sz="4" w:space="0"/>
              <w:right w:val="single" w:color="auto" w:sz="4" w:space="0"/>
            </w:tcBorders>
            <w:vAlign w:val="center"/>
          </w:tcPr>
          <w:p w14:paraId="3D57C1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0E7E1A6C">
        <w:tblPrEx>
          <w:tblCellMar>
            <w:top w:w="0" w:type="dxa"/>
            <w:left w:w="108" w:type="dxa"/>
            <w:bottom w:w="0" w:type="dxa"/>
            <w:right w:w="108" w:type="dxa"/>
          </w:tblCellMar>
        </w:tblPrEx>
        <w:trPr>
          <w:gridAfter w:val="1"/>
          <w:wAfter w:w="10" w:type="dxa"/>
          <w:trHeight w:val="1383"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2DC7BC1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氢同位素分离</w:t>
            </w:r>
          </w:p>
        </w:tc>
        <w:tc>
          <w:tcPr>
            <w:tcW w:w="1134" w:type="dxa"/>
            <w:gridSpan w:val="2"/>
            <w:tcBorders>
              <w:top w:val="single" w:color="auto" w:sz="4" w:space="0"/>
              <w:left w:val="nil"/>
              <w:bottom w:val="single" w:color="auto" w:sz="4" w:space="0"/>
              <w:right w:val="single" w:color="auto" w:sz="4" w:space="0"/>
            </w:tcBorders>
            <w:vAlign w:val="center"/>
          </w:tcPr>
          <w:p w14:paraId="311AC3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314313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09</w:t>
            </w:r>
          </w:p>
        </w:tc>
        <w:tc>
          <w:tcPr>
            <w:tcW w:w="1701" w:type="dxa"/>
            <w:gridSpan w:val="2"/>
            <w:tcBorders>
              <w:top w:val="single" w:color="auto" w:sz="4" w:space="0"/>
              <w:left w:val="nil"/>
              <w:bottom w:val="single" w:color="auto" w:sz="4" w:space="0"/>
              <w:right w:val="single" w:color="auto" w:sz="4" w:space="0"/>
            </w:tcBorders>
            <w:vAlign w:val="center"/>
          </w:tcPr>
          <w:p w14:paraId="157415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化学工程</w:t>
            </w:r>
          </w:p>
        </w:tc>
        <w:tc>
          <w:tcPr>
            <w:tcW w:w="1559" w:type="dxa"/>
            <w:gridSpan w:val="2"/>
            <w:tcBorders>
              <w:top w:val="single" w:color="auto" w:sz="4" w:space="0"/>
              <w:left w:val="nil"/>
              <w:bottom w:val="single" w:color="auto" w:sz="4" w:space="0"/>
              <w:right w:val="single" w:color="auto" w:sz="4" w:space="0"/>
            </w:tcBorders>
            <w:vAlign w:val="center"/>
          </w:tcPr>
          <w:p w14:paraId="3ABD37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tcBorders>
              <w:top w:val="single" w:color="auto" w:sz="4" w:space="0"/>
              <w:left w:val="nil"/>
              <w:bottom w:val="single" w:color="auto" w:sz="4" w:space="0"/>
              <w:right w:val="single" w:color="auto" w:sz="4" w:space="0"/>
            </w:tcBorders>
            <w:vAlign w:val="center"/>
          </w:tcPr>
          <w:p w14:paraId="0EC81B9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清华大学、浙江大学、天津大学、四川大学、北京理工大学等</w:t>
            </w:r>
          </w:p>
        </w:tc>
      </w:tr>
      <w:tr w14:paraId="2F4E750B">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67FF2A2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高分子辐射化学</w:t>
            </w:r>
          </w:p>
        </w:tc>
        <w:tc>
          <w:tcPr>
            <w:tcW w:w="1134" w:type="dxa"/>
            <w:gridSpan w:val="2"/>
            <w:tcBorders>
              <w:top w:val="single" w:color="auto" w:sz="4" w:space="0"/>
              <w:left w:val="nil"/>
              <w:bottom w:val="single" w:color="auto" w:sz="4" w:space="0"/>
              <w:right w:val="single" w:color="auto" w:sz="4" w:space="0"/>
            </w:tcBorders>
            <w:vAlign w:val="center"/>
          </w:tcPr>
          <w:p w14:paraId="0D5CB6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173EEB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10</w:t>
            </w:r>
          </w:p>
        </w:tc>
        <w:tc>
          <w:tcPr>
            <w:tcW w:w="1701" w:type="dxa"/>
            <w:gridSpan w:val="2"/>
            <w:tcBorders>
              <w:top w:val="single" w:color="auto" w:sz="4" w:space="0"/>
              <w:left w:val="nil"/>
              <w:bottom w:val="single" w:color="auto" w:sz="4" w:space="0"/>
              <w:right w:val="single" w:color="auto" w:sz="4" w:space="0"/>
            </w:tcBorders>
            <w:vAlign w:val="center"/>
          </w:tcPr>
          <w:p w14:paraId="502418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材料学</w:t>
            </w:r>
          </w:p>
        </w:tc>
        <w:tc>
          <w:tcPr>
            <w:tcW w:w="1559" w:type="dxa"/>
            <w:gridSpan w:val="2"/>
            <w:tcBorders>
              <w:top w:val="single" w:color="auto" w:sz="4" w:space="0"/>
              <w:left w:val="nil"/>
              <w:bottom w:val="single" w:color="auto" w:sz="4" w:space="0"/>
              <w:right w:val="single" w:color="auto" w:sz="4" w:space="0"/>
            </w:tcBorders>
            <w:vAlign w:val="center"/>
          </w:tcPr>
          <w:p w14:paraId="725690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restart"/>
            <w:tcBorders>
              <w:top w:val="single" w:color="auto" w:sz="4" w:space="0"/>
              <w:left w:val="nil"/>
              <w:right w:val="single" w:color="auto" w:sz="4" w:space="0"/>
            </w:tcBorders>
            <w:vAlign w:val="center"/>
          </w:tcPr>
          <w:p w14:paraId="214B501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w:t>
            </w:r>
            <w:r>
              <w:rPr>
                <w:rFonts w:hint="default" w:ascii="Times New Roman" w:hAnsi="Times New Roman" w:cs="Times New Roman" w:eastAsiaTheme="minorEastAsia"/>
                <w:sz w:val="21"/>
                <w:szCs w:val="21"/>
                <w:lang w:eastAsia="zh-CN"/>
              </w:rPr>
              <w:t>院校</w:t>
            </w:r>
            <w:r>
              <w:rPr>
                <w:rFonts w:hint="default" w:ascii="Times New Roman" w:hAnsi="Times New Roman" w:cs="Times New Roman" w:eastAsiaTheme="minorEastAsia"/>
                <w:sz w:val="21"/>
                <w:szCs w:val="21"/>
              </w:rPr>
              <w:t>、中科院等</w:t>
            </w:r>
          </w:p>
        </w:tc>
      </w:tr>
      <w:tr w14:paraId="6065AEA3">
        <w:tblPrEx>
          <w:tblCellMar>
            <w:top w:w="0" w:type="dxa"/>
            <w:left w:w="108" w:type="dxa"/>
            <w:bottom w:w="0" w:type="dxa"/>
            <w:right w:w="108" w:type="dxa"/>
          </w:tblCellMar>
        </w:tblPrEx>
        <w:trPr>
          <w:gridAfter w:val="1"/>
          <w:wAfter w:w="10" w:type="dxa"/>
          <w:trHeight w:val="1247" w:hRule="exact"/>
          <w:jc w:val="center"/>
        </w:trPr>
        <w:tc>
          <w:tcPr>
            <w:tcW w:w="2547" w:type="dxa"/>
            <w:gridSpan w:val="2"/>
            <w:tcBorders>
              <w:top w:val="single" w:color="auto" w:sz="4" w:space="0"/>
              <w:left w:val="single" w:color="auto" w:sz="4" w:space="0"/>
              <w:bottom w:val="single" w:color="auto" w:sz="4" w:space="0"/>
              <w:right w:val="single" w:color="auto" w:sz="4" w:space="0"/>
            </w:tcBorders>
            <w:vAlign w:val="center"/>
          </w:tcPr>
          <w:p w14:paraId="32C5D8D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半导体材料辐射效应</w:t>
            </w:r>
          </w:p>
        </w:tc>
        <w:tc>
          <w:tcPr>
            <w:tcW w:w="1134" w:type="dxa"/>
            <w:gridSpan w:val="2"/>
            <w:tcBorders>
              <w:top w:val="single" w:color="auto" w:sz="4" w:space="0"/>
              <w:left w:val="nil"/>
              <w:bottom w:val="single" w:color="auto" w:sz="4" w:space="0"/>
              <w:right w:val="single" w:color="auto" w:sz="4" w:space="0"/>
            </w:tcBorders>
            <w:vAlign w:val="center"/>
          </w:tcPr>
          <w:p w14:paraId="1DE573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34" w:type="dxa"/>
            <w:gridSpan w:val="2"/>
            <w:tcBorders>
              <w:top w:val="single" w:color="auto" w:sz="4" w:space="0"/>
              <w:left w:val="nil"/>
              <w:bottom w:val="single" w:color="auto" w:sz="4" w:space="0"/>
              <w:right w:val="single" w:color="auto" w:sz="4" w:space="0"/>
            </w:tcBorders>
            <w:vAlign w:val="center"/>
          </w:tcPr>
          <w:p w14:paraId="64FD86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BSH01</w:t>
            </w:r>
            <w:r>
              <w:rPr>
                <w:rFonts w:hint="default" w:ascii="Times New Roman" w:hAnsi="Times New Roman" w:cs="Times New Roman" w:eastAsiaTheme="minorEastAsia"/>
                <w:sz w:val="21"/>
                <w:szCs w:val="21"/>
                <w:lang w:val="en-US" w:eastAsia="zh-CN"/>
              </w:rPr>
              <w:t>1</w:t>
            </w:r>
          </w:p>
        </w:tc>
        <w:tc>
          <w:tcPr>
            <w:tcW w:w="1701" w:type="dxa"/>
            <w:gridSpan w:val="2"/>
            <w:tcBorders>
              <w:top w:val="single" w:color="auto" w:sz="4" w:space="0"/>
              <w:left w:val="nil"/>
              <w:bottom w:val="single" w:color="auto" w:sz="4" w:space="0"/>
              <w:right w:val="single" w:color="auto" w:sz="4" w:space="0"/>
            </w:tcBorders>
            <w:vAlign w:val="center"/>
          </w:tcPr>
          <w:p w14:paraId="4F4D96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核科学与技术</w:t>
            </w:r>
          </w:p>
        </w:tc>
        <w:tc>
          <w:tcPr>
            <w:tcW w:w="1559" w:type="dxa"/>
            <w:gridSpan w:val="2"/>
            <w:tcBorders>
              <w:top w:val="single" w:color="auto" w:sz="4" w:space="0"/>
              <w:left w:val="nil"/>
              <w:bottom w:val="single" w:color="auto" w:sz="4" w:space="0"/>
              <w:right w:val="single" w:color="auto" w:sz="4" w:space="0"/>
            </w:tcBorders>
            <w:vAlign w:val="center"/>
          </w:tcPr>
          <w:p w14:paraId="13681C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18-30</w:t>
            </w:r>
          </w:p>
        </w:tc>
        <w:tc>
          <w:tcPr>
            <w:tcW w:w="1549" w:type="dxa"/>
            <w:vMerge w:val="continue"/>
            <w:tcBorders>
              <w:left w:val="nil"/>
              <w:bottom w:val="single" w:color="auto" w:sz="4" w:space="0"/>
              <w:right w:val="single" w:color="auto" w:sz="4" w:space="0"/>
            </w:tcBorders>
            <w:vAlign w:val="center"/>
          </w:tcPr>
          <w:p w14:paraId="4CE7F5B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z w:val="21"/>
                <w:szCs w:val="21"/>
              </w:rPr>
            </w:pPr>
          </w:p>
        </w:tc>
      </w:tr>
    </w:tbl>
    <w:p w14:paraId="3300CBB5">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14:paraId="6D2C413E">
      <w:pPr>
        <w:adjustRightInd w:val="0"/>
        <w:snapToGrid w:val="0"/>
        <w:spacing w:line="240" w:lineRule="auto"/>
        <w:ind w:firstLine="0"/>
        <w:jc w:val="center"/>
        <w:rPr>
          <w:rFonts w:eastAsia="方正小标宋简体"/>
          <w:sz w:val="44"/>
          <w:szCs w:val="44"/>
        </w:rPr>
      </w:pPr>
    </w:p>
    <w:p w14:paraId="2E788AD1">
      <w:pPr>
        <w:adjustRightInd w:val="0"/>
        <w:snapToGrid w:val="0"/>
        <w:spacing w:line="240" w:lineRule="auto"/>
        <w:ind w:firstLine="0"/>
        <w:jc w:val="center"/>
        <w:outlineLvl w:val="0"/>
        <w:rPr>
          <w:rFonts w:eastAsia="方正小标宋简体"/>
          <w:sz w:val="44"/>
          <w:szCs w:val="44"/>
          <w:highlight w:val="none"/>
        </w:rPr>
      </w:pPr>
      <w:bookmarkStart w:id="96" w:name="_Toc20764"/>
      <w:bookmarkStart w:id="97" w:name="_Toc27313"/>
      <w:bookmarkStart w:id="98" w:name="_Toc9034"/>
      <w:bookmarkStart w:id="99" w:name="_Toc13487"/>
      <w:bookmarkStart w:id="100" w:name="_Toc15352"/>
      <w:bookmarkStart w:id="101" w:name="_Toc4290"/>
      <w:bookmarkStart w:id="102" w:name="_Toc2623"/>
      <w:r>
        <w:rPr>
          <w:rFonts w:eastAsia="方正小标宋简体"/>
          <w:sz w:val="44"/>
          <w:szCs w:val="44"/>
          <w:highlight w:val="none"/>
        </w:rPr>
        <w:t>中国工程物理研究院化工材料研究所</w:t>
      </w:r>
      <w:bookmarkEnd w:id="96"/>
      <w:bookmarkEnd w:id="97"/>
      <w:bookmarkEnd w:id="98"/>
      <w:bookmarkEnd w:id="99"/>
      <w:bookmarkEnd w:id="100"/>
      <w:bookmarkEnd w:id="101"/>
      <w:bookmarkEnd w:id="102"/>
    </w:p>
    <w:p w14:paraId="3D4C1F1B">
      <w:pPr>
        <w:adjustRightInd w:val="0"/>
        <w:snapToGrid w:val="0"/>
        <w:spacing w:line="240" w:lineRule="auto"/>
        <w:ind w:firstLine="0"/>
        <w:jc w:val="center"/>
        <w:rPr>
          <w:rFonts w:eastAsia="方正小标宋简体"/>
          <w:sz w:val="21"/>
          <w:szCs w:val="21"/>
        </w:rPr>
      </w:pPr>
    </w:p>
    <w:tbl>
      <w:tblPr>
        <w:tblStyle w:val="25"/>
        <w:tblW w:w="9751" w:type="dxa"/>
        <w:jc w:val="center"/>
        <w:tblLayout w:type="fixed"/>
        <w:tblCellMar>
          <w:top w:w="0" w:type="dxa"/>
          <w:left w:w="108" w:type="dxa"/>
          <w:bottom w:w="0" w:type="dxa"/>
          <w:right w:w="108" w:type="dxa"/>
        </w:tblCellMar>
      </w:tblPr>
      <w:tblGrid>
        <w:gridCol w:w="1451"/>
        <w:gridCol w:w="1311"/>
        <w:gridCol w:w="76"/>
        <w:gridCol w:w="663"/>
        <w:gridCol w:w="973"/>
        <w:gridCol w:w="182"/>
        <w:gridCol w:w="1019"/>
        <w:gridCol w:w="873"/>
        <w:gridCol w:w="1020"/>
        <w:gridCol w:w="355"/>
        <w:gridCol w:w="1828"/>
      </w:tblGrid>
      <w:tr w14:paraId="2D1693E9">
        <w:tblPrEx>
          <w:tblCellMar>
            <w:top w:w="0" w:type="dxa"/>
            <w:left w:w="108" w:type="dxa"/>
            <w:bottom w:w="0" w:type="dxa"/>
            <w:right w:w="108" w:type="dxa"/>
          </w:tblCellMar>
        </w:tblPrEx>
        <w:trPr>
          <w:trHeight w:val="567" w:hRule="atLeast"/>
          <w:jc w:val="center"/>
        </w:trPr>
        <w:tc>
          <w:tcPr>
            <w:tcW w:w="145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7BB26A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7" w:type="dxa"/>
            <w:gridSpan w:val="2"/>
            <w:tcBorders>
              <w:top w:val="single" w:color="auto" w:sz="4" w:space="0"/>
              <w:left w:val="nil"/>
              <w:bottom w:val="single" w:color="auto" w:sz="4" w:space="0"/>
              <w:right w:val="single" w:color="auto" w:sz="4" w:space="0"/>
            </w:tcBorders>
            <w:vAlign w:val="center"/>
          </w:tcPr>
          <w:p w14:paraId="207EC89D">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36"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7F0F053">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01" w:type="dxa"/>
            <w:gridSpan w:val="2"/>
            <w:tcBorders>
              <w:top w:val="single" w:color="auto" w:sz="4" w:space="0"/>
              <w:left w:val="nil"/>
              <w:bottom w:val="single" w:color="auto" w:sz="4" w:space="0"/>
              <w:right w:val="single" w:color="auto" w:sz="4" w:space="0"/>
            </w:tcBorders>
            <w:vAlign w:val="center"/>
          </w:tcPr>
          <w:p w14:paraId="2BA60F0A">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93"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34D0720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83" w:type="dxa"/>
            <w:gridSpan w:val="2"/>
            <w:tcBorders>
              <w:top w:val="single" w:color="auto" w:sz="4" w:space="0"/>
              <w:left w:val="nil"/>
              <w:bottom w:val="single" w:color="auto" w:sz="4" w:space="0"/>
              <w:right w:val="single" w:color="auto" w:sz="4" w:space="0"/>
            </w:tcBorders>
            <w:vAlign w:val="center"/>
          </w:tcPr>
          <w:p w14:paraId="716D5677">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1ECE3CBD">
        <w:tblPrEx>
          <w:tblCellMar>
            <w:top w:w="0" w:type="dxa"/>
            <w:left w:w="108" w:type="dxa"/>
            <w:bottom w:w="0" w:type="dxa"/>
            <w:right w:w="108" w:type="dxa"/>
          </w:tblCellMar>
        </w:tblPrEx>
        <w:trPr>
          <w:trHeight w:val="567" w:hRule="atLeast"/>
          <w:jc w:val="center"/>
        </w:trPr>
        <w:tc>
          <w:tcPr>
            <w:tcW w:w="145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4D3D17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00" w:type="dxa"/>
            <w:gridSpan w:val="10"/>
            <w:tcBorders>
              <w:top w:val="single" w:color="auto" w:sz="4" w:space="0"/>
              <w:left w:val="nil"/>
              <w:bottom w:val="single" w:color="auto" w:sz="4" w:space="0"/>
              <w:right w:val="single" w:color="auto" w:sz="4" w:space="0"/>
            </w:tcBorders>
            <w:vAlign w:val="center"/>
          </w:tcPr>
          <w:p w14:paraId="7F9CAA90">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四川省绵阳市</w:t>
            </w:r>
            <w:r>
              <w:rPr>
                <w:rFonts w:eastAsiaTheme="minorEastAsia"/>
                <w:sz w:val="21"/>
                <w:szCs w:val="21"/>
              </w:rPr>
              <w:t>科学城</w:t>
            </w:r>
          </w:p>
        </w:tc>
      </w:tr>
      <w:tr w14:paraId="32D41796">
        <w:tblPrEx>
          <w:tblCellMar>
            <w:top w:w="0" w:type="dxa"/>
            <w:left w:w="108" w:type="dxa"/>
            <w:bottom w:w="0" w:type="dxa"/>
            <w:right w:w="108" w:type="dxa"/>
          </w:tblCellMar>
        </w:tblPrEx>
        <w:trPr>
          <w:trHeight w:val="3401" w:hRule="atLeast"/>
          <w:jc w:val="center"/>
        </w:trPr>
        <w:tc>
          <w:tcPr>
            <w:tcW w:w="145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81AE77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00" w:type="dxa"/>
            <w:gridSpan w:val="10"/>
            <w:tcBorders>
              <w:top w:val="single" w:color="auto" w:sz="4" w:space="0"/>
              <w:left w:val="nil"/>
              <w:bottom w:val="single" w:color="auto" w:sz="4" w:space="0"/>
              <w:right w:val="single" w:color="auto" w:sz="4" w:space="0"/>
            </w:tcBorders>
            <w:vAlign w:val="center"/>
          </w:tcPr>
          <w:p w14:paraId="0CE0CD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化工材料研究所，是以发展国防尖端科学技术为主的国家级综合性科研机构。研究所享有国家特殊政策支持，在含能材料、火工品、弹药、能源材料、激光材料等方面具有雄厚实力，在国内外军事相关领域具有重要影响力。研究所坐落国家唯一科技城---绵阳，在北京、成都设有科研机构，拥有国家能源新材料研发中心、中国工程物理研究院安全弹药研发中心、四川省火工品协同创新中心、含能材料基因科学研究中心等科技创新平台，是材料科学与工程一级学科博士学位授予点和兵器科学与技术一级学科硕士学位授予点。</w:t>
            </w:r>
          </w:p>
        </w:tc>
      </w:tr>
      <w:tr w14:paraId="78FE816A">
        <w:tblPrEx>
          <w:tblCellMar>
            <w:top w:w="0" w:type="dxa"/>
            <w:left w:w="108" w:type="dxa"/>
            <w:bottom w:w="0" w:type="dxa"/>
            <w:right w:w="108" w:type="dxa"/>
          </w:tblCellMar>
        </w:tblPrEx>
        <w:trPr>
          <w:trHeight w:val="2032" w:hRule="atLeast"/>
          <w:jc w:val="center"/>
        </w:trPr>
        <w:tc>
          <w:tcPr>
            <w:tcW w:w="145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1B1CE7C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2B9CA1D7">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00" w:type="dxa"/>
            <w:gridSpan w:val="10"/>
            <w:tcBorders>
              <w:top w:val="single" w:color="auto" w:sz="4" w:space="0"/>
              <w:left w:val="nil"/>
              <w:bottom w:val="single" w:color="auto" w:sz="4" w:space="0"/>
              <w:right w:val="single" w:color="auto" w:sz="4" w:space="0"/>
            </w:tcBorders>
            <w:vAlign w:val="center"/>
          </w:tcPr>
          <w:p w14:paraId="0BE089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科研经费、实验平台、人力资源等方面给予配套支持；年薪23.5万元-36.5万元，另享受成果奖励相关政策。在站期间由所免房租提供住宿，按国家及院所有关规定协助配偶及未成年子女办理暂住手续，子女入托、入学，享受常住户口居民同等待遇。按规定购买社会保险、缴纳公积金。</w:t>
            </w:r>
          </w:p>
        </w:tc>
      </w:tr>
      <w:tr w14:paraId="7C5C7F88">
        <w:tblPrEx>
          <w:tblCellMar>
            <w:top w:w="0" w:type="dxa"/>
            <w:left w:w="108" w:type="dxa"/>
            <w:bottom w:w="0" w:type="dxa"/>
            <w:right w:w="108" w:type="dxa"/>
          </w:tblCellMar>
        </w:tblPrEx>
        <w:trPr>
          <w:trHeight w:val="748" w:hRule="atLeast"/>
          <w:tblHeader/>
          <w:jc w:val="center"/>
        </w:trPr>
        <w:tc>
          <w:tcPr>
            <w:tcW w:w="2762"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3715F02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39"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499246ED">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72DC92D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2"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4A79798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09CE6F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7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12378CB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D60DD1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28" w:type="dxa"/>
            <w:tcBorders>
              <w:top w:val="single" w:color="auto" w:sz="4" w:space="0"/>
              <w:left w:val="nil"/>
              <w:bottom w:val="single" w:color="auto" w:sz="4" w:space="0"/>
              <w:right w:val="single" w:color="auto" w:sz="4" w:space="0"/>
            </w:tcBorders>
            <w:shd w:val="clear" w:color="auto" w:fill="E7E6E6" w:themeFill="background2"/>
            <w:vAlign w:val="center"/>
          </w:tcPr>
          <w:p w14:paraId="6D55608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B42B54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89731DB">
        <w:tblPrEx>
          <w:tblCellMar>
            <w:top w:w="0" w:type="dxa"/>
            <w:left w:w="108" w:type="dxa"/>
            <w:bottom w:w="0" w:type="dxa"/>
            <w:right w:w="108" w:type="dxa"/>
          </w:tblCellMar>
        </w:tblPrEx>
        <w:trPr>
          <w:trHeight w:val="1531"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594F6CE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梯度复合炸药定制与能量输出性能</w:t>
            </w:r>
          </w:p>
        </w:tc>
        <w:tc>
          <w:tcPr>
            <w:tcW w:w="739" w:type="dxa"/>
            <w:gridSpan w:val="2"/>
            <w:tcBorders>
              <w:top w:val="single" w:color="auto" w:sz="4" w:space="0"/>
              <w:left w:val="nil"/>
              <w:bottom w:val="single" w:color="auto" w:sz="4" w:space="0"/>
              <w:right w:val="single" w:color="auto" w:sz="4" w:space="0"/>
            </w:tcBorders>
            <w:vAlign w:val="center"/>
          </w:tcPr>
          <w:p w14:paraId="19CF2B8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55" w:type="dxa"/>
            <w:gridSpan w:val="2"/>
            <w:tcBorders>
              <w:top w:val="single" w:color="auto" w:sz="4" w:space="0"/>
              <w:left w:val="nil"/>
              <w:bottom w:val="single" w:color="auto" w:sz="4" w:space="0"/>
              <w:right w:val="single" w:color="auto" w:sz="4" w:space="0"/>
            </w:tcBorders>
            <w:vAlign w:val="center"/>
          </w:tcPr>
          <w:p w14:paraId="37D41F3F">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892" w:type="dxa"/>
            <w:gridSpan w:val="2"/>
            <w:tcBorders>
              <w:top w:val="single" w:color="auto" w:sz="4" w:space="0"/>
              <w:left w:val="nil"/>
              <w:bottom w:val="single" w:color="auto" w:sz="4" w:space="0"/>
              <w:right w:val="single" w:color="auto" w:sz="4" w:space="0"/>
            </w:tcBorders>
            <w:vAlign w:val="center"/>
          </w:tcPr>
          <w:p w14:paraId="481D352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兵器科学与技术/化学工程与技术/材料科学与工程</w:t>
            </w:r>
          </w:p>
        </w:tc>
        <w:tc>
          <w:tcPr>
            <w:tcW w:w="1375" w:type="dxa"/>
            <w:gridSpan w:val="2"/>
            <w:tcBorders>
              <w:top w:val="single" w:color="auto" w:sz="4" w:space="0"/>
              <w:left w:val="nil"/>
              <w:bottom w:val="single" w:color="auto" w:sz="4" w:space="0"/>
              <w:right w:val="single" w:color="auto" w:sz="4" w:space="0"/>
            </w:tcBorders>
            <w:vAlign w:val="center"/>
          </w:tcPr>
          <w:p w14:paraId="14914F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828" w:type="dxa"/>
            <w:tcBorders>
              <w:top w:val="single" w:color="auto" w:sz="4" w:space="0"/>
              <w:left w:val="nil"/>
              <w:bottom w:val="single" w:color="auto" w:sz="4" w:space="0"/>
              <w:right w:val="single" w:color="auto" w:sz="4" w:space="0"/>
            </w:tcBorders>
            <w:vAlign w:val="center"/>
          </w:tcPr>
          <w:p w14:paraId="10700C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爆轰与安全工程需要掌握通过数值仿真或分子动力学计算或机器学习相关经验。</w:t>
            </w:r>
          </w:p>
        </w:tc>
      </w:tr>
      <w:tr w14:paraId="1C555348">
        <w:tblPrEx>
          <w:tblCellMar>
            <w:top w:w="0" w:type="dxa"/>
            <w:left w:w="108" w:type="dxa"/>
            <w:bottom w:w="0" w:type="dxa"/>
            <w:right w:w="108" w:type="dxa"/>
          </w:tblCellMar>
        </w:tblPrEx>
        <w:trPr>
          <w:trHeight w:val="1531"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42CCEC8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动态交联高分子材料研究</w:t>
            </w:r>
          </w:p>
        </w:tc>
        <w:tc>
          <w:tcPr>
            <w:tcW w:w="739" w:type="dxa"/>
            <w:gridSpan w:val="2"/>
            <w:tcBorders>
              <w:top w:val="nil"/>
              <w:left w:val="nil"/>
              <w:bottom w:val="single" w:color="auto" w:sz="4" w:space="0"/>
              <w:right w:val="single" w:color="auto" w:sz="4" w:space="0"/>
            </w:tcBorders>
            <w:vAlign w:val="center"/>
          </w:tcPr>
          <w:p w14:paraId="67D34E8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55" w:type="dxa"/>
            <w:gridSpan w:val="2"/>
            <w:tcBorders>
              <w:top w:val="nil"/>
              <w:left w:val="nil"/>
              <w:bottom w:val="single" w:color="auto" w:sz="4" w:space="0"/>
              <w:right w:val="single" w:color="auto" w:sz="4" w:space="0"/>
            </w:tcBorders>
            <w:vAlign w:val="center"/>
          </w:tcPr>
          <w:p w14:paraId="4A075A91">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892" w:type="dxa"/>
            <w:gridSpan w:val="2"/>
            <w:tcBorders>
              <w:top w:val="nil"/>
              <w:left w:val="nil"/>
              <w:bottom w:val="single" w:color="auto" w:sz="4" w:space="0"/>
              <w:right w:val="single" w:color="auto" w:sz="4" w:space="0"/>
            </w:tcBorders>
            <w:vAlign w:val="center"/>
          </w:tcPr>
          <w:p w14:paraId="742FDD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高分子材料/化学/化学工程与技术/材料科学与工程</w:t>
            </w:r>
          </w:p>
        </w:tc>
        <w:tc>
          <w:tcPr>
            <w:tcW w:w="1375" w:type="dxa"/>
            <w:gridSpan w:val="2"/>
            <w:tcBorders>
              <w:top w:val="nil"/>
              <w:left w:val="nil"/>
              <w:bottom w:val="single" w:color="auto" w:sz="4" w:space="0"/>
              <w:right w:val="single" w:color="auto" w:sz="4" w:space="0"/>
            </w:tcBorders>
            <w:vAlign w:val="center"/>
          </w:tcPr>
          <w:p w14:paraId="19AF74C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828" w:type="dxa"/>
            <w:tcBorders>
              <w:top w:val="nil"/>
              <w:left w:val="nil"/>
              <w:bottom w:val="single" w:color="auto" w:sz="4" w:space="0"/>
              <w:right w:val="single" w:color="auto" w:sz="4" w:space="0"/>
            </w:tcBorders>
            <w:vAlign w:val="center"/>
          </w:tcPr>
          <w:p w14:paraId="0484984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若擅长材料老化、宽频介电或数据库管理者，不限专业。</w:t>
            </w:r>
          </w:p>
        </w:tc>
      </w:tr>
      <w:tr w14:paraId="6C86C39D">
        <w:tblPrEx>
          <w:tblCellMar>
            <w:top w:w="0" w:type="dxa"/>
            <w:left w:w="108" w:type="dxa"/>
            <w:bottom w:w="0" w:type="dxa"/>
            <w:right w:w="108" w:type="dxa"/>
          </w:tblCellMar>
        </w:tblPrEx>
        <w:trPr>
          <w:trHeight w:val="1531"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07D60C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含能分子设计与合成</w:t>
            </w:r>
          </w:p>
        </w:tc>
        <w:tc>
          <w:tcPr>
            <w:tcW w:w="739" w:type="dxa"/>
            <w:gridSpan w:val="2"/>
            <w:tcBorders>
              <w:top w:val="single" w:color="auto" w:sz="4" w:space="0"/>
              <w:left w:val="nil"/>
              <w:bottom w:val="single" w:color="auto" w:sz="4" w:space="0"/>
              <w:right w:val="single" w:color="auto" w:sz="4" w:space="0"/>
            </w:tcBorders>
            <w:vAlign w:val="center"/>
          </w:tcPr>
          <w:p w14:paraId="789AA1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55" w:type="dxa"/>
            <w:gridSpan w:val="2"/>
            <w:tcBorders>
              <w:top w:val="single" w:color="auto" w:sz="4" w:space="0"/>
              <w:left w:val="nil"/>
              <w:bottom w:val="single" w:color="auto" w:sz="4" w:space="0"/>
              <w:right w:val="single" w:color="auto" w:sz="4" w:space="0"/>
            </w:tcBorders>
            <w:vAlign w:val="center"/>
          </w:tcPr>
          <w:p w14:paraId="47708FB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892" w:type="dxa"/>
            <w:gridSpan w:val="2"/>
            <w:tcBorders>
              <w:top w:val="single" w:color="auto" w:sz="4" w:space="0"/>
              <w:left w:val="nil"/>
              <w:bottom w:val="single" w:color="auto" w:sz="4" w:space="0"/>
              <w:right w:val="single" w:color="auto" w:sz="4" w:space="0"/>
            </w:tcBorders>
            <w:vAlign w:val="center"/>
          </w:tcPr>
          <w:p w14:paraId="67D440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含能材料/化学/化学工程与技术/材料科学与工程</w:t>
            </w:r>
          </w:p>
        </w:tc>
        <w:tc>
          <w:tcPr>
            <w:tcW w:w="1375" w:type="dxa"/>
            <w:gridSpan w:val="2"/>
            <w:tcBorders>
              <w:top w:val="single" w:color="auto" w:sz="4" w:space="0"/>
              <w:left w:val="nil"/>
              <w:bottom w:val="single" w:color="auto" w:sz="4" w:space="0"/>
              <w:right w:val="single" w:color="auto" w:sz="4" w:space="0"/>
            </w:tcBorders>
            <w:vAlign w:val="center"/>
          </w:tcPr>
          <w:p w14:paraId="7A7736F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828" w:type="dxa"/>
            <w:tcBorders>
              <w:top w:val="single" w:color="auto" w:sz="4" w:space="0"/>
              <w:left w:val="nil"/>
              <w:bottom w:val="single" w:color="auto" w:sz="4" w:space="0"/>
              <w:right w:val="single" w:color="auto" w:sz="4" w:space="0"/>
            </w:tcBorders>
            <w:vAlign w:val="center"/>
          </w:tcPr>
          <w:p w14:paraId="5B87729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具有有机合成研究经历，以有光化学或电化学合成研究经历优先。</w:t>
            </w:r>
          </w:p>
        </w:tc>
      </w:tr>
      <w:tr w14:paraId="6E532ED8">
        <w:tblPrEx>
          <w:tblCellMar>
            <w:top w:w="0" w:type="dxa"/>
            <w:left w:w="108" w:type="dxa"/>
            <w:bottom w:w="0" w:type="dxa"/>
            <w:right w:w="108" w:type="dxa"/>
          </w:tblCellMar>
        </w:tblPrEx>
        <w:trPr>
          <w:trHeight w:val="748" w:hRule="atLeast"/>
          <w:jc w:val="center"/>
        </w:trPr>
        <w:tc>
          <w:tcPr>
            <w:tcW w:w="2762"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202C58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739"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04952D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15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AC92E0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892"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6C2AE5A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ACEE43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75"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0B895D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A73D11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28"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0D30D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F420A2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13723FD5">
        <w:tblPrEx>
          <w:tblCellMar>
            <w:top w:w="0" w:type="dxa"/>
            <w:left w:w="108" w:type="dxa"/>
            <w:bottom w:w="0" w:type="dxa"/>
            <w:right w:w="108" w:type="dxa"/>
          </w:tblCellMar>
        </w:tblPrEx>
        <w:trPr>
          <w:trHeight w:val="1417"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729DADF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智能响应纳米粒子及其复合材料研究</w:t>
            </w:r>
          </w:p>
        </w:tc>
        <w:tc>
          <w:tcPr>
            <w:tcW w:w="739" w:type="dxa"/>
            <w:gridSpan w:val="2"/>
            <w:tcBorders>
              <w:top w:val="single" w:color="auto" w:sz="4" w:space="0"/>
              <w:left w:val="nil"/>
              <w:bottom w:val="single" w:color="auto" w:sz="4" w:space="0"/>
              <w:right w:val="single" w:color="auto" w:sz="4" w:space="0"/>
            </w:tcBorders>
            <w:vAlign w:val="center"/>
          </w:tcPr>
          <w:p w14:paraId="7A1A0F3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55" w:type="dxa"/>
            <w:gridSpan w:val="2"/>
            <w:tcBorders>
              <w:top w:val="single" w:color="auto" w:sz="4" w:space="0"/>
              <w:left w:val="nil"/>
              <w:bottom w:val="single" w:color="auto" w:sz="4" w:space="0"/>
              <w:right w:val="single" w:color="auto" w:sz="4" w:space="0"/>
            </w:tcBorders>
            <w:vAlign w:val="center"/>
          </w:tcPr>
          <w:p w14:paraId="7FABE6A6">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BSH004</w:t>
            </w:r>
          </w:p>
        </w:tc>
        <w:tc>
          <w:tcPr>
            <w:tcW w:w="1892" w:type="dxa"/>
            <w:gridSpan w:val="2"/>
            <w:tcBorders>
              <w:top w:val="single" w:color="auto" w:sz="4" w:space="0"/>
              <w:left w:val="nil"/>
              <w:bottom w:val="single" w:color="auto" w:sz="4" w:space="0"/>
              <w:right w:val="single" w:color="auto" w:sz="4" w:space="0"/>
            </w:tcBorders>
            <w:vAlign w:val="center"/>
          </w:tcPr>
          <w:p w14:paraId="32B6090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化学/化学工程与技术/材料科学与工程</w:t>
            </w:r>
          </w:p>
        </w:tc>
        <w:tc>
          <w:tcPr>
            <w:tcW w:w="1375" w:type="dxa"/>
            <w:gridSpan w:val="2"/>
            <w:tcBorders>
              <w:top w:val="single" w:color="auto" w:sz="4" w:space="0"/>
              <w:left w:val="nil"/>
              <w:bottom w:val="single" w:color="auto" w:sz="4" w:space="0"/>
              <w:right w:val="single" w:color="auto" w:sz="4" w:space="0"/>
            </w:tcBorders>
            <w:vAlign w:val="center"/>
          </w:tcPr>
          <w:p w14:paraId="3FAA5EA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828" w:type="dxa"/>
            <w:vMerge w:val="restart"/>
            <w:tcBorders>
              <w:top w:val="single" w:color="auto" w:sz="4" w:space="0"/>
              <w:left w:val="single" w:color="auto" w:sz="4" w:space="0"/>
              <w:right w:val="single" w:color="auto" w:sz="4" w:space="0"/>
            </w:tcBorders>
            <w:vAlign w:val="center"/>
          </w:tcPr>
          <w:p w14:paraId="2468756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不限</w:t>
            </w:r>
          </w:p>
        </w:tc>
      </w:tr>
      <w:tr w14:paraId="64B32C85">
        <w:tblPrEx>
          <w:tblCellMar>
            <w:top w:w="0" w:type="dxa"/>
            <w:left w:w="108" w:type="dxa"/>
            <w:bottom w:w="0" w:type="dxa"/>
            <w:right w:w="108" w:type="dxa"/>
          </w:tblCellMar>
        </w:tblPrEx>
        <w:trPr>
          <w:trHeight w:val="1417"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04D6EE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含能材料智能分析化学技术研究</w:t>
            </w:r>
          </w:p>
        </w:tc>
        <w:tc>
          <w:tcPr>
            <w:tcW w:w="739" w:type="dxa"/>
            <w:gridSpan w:val="2"/>
            <w:tcBorders>
              <w:top w:val="single" w:color="auto" w:sz="4" w:space="0"/>
              <w:left w:val="nil"/>
              <w:bottom w:val="single" w:color="auto" w:sz="4" w:space="0"/>
              <w:right w:val="single" w:color="auto" w:sz="4" w:space="0"/>
            </w:tcBorders>
            <w:vAlign w:val="center"/>
          </w:tcPr>
          <w:p w14:paraId="613CA1F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55" w:type="dxa"/>
            <w:gridSpan w:val="2"/>
            <w:tcBorders>
              <w:top w:val="single" w:color="auto" w:sz="4" w:space="0"/>
              <w:left w:val="nil"/>
              <w:bottom w:val="single" w:color="auto" w:sz="4" w:space="0"/>
              <w:right w:val="single" w:color="auto" w:sz="4" w:space="0"/>
            </w:tcBorders>
            <w:vAlign w:val="center"/>
          </w:tcPr>
          <w:p w14:paraId="781A773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BSH005</w:t>
            </w:r>
          </w:p>
        </w:tc>
        <w:tc>
          <w:tcPr>
            <w:tcW w:w="1892" w:type="dxa"/>
            <w:gridSpan w:val="2"/>
            <w:tcBorders>
              <w:top w:val="single" w:color="auto" w:sz="4" w:space="0"/>
              <w:left w:val="nil"/>
              <w:bottom w:val="single" w:color="auto" w:sz="4" w:space="0"/>
              <w:right w:val="single" w:color="auto" w:sz="4" w:space="0"/>
            </w:tcBorders>
            <w:vAlign w:val="center"/>
          </w:tcPr>
          <w:p w14:paraId="69CCA7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化学/仪器科学与技术</w:t>
            </w:r>
          </w:p>
        </w:tc>
        <w:tc>
          <w:tcPr>
            <w:tcW w:w="1375" w:type="dxa"/>
            <w:gridSpan w:val="2"/>
            <w:tcBorders>
              <w:top w:val="single" w:color="auto" w:sz="4" w:space="0"/>
              <w:left w:val="nil"/>
              <w:bottom w:val="single" w:color="auto" w:sz="4" w:space="0"/>
              <w:right w:val="single" w:color="auto" w:sz="4" w:space="0"/>
            </w:tcBorders>
            <w:vAlign w:val="center"/>
          </w:tcPr>
          <w:p w14:paraId="2B80A19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c>
          <w:tcPr>
            <w:tcW w:w="1828" w:type="dxa"/>
            <w:vMerge w:val="continue"/>
            <w:tcBorders>
              <w:left w:val="single" w:color="auto" w:sz="4" w:space="0"/>
              <w:right w:val="single" w:color="auto" w:sz="4" w:space="0"/>
            </w:tcBorders>
            <w:vAlign w:val="center"/>
          </w:tcPr>
          <w:p w14:paraId="2BDA254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4F8F9B55">
        <w:tblPrEx>
          <w:tblCellMar>
            <w:top w:w="0" w:type="dxa"/>
            <w:left w:w="108" w:type="dxa"/>
            <w:bottom w:w="0" w:type="dxa"/>
            <w:right w:w="108" w:type="dxa"/>
          </w:tblCellMar>
        </w:tblPrEx>
        <w:trPr>
          <w:trHeight w:val="1417"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1AD1175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含能材料性质超分子研究</w:t>
            </w:r>
          </w:p>
        </w:tc>
        <w:tc>
          <w:tcPr>
            <w:tcW w:w="739" w:type="dxa"/>
            <w:gridSpan w:val="2"/>
            <w:tcBorders>
              <w:top w:val="single" w:color="auto" w:sz="4" w:space="0"/>
              <w:left w:val="nil"/>
              <w:bottom w:val="single" w:color="auto" w:sz="4" w:space="0"/>
              <w:right w:val="single" w:color="auto" w:sz="4" w:space="0"/>
            </w:tcBorders>
            <w:vAlign w:val="center"/>
          </w:tcPr>
          <w:p w14:paraId="6DD785E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55" w:type="dxa"/>
            <w:gridSpan w:val="2"/>
            <w:tcBorders>
              <w:top w:val="single" w:color="auto" w:sz="4" w:space="0"/>
              <w:left w:val="nil"/>
              <w:bottom w:val="single" w:color="auto" w:sz="4" w:space="0"/>
              <w:right w:val="single" w:color="auto" w:sz="4" w:space="0"/>
            </w:tcBorders>
            <w:vAlign w:val="center"/>
          </w:tcPr>
          <w:p w14:paraId="00F90AA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BSH006</w:t>
            </w:r>
          </w:p>
        </w:tc>
        <w:tc>
          <w:tcPr>
            <w:tcW w:w="1892" w:type="dxa"/>
            <w:gridSpan w:val="2"/>
            <w:tcBorders>
              <w:top w:val="single" w:color="auto" w:sz="4" w:space="0"/>
              <w:left w:val="nil"/>
              <w:bottom w:val="single" w:color="auto" w:sz="4" w:space="0"/>
              <w:right w:val="single" w:color="auto" w:sz="4" w:space="0"/>
            </w:tcBorders>
            <w:vAlign w:val="center"/>
          </w:tcPr>
          <w:p w14:paraId="36BD560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375" w:type="dxa"/>
            <w:gridSpan w:val="2"/>
            <w:tcBorders>
              <w:top w:val="single" w:color="auto" w:sz="4" w:space="0"/>
              <w:left w:val="nil"/>
              <w:bottom w:val="single" w:color="auto" w:sz="4" w:space="0"/>
              <w:right w:val="single" w:color="auto" w:sz="4" w:space="0"/>
            </w:tcBorders>
            <w:vAlign w:val="center"/>
          </w:tcPr>
          <w:p w14:paraId="2FC9789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828" w:type="dxa"/>
            <w:vMerge w:val="continue"/>
            <w:tcBorders>
              <w:left w:val="single" w:color="auto" w:sz="4" w:space="0"/>
              <w:right w:val="single" w:color="auto" w:sz="4" w:space="0"/>
            </w:tcBorders>
            <w:vAlign w:val="center"/>
          </w:tcPr>
          <w:p w14:paraId="5E7E70F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2973CBD2">
        <w:tblPrEx>
          <w:tblCellMar>
            <w:top w:w="0" w:type="dxa"/>
            <w:left w:w="108" w:type="dxa"/>
            <w:bottom w:w="0" w:type="dxa"/>
            <w:right w:w="108" w:type="dxa"/>
          </w:tblCellMar>
        </w:tblPrEx>
        <w:trPr>
          <w:trHeight w:val="1417" w:hRule="atLeast"/>
          <w:jc w:val="center"/>
        </w:trPr>
        <w:tc>
          <w:tcPr>
            <w:tcW w:w="2762" w:type="dxa"/>
            <w:gridSpan w:val="2"/>
            <w:tcBorders>
              <w:top w:val="single" w:color="auto" w:sz="4" w:space="0"/>
              <w:left w:val="single" w:color="auto" w:sz="4" w:space="0"/>
              <w:bottom w:val="single" w:color="auto" w:sz="4" w:space="0"/>
              <w:right w:val="single" w:color="auto" w:sz="4" w:space="0"/>
            </w:tcBorders>
            <w:vAlign w:val="center"/>
          </w:tcPr>
          <w:p w14:paraId="7323325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高性能光学陶瓷制备技术研究</w:t>
            </w:r>
          </w:p>
        </w:tc>
        <w:tc>
          <w:tcPr>
            <w:tcW w:w="739" w:type="dxa"/>
            <w:gridSpan w:val="2"/>
            <w:tcBorders>
              <w:top w:val="single" w:color="auto" w:sz="4" w:space="0"/>
              <w:left w:val="nil"/>
              <w:bottom w:val="single" w:color="auto" w:sz="4" w:space="0"/>
              <w:right w:val="single" w:color="auto" w:sz="4" w:space="0"/>
            </w:tcBorders>
            <w:vAlign w:val="center"/>
          </w:tcPr>
          <w:p w14:paraId="5A16A3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55" w:type="dxa"/>
            <w:gridSpan w:val="2"/>
            <w:tcBorders>
              <w:top w:val="single" w:color="auto" w:sz="4" w:space="0"/>
              <w:left w:val="nil"/>
              <w:bottom w:val="single" w:color="auto" w:sz="4" w:space="0"/>
              <w:right w:val="single" w:color="auto" w:sz="4" w:space="0"/>
            </w:tcBorders>
            <w:vAlign w:val="center"/>
          </w:tcPr>
          <w:p w14:paraId="0FB6C192">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BSH007</w:t>
            </w:r>
          </w:p>
        </w:tc>
        <w:tc>
          <w:tcPr>
            <w:tcW w:w="1892" w:type="dxa"/>
            <w:gridSpan w:val="2"/>
            <w:tcBorders>
              <w:top w:val="single" w:color="auto" w:sz="4" w:space="0"/>
              <w:left w:val="nil"/>
              <w:bottom w:val="single" w:color="auto" w:sz="4" w:space="0"/>
              <w:right w:val="single" w:color="auto" w:sz="4" w:space="0"/>
            </w:tcBorders>
            <w:vAlign w:val="center"/>
          </w:tcPr>
          <w:p w14:paraId="377B8B0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化学/材料科学与工程/凝聚态物理/化学工程</w:t>
            </w:r>
          </w:p>
        </w:tc>
        <w:tc>
          <w:tcPr>
            <w:tcW w:w="1375" w:type="dxa"/>
            <w:gridSpan w:val="2"/>
            <w:tcBorders>
              <w:top w:val="single" w:color="auto" w:sz="4" w:space="0"/>
              <w:left w:val="nil"/>
              <w:bottom w:val="single" w:color="auto" w:sz="4" w:space="0"/>
              <w:right w:val="single" w:color="auto" w:sz="4" w:space="0"/>
            </w:tcBorders>
            <w:vAlign w:val="center"/>
          </w:tcPr>
          <w:p w14:paraId="0918382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c>
          <w:tcPr>
            <w:tcW w:w="1828" w:type="dxa"/>
            <w:vMerge w:val="continue"/>
            <w:tcBorders>
              <w:left w:val="single" w:color="auto" w:sz="4" w:space="0"/>
              <w:bottom w:val="single" w:color="auto" w:sz="4" w:space="0"/>
              <w:right w:val="single" w:color="auto" w:sz="4" w:space="0"/>
            </w:tcBorders>
            <w:vAlign w:val="center"/>
          </w:tcPr>
          <w:p w14:paraId="4AFD48C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bl>
    <w:p w14:paraId="5968A63A">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443D9069">
      <w:pPr>
        <w:adjustRightInd w:val="0"/>
        <w:snapToGrid w:val="0"/>
        <w:spacing w:line="240" w:lineRule="auto"/>
        <w:ind w:firstLine="0"/>
        <w:jc w:val="center"/>
        <w:rPr>
          <w:rFonts w:eastAsia="方正小标宋简体"/>
          <w:sz w:val="44"/>
          <w:szCs w:val="44"/>
        </w:rPr>
      </w:pPr>
    </w:p>
    <w:p w14:paraId="369922B5">
      <w:pPr>
        <w:adjustRightInd w:val="0"/>
        <w:snapToGrid w:val="0"/>
        <w:spacing w:line="240" w:lineRule="auto"/>
        <w:ind w:firstLine="0"/>
        <w:jc w:val="center"/>
        <w:outlineLvl w:val="0"/>
        <w:rPr>
          <w:rFonts w:eastAsia="方正小标宋简体"/>
          <w:sz w:val="44"/>
          <w:szCs w:val="44"/>
          <w:highlight w:val="none"/>
        </w:rPr>
      </w:pPr>
      <w:bookmarkStart w:id="103" w:name="_Toc16575"/>
      <w:bookmarkStart w:id="104" w:name="_Toc30106"/>
      <w:bookmarkStart w:id="105" w:name="_Toc8810"/>
      <w:bookmarkStart w:id="106" w:name="_Toc3246"/>
      <w:bookmarkStart w:id="107" w:name="_Toc18419"/>
      <w:bookmarkStart w:id="108" w:name="_Toc297"/>
      <w:bookmarkStart w:id="109" w:name="_Toc23043"/>
      <w:r>
        <w:rPr>
          <w:rFonts w:eastAsia="方正小标宋简体"/>
          <w:sz w:val="44"/>
          <w:szCs w:val="44"/>
          <w:highlight w:val="none"/>
        </w:rPr>
        <w:t>中国工程物理研究院机械制造工艺研究所</w:t>
      </w:r>
      <w:bookmarkEnd w:id="103"/>
      <w:bookmarkEnd w:id="104"/>
      <w:bookmarkEnd w:id="105"/>
      <w:bookmarkEnd w:id="106"/>
      <w:bookmarkEnd w:id="107"/>
      <w:bookmarkEnd w:id="108"/>
      <w:bookmarkEnd w:id="109"/>
    </w:p>
    <w:p w14:paraId="612B3BF1">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2"/>
        <w:gridCol w:w="590"/>
        <w:gridCol w:w="769"/>
        <w:gridCol w:w="546"/>
        <w:gridCol w:w="504"/>
        <w:gridCol w:w="732"/>
        <w:gridCol w:w="919"/>
        <w:gridCol w:w="949"/>
        <w:gridCol w:w="402"/>
        <w:gridCol w:w="1620"/>
        <w:gridCol w:w="13"/>
      </w:tblGrid>
      <w:tr w14:paraId="7295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2AF1EB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286" w:type="dxa"/>
            <w:shd w:val="clear" w:color="auto" w:fill="auto"/>
            <w:noWrap/>
            <w:vAlign w:val="center"/>
          </w:tcPr>
          <w:p w14:paraId="0CFBB40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w:t>
            </w:r>
          </w:p>
        </w:tc>
        <w:tc>
          <w:tcPr>
            <w:tcW w:w="1799" w:type="dxa"/>
            <w:gridSpan w:val="3"/>
            <w:shd w:val="clear" w:color="auto" w:fill="E7E6E6" w:themeFill="background2"/>
            <w:noWrap/>
            <w:vAlign w:val="center"/>
          </w:tcPr>
          <w:p w14:paraId="144E060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167" w:type="dxa"/>
            <w:gridSpan w:val="2"/>
            <w:shd w:val="clear" w:color="auto" w:fill="auto"/>
            <w:noWrap/>
            <w:vAlign w:val="center"/>
          </w:tcPr>
          <w:p w14:paraId="589D05AE">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流动站</w:t>
            </w:r>
          </w:p>
        </w:tc>
        <w:tc>
          <w:tcPr>
            <w:tcW w:w="1764" w:type="dxa"/>
            <w:gridSpan w:val="2"/>
            <w:shd w:val="clear" w:color="auto" w:fill="E7E6E6" w:themeFill="background2"/>
            <w:noWrap/>
            <w:vAlign w:val="center"/>
          </w:tcPr>
          <w:p w14:paraId="4FCC050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1922" w:type="dxa"/>
            <w:gridSpan w:val="3"/>
            <w:shd w:val="clear" w:color="auto" w:fill="auto"/>
            <w:noWrap/>
            <w:vAlign w:val="center"/>
          </w:tcPr>
          <w:p w14:paraId="2283F593">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绵阳</w:t>
            </w:r>
          </w:p>
        </w:tc>
      </w:tr>
      <w:tr w14:paraId="6F97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C257B3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7938" w:type="dxa"/>
            <w:gridSpan w:val="11"/>
            <w:shd w:val="clear" w:color="auto" w:fill="auto"/>
            <w:noWrap/>
            <w:vAlign w:val="center"/>
          </w:tcPr>
          <w:p w14:paraId="0653B15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四川省</w:t>
            </w:r>
            <w:r>
              <w:rPr>
                <w:rFonts w:hint="default" w:ascii="Times New Roman" w:hAnsi="Times New Roman" w:cs="Times New Roman" w:eastAsiaTheme="minorEastAsia"/>
                <w:sz w:val="21"/>
                <w:szCs w:val="21"/>
              </w:rPr>
              <w:t>绵阳市919信箱698分箱</w:t>
            </w:r>
          </w:p>
        </w:tc>
      </w:tr>
      <w:tr w14:paraId="41DE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4" w:hRule="atLeast"/>
          <w:jc w:val="center"/>
        </w:trPr>
        <w:tc>
          <w:tcPr>
            <w:tcW w:w="1271" w:type="dxa"/>
            <w:shd w:val="clear" w:color="auto" w:fill="E7E6E6" w:themeFill="background2"/>
            <w:noWrap/>
            <w:vAlign w:val="center"/>
          </w:tcPr>
          <w:p w14:paraId="334CA8A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11"/>
            <w:shd w:val="clear" w:color="auto" w:fill="auto"/>
            <w:vAlign w:val="center"/>
          </w:tcPr>
          <w:p w14:paraId="3FB193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工程物理研究院机械制造工艺研究所创建于1958年，坐落在“天蓝、地绿、水清、人和”的中国西部科技城—四川省绵阳市，是中国工程物理研究院重要科研实体单位之一，为国家全额拨款科研事业单位。重点从事国防尖端工程技术研究和国家高新技术产品的研制生产，拥有大量精密加工设备和先进的工艺技术，尤其在精密加工与检测、高速加工、特种加工、CAD/CAM/CAPP技术应用、材料表面处理、机电一体化设备研制与开发等领域具有独特的优势，建立了超精密加工、特种加工、精密检测、理化分析与无损检测、国家机床质量检验测试中心等一流的实验室，先后获得国家科技进步奖、国家科学大会奖、省部级以上科技进步奖200多项。设有“机械制造及其自动化”专业硕士点和“光学工程”专业博士点。</w:t>
            </w:r>
          </w:p>
        </w:tc>
      </w:tr>
      <w:tr w14:paraId="0804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271" w:type="dxa"/>
            <w:shd w:val="clear" w:color="auto" w:fill="E7E6E6" w:themeFill="background2"/>
            <w:noWrap/>
            <w:vAlign w:val="center"/>
          </w:tcPr>
          <w:p w14:paraId="23BF814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2D58ED97">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38" w:type="dxa"/>
            <w:gridSpan w:val="11"/>
            <w:shd w:val="clear" w:color="auto" w:fill="auto"/>
            <w:vAlign w:val="center"/>
          </w:tcPr>
          <w:p w14:paraId="723A4F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1.提供充足科研经费和优越实验室条件</w:t>
            </w:r>
            <w:r>
              <w:rPr>
                <w:rFonts w:hint="eastAsia" w:eastAsiaTheme="minorEastAsia"/>
                <w:sz w:val="21"/>
                <w:szCs w:val="21"/>
                <w:lang w:eastAsia="zh-CN"/>
              </w:rPr>
              <w:t>；</w:t>
            </w:r>
          </w:p>
          <w:p w14:paraId="102334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2.待遇优厚，年薪29-35万（税后）；提供医疗、养老等社会保险</w:t>
            </w:r>
            <w:r>
              <w:rPr>
                <w:rFonts w:hint="eastAsia" w:eastAsiaTheme="minorEastAsia"/>
                <w:sz w:val="21"/>
                <w:szCs w:val="21"/>
                <w:lang w:eastAsia="zh-CN"/>
              </w:rPr>
              <w:t>；</w:t>
            </w:r>
          </w:p>
          <w:p w14:paraId="717C8BE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3.提供免费住宿，享受职工餐补</w:t>
            </w:r>
            <w:r>
              <w:rPr>
                <w:rFonts w:hint="eastAsia" w:eastAsiaTheme="minorEastAsia"/>
                <w:sz w:val="21"/>
                <w:szCs w:val="21"/>
                <w:lang w:eastAsia="zh-CN"/>
              </w:rPr>
              <w:t>；</w:t>
            </w:r>
          </w:p>
          <w:p w14:paraId="77F60C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4.优秀博士后通过双选可优先应聘入职</w:t>
            </w:r>
            <w:r>
              <w:rPr>
                <w:rFonts w:hint="eastAsia" w:eastAsiaTheme="minorEastAsia"/>
                <w:sz w:val="21"/>
                <w:szCs w:val="21"/>
                <w:lang w:eastAsia="zh-CN"/>
              </w:rPr>
              <w:t>。</w:t>
            </w:r>
          </w:p>
        </w:tc>
      </w:tr>
      <w:tr w14:paraId="2279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8" w:hRule="atLeast"/>
          <w:tblHeader/>
          <w:jc w:val="center"/>
        </w:trPr>
        <w:tc>
          <w:tcPr>
            <w:tcW w:w="3114" w:type="dxa"/>
            <w:gridSpan w:val="3"/>
            <w:shd w:val="clear" w:color="auto" w:fill="E7E6E6" w:themeFill="background2"/>
            <w:noWrap/>
            <w:vAlign w:val="center"/>
          </w:tcPr>
          <w:p w14:paraId="6C544D01">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26" w:type="dxa"/>
            <w:shd w:val="clear" w:color="auto" w:fill="E7E6E6" w:themeFill="background2"/>
            <w:vAlign w:val="center"/>
          </w:tcPr>
          <w:p w14:paraId="190CDEE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gridSpan w:val="2"/>
            <w:shd w:val="clear" w:color="auto" w:fill="E7E6E6" w:themeFill="background2"/>
            <w:vAlign w:val="center"/>
          </w:tcPr>
          <w:p w14:paraId="7F7276B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3A630CA">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59" w:type="dxa"/>
            <w:gridSpan w:val="2"/>
            <w:shd w:val="clear" w:color="auto" w:fill="E7E6E6" w:themeFill="background2"/>
            <w:vAlign w:val="center"/>
          </w:tcPr>
          <w:p w14:paraId="5BA7A1E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9DE721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6" w:type="dxa"/>
            <w:gridSpan w:val="2"/>
            <w:shd w:val="clear" w:color="auto" w:fill="E7E6E6" w:themeFill="background2"/>
            <w:vAlign w:val="center"/>
          </w:tcPr>
          <w:p w14:paraId="47A58A9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EB625F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30" w:type="dxa"/>
            <w:shd w:val="clear" w:color="auto" w:fill="E7E6E6" w:themeFill="background2"/>
            <w:vAlign w:val="center"/>
          </w:tcPr>
          <w:p w14:paraId="693C65B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F749E1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DF9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3C73273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基于边缘智能的高精度跟踪机架高性能视觉伺服控制</w:t>
            </w:r>
          </w:p>
        </w:tc>
        <w:tc>
          <w:tcPr>
            <w:tcW w:w="726" w:type="dxa"/>
            <w:shd w:val="clear" w:color="auto" w:fill="auto"/>
            <w:vAlign w:val="center"/>
          </w:tcPr>
          <w:p w14:paraId="30E543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156544A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BSH001</w:t>
            </w:r>
          </w:p>
        </w:tc>
        <w:tc>
          <w:tcPr>
            <w:tcW w:w="1559" w:type="dxa"/>
            <w:gridSpan w:val="2"/>
            <w:shd w:val="clear" w:color="auto" w:fill="auto"/>
            <w:vAlign w:val="center"/>
          </w:tcPr>
          <w:p w14:paraId="1E4002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控制工程</w:t>
            </w:r>
          </w:p>
        </w:tc>
        <w:tc>
          <w:tcPr>
            <w:tcW w:w="1276" w:type="dxa"/>
            <w:gridSpan w:val="2"/>
            <w:shd w:val="clear" w:color="auto" w:fill="auto"/>
            <w:vAlign w:val="center"/>
          </w:tcPr>
          <w:p w14:paraId="0F6C2C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restart"/>
            <w:shd w:val="clear" w:color="auto" w:fill="auto"/>
            <w:vAlign w:val="center"/>
          </w:tcPr>
          <w:p w14:paraId="366CC0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985、211院校</w:t>
            </w:r>
          </w:p>
        </w:tc>
      </w:tr>
      <w:tr w14:paraId="5DDB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28B90B6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异形局部球壳的球面特征加工顺序规划方法研究</w:t>
            </w:r>
          </w:p>
        </w:tc>
        <w:tc>
          <w:tcPr>
            <w:tcW w:w="726" w:type="dxa"/>
            <w:shd w:val="clear" w:color="auto" w:fill="auto"/>
            <w:vAlign w:val="center"/>
          </w:tcPr>
          <w:p w14:paraId="466539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00C98B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BSH002</w:t>
            </w:r>
          </w:p>
        </w:tc>
        <w:tc>
          <w:tcPr>
            <w:tcW w:w="1559" w:type="dxa"/>
            <w:gridSpan w:val="2"/>
            <w:shd w:val="clear" w:color="auto" w:fill="auto"/>
            <w:vAlign w:val="center"/>
          </w:tcPr>
          <w:p w14:paraId="42C6AE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机械工程</w:t>
            </w:r>
          </w:p>
        </w:tc>
        <w:tc>
          <w:tcPr>
            <w:tcW w:w="1276" w:type="dxa"/>
            <w:gridSpan w:val="2"/>
            <w:shd w:val="clear" w:color="auto" w:fill="auto"/>
            <w:vAlign w:val="center"/>
          </w:tcPr>
          <w:p w14:paraId="07907DEE">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77C412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12A2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744168D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面向武器装备弱刚性壳体长期服役性能的制造技术与方法</w:t>
            </w:r>
          </w:p>
        </w:tc>
        <w:tc>
          <w:tcPr>
            <w:tcW w:w="726" w:type="dxa"/>
            <w:shd w:val="clear" w:color="auto" w:fill="auto"/>
            <w:vAlign w:val="center"/>
          </w:tcPr>
          <w:p w14:paraId="60CF89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7A5586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BSH003</w:t>
            </w:r>
          </w:p>
        </w:tc>
        <w:tc>
          <w:tcPr>
            <w:tcW w:w="1559" w:type="dxa"/>
            <w:gridSpan w:val="2"/>
            <w:shd w:val="clear" w:color="auto" w:fill="auto"/>
            <w:vAlign w:val="center"/>
          </w:tcPr>
          <w:p w14:paraId="280337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机械工程/可靠性</w:t>
            </w:r>
          </w:p>
        </w:tc>
        <w:tc>
          <w:tcPr>
            <w:tcW w:w="1276" w:type="dxa"/>
            <w:gridSpan w:val="2"/>
            <w:shd w:val="clear" w:color="auto" w:fill="auto"/>
            <w:vAlign w:val="center"/>
          </w:tcPr>
          <w:p w14:paraId="3B34860B">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07EC46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748E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48" w:hRule="exact"/>
          <w:jc w:val="center"/>
        </w:trPr>
        <w:tc>
          <w:tcPr>
            <w:tcW w:w="3114" w:type="dxa"/>
            <w:gridSpan w:val="3"/>
            <w:shd w:val="clear" w:color="auto" w:fill="E7E6E6" w:themeFill="background2"/>
            <w:noWrap/>
            <w:vAlign w:val="center"/>
          </w:tcPr>
          <w:p w14:paraId="4441B359">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项目名称</w:t>
            </w:r>
          </w:p>
        </w:tc>
        <w:tc>
          <w:tcPr>
            <w:tcW w:w="726" w:type="dxa"/>
            <w:shd w:val="clear" w:color="auto" w:fill="E7E6E6" w:themeFill="background2"/>
            <w:vAlign w:val="center"/>
          </w:tcPr>
          <w:p w14:paraId="73AF52AA">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需求人数</w:t>
            </w:r>
          </w:p>
        </w:tc>
        <w:tc>
          <w:tcPr>
            <w:tcW w:w="992" w:type="dxa"/>
            <w:gridSpan w:val="2"/>
            <w:shd w:val="clear" w:color="auto" w:fill="E7E6E6" w:themeFill="background2"/>
            <w:vAlign w:val="center"/>
          </w:tcPr>
          <w:p w14:paraId="4E68C1F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3D1D5A32">
            <w:pPr>
              <w:adjustRightInd w:val="0"/>
              <w:snapToGrid w:val="0"/>
              <w:spacing w:line="240" w:lineRule="auto"/>
              <w:ind w:firstLine="0" w:firstLineChars="0"/>
              <w:jc w:val="center"/>
              <w:rPr>
                <w:rFonts w:eastAsia="宋体"/>
                <w:kern w:val="0"/>
                <w:sz w:val="21"/>
                <w:szCs w:val="21"/>
              </w:rPr>
            </w:pPr>
            <w:r>
              <w:rPr>
                <w:rFonts w:eastAsiaTheme="minorEastAsia"/>
                <w:b/>
                <w:bCs/>
                <w:sz w:val="21"/>
                <w:szCs w:val="21"/>
              </w:rPr>
              <w:t>编号</w:t>
            </w:r>
          </w:p>
        </w:tc>
        <w:tc>
          <w:tcPr>
            <w:tcW w:w="1559" w:type="dxa"/>
            <w:gridSpan w:val="2"/>
            <w:shd w:val="clear" w:color="auto" w:fill="E7E6E6" w:themeFill="background2"/>
            <w:vAlign w:val="center"/>
          </w:tcPr>
          <w:p w14:paraId="355ED5A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D55FEA5">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6" w:type="dxa"/>
            <w:gridSpan w:val="2"/>
            <w:shd w:val="clear" w:color="auto" w:fill="E7E6E6" w:themeFill="background2"/>
            <w:vAlign w:val="center"/>
          </w:tcPr>
          <w:p w14:paraId="4752137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9BF0DFE">
            <w:pPr>
              <w:adjustRightInd w:val="0"/>
              <w:snapToGrid w:val="0"/>
              <w:spacing w:line="240" w:lineRule="auto"/>
              <w:ind w:firstLine="0" w:firstLineChars="0"/>
              <w:jc w:val="center"/>
              <w:rPr>
                <w:rFonts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30" w:type="dxa"/>
            <w:shd w:val="clear" w:color="auto" w:fill="E7E6E6" w:themeFill="background2"/>
            <w:vAlign w:val="center"/>
          </w:tcPr>
          <w:p w14:paraId="6D1BA7C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15ED231">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等要求</w:t>
            </w:r>
          </w:p>
        </w:tc>
      </w:tr>
      <w:tr w14:paraId="5DAA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36825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大半径、小弧面且无基准球壳元件的检测理论及技术研究</w:t>
            </w:r>
          </w:p>
        </w:tc>
        <w:tc>
          <w:tcPr>
            <w:tcW w:w="726" w:type="dxa"/>
            <w:shd w:val="clear" w:color="auto" w:fill="auto"/>
            <w:vAlign w:val="center"/>
          </w:tcPr>
          <w:p w14:paraId="3D241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3C4C4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BSH004</w:t>
            </w:r>
          </w:p>
        </w:tc>
        <w:tc>
          <w:tcPr>
            <w:tcW w:w="1559" w:type="dxa"/>
            <w:gridSpan w:val="2"/>
            <w:shd w:val="clear" w:color="auto" w:fill="auto"/>
            <w:vAlign w:val="center"/>
          </w:tcPr>
          <w:p w14:paraId="33E30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机械工程/精密测量</w:t>
            </w:r>
          </w:p>
        </w:tc>
        <w:tc>
          <w:tcPr>
            <w:tcW w:w="1276" w:type="dxa"/>
            <w:gridSpan w:val="2"/>
            <w:shd w:val="clear" w:color="auto" w:fill="auto"/>
            <w:vAlign w:val="center"/>
          </w:tcPr>
          <w:p w14:paraId="0C0AA7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restart"/>
            <w:shd w:val="clear" w:color="auto" w:fill="auto"/>
            <w:vAlign w:val="center"/>
          </w:tcPr>
          <w:p w14:paraId="585C96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985、221院校</w:t>
            </w:r>
          </w:p>
        </w:tc>
      </w:tr>
      <w:tr w14:paraId="0527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706C79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AI辅助的工艺设计方法</w:t>
            </w:r>
          </w:p>
        </w:tc>
        <w:tc>
          <w:tcPr>
            <w:tcW w:w="726" w:type="dxa"/>
            <w:shd w:val="clear" w:color="auto" w:fill="auto"/>
            <w:vAlign w:val="center"/>
          </w:tcPr>
          <w:p w14:paraId="65080F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30CE28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BSH005</w:t>
            </w:r>
          </w:p>
        </w:tc>
        <w:tc>
          <w:tcPr>
            <w:tcW w:w="1559" w:type="dxa"/>
            <w:gridSpan w:val="2"/>
            <w:shd w:val="clear" w:color="auto" w:fill="auto"/>
            <w:vAlign w:val="center"/>
          </w:tcPr>
          <w:p w14:paraId="087AE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机械工程/计算机</w:t>
            </w:r>
          </w:p>
        </w:tc>
        <w:tc>
          <w:tcPr>
            <w:tcW w:w="1276" w:type="dxa"/>
            <w:gridSpan w:val="2"/>
            <w:shd w:val="clear" w:color="auto" w:fill="auto"/>
            <w:vAlign w:val="center"/>
          </w:tcPr>
          <w:p w14:paraId="64342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783F6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662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19EEAC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基于边缘智能的高精度跟踪机架高性能视觉伺服控制</w:t>
            </w:r>
          </w:p>
        </w:tc>
        <w:tc>
          <w:tcPr>
            <w:tcW w:w="726" w:type="dxa"/>
            <w:shd w:val="clear" w:color="auto" w:fill="auto"/>
            <w:vAlign w:val="center"/>
          </w:tcPr>
          <w:p w14:paraId="7B6EFF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651C8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BSH006</w:t>
            </w:r>
          </w:p>
        </w:tc>
        <w:tc>
          <w:tcPr>
            <w:tcW w:w="1559" w:type="dxa"/>
            <w:gridSpan w:val="2"/>
            <w:shd w:val="clear" w:color="auto" w:fill="auto"/>
            <w:vAlign w:val="center"/>
          </w:tcPr>
          <w:p w14:paraId="4AC93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控制工程</w:t>
            </w:r>
          </w:p>
        </w:tc>
        <w:tc>
          <w:tcPr>
            <w:tcW w:w="1276" w:type="dxa"/>
            <w:gridSpan w:val="2"/>
            <w:shd w:val="clear" w:color="auto" w:fill="auto"/>
            <w:vAlign w:val="center"/>
          </w:tcPr>
          <w:p w14:paraId="636C9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0BFB89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A67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41F86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磁流变抛光低中频误差高精度高鲁棒性一致收敛修形算法</w:t>
            </w:r>
          </w:p>
        </w:tc>
        <w:tc>
          <w:tcPr>
            <w:tcW w:w="726" w:type="dxa"/>
            <w:shd w:val="clear" w:color="auto" w:fill="auto"/>
            <w:vAlign w:val="center"/>
          </w:tcPr>
          <w:p w14:paraId="1C294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339BD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BSH007</w:t>
            </w:r>
          </w:p>
        </w:tc>
        <w:tc>
          <w:tcPr>
            <w:tcW w:w="1559" w:type="dxa"/>
            <w:gridSpan w:val="2"/>
            <w:shd w:val="clear" w:color="auto" w:fill="auto"/>
            <w:vAlign w:val="center"/>
          </w:tcPr>
          <w:p w14:paraId="24413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光学工程、机械工程</w:t>
            </w:r>
          </w:p>
        </w:tc>
        <w:tc>
          <w:tcPr>
            <w:tcW w:w="1276" w:type="dxa"/>
            <w:gridSpan w:val="2"/>
            <w:shd w:val="clear" w:color="auto" w:fill="auto"/>
            <w:vAlign w:val="center"/>
          </w:tcPr>
          <w:p w14:paraId="7C3A9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78FC6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34CF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366B9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单晶碳化硅镜面和烧结碳化硅镜体的键合工艺研究</w:t>
            </w:r>
          </w:p>
        </w:tc>
        <w:tc>
          <w:tcPr>
            <w:tcW w:w="726" w:type="dxa"/>
            <w:shd w:val="clear" w:color="auto" w:fill="auto"/>
            <w:vAlign w:val="center"/>
          </w:tcPr>
          <w:p w14:paraId="2441F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73D96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BSH008</w:t>
            </w:r>
          </w:p>
        </w:tc>
        <w:tc>
          <w:tcPr>
            <w:tcW w:w="1559" w:type="dxa"/>
            <w:gridSpan w:val="2"/>
            <w:shd w:val="clear" w:color="auto" w:fill="auto"/>
            <w:vAlign w:val="center"/>
          </w:tcPr>
          <w:p w14:paraId="25126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iCs/>
                <w:sz w:val="21"/>
                <w:szCs w:val="21"/>
                <w:highlight w:val="none"/>
              </w:rPr>
              <w:t>材料学、半导体制备相关专业</w:t>
            </w:r>
          </w:p>
        </w:tc>
        <w:tc>
          <w:tcPr>
            <w:tcW w:w="1276" w:type="dxa"/>
            <w:gridSpan w:val="2"/>
            <w:shd w:val="clear" w:color="auto" w:fill="auto"/>
            <w:vAlign w:val="center"/>
          </w:tcPr>
          <w:p w14:paraId="79745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39A31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17B4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394924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光学元件超精密加工中频误差去除原理/机理与策略研究</w:t>
            </w:r>
          </w:p>
        </w:tc>
        <w:tc>
          <w:tcPr>
            <w:tcW w:w="726" w:type="dxa"/>
            <w:shd w:val="clear" w:color="auto" w:fill="auto"/>
            <w:vAlign w:val="center"/>
          </w:tcPr>
          <w:p w14:paraId="20851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21002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BSH009</w:t>
            </w:r>
          </w:p>
        </w:tc>
        <w:tc>
          <w:tcPr>
            <w:tcW w:w="1559" w:type="dxa"/>
            <w:gridSpan w:val="2"/>
            <w:shd w:val="clear" w:color="auto" w:fill="auto"/>
            <w:vAlign w:val="center"/>
          </w:tcPr>
          <w:p w14:paraId="4E97F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iCs/>
                <w:sz w:val="21"/>
                <w:szCs w:val="21"/>
                <w:highlight w:val="none"/>
              </w:rPr>
              <w:t>光学加工、超精密加工、信号处理、控制工程</w:t>
            </w:r>
          </w:p>
        </w:tc>
        <w:tc>
          <w:tcPr>
            <w:tcW w:w="1276" w:type="dxa"/>
            <w:gridSpan w:val="2"/>
            <w:shd w:val="clear" w:color="auto" w:fill="auto"/>
            <w:vAlign w:val="center"/>
          </w:tcPr>
          <w:p w14:paraId="18792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47DE2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3C82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08E03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多源扰动下光学曲面轮廓仪激光测距精度损失机理与仪器内环境控制策略</w:t>
            </w:r>
          </w:p>
        </w:tc>
        <w:tc>
          <w:tcPr>
            <w:tcW w:w="726" w:type="dxa"/>
            <w:shd w:val="clear" w:color="auto" w:fill="auto"/>
            <w:vAlign w:val="center"/>
          </w:tcPr>
          <w:p w14:paraId="34637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3BFC0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BSH010</w:t>
            </w:r>
          </w:p>
        </w:tc>
        <w:tc>
          <w:tcPr>
            <w:tcW w:w="1559" w:type="dxa"/>
            <w:gridSpan w:val="2"/>
            <w:shd w:val="clear" w:color="auto" w:fill="auto"/>
            <w:vAlign w:val="center"/>
          </w:tcPr>
          <w:p w14:paraId="3E9AB9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iCs/>
                <w:sz w:val="21"/>
                <w:szCs w:val="21"/>
                <w:highlight w:val="none"/>
              </w:rPr>
              <w:t>光学工程、机械工程、精密仪器</w:t>
            </w:r>
          </w:p>
        </w:tc>
        <w:tc>
          <w:tcPr>
            <w:tcW w:w="1276" w:type="dxa"/>
            <w:gridSpan w:val="2"/>
            <w:shd w:val="clear" w:color="auto" w:fill="auto"/>
            <w:vAlign w:val="center"/>
          </w:tcPr>
          <w:p w14:paraId="59AED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3E7644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7D7C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1417" w:hRule="exact"/>
          <w:jc w:val="center"/>
        </w:trPr>
        <w:tc>
          <w:tcPr>
            <w:tcW w:w="3114" w:type="dxa"/>
            <w:gridSpan w:val="3"/>
            <w:shd w:val="clear" w:color="auto" w:fill="auto"/>
            <w:noWrap/>
            <w:vAlign w:val="center"/>
          </w:tcPr>
          <w:p w14:paraId="0D7AA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面向镍磷合金的高效率、低缺陷磁流变抛光液合成关键技术</w:t>
            </w:r>
          </w:p>
        </w:tc>
        <w:tc>
          <w:tcPr>
            <w:tcW w:w="726" w:type="dxa"/>
            <w:shd w:val="clear" w:color="auto" w:fill="auto"/>
            <w:vAlign w:val="center"/>
          </w:tcPr>
          <w:p w14:paraId="40E39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1</w:t>
            </w:r>
          </w:p>
        </w:tc>
        <w:tc>
          <w:tcPr>
            <w:tcW w:w="992" w:type="dxa"/>
            <w:gridSpan w:val="2"/>
            <w:shd w:val="clear" w:color="auto" w:fill="auto"/>
            <w:vAlign w:val="center"/>
          </w:tcPr>
          <w:p w14:paraId="6EA0AD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BSH011</w:t>
            </w:r>
          </w:p>
        </w:tc>
        <w:tc>
          <w:tcPr>
            <w:tcW w:w="1559" w:type="dxa"/>
            <w:gridSpan w:val="2"/>
            <w:shd w:val="clear" w:color="auto" w:fill="auto"/>
            <w:vAlign w:val="center"/>
          </w:tcPr>
          <w:p w14:paraId="3CCA6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iCs/>
                <w:sz w:val="21"/>
                <w:szCs w:val="21"/>
                <w:highlight w:val="none"/>
              </w:rPr>
              <w:t>材料学、机械工程、光学工程</w:t>
            </w:r>
          </w:p>
        </w:tc>
        <w:tc>
          <w:tcPr>
            <w:tcW w:w="1276" w:type="dxa"/>
            <w:gridSpan w:val="2"/>
            <w:shd w:val="clear" w:color="auto" w:fill="auto"/>
            <w:vAlign w:val="center"/>
          </w:tcPr>
          <w:p w14:paraId="72C04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32-40</w:t>
            </w:r>
          </w:p>
        </w:tc>
        <w:tc>
          <w:tcPr>
            <w:tcW w:w="1530" w:type="dxa"/>
            <w:vMerge w:val="continue"/>
            <w:shd w:val="clear" w:color="auto" w:fill="auto"/>
            <w:vAlign w:val="center"/>
          </w:tcPr>
          <w:p w14:paraId="01FFF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750DAE3B">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14:paraId="5EE2BF48">
      <w:pPr>
        <w:adjustRightInd w:val="0"/>
        <w:snapToGrid w:val="0"/>
        <w:spacing w:line="240" w:lineRule="auto"/>
        <w:ind w:firstLine="0"/>
        <w:jc w:val="center"/>
        <w:rPr>
          <w:rFonts w:eastAsia="方正小标宋简体"/>
          <w:sz w:val="44"/>
          <w:szCs w:val="44"/>
        </w:rPr>
      </w:pPr>
    </w:p>
    <w:p w14:paraId="522B3B62">
      <w:pPr>
        <w:adjustRightInd w:val="0"/>
        <w:snapToGrid w:val="0"/>
        <w:spacing w:line="240" w:lineRule="auto"/>
        <w:ind w:firstLine="0"/>
        <w:jc w:val="center"/>
        <w:outlineLvl w:val="0"/>
        <w:rPr>
          <w:rFonts w:eastAsia="方正小标宋简体"/>
          <w:sz w:val="44"/>
          <w:szCs w:val="44"/>
          <w:highlight w:val="none"/>
        </w:rPr>
      </w:pPr>
      <w:bookmarkStart w:id="110" w:name="_Toc10945"/>
      <w:bookmarkStart w:id="111" w:name="_Toc29697"/>
      <w:bookmarkStart w:id="112" w:name="_Toc23391"/>
      <w:bookmarkStart w:id="113" w:name="_Toc11020"/>
      <w:bookmarkStart w:id="114" w:name="_Toc17722"/>
      <w:bookmarkStart w:id="115" w:name="_Toc11461"/>
      <w:bookmarkStart w:id="116" w:name="_Toc23825"/>
      <w:r>
        <w:rPr>
          <w:rFonts w:eastAsia="方正小标宋简体"/>
          <w:sz w:val="44"/>
          <w:szCs w:val="44"/>
          <w:highlight w:val="none"/>
        </w:rPr>
        <w:t>中国工程物理研究院激光聚变研究中心</w:t>
      </w:r>
      <w:bookmarkEnd w:id="110"/>
      <w:bookmarkEnd w:id="111"/>
      <w:bookmarkEnd w:id="112"/>
      <w:bookmarkEnd w:id="113"/>
      <w:bookmarkEnd w:id="114"/>
      <w:bookmarkEnd w:id="115"/>
      <w:bookmarkEnd w:id="116"/>
    </w:p>
    <w:p w14:paraId="270689CB">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052"/>
        <w:gridCol w:w="308"/>
        <w:gridCol w:w="391"/>
        <w:gridCol w:w="991"/>
        <w:gridCol w:w="491"/>
        <w:gridCol w:w="1193"/>
        <w:gridCol w:w="574"/>
        <w:gridCol w:w="1273"/>
        <w:gridCol w:w="82"/>
        <w:gridCol w:w="1458"/>
        <w:gridCol w:w="8"/>
      </w:tblGrid>
      <w:tr w14:paraId="1AB5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54" w:type="dxa"/>
            <w:shd w:val="clear" w:color="auto" w:fill="E7E6E6" w:themeFill="background2"/>
            <w:vAlign w:val="center"/>
          </w:tcPr>
          <w:p w14:paraId="383ECF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07" w:type="dxa"/>
            <w:gridSpan w:val="2"/>
            <w:vAlign w:val="center"/>
          </w:tcPr>
          <w:p w14:paraId="081BCD2B">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00" w:type="dxa"/>
            <w:gridSpan w:val="3"/>
            <w:shd w:val="clear" w:color="auto" w:fill="E7E6E6" w:themeFill="background2"/>
            <w:vAlign w:val="center"/>
          </w:tcPr>
          <w:p w14:paraId="41F13A0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146" w:type="dxa"/>
            <w:vAlign w:val="center"/>
          </w:tcPr>
          <w:p w14:paraId="28622398">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74" w:type="dxa"/>
            <w:gridSpan w:val="2"/>
            <w:shd w:val="clear" w:color="auto" w:fill="E7E6E6" w:themeFill="background2"/>
            <w:vAlign w:val="center"/>
          </w:tcPr>
          <w:p w14:paraId="5A0FC1A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486" w:type="dxa"/>
            <w:gridSpan w:val="3"/>
            <w:vAlign w:val="center"/>
          </w:tcPr>
          <w:p w14:paraId="50C9BEB1">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6665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54" w:type="dxa"/>
            <w:shd w:val="clear" w:color="auto" w:fill="E7E6E6" w:themeFill="background2"/>
            <w:vAlign w:val="center"/>
          </w:tcPr>
          <w:p w14:paraId="1A616CAA">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3" w:type="dxa"/>
            <w:gridSpan w:val="11"/>
            <w:vAlign w:val="center"/>
          </w:tcPr>
          <w:p w14:paraId="55B946F1">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hint="eastAsia" w:eastAsiaTheme="minorEastAsia"/>
                <w:sz w:val="21"/>
                <w:szCs w:val="21"/>
                <w:lang w:val="en-US" w:eastAsia="zh-CN"/>
              </w:rPr>
              <w:t>省</w:t>
            </w:r>
            <w:r>
              <w:rPr>
                <w:rFonts w:eastAsiaTheme="minorEastAsia"/>
                <w:sz w:val="21"/>
                <w:szCs w:val="21"/>
              </w:rPr>
              <w:t>绵阳</w:t>
            </w:r>
            <w:r>
              <w:rPr>
                <w:rFonts w:hint="eastAsia" w:eastAsiaTheme="minorEastAsia"/>
                <w:sz w:val="21"/>
                <w:szCs w:val="21"/>
                <w:lang w:val="en-US" w:eastAsia="zh-CN"/>
              </w:rPr>
              <w:t>市</w:t>
            </w:r>
            <w:r>
              <w:rPr>
                <w:rFonts w:eastAsiaTheme="minorEastAsia"/>
                <w:sz w:val="21"/>
                <w:szCs w:val="21"/>
              </w:rPr>
              <w:t>科学城</w:t>
            </w:r>
          </w:p>
        </w:tc>
      </w:tr>
      <w:tr w14:paraId="7480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jc w:val="center"/>
        </w:trPr>
        <w:tc>
          <w:tcPr>
            <w:tcW w:w="1854" w:type="dxa"/>
            <w:shd w:val="clear" w:color="auto" w:fill="E7E6E6" w:themeFill="background2"/>
            <w:vAlign w:val="center"/>
          </w:tcPr>
          <w:p w14:paraId="0C48128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3" w:type="dxa"/>
            <w:gridSpan w:val="11"/>
            <w:vAlign w:val="center"/>
          </w:tcPr>
          <w:p w14:paraId="373CE2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中国工程物理研究院激光聚变研究中心（Laser Fusion Research Center, CAEP，简称中物院八所）成立于2000年4月，主要从事激光聚变研究中的物理实验、诊断、靶制备、激光驱动器设计与建造等工作，是专业齐全的激光聚变研究实体。中物院八所本部位于四川省绵阳市科学城地区，另辖成都市武侯区精密光学工程研究中心和双流区银河596光纤波导激光技术研究中心，目前占地面积550余亩，建筑面积78984平方米，现有职工约900名，其中各类专业技术人员约700名。</w:t>
            </w:r>
          </w:p>
        </w:tc>
      </w:tr>
      <w:tr w14:paraId="55FC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1854" w:type="dxa"/>
            <w:shd w:val="clear" w:color="auto" w:fill="E7E6E6" w:themeFill="background2"/>
            <w:vAlign w:val="center"/>
          </w:tcPr>
          <w:p w14:paraId="515DC77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5DA4F0AC">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513" w:type="dxa"/>
            <w:gridSpan w:val="11"/>
            <w:vAlign w:val="center"/>
          </w:tcPr>
          <w:p w14:paraId="3BFAF3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是培养和选拔高水平创新型青年人才的重要平台，遵循“需求牵引、提升质量、选用结合”的基本原则，推动中心任务完成、学科发展与人才培养。博士后在站期间实行年薪制，基本年薪为30万元至50万元，申获国家博士后创新人才支持计划、博士后国际交流计划引进项目、博士后基金等另行奖励。</w:t>
            </w:r>
          </w:p>
        </w:tc>
      </w:tr>
      <w:tr w14:paraId="0E8A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blHeader/>
          <w:jc w:val="center"/>
        </w:trPr>
        <w:tc>
          <w:tcPr>
            <w:tcW w:w="2865" w:type="dxa"/>
            <w:gridSpan w:val="2"/>
            <w:shd w:val="clear" w:color="auto" w:fill="E7E6E6" w:themeFill="background2"/>
            <w:vAlign w:val="center"/>
          </w:tcPr>
          <w:p w14:paraId="68F7507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gridSpan w:val="2"/>
            <w:shd w:val="clear" w:color="auto" w:fill="E7E6E6" w:themeFill="background2"/>
            <w:vAlign w:val="center"/>
          </w:tcPr>
          <w:p w14:paraId="4E400D5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52" w:type="dxa"/>
            <w:shd w:val="clear" w:color="auto" w:fill="E7E6E6" w:themeFill="background2"/>
            <w:vAlign w:val="center"/>
          </w:tcPr>
          <w:p w14:paraId="0574A3E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21924618">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2169" w:type="dxa"/>
            <w:gridSpan w:val="3"/>
            <w:shd w:val="clear" w:color="auto" w:fill="E7E6E6" w:themeFill="background2"/>
            <w:vAlign w:val="center"/>
          </w:tcPr>
          <w:p w14:paraId="1254AC1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09B05B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02" w:type="dxa"/>
            <w:gridSpan w:val="2"/>
            <w:shd w:val="clear" w:color="auto" w:fill="E7E6E6" w:themeFill="background2"/>
            <w:vAlign w:val="center"/>
          </w:tcPr>
          <w:p w14:paraId="656C10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1DEADE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400" w:type="dxa"/>
            <w:shd w:val="clear" w:color="auto" w:fill="E7E6E6" w:themeFill="background2"/>
            <w:vAlign w:val="center"/>
          </w:tcPr>
          <w:p w14:paraId="25B1CE6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100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417" w:hRule="atLeast"/>
          <w:jc w:val="center"/>
        </w:trPr>
        <w:tc>
          <w:tcPr>
            <w:tcW w:w="2865" w:type="dxa"/>
            <w:gridSpan w:val="2"/>
            <w:vAlign w:val="center"/>
          </w:tcPr>
          <w:p w14:paraId="7E255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pacing w:val="-14"/>
                <w:sz w:val="21"/>
                <w:szCs w:val="21"/>
              </w:rPr>
            </w:pPr>
            <w:r>
              <w:rPr>
                <w:rFonts w:hint="default" w:ascii="Times New Roman" w:hAnsi="Times New Roman" w:cs="Times New Roman" w:eastAsiaTheme="minorEastAsia"/>
                <w:sz w:val="21"/>
                <w:szCs w:val="21"/>
              </w:rPr>
              <w:t>激光惯性约束聚变实验关键问题研究</w:t>
            </w:r>
          </w:p>
        </w:tc>
        <w:tc>
          <w:tcPr>
            <w:tcW w:w="672" w:type="dxa"/>
            <w:gridSpan w:val="2"/>
            <w:vAlign w:val="center"/>
          </w:tcPr>
          <w:p w14:paraId="0E843E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952" w:type="dxa"/>
            <w:vAlign w:val="center"/>
          </w:tcPr>
          <w:p w14:paraId="7A2EB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
              </w:rPr>
              <w:t>01</w:t>
            </w:r>
          </w:p>
        </w:tc>
        <w:tc>
          <w:tcPr>
            <w:tcW w:w="2169" w:type="dxa"/>
            <w:gridSpan w:val="3"/>
            <w:vAlign w:val="center"/>
          </w:tcPr>
          <w:p w14:paraId="65D17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物理学</w:t>
            </w:r>
          </w:p>
        </w:tc>
        <w:tc>
          <w:tcPr>
            <w:tcW w:w="1302" w:type="dxa"/>
            <w:gridSpan w:val="2"/>
            <w:vAlign w:val="center"/>
          </w:tcPr>
          <w:p w14:paraId="6BF385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
              </w:rPr>
              <w:t>30-50</w:t>
            </w:r>
          </w:p>
        </w:tc>
        <w:tc>
          <w:tcPr>
            <w:tcW w:w="1400" w:type="dxa"/>
            <w:vMerge w:val="restart"/>
            <w:vAlign w:val="center"/>
          </w:tcPr>
          <w:p w14:paraId="3E5A48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985/211院校</w:t>
            </w:r>
          </w:p>
        </w:tc>
      </w:tr>
      <w:tr w14:paraId="7FF4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417" w:hRule="atLeast"/>
          <w:jc w:val="center"/>
        </w:trPr>
        <w:tc>
          <w:tcPr>
            <w:tcW w:w="2865" w:type="dxa"/>
            <w:gridSpan w:val="2"/>
            <w:vAlign w:val="center"/>
          </w:tcPr>
          <w:p w14:paraId="37EEE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pacing w:val="-12"/>
                <w:sz w:val="21"/>
                <w:szCs w:val="21"/>
              </w:rPr>
            </w:pPr>
            <w:r>
              <w:rPr>
                <w:rFonts w:hint="default" w:ascii="Times New Roman" w:hAnsi="Times New Roman" w:cs="Times New Roman" w:eastAsiaTheme="minorEastAsia"/>
                <w:sz w:val="21"/>
                <w:szCs w:val="21"/>
              </w:rPr>
              <w:t>超短脉冲激光技术与物质相互作用特性研究</w:t>
            </w:r>
          </w:p>
        </w:tc>
        <w:tc>
          <w:tcPr>
            <w:tcW w:w="672" w:type="dxa"/>
            <w:gridSpan w:val="2"/>
            <w:vAlign w:val="center"/>
          </w:tcPr>
          <w:p w14:paraId="401AA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952" w:type="dxa"/>
            <w:vAlign w:val="center"/>
          </w:tcPr>
          <w:p w14:paraId="1D20E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
              </w:rPr>
              <w:t>02</w:t>
            </w:r>
          </w:p>
        </w:tc>
        <w:tc>
          <w:tcPr>
            <w:tcW w:w="2169" w:type="dxa"/>
            <w:gridSpan w:val="3"/>
            <w:vAlign w:val="center"/>
          </w:tcPr>
          <w:p w14:paraId="277F8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光学工程、材料科学与工程</w:t>
            </w:r>
          </w:p>
        </w:tc>
        <w:tc>
          <w:tcPr>
            <w:tcW w:w="1302" w:type="dxa"/>
            <w:gridSpan w:val="2"/>
            <w:vAlign w:val="center"/>
          </w:tcPr>
          <w:p w14:paraId="2E5A2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
              </w:rPr>
              <w:t>30-50</w:t>
            </w:r>
          </w:p>
        </w:tc>
        <w:tc>
          <w:tcPr>
            <w:tcW w:w="1400" w:type="dxa"/>
            <w:vMerge w:val="continue"/>
            <w:vAlign w:val="center"/>
          </w:tcPr>
          <w:p w14:paraId="155B9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439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417" w:hRule="atLeast"/>
          <w:jc w:val="center"/>
        </w:trPr>
        <w:tc>
          <w:tcPr>
            <w:tcW w:w="2865" w:type="dxa"/>
            <w:gridSpan w:val="2"/>
            <w:vAlign w:val="center"/>
          </w:tcPr>
          <w:p w14:paraId="07C56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spacing w:val="-14"/>
                <w:sz w:val="21"/>
                <w:szCs w:val="21"/>
              </w:rPr>
            </w:pPr>
            <w:r>
              <w:rPr>
                <w:rFonts w:hint="default" w:ascii="Times New Roman" w:hAnsi="Times New Roman" w:cs="Times New Roman" w:eastAsiaTheme="minorEastAsia"/>
                <w:sz w:val="21"/>
                <w:szCs w:val="21"/>
              </w:rPr>
              <w:t>暗弱目标识别及跟踪技术研究</w:t>
            </w:r>
          </w:p>
        </w:tc>
        <w:tc>
          <w:tcPr>
            <w:tcW w:w="672" w:type="dxa"/>
            <w:gridSpan w:val="2"/>
            <w:vAlign w:val="center"/>
          </w:tcPr>
          <w:p w14:paraId="181EB3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952" w:type="dxa"/>
            <w:vAlign w:val="center"/>
          </w:tcPr>
          <w:p w14:paraId="5056BB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
              </w:rPr>
              <w:t>03</w:t>
            </w:r>
          </w:p>
        </w:tc>
        <w:tc>
          <w:tcPr>
            <w:tcW w:w="2169" w:type="dxa"/>
            <w:gridSpan w:val="3"/>
            <w:vAlign w:val="center"/>
          </w:tcPr>
          <w:p w14:paraId="18B47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控制科学与工程、电子科学与技术、无线电物理</w:t>
            </w:r>
          </w:p>
        </w:tc>
        <w:tc>
          <w:tcPr>
            <w:tcW w:w="1302" w:type="dxa"/>
            <w:gridSpan w:val="2"/>
            <w:vAlign w:val="center"/>
          </w:tcPr>
          <w:p w14:paraId="744DC1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
              </w:rPr>
              <w:t>30-50</w:t>
            </w:r>
          </w:p>
        </w:tc>
        <w:tc>
          <w:tcPr>
            <w:tcW w:w="1400" w:type="dxa"/>
            <w:vMerge w:val="continue"/>
            <w:vAlign w:val="center"/>
          </w:tcPr>
          <w:p w14:paraId="07631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5226CF52">
      <w:pPr>
        <w:adjustRightInd w:val="0"/>
        <w:snapToGrid w:val="0"/>
        <w:spacing w:line="240" w:lineRule="auto"/>
        <w:ind w:firstLine="0"/>
        <w:jc w:val="center"/>
        <w:rPr>
          <w:rFonts w:eastAsiaTheme="minorEastAsia"/>
          <w:color w:val="FFFFFF" w:themeColor="background1"/>
          <w:sz w:val="44"/>
          <w:szCs w:val="44"/>
          <w14:textFill>
            <w14:solidFill>
              <w14:schemeClr w14:val="bg1"/>
            </w14:solidFill>
          </w14:textFill>
        </w:rPr>
      </w:pPr>
      <w:r>
        <w:rPr>
          <w:rFonts w:eastAsiaTheme="minorEastAsia"/>
          <w:sz w:val="21"/>
          <w:szCs w:val="21"/>
        </w:rPr>
        <w:br w:type="page"/>
      </w:r>
      <w:r>
        <w:rPr>
          <w:rFonts w:eastAsiaTheme="minorEastAsia"/>
          <w:color w:val="FFFFFF" w:themeColor="background1"/>
          <w:sz w:val="44"/>
          <w:szCs w:val="44"/>
          <w14:textFill>
            <w14:solidFill>
              <w14:schemeClr w14:val="bg1"/>
            </w14:solidFill>
          </w14:textFill>
        </w:rPr>
        <w:t>s</w:t>
      </w:r>
    </w:p>
    <w:p w14:paraId="7B590BC2">
      <w:pPr>
        <w:adjustRightInd w:val="0"/>
        <w:snapToGrid w:val="0"/>
        <w:spacing w:line="240" w:lineRule="auto"/>
        <w:ind w:firstLine="0"/>
        <w:jc w:val="center"/>
        <w:outlineLvl w:val="0"/>
        <w:rPr>
          <w:rFonts w:eastAsia="方正小标宋简体"/>
          <w:sz w:val="44"/>
          <w:szCs w:val="44"/>
          <w:highlight w:val="none"/>
        </w:rPr>
      </w:pPr>
      <w:bookmarkStart w:id="117" w:name="_Toc12843"/>
      <w:bookmarkStart w:id="118" w:name="_Toc6284"/>
      <w:bookmarkStart w:id="119" w:name="_Toc7429"/>
      <w:bookmarkStart w:id="120" w:name="_Toc25683"/>
      <w:bookmarkStart w:id="121" w:name="_Toc25396"/>
      <w:bookmarkStart w:id="122" w:name="_Toc30153"/>
      <w:r>
        <w:rPr>
          <w:rFonts w:hint="eastAsia" w:eastAsia="方正小标宋简体"/>
          <w:sz w:val="44"/>
          <w:szCs w:val="44"/>
          <w:highlight w:val="none"/>
        </w:rPr>
        <w:t>中国工程物理研究院流体物理研究所</w:t>
      </w:r>
      <w:bookmarkEnd w:id="81"/>
      <w:bookmarkEnd w:id="117"/>
      <w:bookmarkEnd w:id="118"/>
      <w:bookmarkEnd w:id="119"/>
      <w:bookmarkEnd w:id="120"/>
      <w:bookmarkEnd w:id="121"/>
      <w:bookmarkEnd w:id="122"/>
    </w:p>
    <w:p w14:paraId="2A3BEC23">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130"/>
        <w:gridCol w:w="187"/>
        <w:gridCol w:w="1076"/>
        <w:gridCol w:w="511"/>
        <w:gridCol w:w="655"/>
        <w:gridCol w:w="1193"/>
        <w:gridCol w:w="653"/>
        <w:gridCol w:w="919"/>
        <w:gridCol w:w="551"/>
        <w:gridCol w:w="1601"/>
      </w:tblGrid>
      <w:tr w14:paraId="7854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0" w:type="dxa"/>
            <w:shd w:val="clear" w:color="auto" w:fill="E7E6E6" w:themeFill="background2"/>
            <w:noWrap/>
            <w:vAlign w:val="center"/>
          </w:tcPr>
          <w:p w14:paraId="28A7D3E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01" w:type="dxa"/>
            <w:gridSpan w:val="2"/>
            <w:shd w:val="clear" w:color="auto" w:fill="auto"/>
            <w:noWrap/>
            <w:vAlign w:val="center"/>
          </w:tcPr>
          <w:p w14:paraId="695B5D33">
            <w:pPr>
              <w:adjustRightInd w:val="0"/>
              <w:snapToGrid w:val="0"/>
              <w:spacing w:line="240" w:lineRule="auto"/>
              <w:ind w:firstLine="0"/>
              <w:jc w:val="center"/>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科研院所</w:t>
            </w:r>
          </w:p>
        </w:tc>
        <w:tc>
          <w:tcPr>
            <w:tcW w:w="1568" w:type="dxa"/>
            <w:gridSpan w:val="2"/>
            <w:shd w:val="clear" w:color="auto" w:fill="E7E6E6" w:themeFill="background2"/>
            <w:noWrap/>
            <w:vAlign w:val="center"/>
          </w:tcPr>
          <w:p w14:paraId="3089C7B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826" w:type="dxa"/>
            <w:gridSpan w:val="2"/>
            <w:shd w:val="clear" w:color="auto" w:fill="auto"/>
            <w:noWrap/>
            <w:vAlign w:val="center"/>
          </w:tcPr>
          <w:p w14:paraId="5FAFA93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流动站</w:t>
            </w:r>
          </w:p>
        </w:tc>
        <w:tc>
          <w:tcPr>
            <w:tcW w:w="1553" w:type="dxa"/>
            <w:gridSpan w:val="2"/>
            <w:shd w:val="clear" w:color="auto" w:fill="E7E6E6" w:themeFill="background2"/>
            <w:noWrap/>
            <w:vAlign w:val="center"/>
          </w:tcPr>
          <w:p w14:paraId="35E4048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2126" w:type="dxa"/>
            <w:gridSpan w:val="2"/>
            <w:shd w:val="clear" w:color="auto" w:fill="auto"/>
            <w:noWrap/>
            <w:vAlign w:val="center"/>
          </w:tcPr>
          <w:p w14:paraId="3725C279">
            <w:pPr>
              <w:adjustRightInd w:val="0"/>
              <w:snapToGrid w:val="0"/>
              <w:spacing w:line="240" w:lineRule="auto"/>
              <w:ind w:firstLine="0"/>
              <w:jc w:val="center"/>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绵阳</w:t>
            </w:r>
          </w:p>
        </w:tc>
      </w:tr>
      <w:tr w14:paraId="746A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0" w:type="dxa"/>
            <w:shd w:val="clear" w:color="auto" w:fill="E7E6E6" w:themeFill="background2"/>
            <w:noWrap/>
            <w:vAlign w:val="center"/>
          </w:tcPr>
          <w:p w14:paraId="6310F08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374" w:type="dxa"/>
            <w:gridSpan w:val="10"/>
            <w:shd w:val="clear" w:color="auto" w:fill="auto"/>
            <w:noWrap/>
            <w:vAlign w:val="center"/>
          </w:tcPr>
          <w:p w14:paraId="475B6991">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四川省绵阳市游仙区绵山路64号</w:t>
            </w:r>
          </w:p>
        </w:tc>
      </w:tr>
      <w:tr w14:paraId="2C61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jc w:val="center"/>
        </w:trPr>
        <w:tc>
          <w:tcPr>
            <w:tcW w:w="1260" w:type="dxa"/>
            <w:shd w:val="clear" w:color="auto" w:fill="E7E6E6" w:themeFill="background2"/>
            <w:noWrap/>
            <w:vAlign w:val="center"/>
          </w:tcPr>
          <w:p w14:paraId="14AB0FC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74" w:type="dxa"/>
            <w:gridSpan w:val="10"/>
            <w:shd w:val="clear" w:color="auto" w:fill="auto"/>
            <w:noWrap/>
            <w:vAlign w:val="center"/>
          </w:tcPr>
          <w:p w14:paraId="078BB532">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流体物理研究所是中国工程物理研究院下属第一研究所，位于四川绵阳市美丽的涪江之畔。作为中国工程物理研究院核武器实验物理研究的主要承担单位，先进常规武器与高新技术武器的重要研发单位，压缩科学、聚变能源等战略科技方向的核心依托单位，全体干部职工以习近平总书记的系列重要指示为根本遵循，秉承“铸国防基石，做民族脊梁”核心价值观，以新时代强军之路和国防现代化建设为主线，以创新为动力，突出能力提升，打造高水平人才队伍，确保任务完成，增强高新装备竞争力，促进军民深度融合，努力建设成为支撑国家武器装备建设与科技发展的创新型一流研究所。</w:t>
            </w:r>
          </w:p>
        </w:tc>
      </w:tr>
      <w:tr w14:paraId="2373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1260" w:type="dxa"/>
            <w:shd w:val="clear" w:color="auto" w:fill="E7E6E6" w:themeFill="background2"/>
            <w:noWrap/>
            <w:vAlign w:val="center"/>
          </w:tcPr>
          <w:p w14:paraId="3A3D27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74" w:type="dxa"/>
            <w:gridSpan w:val="10"/>
            <w:shd w:val="clear" w:color="auto" w:fill="auto"/>
            <w:noWrap/>
            <w:vAlign w:val="center"/>
          </w:tcPr>
          <w:p w14:paraId="42BC999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 xml:space="preserve"> 入站后在科研经费、实验平台、人力资源等方面给予配套支持，并提供优厚的福利保障。博士后在站期间实行年薪制，对于特别优秀、能力突出的人员，可实行协议年薪；实行奖励制度，申请项目获得资助、或取得其它科研成果的，参照在职职工按照所有关规定进行奖励，博士后基金参照执行；为入站博士后安排住房或为其住宿提供便利，协助办理博士后户口迁移、子女入学等保障工作；表现突出、成果显著的博士后，满足院所相关条件的，经双向选择，出站后可留所工作，并一次性发放安家费20万元。</w:t>
            </w:r>
          </w:p>
        </w:tc>
      </w:tr>
      <w:tr w14:paraId="6198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76" w:type="dxa"/>
            <w:gridSpan w:val="2"/>
            <w:shd w:val="clear" w:color="auto" w:fill="E7E6E6" w:themeFill="background2"/>
            <w:noWrap/>
            <w:vAlign w:val="center"/>
          </w:tcPr>
          <w:p w14:paraId="6799F6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248" w:type="dxa"/>
            <w:gridSpan w:val="2"/>
            <w:shd w:val="clear" w:color="auto" w:fill="E7E6E6" w:themeFill="background2"/>
            <w:noWrap/>
            <w:vAlign w:val="center"/>
          </w:tcPr>
          <w:p w14:paraId="6D051E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需求人数</w:t>
            </w:r>
          </w:p>
        </w:tc>
        <w:tc>
          <w:tcPr>
            <w:tcW w:w="1152" w:type="dxa"/>
            <w:gridSpan w:val="2"/>
            <w:shd w:val="clear" w:color="auto" w:fill="E7E6E6" w:themeFill="background2"/>
            <w:noWrap/>
            <w:vAlign w:val="center"/>
          </w:tcPr>
          <w:p w14:paraId="0A1043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岗位编号</w:t>
            </w:r>
          </w:p>
        </w:tc>
        <w:tc>
          <w:tcPr>
            <w:tcW w:w="1824" w:type="dxa"/>
            <w:gridSpan w:val="2"/>
            <w:shd w:val="clear" w:color="auto" w:fill="E7E6E6" w:themeFill="background2"/>
            <w:noWrap/>
            <w:vAlign w:val="center"/>
          </w:tcPr>
          <w:p w14:paraId="43AAA8B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53C92E1">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452" w:type="dxa"/>
            <w:gridSpan w:val="2"/>
            <w:shd w:val="clear" w:color="auto" w:fill="E7E6E6" w:themeFill="background2"/>
            <w:noWrap/>
            <w:vAlign w:val="center"/>
          </w:tcPr>
          <w:p w14:paraId="5D7DE9D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83C2818">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82" w:type="dxa"/>
            <w:shd w:val="clear" w:color="auto" w:fill="E7E6E6" w:themeFill="background2"/>
            <w:noWrap/>
            <w:vAlign w:val="center"/>
          </w:tcPr>
          <w:p w14:paraId="374BA43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D1E222A">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等要求</w:t>
            </w:r>
          </w:p>
        </w:tc>
      </w:tr>
      <w:tr w14:paraId="7143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76" w:type="dxa"/>
            <w:gridSpan w:val="2"/>
            <w:shd w:val="clear" w:color="auto" w:fill="FFFFFF"/>
            <w:noWrap/>
            <w:vAlign w:val="center"/>
          </w:tcPr>
          <w:p w14:paraId="2361149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撞击加载下装药结构的动力学响应研究</w:t>
            </w:r>
          </w:p>
        </w:tc>
        <w:tc>
          <w:tcPr>
            <w:tcW w:w="1248" w:type="dxa"/>
            <w:gridSpan w:val="2"/>
            <w:shd w:val="clear" w:color="auto" w:fill="FFFFFF"/>
            <w:noWrap/>
            <w:vAlign w:val="center"/>
          </w:tcPr>
          <w:p w14:paraId="68804EF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1</w:t>
            </w:r>
          </w:p>
        </w:tc>
        <w:tc>
          <w:tcPr>
            <w:tcW w:w="1152" w:type="dxa"/>
            <w:gridSpan w:val="2"/>
            <w:shd w:val="clear" w:color="auto" w:fill="FFFFFF"/>
            <w:noWrap/>
            <w:vAlign w:val="center"/>
          </w:tcPr>
          <w:p w14:paraId="1C1E81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824" w:type="dxa"/>
            <w:gridSpan w:val="2"/>
            <w:shd w:val="clear" w:color="auto" w:fill="FFFFFF"/>
            <w:noWrap/>
            <w:vAlign w:val="center"/>
          </w:tcPr>
          <w:p w14:paraId="0977615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力学</w:t>
            </w:r>
          </w:p>
        </w:tc>
        <w:tc>
          <w:tcPr>
            <w:tcW w:w="1452" w:type="dxa"/>
            <w:gridSpan w:val="2"/>
            <w:shd w:val="clear" w:color="auto" w:fill="FFFFFF"/>
            <w:noWrap/>
            <w:vAlign w:val="center"/>
          </w:tcPr>
          <w:p w14:paraId="0C198F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30-50</w:t>
            </w:r>
          </w:p>
        </w:tc>
        <w:tc>
          <w:tcPr>
            <w:tcW w:w="1582" w:type="dxa"/>
            <w:vMerge w:val="restart"/>
            <w:shd w:val="clear" w:color="auto" w:fill="FFFFFF"/>
            <w:noWrap/>
            <w:vAlign w:val="center"/>
          </w:tcPr>
          <w:p w14:paraId="148B199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985、211院校</w:t>
            </w:r>
          </w:p>
        </w:tc>
      </w:tr>
      <w:tr w14:paraId="1C0D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76" w:type="dxa"/>
            <w:gridSpan w:val="2"/>
            <w:shd w:val="clear" w:color="auto" w:fill="FFFFFF"/>
            <w:noWrap/>
            <w:vAlign w:val="center"/>
          </w:tcPr>
          <w:p w14:paraId="12A9489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撞击加载下装药非冲击点火机制实验研究</w:t>
            </w:r>
          </w:p>
        </w:tc>
        <w:tc>
          <w:tcPr>
            <w:tcW w:w="1248" w:type="dxa"/>
            <w:gridSpan w:val="2"/>
            <w:shd w:val="clear" w:color="auto" w:fill="FFFFFF"/>
            <w:noWrap/>
            <w:vAlign w:val="center"/>
          </w:tcPr>
          <w:p w14:paraId="27DEA0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1</w:t>
            </w:r>
          </w:p>
        </w:tc>
        <w:tc>
          <w:tcPr>
            <w:tcW w:w="1152" w:type="dxa"/>
            <w:gridSpan w:val="2"/>
            <w:shd w:val="clear" w:color="auto" w:fill="FFFFFF"/>
            <w:noWrap/>
            <w:vAlign w:val="center"/>
          </w:tcPr>
          <w:p w14:paraId="36CB323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824" w:type="dxa"/>
            <w:gridSpan w:val="2"/>
            <w:shd w:val="clear" w:color="auto" w:fill="FFFFFF"/>
            <w:noWrap/>
            <w:vAlign w:val="center"/>
          </w:tcPr>
          <w:p w14:paraId="4D9793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力学</w:t>
            </w:r>
          </w:p>
        </w:tc>
        <w:tc>
          <w:tcPr>
            <w:tcW w:w="1452" w:type="dxa"/>
            <w:gridSpan w:val="2"/>
            <w:shd w:val="clear" w:color="auto" w:fill="FFFFFF"/>
            <w:noWrap/>
            <w:vAlign w:val="center"/>
          </w:tcPr>
          <w:p w14:paraId="1649A5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30-50</w:t>
            </w:r>
          </w:p>
        </w:tc>
        <w:tc>
          <w:tcPr>
            <w:tcW w:w="1582" w:type="dxa"/>
            <w:vMerge w:val="continue"/>
            <w:shd w:val="clear" w:color="auto" w:fill="auto"/>
            <w:noWrap/>
            <w:vAlign w:val="center"/>
          </w:tcPr>
          <w:p w14:paraId="0E0D22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p>
        </w:tc>
      </w:tr>
      <w:tr w14:paraId="00CE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76" w:type="dxa"/>
            <w:gridSpan w:val="2"/>
            <w:shd w:val="clear" w:color="auto" w:fill="FFFFFF"/>
            <w:noWrap/>
            <w:vAlign w:val="center"/>
          </w:tcPr>
          <w:p w14:paraId="4372419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装药燃烧反应演化研究</w:t>
            </w:r>
          </w:p>
        </w:tc>
        <w:tc>
          <w:tcPr>
            <w:tcW w:w="1248" w:type="dxa"/>
            <w:gridSpan w:val="2"/>
            <w:shd w:val="clear" w:color="auto" w:fill="FFFFFF"/>
            <w:noWrap/>
            <w:vAlign w:val="center"/>
          </w:tcPr>
          <w:p w14:paraId="7AEB1F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1</w:t>
            </w:r>
          </w:p>
        </w:tc>
        <w:tc>
          <w:tcPr>
            <w:tcW w:w="1152" w:type="dxa"/>
            <w:gridSpan w:val="2"/>
            <w:shd w:val="clear" w:color="auto" w:fill="FFFFFF"/>
            <w:noWrap/>
            <w:vAlign w:val="center"/>
          </w:tcPr>
          <w:p w14:paraId="685F98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824" w:type="dxa"/>
            <w:gridSpan w:val="2"/>
            <w:shd w:val="clear" w:color="auto" w:fill="FFFFFF"/>
            <w:noWrap/>
            <w:vAlign w:val="center"/>
          </w:tcPr>
          <w:p w14:paraId="5100FBB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力学</w:t>
            </w:r>
          </w:p>
        </w:tc>
        <w:tc>
          <w:tcPr>
            <w:tcW w:w="1452" w:type="dxa"/>
            <w:gridSpan w:val="2"/>
            <w:shd w:val="clear" w:color="auto" w:fill="FFFFFF"/>
            <w:noWrap/>
            <w:vAlign w:val="center"/>
          </w:tcPr>
          <w:p w14:paraId="34E5328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30-50</w:t>
            </w:r>
          </w:p>
        </w:tc>
        <w:tc>
          <w:tcPr>
            <w:tcW w:w="1582" w:type="dxa"/>
            <w:vMerge w:val="continue"/>
            <w:shd w:val="clear" w:color="auto" w:fill="auto"/>
            <w:noWrap/>
            <w:vAlign w:val="center"/>
          </w:tcPr>
          <w:p w14:paraId="432B7D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p>
        </w:tc>
      </w:tr>
      <w:tr w14:paraId="3885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76" w:type="dxa"/>
            <w:gridSpan w:val="2"/>
            <w:shd w:val="clear" w:color="auto" w:fill="FFFFFF"/>
            <w:noWrap/>
            <w:vAlign w:val="center"/>
          </w:tcPr>
          <w:p w14:paraId="76CFE0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PBX炸药挤压破碎过程机制研究</w:t>
            </w:r>
          </w:p>
        </w:tc>
        <w:tc>
          <w:tcPr>
            <w:tcW w:w="1248" w:type="dxa"/>
            <w:gridSpan w:val="2"/>
            <w:shd w:val="clear" w:color="auto" w:fill="FFFFFF"/>
            <w:noWrap/>
            <w:vAlign w:val="center"/>
          </w:tcPr>
          <w:p w14:paraId="7DAE7C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1152" w:type="dxa"/>
            <w:gridSpan w:val="2"/>
            <w:shd w:val="clear" w:color="auto" w:fill="FFFFFF"/>
            <w:noWrap/>
            <w:vAlign w:val="center"/>
          </w:tcPr>
          <w:p w14:paraId="43B482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BSH004</w:t>
            </w:r>
          </w:p>
        </w:tc>
        <w:tc>
          <w:tcPr>
            <w:tcW w:w="1824" w:type="dxa"/>
            <w:gridSpan w:val="2"/>
            <w:shd w:val="clear" w:color="auto" w:fill="FFFFFF"/>
            <w:noWrap/>
            <w:vAlign w:val="center"/>
          </w:tcPr>
          <w:p w14:paraId="671D2B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力学</w:t>
            </w:r>
          </w:p>
        </w:tc>
        <w:tc>
          <w:tcPr>
            <w:tcW w:w="1452" w:type="dxa"/>
            <w:gridSpan w:val="2"/>
            <w:shd w:val="clear" w:color="auto" w:fill="FFFFFF"/>
            <w:noWrap/>
            <w:vAlign w:val="center"/>
          </w:tcPr>
          <w:p w14:paraId="48BA0AE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582" w:type="dxa"/>
            <w:vMerge w:val="continue"/>
            <w:shd w:val="clear" w:color="auto" w:fill="auto"/>
            <w:noWrap/>
            <w:vAlign w:val="center"/>
          </w:tcPr>
          <w:p w14:paraId="75B843A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p>
        </w:tc>
      </w:tr>
      <w:tr w14:paraId="0D54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76" w:type="dxa"/>
            <w:gridSpan w:val="2"/>
            <w:shd w:val="clear" w:color="auto" w:fill="FFFFFF"/>
            <w:noWrap/>
            <w:vAlign w:val="center"/>
          </w:tcPr>
          <w:p w14:paraId="1A8FF3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颗粒场全息图中复杂颗粒形态快速识别及信息提取技术研究</w:t>
            </w:r>
          </w:p>
        </w:tc>
        <w:tc>
          <w:tcPr>
            <w:tcW w:w="1248" w:type="dxa"/>
            <w:gridSpan w:val="2"/>
            <w:shd w:val="clear" w:color="auto" w:fill="FFFFFF"/>
            <w:noWrap/>
            <w:vAlign w:val="center"/>
          </w:tcPr>
          <w:p w14:paraId="354828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1152" w:type="dxa"/>
            <w:gridSpan w:val="2"/>
            <w:shd w:val="clear" w:color="auto" w:fill="FFFFFF"/>
            <w:noWrap/>
            <w:vAlign w:val="center"/>
          </w:tcPr>
          <w:p w14:paraId="71E907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BSH005</w:t>
            </w:r>
          </w:p>
        </w:tc>
        <w:tc>
          <w:tcPr>
            <w:tcW w:w="1824" w:type="dxa"/>
            <w:gridSpan w:val="2"/>
            <w:shd w:val="clear" w:color="auto" w:fill="FFFFFF"/>
            <w:noWrap/>
            <w:vAlign w:val="center"/>
          </w:tcPr>
          <w:p w14:paraId="4775334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光学、光学工程</w:t>
            </w:r>
          </w:p>
        </w:tc>
        <w:tc>
          <w:tcPr>
            <w:tcW w:w="1452" w:type="dxa"/>
            <w:gridSpan w:val="2"/>
            <w:shd w:val="clear" w:color="auto" w:fill="FFFFFF"/>
            <w:noWrap/>
            <w:vAlign w:val="center"/>
          </w:tcPr>
          <w:p w14:paraId="362FC72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582" w:type="dxa"/>
            <w:shd w:val="clear" w:color="auto" w:fill="auto"/>
            <w:noWrap/>
            <w:vAlign w:val="center"/>
          </w:tcPr>
          <w:p w14:paraId="5E016B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985、211或</w:t>
            </w:r>
          </w:p>
          <w:p w14:paraId="32E3A9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中科院等单位</w:t>
            </w:r>
          </w:p>
        </w:tc>
      </w:tr>
    </w:tbl>
    <w:p w14:paraId="75306523">
      <w:pPr>
        <w:adjustRightInd w:val="0"/>
        <w:snapToGrid w:val="0"/>
        <w:spacing w:line="240" w:lineRule="auto"/>
        <w:ind w:firstLine="0"/>
        <w:jc w:val="both"/>
        <w:outlineLvl w:val="9"/>
        <w:rPr>
          <w:rFonts w:eastAsia="方正小标宋简体"/>
          <w:sz w:val="44"/>
          <w:szCs w:val="44"/>
          <w:highlight w:val="none"/>
        </w:rPr>
      </w:pPr>
      <w:bookmarkStart w:id="123" w:name="_Toc3863"/>
      <w:bookmarkStart w:id="124" w:name="_Toc18471"/>
      <w:bookmarkStart w:id="125" w:name="_Toc1402"/>
      <w:bookmarkStart w:id="126" w:name="_Toc57"/>
      <w:bookmarkStart w:id="127" w:name="_Toc19718"/>
    </w:p>
    <w:p w14:paraId="70DB0174">
      <w:pPr>
        <w:adjustRightInd w:val="0"/>
        <w:snapToGrid w:val="0"/>
        <w:spacing w:line="240" w:lineRule="auto"/>
        <w:ind w:firstLine="0"/>
        <w:jc w:val="center"/>
        <w:outlineLvl w:val="0"/>
        <w:rPr>
          <w:rFonts w:eastAsiaTheme="minorEastAsia"/>
          <w:sz w:val="21"/>
          <w:szCs w:val="21"/>
          <w:highlight w:val="none"/>
        </w:rPr>
      </w:pPr>
      <w:bookmarkStart w:id="128" w:name="_Toc13035"/>
      <w:bookmarkStart w:id="129" w:name="_Toc18250"/>
      <w:bookmarkStart w:id="130" w:name="_Toc6955"/>
      <w:r>
        <w:rPr>
          <w:rFonts w:eastAsia="方正小标宋简体"/>
          <w:sz w:val="44"/>
          <w:szCs w:val="44"/>
          <w:highlight w:val="none"/>
        </w:rPr>
        <w:t>中国工程物理研究院应用电子学研究所</w:t>
      </w:r>
      <w:bookmarkEnd w:id="123"/>
      <w:bookmarkEnd w:id="124"/>
      <w:bookmarkEnd w:id="125"/>
      <w:bookmarkEnd w:id="126"/>
      <w:bookmarkEnd w:id="128"/>
      <w:bookmarkEnd w:id="129"/>
      <w:bookmarkEnd w:id="130"/>
    </w:p>
    <w:p w14:paraId="0B4B7147">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362"/>
        <w:gridCol w:w="1906"/>
        <w:gridCol w:w="1086"/>
        <w:gridCol w:w="1651"/>
        <w:gridCol w:w="1793"/>
      </w:tblGrid>
      <w:tr w14:paraId="795D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844" w:type="dxa"/>
            <w:shd w:val="clear" w:color="auto" w:fill="E7E6E6" w:themeFill="background2"/>
            <w:noWrap/>
            <w:vAlign w:val="center"/>
          </w:tcPr>
          <w:p w14:paraId="4232593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shd w:val="clear" w:color="000000" w:fill="auto"/>
            <w:noWrap/>
            <w:vAlign w:val="center"/>
          </w:tcPr>
          <w:p w14:paraId="343435A2">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00" w:type="dxa"/>
            <w:shd w:val="clear" w:color="auto" w:fill="E7E6E6" w:themeFill="background2"/>
            <w:noWrap/>
            <w:vAlign w:val="center"/>
          </w:tcPr>
          <w:p w14:paraId="6DC2C32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025" w:type="dxa"/>
            <w:shd w:val="clear" w:color="000000" w:fill="auto"/>
            <w:noWrap/>
            <w:vAlign w:val="center"/>
          </w:tcPr>
          <w:p w14:paraId="7FA76B09">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9" w:type="dxa"/>
            <w:shd w:val="clear" w:color="auto" w:fill="E7E6E6" w:themeFill="background2"/>
            <w:noWrap/>
            <w:vAlign w:val="center"/>
          </w:tcPr>
          <w:p w14:paraId="5BC5A64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93" w:type="dxa"/>
            <w:shd w:val="clear" w:color="000000" w:fill="auto"/>
            <w:noWrap/>
            <w:vAlign w:val="center"/>
          </w:tcPr>
          <w:p w14:paraId="47BF26EB">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14ED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shd w:val="clear" w:color="auto" w:fill="E7E6E6" w:themeFill="background2"/>
            <w:noWrap/>
            <w:vAlign w:val="center"/>
          </w:tcPr>
          <w:p w14:paraId="178D54D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363" w:type="dxa"/>
            <w:gridSpan w:val="5"/>
            <w:shd w:val="clear" w:color="000000" w:fill="auto"/>
            <w:noWrap/>
            <w:vAlign w:val="center"/>
          </w:tcPr>
          <w:p w14:paraId="57DA975C">
            <w:pPr>
              <w:adjustRightInd w:val="0"/>
              <w:snapToGrid w:val="0"/>
              <w:spacing w:line="240" w:lineRule="auto"/>
              <w:ind w:firstLine="0"/>
              <w:jc w:val="center"/>
              <w:rPr>
                <w:rFonts w:eastAsiaTheme="minorEastAsia"/>
                <w:sz w:val="21"/>
                <w:szCs w:val="21"/>
              </w:rPr>
            </w:pPr>
            <w:r>
              <w:rPr>
                <w:rFonts w:eastAsiaTheme="minorEastAsia"/>
                <w:sz w:val="21"/>
                <w:szCs w:val="21"/>
              </w:rPr>
              <w:t>四川省绵阳市919信箱1004分箱</w:t>
            </w:r>
          </w:p>
        </w:tc>
      </w:tr>
      <w:tr w14:paraId="70ED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7" w:hRule="atLeast"/>
          <w:jc w:val="center"/>
        </w:trPr>
        <w:tc>
          <w:tcPr>
            <w:tcW w:w="1844" w:type="dxa"/>
            <w:shd w:val="clear" w:color="auto" w:fill="E7E6E6" w:themeFill="background2"/>
            <w:noWrap/>
            <w:vAlign w:val="center"/>
          </w:tcPr>
          <w:p w14:paraId="20837B4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363" w:type="dxa"/>
            <w:gridSpan w:val="5"/>
            <w:shd w:val="clear" w:color="000000" w:fill="auto"/>
            <w:vAlign w:val="center"/>
          </w:tcPr>
          <w:p w14:paraId="3CF432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工程物理研究院应用电子学研究所（简称中物院十所），成立于1969年，隶属于中国工程物理研究院，是国家科研事业单位，主要从事国家高新技术装备研制及相关基础研究和应用基础研究，研究领域包括系统总体、新型激光、高功率微波、光束精密控制、复杂电磁环境、加速器及应用技术等。主体坐落于中国科技城-四川省绵阳市，并在成都建有研究基地，是XXX全国重点实验室、国家X射线数字化成像仪器中心、四川省先进全固态激光工程技术研究中心、中物院复杂电磁环境科学与技术重点实验室等多个国家级、院级创新平台的主依托单位。先后荣获国家科技进步奖17项，国际发明金奖2项，国家发明奖2项，全国科学大会奖7项，省部级科技进步奖420多项，获得授权国家专利560余项。设有核技术及应用、无线电物理、物理电子学、光学工程硕士\博士授予点，是光学工程博士后流动站牵头单位。</w:t>
            </w:r>
          </w:p>
        </w:tc>
      </w:tr>
      <w:tr w14:paraId="497B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1844" w:type="dxa"/>
            <w:shd w:val="clear" w:color="auto" w:fill="E7E6E6" w:themeFill="background2"/>
            <w:noWrap/>
            <w:vAlign w:val="center"/>
          </w:tcPr>
          <w:p w14:paraId="3221D4C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1088CAB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363" w:type="dxa"/>
            <w:gridSpan w:val="5"/>
            <w:shd w:val="clear" w:color="000000" w:fill="auto"/>
            <w:vAlign w:val="center"/>
          </w:tcPr>
          <w:p w14:paraId="3AB3D87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申请进站人员原则上应是在国内外获得博士学位三年以内，品学兼优，身心健康，具备较高的学术水平和较强的科研能力；博士后入站后，视情况可给予相应经费资助；博士后人员在站期间实行奖励制度；博士后人员期满出站，其就业实行双向选择、自主择业，在站期间表现优异的博士后人员，可在期满后申请留所工作；博士后人员实行年薪制；出站后留所工作的，给予一次性安家费20万元。</w:t>
            </w:r>
          </w:p>
        </w:tc>
      </w:tr>
    </w:tbl>
    <w:p w14:paraId="7A1075F7">
      <w:pPr>
        <w:adjustRightInd w:val="0"/>
        <w:snapToGrid w:val="0"/>
        <w:spacing w:line="20"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838"/>
        <w:gridCol w:w="1050"/>
        <w:gridCol w:w="1651"/>
        <w:gridCol w:w="1501"/>
        <w:gridCol w:w="2092"/>
      </w:tblGrid>
      <w:tr w14:paraId="403C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473" w:type="dxa"/>
            <w:shd w:val="clear" w:color="auto" w:fill="E7E6E6" w:themeFill="background2"/>
            <w:noWrap/>
            <w:vAlign w:val="center"/>
          </w:tcPr>
          <w:p w14:paraId="1EBAB35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91" w:type="dxa"/>
            <w:shd w:val="clear" w:color="auto" w:fill="E7E6E6" w:themeFill="background2"/>
            <w:vAlign w:val="center"/>
          </w:tcPr>
          <w:p w14:paraId="4B078051">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shd w:val="clear" w:color="auto" w:fill="E7E6E6" w:themeFill="background2"/>
            <w:vAlign w:val="center"/>
          </w:tcPr>
          <w:p w14:paraId="7BACE55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78A8811D">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59" w:type="dxa"/>
            <w:shd w:val="clear" w:color="auto" w:fill="E7E6E6" w:themeFill="background2"/>
            <w:vAlign w:val="center"/>
          </w:tcPr>
          <w:p w14:paraId="40D0523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C78F03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8" w:type="dxa"/>
            <w:shd w:val="clear" w:color="auto" w:fill="E7E6E6" w:themeFill="background2"/>
            <w:vAlign w:val="center"/>
          </w:tcPr>
          <w:p w14:paraId="07EE6CE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E30B1E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76" w:type="dxa"/>
            <w:shd w:val="clear" w:color="auto" w:fill="E7E6E6" w:themeFill="background2"/>
            <w:vAlign w:val="center"/>
          </w:tcPr>
          <w:p w14:paraId="31E12F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736F3F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85E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73" w:type="dxa"/>
            <w:shd w:val="clear" w:color="000000" w:fill="auto"/>
            <w:noWrap/>
            <w:vAlign w:val="center"/>
          </w:tcPr>
          <w:p w14:paraId="18C0D7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新型光束合成技术研究</w:t>
            </w:r>
          </w:p>
        </w:tc>
        <w:tc>
          <w:tcPr>
            <w:tcW w:w="791" w:type="dxa"/>
            <w:shd w:val="clear" w:color="000000" w:fill="auto"/>
            <w:vAlign w:val="center"/>
          </w:tcPr>
          <w:p w14:paraId="0A0E70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74EEEC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59" w:type="dxa"/>
            <w:shd w:val="clear" w:color="000000" w:fill="auto"/>
            <w:vAlign w:val="center"/>
          </w:tcPr>
          <w:p w14:paraId="52C307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0112DC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restart"/>
            <w:shd w:val="clear" w:color="000000" w:fill="auto"/>
            <w:vAlign w:val="center"/>
          </w:tcPr>
          <w:p w14:paraId="31CE21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985高校应届博士毕业生</w:t>
            </w:r>
          </w:p>
        </w:tc>
      </w:tr>
      <w:tr w14:paraId="4647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2473" w:type="dxa"/>
            <w:shd w:val="clear" w:color="000000" w:fill="auto"/>
            <w:noWrap/>
            <w:vAlign w:val="center"/>
          </w:tcPr>
          <w:p w14:paraId="38517C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高能激光光束整形技术研究</w:t>
            </w:r>
          </w:p>
        </w:tc>
        <w:tc>
          <w:tcPr>
            <w:tcW w:w="791" w:type="dxa"/>
            <w:shd w:val="clear" w:color="000000" w:fill="auto"/>
            <w:vAlign w:val="center"/>
          </w:tcPr>
          <w:p w14:paraId="5ABDCD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167A77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59" w:type="dxa"/>
            <w:shd w:val="clear" w:color="000000" w:fill="auto"/>
            <w:vAlign w:val="center"/>
          </w:tcPr>
          <w:p w14:paraId="733836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4551EB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00050F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71FF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179BD1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高速运动目标光子计数法激光测距技术研究</w:t>
            </w:r>
          </w:p>
        </w:tc>
        <w:tc>
          <w:tcPr>
            <w:tcW w:w="791" w:type="dxa"/>
            <w:shd w:val="clear" w:color="000000" w:fill="auto"/>
            <w:vAlign w:val="center"/>
          </w:tcPr>
          <w:p w14:paraId="4A57A7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3F8082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59" w:type="dxa"/>
            <w:shd w:val="clear" w:color="000000" w:fill="auto"/>
            <w:vAlign w:val="center"/>
          </w:tcPr>
          <w:p w14:paraId="614081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64DB2B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restart"/>
            <w:shd w:val="clear" w:color="000000" w:fill="auto"/>
            <w:vAlign w:val="center"/>
          </w:tcPr>
          <w:p w14:paraId="00D760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985高校应届博士毕业生</w:t>
            </w:r>
          </w:p>
        </w:tc>
      </w:tr>
      <w:tr w14:paraId="2AB1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716D3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高能光纤激光技术研究</w:t>
            </w:r>
          </w:p>
        </w:tc>
        <w:tc>
          <w:tcPr>
            <w:tcW w:w="791" w:type="dxa"/>
            <w:shd w:val="clear" w:color="000000" w:fill="auto"/>
            <w:vAlign w:val="center"/>
          </w:tcPr>
          <w:p w14:paraId="6D5A2D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0107F6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BSH004</w:t>
            </w:r>
          </w:p>
        </w:tc>
        <w:tc>
          <w:tcPr>
            <w:tcW w:w="1559" w:type="dxa"/>
            <w:shd w:val="clear" w:color="000000" w:fill="auto"/>
            <w:vAlign w:val="center"/>
          </w:tcPr>
          <w:p w14:paraId="566050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337089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45758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64E9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5AE0A8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高能脉冲固体激光技术研究</w:t>
            </w:r>
          </w:p>
        </w:tc>
        <w:tc>
          <w:tcPr>
            <w:tcW w:w="791" w:type="dxa"/>
            <w:shd w:val="clear" w:color="000000" w:fill="auto"/>
            <w:vAlign w:val="center"/>
          </w:tcPr>
          <w:p w14:paraId="632974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16C7B5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BSH005</w:t>
            </w:r>
          </w:p>
        </w:tc>
        <w:tc>
          <w:tcPr>
            <w:tcW w:w="1559" w:type="dxa"/>
            <w:shd w:val="clear" w:color="000000" w:fill="auto"/>
            <w:vAlign w:val="center"/>
          </w:tcPr>
          <w:p w14:paraId="551A8A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2ABE81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315D50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6F64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173A12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中红外激光技术研究</w:t>
            </w:r>
          </w:p>
        </w:tc>
        <w:tc>
          <w:tcPr>
            <w:tcW w:w="791" w:type="dxa"/>
            <w:shd w:val="clear" w:color="000000" w:fill="auto"/>
            <w:vAlign w:val="center"/>
          </w:tcPr>
          <w:p w14:paraId="2CE83F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092690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BSH006</w:t>
            </w:r>
          </w:p>
        </w:tc>
        <w:tc>
          <w:tcPr>
            <w:tcW w:w="1559" w:type="dxa"/>
            <w:shd w:val="clear" w:color="000000" w:fill="auto"/>
            <w:vAlign w:val="center"/>
          </w:tcPr>
          <w:p w14:paraId="2E3C14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w:t>
            </w:r>
          </w:p>
        </w:tc>
        <w:tc>
          <w:tcPr>
            <w:tcW w:w="1418" w:type="dxa"/>
            <w:shd w:val="clear" w:color="000000" w:fill="auto"/>
            <w:vAlign w:val="center"/>
          </w:tcPr>
          <w:p w14:paraId="3DA8BB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restart"/>
            <w:shd w:val="clear" w:color="000000" w:fill="auto"/>
            <w:vAlign w:val="center"/>
          </w:tcPr>
          <w:p w14:paraId="450006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985、211或中科院等单位</w:t>
            </w:r>
          </w:p>
        </w:tc>
      </w:tr>
      <w:tr w14:paraId="52F5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186DF9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固体激光非线性频率变换技术研究</w:t>
            </w:r>
          </w:p>
        </w:tc>
        <w:tc>
          <w:tcPr>
            <w:tcW w:w="791" w:type="dxa"/>
            <w:shd w:val="clear" w:color="000000" w:fill="auto"/>
            <w:vAlign w:val="center"/>
          </w:tcPr>
          <w:p w14:paraId="6190DB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5BE478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BSH007</w:t>
            </w:r>
          </w:p>
        </w:tc>
        <w:tc>
          <w:tcPr>
            <w:tcW w:w="1559" w:type="dxa"/>
            <w:shd w:val="clear" w:color="000000" w:fill="auto"/>
            <w:vAlign w:val="center"/>
          </w:tcPr>
          <w:p w14:paraId="25B346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光学工程,激光技术</w:t>
            </w:r>
          </w:p>
        </w:tc>
        <w:tc>
          <w:tcPr>
            <w:tcW w:w="1418" w:type="dxa"/>
            <w:shd w:val="clear" w:color="000000" w:fill="auto"/>
            <w:vAlign w:val="center"/>
          </w:tcPr>
          <w:p w14:paraId="1CA346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145BE1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54C5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2AB5B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高亮度半导体激光芯片模式控制关键技术研究</w:t>
            </w:r>
          </w:p>
        </w:tc>
        <w:tc>
          <w:tcPr>
            <w:tcW w:w="791" w:type="dxa"/>
            <w:shd w:val="clear" w:color="000000" w:fill="auto"/>
            <w:vAlign w:val="center"/>
          </w:tcPr>
          <w:p w14:paraId="0BD387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w:t>
            </w:r>
          </w:p>
        </w:tc>
        <w:tc>
          <w:tcPr>
            <w:tcW w:w="992" w:type="dxa"/>
            <w:shd w:val="clear" w:color="000000" w:fill="auto"/>
            <w:vAlign w:val="center"/>
          </w:tcPr>
          <w:p w14:paraId="04EDC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BSH008</w:t>
            </w:r>
          </w:p>
        </w:tc>
        <w:tc>
          <w:tcPr>
            <w:tcW w:w="1559" w:type="dxa"/>
            <w:shd w:val="clear" w:color="000000" w:fill="auto"/>
            <w:vAlign w:val="center"/>
          </w:tcPr>
          <w:p w14:paraId="6D01CC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光学,计算物理</w:t>
            </w:r>
          </w:p>
        </w:tc>
        <w:tc>
          <w:tcPr>
            <w:tcW w:w="1418" w:type="dxa"/>
            <w:shd w:val="clear" w:color="000000" w:fill="auto"/>
            <w:vAlign w:val="center"/>
          </w:tcPr>
          <w:p w14:paraId="337986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7E9172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566C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4846BA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高能激光系统内光路传输多场耦合作用机理研究</w:t>
            </w:r>
          </w:p>
        </w:tc>
        <w:tc>
          <w:tcPr>
            <w:tcW w:w="791" w:type="dxa"/>
            <w:shd w:val="clear" w:color="000000" w:fill="auto"/>
            <w:vAlign w:val="center"/>
          </w:tcPr>
          <w:p w14:paraId="5120BC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1~2</w:t>
            </w:r>
          </w:p>
        </w:tc>
        <w:tc>
          <w:tcPr>
            <w:tcW w:w="992" w:type="dxa"/>
            <w:shd w:val="clear" w:color="000000" w:fill="auto"/>
            <w:vAlign w:val="center"/>
          </w:tcPr>
          <w:p w14:paraId="558FFA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9</w:t>
            </w:r>
          </w:p>
        </w:tc>
        <w:tc>
          <w:tcPr>
            <w:tcW w:w="1559" w:type="dxa"/>
            <w:shd w:val="clear" w:color="000000" w:fill="auto"/>
            <w:vAlign w:val="center"/>
          </w:tcPr>
          <w:p w14:paraId="253ED2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pacing w:val="-8"/>
                <w:sz w:val="21"/>
                <w:szCs w:val="21"/>
              </w:rPr>
            </w:pPr>
            <w:r>
              <w:rPr>
                <w:rFonts w:hint="default" w:ascii="Times New Roman" w:hAnsi="Times New Roman" w:cs="Times New Roman" w:eastAsiaTheme="minorEastAsia"/>
                <w:kern w:val="0"/>
                <w:sz w:val="21"/>
                <w:szCs w:val="21"/>
              </w:rPr>
              <w:t>光学工程、流体力学、机械工程</w:t>
            </w:r>
          </w:p>
        </w:tc>
        <w:tc>
          <w:tcPr>
            <w:tcW w:w="1418" w:type="dxa"/>
            <w:shd w:val="clear" w:color="000000" w:fill="auto"/>
            <w:vAlign w:val="center"/>
          </w:tcPr>
          <w:p w14:paraId="064CB4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shd w:val="clear" w:color="000000" w:fill="auto"/>
            <w:vAlign w:val="center"/>
          </w:tcPr>
          <w:p w14:paraId="25DE42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985高校应届博士毕业生</w:t>
            </w:r>
          </w:p>
        </w:tc>
      </w:tr>
      <w:tr w14:paraId="7757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5F1B38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光机系统智能减振致稳技术研究</w:t>
            </w:r>
          </w:p>
        </w:tc>
        <w:tc>
          <w:tcPr>
            <w:tcW w:w="791" w:type="dxa"/>
            <w:shd w:val="clear" w:color="000000" w:fill="auto"/>
            <w:vAlign w:val="center"/>
          </w:tcPr>
          <w:p w14:paraId="2682E5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1~2</w:t>
            </w:r>
          </w:p>
        </w:tc>
        <w:tc>
          <w:tcPr>
            <w:tcW w:w="992" w:type="dxa"/>
            <w:shd w:val="clear" w:color="000000" w:fill="auto"/>
            <w:vAlign w:val="center"/>
          </w:tcPr>
          <w:p w14:paraId="27C3C2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BSH01</w:t>
            </w:r>
            <w:r>
              <w:rPr>
                <w:rFonts w:hint="default" w:ascii="Times New Roman" w:hAnsi="Times New Roman" w:cs="Times New Roman" w:eastAsiaTheme="minorEastAsia"/>
                <w:kern w:val="0"/>
                <w:sz w:val="21"/>
                <w:szCs w:val="21"/>
                <w:lang w:val="en-US" w:eastAsia="zh-CN"/>
              </w:rPr>
              <w:t>0</w:t>
            </w:r>
          </w:p>
        </w:tc>
        <w:tc>
          <w:tcPr>
            <w:tcW w:w="1559" w:type="dxa"/>
            <w:shd w:val="clear" w:color="000000" w:fill="auto"/>
            <w:vAlign w:val="center"/>
          </w:tcPr>
          <w:p w14:paraId="07860A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pacing w:val="-8"/>
                <w:sz w:val="21"/>
                <w:szCs w:val="21"/>
              </w:rPr>
            </w:pPr>
            <w:r>
              <w:rPr>
                <w:rFonts w:hint="default" w:ascii="Times New Roman" w:hAnsi="Times New Roman" w:cs="Times New Roman" w:eastAsiaTheme="minorEastAsia"/>
                <w:kern w:val="0"/>
                <w:sz w:val="21"/>
                <w:szCs w:val="21"/>
              </w:rPr>
              <w:t>结构动力学、振动控制、机械工程</w:t>
            </w:r>
          </w:p>
        </w:tc>
        <w:tc>
          <w:tcPr>
            <w:tcW w:w="1418" w:type="dxa"/>
            <w:shd w:val="clear" w:color="000000" w:fill="auto"/>
            <w:vAlign w:val="center"/>
          </w:tcPr>
          <w:p w14:paraId="37A49F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restart"/>
            <w:shd w:val="clear" w:color="000000" w:fill="auto"/>
            <w:vAlign w:val="center"/>
          </w:tcPr>
          <w:p w14:paraId="4DCF50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985、211或中科院等单位</w:t>
            </w:r>
          </w:p>
        </w:tc>
      </w:tr>
      <w:tr w14:paraId="2E6B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0E50B9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高能激光系统数字孪生关键技术研究</w:t>
            </w:r>
          </w:p>
        </w:tc>
        <w:tc>
          <w:tcPr>
            <w:tcW w:w="791" w:type="dxa"/>
            <w:shd w:val="clear" w:color="000000" w:fill="auto"/>
            <w:vAlign w:val="center"/>
          </w:tcPr>
          <w:p w14:paraId="7CCB36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1~2</w:t>
            </w:r>
          </w:p>
        </w:tc>
        <w:tc>
          <w:tcPr>
            <w:tcW w:w="992" w:type="dxa"/>
            <w:shd w:val="clear" w:color="000000" w:fill="auto"/>
            <w:vAlign w:val="center"/>
          </w:tcPr>
          <w:p w14:paraId="7429BC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BSH01</w:t>
            </w:r>
            <w:r>
              <w:rPr>
                <w:rFonts w:hint="default" w:ascii="Times New Roman" w:hAnsi="Times New Roman" w:cs="Times New Roman" w:eastAsiaTheme="minorEastAsia"/>
                <w:kern w:val="0"/>
                <w:sz w:val="21"/>
                <w:szCs w:val="21"/>
                <w:lang w:val="en-US" w:eastAsia="zh-CN"/>
              </w:rPr>
              <w:t>1</w:t>
            </w:r>
          </w:p>
        </w:tc>
        <w:tc>
          <w:tcPr>
            <w:tcW w:w="1559" w:type="dxa"/>
            <w:shd w:val="clear" w:color="000000" w:fill="auto"/>
            <w:vAlign w:val="center"/>
          </w:tcPr>
          <w:p w14:paraId="23FFB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光学工程、流体力学、机械工程</w:t>
            </w:r>
          </w:p>
        </w:tc>
        <w:tc>
          <w:tcPr>
            <w:tcW w:w="1418" w:type="dxa"/>
            <w:shd w:val="clear" w:color="000000" w:fill="auto"/>
            <w:vAlign w:val="center"/>
          </w:tcPr>
          <w:p w14:paraId="6CA47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6BBC6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5F41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73" w:type="dxa"/>
            <w:shd w:val="clear" w:color="000000" w:fill="auto"/>
            <w:noWrap/>
            <w:vAlign w:val="center"/>
          </w:tcPr>
          <w:p w14:paraId="18F81E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高能激光系统传输内通道力/热耦合作用致波前畸变快速评估技术研究</w:t>
            </w:r>
          </w:p>
        </w:tc>
        <w:tc>
          <w:tcPr>
            <w:tcW w:w="791" w:type="dxa"/>
            <w:shd w:val="clear" w:color="000000" w:fill="auto"/>
            <w:vAlign w:val="center"/>
          </w:tcPr>
          <w:p w14:paraId="750AE3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1~2</w:t>
            </w:r>
          </w:p>
        </w:tc>
        <w:tc>
          <w:tcPr>
            <w:tcW w:w="992" w:type="dxa"/>
            <w:shd w:val="clear" w:color="000000" w:fill="auto"/>
            <w:vAlign w:val="center"/>
          </w:tcPr>
          <w:p w14:paraId="74E1B5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BSH01</w:t>
            </w:r>
            <w:r>
              <w:rPr>
                <w:rFonts w:hint="default" w:ascii="Times New Roman" w:hAnsi="Times New Roman" w:cs="Times New Roman" w:eastAsiaTheme="minorEastAsia"/>
                <w:kern w:val="0"/>
                <w:sz w:val="21"/>
                <w:szCs w:val="21"/>
                <w:lang w:val="en-US" w:eastAsia="zh-CN"/>
              </w:rPr>
              <w:t>2</w:t>
            </w:r>
          </w:p>
        </w:tc>
        <w:tc>
          <w:tcPr>
            <w:tcW w:w="1559" w:type="dxa"/>
            <w:shd w:val="clear" w:color="000000" w:fill="auto"/>
            <w:vAlign w:val="center"/>
          </w:tcPr>
          <w:p w14:paraId="2B77D2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pacing w:val="-8"/>
                <w:sz w:val="21"/>
                <w:szCs w:val="21"/>
              </w:rPr>
            </w:pPr>
            <w:r>
              <w:rPr>
                <w:rFonts w:hint="default" w:ascii="Times New Roman" w:hAnsi="Times New Roman" w:cs="Times New Roman" w:eastAsiaTheme="minorEastAsia"/>
                <w:kern w:val="0"/>
                <w:sz w:val="21"/>
                <w:szCs w:val="21"/>
              </w:rPr>
              <w:t>光学、光学工程</w:t>
            </w:r>
          </w:p>
        </w:tc>
        <w:tc>
          <w:tcPr>
            <w:tcW w:w="1418" w:type="dxa"/>
            <w:shd w:val="clear" w:color="000000" w:fill="auto"/>
            <w:vAlign w:val="center"/>
          </w:tcPr>
          <w:p w14:paraId="0F9337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30~50</w:t>
            </w:r>
          </w:p>
        </w:tc>
        <w:tc>
          <w:tcPr>
            <w:tcW w:w="1976" w:type="dxa"/>
            <w:vMerge w:val="continue"/>
            <w:shd w:val="clear" w:color="000000" w:fill="auto"/>
            <w:vAlign w:val="center"/>
          </w:tcPr>
          <w:p w14:paraId="0C56CE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bl>
    <w:p w14:paraId="496CC586">
      <w:pPr>
        <w:pStyle w:val="5"/>
        <w:adjustRightInd w:val="0"/>
        <w:snapToGrid w:val="0"/>
        <w:spacing w:line="240" w:lineRule="auto"/>
        <w:ind w:firstLine="0"/>
        <w:rPr>
          <w:sz w:val="21"/>
          <w:szCs w:val="21"/>
        </w:rPr>
      </w:pPr>
      <w:r>
        <w:rPr>
          <w:sz w:val="21"/>
          <w:szCs w:val="21"/>
        </w:rPr>
        <w:br w:type="page"/>
      </w:r>
    </w:p>
    <w:p w14:paraId="0C74F3C6">
      <w:pPr>
        <w:adjustRightInd w:val="0"/>
        <w:snapToGrid w:val="0"/>
        <w:spacing w:line="240" w:lineRule="auto"/>
        <w:ind w:firstLine="0"/>
        <w:jc w:val="center"/>
        <w:rPr>
          <w:rFonts w:eastAsia="方正小标宋简体"/>
          <w:sz w:val="44"/>
          <w:szCs w:val="44"/>
        </w:rPr>
      </w:pPr>
    </w:p>
    <w:p w14:paraId="655F66F0">
      <w:pPr>
        <w:adjustRightInd w:val="0"/>
        <w:snapToGrid w:val="0"/>
        <w:spacing w:line="240" w:lineRule="auto"/>
        <w:ind w:firstLine="0"/>
        <w:jc w:val="center"/>
        <w:outlineLvl w:val="0"/>
        <w:rPr>
          <w:rFonts w:eastAsia="方正小标宋简体"/>
          <w:sz w:val="44"/>
          <w:szCs w:val="44"/>
          <w:highlight w:val="none"/>
        </w:rPr>
      </w:pPr>
      <w:bookmarkStart w:id="131" w:name="_Toc17149"/>
      <w:bookmarkStart w:id="132" w:name="_Toc875"/>
      <w:bookmarkStart w:id="133" w:name="_Toc7688"/>
      <w:bookmarkStart w:id="134" w:name="_Toc10110"/>
      <w:bookmarkStart w:id="135" w:name="_Toc19059"/>
      <w:bookmarkStart w:id="136" w:name="_Toc29906"/>
      <w:r>
        <w:rPr>
          <w:rFonts w:eastAsia="方正小标宋简体"/>
          <w:sz w:val="44"/>
          <w:szCs w:val="44"/>
          <w:highlight w:val="none"/>
        </w:rPr>
        <w:t>中国工程物理研究院总体工程研究所</w:t>
      </w:r>
      <w:bookmarkEnd w:id="127"/>
      <w:bookmarkEnd w:id="131"/>
      <w:bookmarkEnd w:id="132"/>
      <w:bookmarkEnd w:id="133"/>
      <w:bookmarkEnd w:id="134"/>
      <w:bookmarkEnd w:id="135"/>
      <w:bookmarkEnd w:id="136"/>
    </w:p>
    <w:p w14:paraId="1289C119">
      <w:pPr>
        <w:adjustRightInd w:val="0"/>
        <w:snapToGrid w:val="0"/>
        <w:spacing w:line="240" w:lineRule="auto"/>
        <w:ind w:firstLine="0"/>
        <w:jc w:val="center"/>
        <w:rPr>
          <w:rFonts w:eastAsia="方正小标宋简体"/>
          <w:sz w:val="21"/>
          <w:szCs w:val="21"/>
        </w:rPr>
      </w:pPr>
    </w:p>
    <w:tbl>
      <w:tblPr>
        <w:tblStyle w:val="25"/>
        <w:tblW w:w="9751" w:type="dxa"/>
        <w:jc w:val="center"/>
        <w:tblLayout w:type="fixed"/>
        <w:tblCellMar>
          <w:top w:w="0" w:type="dxa"/>
          <w:left w:w="108" w:type="dxa"/>
          <w:bottom w:w="0" w:type="dxa"/>
          <w:right w:w="108" w:type="dxa"/>
        </w:tblCellMar>
      </w:tblPr>
      <w:tblGrid>
        <w:gridCol w:w="1338"/>
        <w:gridCol w:w="1353"/>
        <w:gridCol w:w="250"/>
        <w:gridCol w:w="707"/>
        <w:gridCol w:w="970"/>
        <w:gridCol w:w="223"/>
        <w:gridCol w:w="1082"/>
        <w:gridCol w:w="700"/>
        <w:gridCol w:w="1217"/>
        <w:gridCol w:w="185"/>
        <w:gridCol w:w="1726"/>
      </w:tblGrid>
      <w:tr w14:paraId="72D78784">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70DAE9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tcBorders>
              <w:top w:val="single" w:color="auto" w:sz="4" w:space="0"/>
              <w:left w:val="nil"/>
              <w:bottom w:val="single" w:color="auto" w:sz="4" w:space="0"/>
              <w:right w:val="single" w:color="auto" w:sz="4" w:space="0"/>
            </w:tcBorders>
            <w:vAlign w:val="center"/>
          </w:tcPr>
          <w:p w14:paraId="1A719A2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2" w:type="dxa"/>
            <w:gridSpan w:val="3"/>
            <w:tcBorders>
              <w:top w:val="single" w:color="auto" w:sz="4" w:space="0"/>
              <w:left w:val="nil"/>
              <w:bottom w:val="single" w:color="auto" w:sz="4" w:space="0"/>
              <w:right w:val="single" w:color="auto" w:sz="4" w:space="0"/>
            </w:tcBorders>
            <w:shd w:val="clear" w:color="auto" w:fill="E7E6E6" w:themeFill="background2"/>
            <w:vAlign w:val="center"/>
          </w:tcPr>
          <w:p w14:paraId="110D6223">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40" w:type="dxa"/>
            <w:gridSpan w:val="2"/>
            <w:tcBorders>
              <w:top w:val="single" w:color="auto" w:sz="4" w:space="0"/>
              <w:left w:val="nil"/>
              <w:bottom w:val="single" w:color="auto" w:sz="4" w:space="0"/>
              <w:right w:val="single" w:color="auto" w:sz="4" w:space="0"/>
            </w:tcBorders>
            <w:vAlign w:val="center"/>
          </w:tcPr>
          <w:p w14:paraId="4672735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21" w:type="dxa"/>
            <w:gridSpan w:val="2"/>
            <w:tcBorders>
              <w:top w:val="single" w:color="auto" w:sz="4" w:space="0"/>
              <w:left w:val="nil"/>
              <w:bottom w:val="single" w:color="auto" w:sz="4" w:space="0"/>
              <w:right w:val="single" w:color="auto" w:sz="4" w:space="0"/>
            </w:tcBorders>
            <w:shd w:val="clear" w:color="auto" w:fill="E7E6E6" w:themeFill="background2"/>
            <w:vAlign w:val="center"/>
          </w:tcPr>
          <w:p w14:paraId="5C02F3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16" w:type="dxa"/>
            <w:gridSpan w:val="2"/>
            <w:tcBorders>
              <w:top w:val="single" w:color="auto" w:sz="4" w:space="0"/>
              <w:left w:val="nil"/>
              <w:bottom w:val="single" w:color="auto" w:sz="4" w:space="0"/>
              <w:right w:val="single" w:color="auto" w:sz="4" w:space="0"/>
            </w:tcBorders>
            <w:vAlign w:val="center"/>
          </w:tcPr>
          <w:p w14:paraId="7D4CB391">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076831ED">
        <w:tblPrEx>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09D926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10"/>
            <w:tcBorders>
              <w:top w:val="single" w:color="auto" w:sz="4" w:space="0"/>
              <w:left w:val="nil"/>
              <w:bottom w:val="single" w:color="auto" w:sz="4" w:space="0"/>
              <w:right w:val="single" w:color="auto" w:sz="4" w:space="0"/>
            </w:tcBorders>
            <w:vAlign w:val="center"/>
          </w:tcPr>
          <w:p w14:paraId="1A52CAD5">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hint="eastAsia" w:eastAsiaTheme="minorEastAsia"/>
                <w:sz w:val="21"/>
                <w:szCs w:val="21"/>
                <w:lang w:val="en-US" w:eastAsia="zh-CN"/>
              </w:rPr>
              <w:t>省</w:t>
            </w:r>
            <w:r>
              <w:rPr>
                <w:rFonts w:eastAsiaTheme="minorEastAsia"/>
                <w:sz w:val="21"/>
                <w:szCs w:val="21"/>
              </w:rPr>
              <w:t>绵阳</w:t>
            </w:r>
            <w:r>
              <w:rPr>
                <w:rFonts w:hint="eastAsia" w:eastAsiaTheme="minorEastAsia"/>
                <w:sz w:val="21"/>
                <w:szCs w:val="21"/>
                <w:lang w:val="en-US" w:eastAsia="zh-CN"/>
              </w:rPr>
              <w:t>市</w:t>
            </w:r>
            <w:r>
              <w:rPr>
                <w:rFonts w:eastAsiaTheme="minorEastAsia"/>
                <w:sz w:val="21"/>
                <w:szCs w:val="21"/>
              </w:rPr>
              <w:t>科学城919信箱419分箱</w:t>
            </w:r>
          </w:p>
        </w:tc>
      </w:tr>
      <w:tr w14:paraId="643158A3">
        <w:tblPrEx>
          <w:tblCellMar>
            <w:top w:w="0" w:type="dxa"/>
            <w:left w:w="108" w:type="dxa"/>
            <w:bottom w:w="0" w:type="dxa"/>
            <w:right w:w="108" w:type="dxa"/>
          </w:tblCellMar>
        </w:tblPrEx>
        <w:trPr>
          <w:trHeight w:val="438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1DC5C24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10"/>
            <w:tcBorders>
              <w:top w:val="single" w:color="auto" w:sz="4" w:space="0"/>
              <w:left w:val="nil"/>
              <w:bottom w:val="single" w:color="auto" w:sz="4" w:space="0"/>
              <w:right w:val="single" w:color="auto" w:sz="4" w:space="0"/>
            </w:tcBorders>
            <w:vAlign w:val="center"/>
          </w:tcPr>
          <w:p w14:paraId="606A2B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工程物理研究院（简称中物院，原简称九院）创建于1958年，是国家计划单列的副部级国家级研究院，是以发展国防尖端科学技术为主的集理论、实验、设计、生产为一体的综合性研究院。中物院主体座落于四川省绵阳科学城，在北京、上海、成都等地设有科研分支机构或办事机构，其中，位于成都双流区的“银河·596”科技园是开放型的科技创新园区和军民融合型的战略科技创新基地。</w:t>
            </w:r>
          </w:p>
          <w:p w14:paraId="2445AC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总体工程研究所隶属于中国工程物理研究院，座落于四川省绵阳市科学城。研究所主要从事武器总体工程设计、先进的大科学试验装备研制、环境试验与测控、工程力学与材料应用等方面的工作。涉及到系统与应用工程、机械设计、固体力学、工程力学、测试技术、自动控制、材料等二十余个学科专业，是集基础理论研究、工程应用开发于一体的综合性研究所。</w:t>
            </w:r>
          </w:p>
        </w:tc>
      </w:tr>
      <w:tr w14:paraId="784C90BE">
        <w:tblPrEx>
          <w:tblCellMar>
            <w:top w:w="0" w:type="dxa"/>
            <w:left w:w="108" w:type="dxa"/>
            <w:bottom w:w="0" w:type="dxa"/>
            <w:right w:w="108" w:type="dxa"/>
          </w:tblCellMar>
        </w:tblPrEx>
        <w:trPr>
          <w:trHeight w:val="2368"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2E793E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3EF2D6F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95" w:type="dxa"/>
            <w:gridSpan w:val="10"/>
            <w:tcBorders>
              <w:top w:val="single" w:color="auto" w:sz="4" w:space="0"/>
              <w:left w:val="nil"/>
              <w:bottom w:val="single" w:color="auto" w:sz="4" w:space="0"/>
              <w:right w:val="single" w:color="auto" w:sz="4" w:space="0"/>
            </w:tcBorders>
            <w:vAlign w:val="center"/>
          </w:tcPr>
          <w:p w14:paraId="354EF67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科研经费：充足</w:t>
            </w:r>
          </w:p>
          <w:p w14:paraId="4F489B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薪酬：具体薪酬可面议</w:t>
            </w:r>
          </w:p>
          <w:p w14:paraId="59300F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医疗：医疗保障待遇比照中物院在职职工</w:t>
            </w:r>
          </w:p>
          <w:p w14:paraId="26A3A1E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食宿：安排住房，单位食堂可就餐</w:t>
            </w:r>
          </w:p>
          <w:p w14:paraId="0A2C1A5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子女入托就学：可协助就近办理</w:t>
            </w:r>
          </w:p>
        </w:tc>
      </w:tr>
      <w:tr w14:paraId="5DD7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5" w:type="dxa"/>
            <w:gridSpan w:val="3"/>
            <w:shd w:val="clear" w:color="auto" w:fill="E7E6E6" w:themeFill="background2"/>
            <w:vAlign w:val="center"/>
          </w:tcPr>
          <w:p w14:paraId="2ADB137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shd w:val="clear" w:color="auto" w:fill="E7E6E6" w:themeFill="background2"/>
            <w:vAlign w:val="center"/>
          </w:tcPr>
          <w:p w14:paraId="15293FC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shd w:val="clear" w:color="auto" w:fill="E7E6E6" w:themeFill="background2"/>
            <w:vAlign w:val="center"/>
          </w:tcPr>
          <w:p w14:paraId="10BAA98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3" w:type="dxa"/>
            <w:gridSpan w:val="2"/>
            <w:shd w:val="clear" w:color="auto" w:fill="E7E6E6" w:themeFill="background2"/>
            <w:vAlign w:val="center"/>
          </w:tcPr>
          <w:p w14:paraId="2DA1FE6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F9D07A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32" w:type="dxa"/>
            <w:gridSpan w:val="2"/>
            <w:shd w:val="clear" w:color="auto" w:fill="E7E6E6" w:themeFill="background2"/>
            <w:vAlign w:val="center"/>
          </w:tcPr>
          <w:p w14:paraId="176D939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776FC1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40" w:type="dxa"/>
            <w:shd w:val="clear" w:color="auto" w:fill="E7E6E6" w:themeFill="background2"/>
            <w:vAlign w:val="center"/>
          </w:tcPr>
          <w:p w14:paraId="64FE051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44E418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4A6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39FE598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武器装备动力学系统建模与模拟</w:t>
            </w:r>
          </w:p>
        </w:tc>
        <w:tc>
          <w:tcPr>
            <w:tcW w:w="672" w:type="dxa"/>
            <w:vAlign w:val="center"/>
          </w:tcPr>
          <w:p w14:paraId="174BE8B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288D53E9">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693" w:type="dxa"/>
            <w:gridSpan w:val="2"/>
            <w:vAlign w:val="center"/>
          </w:tcPr>
          <w:p w14:paraId="2849770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力学、机械工程</w:t>
            </w:r>
          </w:p>
        </w:tc>
        <w:tc>
          <w:tcPr>
            <w:tcW w:w="1332" w:type="dxa"/>
            <w:gridSpan w:val="2"/>
            <w:vAlign w:val="center"/>
          </w:tcPr>
          <w:p w14:paraId="31C152E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restart"/>
            <w:vAlign w:val="center"/>
          </w:tcPr>
          <w:p w14:paraId="29E3747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985、211院校</w:t>
            </w:r>
          </w:p>
        </w:tc>
      </w:tr>
      <w:tr w14:paraId="31EF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7BA0E3F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多组分气体长时演化数值模拟</w:t>
            </w:r>
          </w:p>
        </w:tc>
        <w:tc>
          <w:tcPr>
            <w:tcW w:w="672" w:type="dxa"/>
            <w:vAlign w:val="center"/>
          </w:tcPr>
          <w:p w14:paraId="364B187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7B83D751">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693" w:type="dxa"/>
            <w:gridSpan w:val="2"/>
            <w:vAlign w:val="center"/>
          </w:tcPr>
          <w:p w14:paraId="0590E4A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流体力学及相关专业</w:t>
            </w:r>
          </w:p>
        </w:tc>
        <w:tc>
          <w:tcPr>
            <w:tcW w:w="1332" w:type="dxa"/>
            <w:gridSpan w:val="2"/>
            <w:vAlign w:val="center"/>
          </w:tcPr>
          <w:p w14:paraId="633F94C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C2BFDC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55BD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36EED4D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拉、压、剪等非金属开裂模拟方法研究</w:t>
            </w:r>
          </w:p>
        </w:tc>
        <w:tc>
          <w:tcPr>
            <w:tcW w:w="672" w:type="dxa"/>
            <w:vAlign w:val="center"/>
          </w:tcPr>
          <w:p w14:paraId="21337B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4F84E175">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693" w:type="dxa"/>
            <w:gridSpan w:val="2"/>
            <w:vAlign w:val="center"/>
          </w:tcPr>
          <w:p w14:paraId="0B4CC73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力学</w:t>
            </w:r>
          </w:p>
        </w:tc>
        <w:tc>
          <w:tcPr>
            <w:tcW w:w="1332" w:type="dxa"/>
            <w:gridSpan w:val="2"/>
            <w:vAlign w:val="center"/>
          </w:tcPr>
          <w:p w14:paraId="62B98BA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7AF5EFE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5C2E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5" w:type="dxa"/>
            <w:gridSpan w:val="3"/>
            <w:shd w:val="clear" w:color="auto" w:fill="E7E6E6" w:themeFill="background2"/>
            <w:vAlign w:val="center"/>
          </w:tcPr>
          <w:p w14:paraId="4727B59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672" w:type="dxa"/>
            <w:shd w:val="clear" w:color="auto" w:fill="E7E6E6" w:themeFill="background2"/>
            <w:vAlign w:val="center"/>
          </w:tcPr>
          <w:p w14:paraId="38E73D8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134" w:type="dxa"/>
            <w:gridSpan w:val="2"/>
            <w:shd w:val="clear" w:color="auto" w:fill="E7E6E6" w:themeFill="background2"/>
            <w:vAlign w:val="center"/>
          </w:tcPr>
          <w:p w14:paraId="6F5FF1A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693" w:type="dxa"/>
            <w:gridSpan w:val="2"/>
            <w:shd w:val="clear" w:color="auto" w:fill="E7E6E6" w:themeFill="background2"/>
            <w:vAlign w:val="center"/>
          </w:tcPr>
          <w:p w14:paraId="54CA41F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07AD16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32" w:type="dxa"/>
            <w:gridSpan w:val="2"/>
            <w:shd w:val="clear" w:color="auto" w:fill="E7E6E6" w:themeFill="background2"/>
            <w:vAlign w:val="center"/>
          </w:tcPr>
          <w:p w14:paraId="193C9F4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0906D5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40" w:type="dxa"/>
            <w:shd w:val="clear" w:color="auto" w:fill="E7E6E6" w:themeFill="background2"/>
            <w:vAlign w:val="center"/>
          </w:tcPr>
          <w:p w14:paraId="53B3281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7C729C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2927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44139B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构型弹体侵彻/穿甲弹道控制和缓冲防护</w:t>
            </w:r>
          </w:p>
        </w:tc>
        <w:tc>
          <w:tcPr>
            <w:tcW w:w="672" w:type="dxa"/>
            <w:vAlign w:val="center"/>
          </w:tcPr>
          <w:p w14:paraId="3179F56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08491596">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BSH004</w:t>
            </w:r>
          </w:p>
        </w:tc>
        <w:tc>
          <w:tcPr>
            <w:tcW w:w="1693" w:type="dxa"/>
            <w:gridSpan w:val="2"/>
            <w:vAlign w:val="center"/>
          </w:tcPr>
          <w:p w14:paraId="7128A17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w:t>
            </w:r>
          </w:p>
        </w:tc>
        <w:tc>
          <w:tcPr>
            <w:tcW w:w="1332" w:type="dxa"/>
            <w:gridSpan w:val="2"/>
            <w:vAlign w:val="center"/>
          </w:tcPr>
          <w:p w14:paraId="18BB7E7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restart"/>
            <w:vAlign w:val="center"/>
          </w:tcPr>
          <w:p w14:paraId="4907183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985、211院校</w:t>
            </w:r>
          </w:p>
        </w:tc>
      </w:tr>
      <w:tr w14:paraId="6FEB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78A50D7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弹体钻冰入水载荷特性和弹道行为</w:t>
            </w:r>
          </w:p>
        </w:tc>
        <w:tc>
          <w:tcPr>
            <w:tcW w:w="672" w:type="dxa"/>
            <w:vAlign w:val="center"/>
          </w:tcPr>
          <w:p w14:paraId="752DE1F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47DAC731">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BSH005</w:t>
            </w:r>
          </w:p>
        </w:tc>
        <w:tc>
          <w:tcPr>
            <w:tcW w:w="1693" w:type="dxa"/>
            <w:gridSpan w:val="2"/>
            <w:vAlign w:val="center"/>
          </w:tcPr>
          <w:p w14:paraId="1B765C4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w:t>
            </w:r>
          </w:p>
        </w:tc>
        <w:tc>
          <w:tcPr>
            <w:tcW w:w="1332" w:type="dxa"/>
            <w:gridSpan w:val="2"/>
            <w:vAlign w:val="center"/>
          </w:tcPr>
          <w:p w14:paraId="1D893FA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0322EE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6B3E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6829829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典型复合材料结构跨介质解体机制多尺度模拟</w:t>
            </w:r>
          </w:p>
        </w:tc>
        <w:tc>
          <w:tcPr>
            <w:tcW w:w="672" w:type="dxa"/>
            <w:vAlign w:val="center"/>
          </w:tcPr>
          <w:p w14:paraId="10AAB92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6D5BE6E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BSH006</w:t>
            </w:r>
          </w:p>
        </w:tc>
        <w:tc>
          <w:tcPr>
            <w:tcW w:w="1693" w:type="dxa"/>
            <w:gridSpan w:val="2"/>
            <w:vAlign w:val="center"/>
          </w:tcPr>
          <w:p w14:paraId="4D92DF1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冲击动力学、流体力学、计算力学</w:t>
            </w:r>
          </w:p>
        </w:tc>
        <w:tc>
          <w:tcPr>
            <w:tcW w:w="1332" w:type="dxa"/>
            <w:gridSpan w:val="2"/>
            <w:vAlign w:val="center"/>
          </w:tcPr>
          <w:p w14:paraId="389CAE7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6B1C96D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4DBF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1F593C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弹体高速撞击土壤作用效应模拟</w:t>
            </w:r>
          </w:p>
        </w:tc>
        <w:tc>
          <w:tcPr>
            <w:tcW w:w="672" w:type="dxa"/>
            <w:vAlign w:val="center"/>
          </w:tcPr>
          <w:p w14:paraId="0FB3D4B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6DC069AD">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BSH007</w:t>
            </w:r>
          </w:p>
        </w:tc>
        <w:tc>
          <w:tcPr>
            <w:tcW w:w="1693" w:type="dxa"/>
            <w:gridSpan w:val="2"/>
            <w:vAlign w:val="center"/>
          </w:tcPr>
          <w:p w14:paraId="60CE41D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冲击动力学、流固耦合、计算力学</w:t>
            </w:r>
          </w:p>
        </w:tc>
        <w:tc>
          <w:tcPr>
            <w:tcW w:w="1332" w:type="dxa"/>
            <w:gridSpan w:val="2"/>
            <w:vAlign w:val="center"/>
          </w:tcPr>
          <w:p w14:paraId="588A8AC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1FE0511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1873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0E5C800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弹靶作用过程物理场与化学场耦合作用机理</w:t>
            </w:r>
          </w:p>
        </w:tc>
        <w:tc>
          <w:tcPr>
            <w:tcW w:w="672" w:type="dxa"/>
            <w:vAlign w:val="center"/>
          </w:tcPr>
          <w:p w14:paraId="7315377A">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34" w:type="dxa"/>
            <w:gridSpan w:val="2"/>
            <w:vAlign w:val="center"/>
          </w:tcPr>
          <w:p w14:paraId="05BF14B1">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BSH008</w:t>
            </w:r>
          </w:p>
        </w:tc>
        <w:tc>
          <w:tcPr>
            <w:tcW w:w="1693" w:type="dxa"/>
            <w:gridSpan w:val="2"/>
            <w:vAlign w:val="center"/>
          </w:tcPr>
          <w:p w14:paraId="26952A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冲击动力学、计算力学、化学</w:t>
            </w:r>
          </w:p>
        </w:tc>
        <w:tc>
          <w:tcPr>
            <w:tcW w:w="1332" w:type="dxa"/>
            <w:gridSpan w:val="2"/>
            <w:vAlign w:val="center"/>
          </w:tcPr>
          <w:p w14:paraId="7EF86BC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159F90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15B4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3A3AC99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装药结构力—热耦合响应特性机理</w:t>
            </w:r>
          </w:p>
        </w:tc>
        <w:tc>
          <w:tcPr>
            <w:tcW w:w="672" w:type="dxa"/>
            <w:vAlign w:val="center"/>
          </w:tcPr>
          <w:p w14:paraId="163D40F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767B5E04">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BSH009</w:t>
            </w:r>
          </w:p>
        </w:tc>
        <w:tc>
          <w:tcPr>
            <w:tcW w:w="1693" w:type="dxa"/>
            <w:gridSpan w:val="2"/>
            <w:vAlign w:val="center"/>
          </w:tcPr>
          <w:p w14:paraId="2723FE3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工程热物理、冲击动力学、爆炸力学、弹药工程、工程力学</w:t>
            </w:r>
          </w:p>
        </w:tc>
        <w:tc>
          <w:tcPr>
            <w:tcW w:w="1332" w:type="dxa"/>
            <w:gridSpan w:val="2"/>
            <w:vAlign w:val="center"/>
          </w:tcPr>
          <w:p w14:paraId="6D237B8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6C23EC0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4850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0DCFF5D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侵彻动力学效应与等效靶体设计技术</w:t>
            </w:r>
          </w:p>
        </w:tc>
        <w:tc>
          <w:tcPr>
            <w:tcW w:w="672" w:type="dxa"/>
            <w:vAlign w:val="center"/>
          </w:tcPr>
          <w:p w14:paraId="326C507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1C903FF6">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BSH010</w:t>
            </w:r>
          </w:p>
        </w:tc>
        <w:tc>
          <w:tcPr>
            <w:tcW w:w="1693" w:type="dxa"/>
            <w:gridSpan w:val="2"/>
            <w:vAlign w:val="center"/>
          </w:tcPr>
          <w:p w14:paraId="3AE3C0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冲击动力学</w:t>
            </w:r>
          </w:p>
        </w:tc>
        <w:tc>
          <w:tcPr>
            <w:tcW w:w="1332" w:type="dxa"/>
            <w:gridSpan w:val="2"/>
            <w:vAlign w:val="center"/>
          </w:tcPr>
          <w:p w14:paraId="72DE17E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C00E3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335B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49BCA47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智能/复合材料柔性传感器开发及感知-调控一体化设计</w:t>
            </w:r>
          </w:p>
        </w:tc>
        <w:tc>
          <w:tcPr>
            <w:tcW w:w="672" w:type="dxa"/>
            <w:vAlign w:val="center"/>
          </w:tcPr>
          <w:p w14:paraId="06B8FF3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384AFEDC">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BSH011</w:t>
            </w:r>
          </w:p>
        </w:tc>
        <w:tc>
          <w:tcPr>
            <w:tcW w:w="1693" w:type="dxa"/>
            <w:gridSpan w:val="2"/>
            <w:vAlign w:val="center"/>
          </w:tcPr>
          <w:p w14:paraId="3CF30EF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固体力学、工程力学</w:t>
            </w:r>
          </w:p>
        </w:tc>
        <w:tc>
          <w:tcPr>
            <w:tcW w:w="1332" w:type="dxa"/>
            <w:gridSpan w:val="2"/>
            <w:vAlign w:val="center"/>
          </w:tcPr>
          <w:p w14:paraId="1616526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58C3EE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425A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664A940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减振连接结构故障预测与健康诊断</w:t>
            </w:r>
          </w:p>
        </w:tc>
        <w:tc>
          <w:tcPr>
            <w:tcW w:w="672" w:type="dxa"/>
            <w:vAlign w:val="center"/>
          </w:tcPr>
          <w:p w14:paraId="39067E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01C46160">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BSH012</w:t>
            </w:r>
          </w:p>
        </w:tc>
        <w:tc>
          <w:tcPr>
            <w:tcW w:w="1693" w:type="dxa"/>
            <w:gridSpan w:val="2"/>
            <w:vAlign w:val="center"/>
          </w:tcPr>
          <w:p w14:paraId="2DF42B3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机械工程、系统工程、控制科学与工程、工业工程</w:t>
            </w:r>
          </w:p>
        </w:tc>
        <w:tc>
          <w:tcPr>
            <w:tcW w:w="1332" w:type="dxa"/>
            <w:gridSpan w:val="2"/>
            <w:vAlign w:val="center"/>
          </w:tcPr>
          <w:p w14:paraId="74F0BED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4A94F7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158E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72031AC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再入飞行器结构动力学建模及时空演化机理</w:t>
            </w:r>
          </w:p>
        </w:tc>
        <w:tc>
          <w:tcPr>
            <w:tcW w:w="672" w:type="dxa"/>
            <w:vAlign w:val="center"/>
          </w:tcPr>
          <w:p w14:paraId="0D0142D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2633CBA6">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BSH013</w:t>
            </w:r>
          </w:p>
        </w:tc>
        <w:tc>
          <w:tcPr>
            <w:tcW w:w="1693" w:type="dxa"/>
            <w:gridSpan w:val="2"/>
            <w:vAlign w:val="center"/>
          </w:tcPr>
          <w:p w14:paraId="2B41E46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力学、飞行器设计、机械工程</w:t>
            </w:r>
          </w:p>
        </w:tc>
        <w:tc>
          <w:tcPr>
            <w:tcW w:w="1332" w:type="dxa"/>
            <w:gridSpan w:val="2"/>
            <w:vAlign w:val="center"/>
          </w:tcPr>
          <w:p w14:paraId="3683EFE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967DD8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78D7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307776E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复杂机电系统数字化建模方法</w:t>
            </w:r>
          </w:p>
        </w:tc>
        <w:tc>
          <w:tcPr>
            <w:tcW w:w="672" w:type="dxa"/>
            <w:vAlign w:val="center"/>
          </w:tcPr>
          <w:p w14:paraId="7048DF7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1D513E4F">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BSH014</w:t>
            </w:r>
          </w:p>
        </w:tc>
        <w:tc>
          <w:tcPr>
            <w:tcW w:w="1693" w:type="dxa"/>
            <w:gridSpan w:val="2"/>
            <w:vAlign w:val="center"/>
          </w:tcPr>
          <w:p w14:paraId="18220B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机械工程、力学、电气工程</w:t>
            </w:r>
          </w:p>
        </w:tc>
        <w:tc>
          <w:tcPr>
            <w:tcW w:w="1332" w:type="dxa"/>
            <w:gridSpan w:val="2"/>
            <w:vAlign w:val="center"/>
          </w:tcPr>
          <w:p w14:paraId="1BE3EE9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4D2BDD1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r w14:paraId="1DCB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95" w:type="dxa"/>
            <w:gridSpan w:val="3"/>
            <w:vAlign w:val="center"/>
          </w:tcPr>
          <w:p w14:paraId="5CCC35E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基于微表情与微动作的飞行员训练监测与评估</w:t>
            </w:r>
          </w:p>
        </w:tc>
        <w:tc>
          <w:tcPr>
            <w:tcW w:w="672" w:type="dxa"/>
            <w:vAlign w:val="center"/>
          </w:tcPr>
          <w:p w14:paraId="2D5E027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134" w:type="dxa"/>
            <w:gridSpan w:val="2"/>
            <w:vAlign w:val="center"/>
          </w:tcPr>
          <w:p w14:paraId="73D6B82A">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BSH015</w:t>
            </w:r>
          </w:p>
        </w:tc>
        <w:tc>
          <w:tcPr>
            <w:tcW w:w="1693" w:type="dxa"/>
            <w:gridSpan w:val="2"/>
            <w:vAlign w:val="center"/>
          </w:tcPr>
          <w:p w14:paraId="279589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计算机科学、生物医学、信息工程</w:t>
            </w:r>
          </w:p>
        </w:tc>
        <w:tc>
          <w:tcPr>
            <w:tcW w:w="1332" w:type="dxa"/>
            <w:gridSpan w:val="2"/>
            <w:vAlign w:val="center"/>
          </w:tcPr>
          <w:p w14:paraId="43D4E2C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w:t>
            </w:r>
          </w:p>
        </w:tc>
        <w:tc>
          <w:tcPr>
            <w:tcW w:w="1640" w:type="dxa"/>
            <w:vMerge w:val="continue"/>
            <w:vAlign w:val="center"/>
          </w:tcPr>
          <w:p w14:paraId="24AC9F6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sz w:val="21"/>
                <w:szCs w:val="21"/>
              </w:rPr>
            </w:pPr>
          </w:p>
        </w:tc>
      </w:tr>
    </w:tbl>
    <w:p w14:paraId="0177C8E0">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14:paraId="2D019440">
      <w:pPr>
        <w:adjustRightInd w:val="0"/>
        <w:snapToGrid w:val="0"/>
        <w:spacing w:line="240" w:lineRule="auto"/>
        <w:ind w:firstLine="0"/>
        <w:jc w:val="center"/>
        <w:rPr>
          <w:rFonts w:eastAsia="方正小标宋简体"/>
          <w:sz w:val="44"/>
          <w:szCs w:val="44"/>
        </w:rPr>
      </w:pPr>
    </w:p>
    <w:p w14:paraId="0E0C8373">
      <w:pPr>
        <w:adjustRightInd w:val="0"/>
        <w:snapToGrid w:val="0"/>
        <w:spacing w:line="240" w:lineRule="auto"/>
        <w:ind w:firstLine="0"/>
        <w:jc w:val="center"/>
        <w:outlineLvl w:val="0"/>
        <w:rPr>
          <w:rFonts w:eastAsia="方正小标宋简体"/>
          <w:spacing w:val="-14"/>
          <w:sz w:val="44"/>
          <w:szCs w:val="44"/>
          <w:highlight w:val="yellow"/>
        </w:rPr>
      </w:pPr>
      <w:bookmarkStart w:id="137" w:name="_Toc2222"/>
      <w:bookmarkStart w:id="138" w:name="_Toc23098"/>
      <w:bookmarkStart w:id="139" w:name="_Toc292"/>
      <w:bookmarkStart w:id="140" w:name="_Toc5605"/>
      <w:bookmarkStart w:id="141" w:name="_Toc15181"/>
      <w:bookmarkStart w:id="142" w:name="_Toc20573"/>
      <w:r>
        <w:rPr>
          <w:rFonts w:hint="eastAsia" w:eastAsia="方正小标宋简体"/>
          <w:spacing w:val="-14"/>
          <w:sz w:val="44"/>
          <w:szCs w:val="44"/>
          <w:highlight w:val="none"/>
        </w:rPr>
        <w:t>中国核动力研究设计院</w:t>
      </w:r>
      <w:bookmarkEnd w:id="137"/>
      <w:bookmarkEnd w:id="138"/>
      <w:bookmarkEnd w:id="139"/>
      <w:bookmarkEnd w:id="140"/>
      <w:bookmarkEnd w:id="141"/>
    </w:p>
    <w:p w14:paraId="678D9AA7">
      <w:pPr>
        <w:spacing w:line="240" w:lineRule="auto"/>
        <w:ind w:left="624" w:firstLine="0"/>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858"/>
        <w:gridCol w:w="420"/>
        <w:gridCol w:w="768"/>
        <w:gridCol w:w="818"/>
        <w:gridCol w:w="273"/>
        <w:gridCol w:w="1532"/>
        <w:gridCol w:w="153"/>
        <w:gridCol w:w="1382"/>
        <w:gridCol w:w="97"/>
        <w:gridCol w:w="2151"/>
        <w:gridCol w:w="16"/>
      </w:tblGrid>
      <w:tr w14:paraId="4B5D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271" w:type="dxa"/>
            <w:shd w:val="clear" w:color="auto" w:fill="E7E6E6" w:themeFill="background2"/>
            <w:noWrap/>
            <w:vAlign w:val="center"/>
          </w:tcPr>
          <w:p w14:paraId="5079F1C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265" w:type="dxa"/>
            <w:gridSpan w:val="2"/>
            <w:shd w:val="clear" w:color="000000" w:fill="auto"/>
            <w:noWrap/>
            <w:vAlign w:val="center"/>
          </w:tcPr>
          <w:p w14:paraId="28E68926">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w:t>
            </w:r>
          </w:p>
        </w:tc>
        <w:tc>
          <w:tcPr>
            <w:tcW w:w="1570" w:type="dxa"/>
            <w:gridSpan w:val="2"/>
            <w:shd w:val="clear" w:color="auto" w:fill="E7E6E6" w:themeFill="background2"/>
            <w:noWrap/>
            <w:vAlign w:val="center"/>
          </w:tcPr>
          <w:p w14:paraId="133A770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787" w:type="dxa"/>
            <w:gridSpan w:val="2"/>
            <w:shd w:val="clear" w:color="000000" w:fill="auto"/>
            <w:noWrap/>
            <w:vAlign w:val="center"/>
          </w:tcPr>
          <w:p w14:paraId="7ED4BA4A">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流动站</w:t>
            </w:r>
          </w:p>
        </w:tc>
        <w:tc>
          <w:tcPr>
            <w:tcW w:w="1615" w:type="dxa"/>
            <w:gridSpan w:val="3"/>
            <w:shd w:val="clear" w:color="auto" w:fill="E7E6E6" w:themeFill="background2"/>
            <w:noWrap/>
            <w:vAlign w:val="center"/>
          </w:tcPr>
          <w:p w14:paraId="69BE5D7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2129" w:type="dxa"/>
            <w:shd w:val="clear" w:color="000000" w:fill="auto"/>
            <w:noWrap/>
            <w:vAlign w:val="center"/>
          </w:tcPr>
          <w:p w14:paraId="22A7F45D">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1EDC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271" w:type="dxa"/>
            <w:shd w:val="clear" w:color="auto" w:fill="E7E6E6" w:themeFill="background2"/>
            <w:noWrap/>
            <w:vAlign w:val="center"/>
          </w:tcPr>
          <w:p w14:paraId="64DA141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366" w:type="dxa"/>
            <w:gridSpan w:val="10"/>
            <w:shd w:val="clear" w:color="000000" w:fill="auto"/>
            <w:noWrap/>
            <w:vAlign w:val="center"/>
          </w:tcPr>
          <w:p w14:paraId="4A8ABB02">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四川省</w:t>
            </w:r>
            <w:r>
              <w:rPr>
                <w:rFonts w:hint="default" w:ascii="Times New Roman" w:hAnsi="Times New Roman" w:cs="Times New Roman" w:eastAsiaTheme="minorEastAsia"/>
                <w:sz w:val="21"/>
                <w:szCs w:val="21"/>
              </w:rPr>
              <w:t>成都市双流区长顺大道一段328号</w:t>
            </w:r>
          </w:p>
        </w:tc>
      </w:tr>
      <w:tr w14:paraId="7CCE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271" w:type="dxa"/>
            <w:shd w:val="clear" w:color="auto" w:fill="E7E6E6" w:themeFill="background2"/>
            <w:noWrap/>
            <w:vAlign w:val="center"/>
          </w:tcPr>
          <w:p w14:paraId="1AD4B19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82" w:type="dxa"/>
            <w:gridSpan w:val="11"/>
            <w:shd w:val="clear" w:color="000000" w:fill="auto"/>
            <w:noWrap/>
            <w:vAlign w:val="center"/>
          </w:tcPr>
          <w:p w14:paraId="7888F6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核动力研究设计院（简称“核动力院”）隶属于中国核工业集团公司，是我国集核反应堆工程研究、设计、试验、运行、退役全周期和小批量生产为一体的大型核动力科研基地，是国家战略高科技研究设计院，被吴邦国委员长誉为“中国核动力工程的摇篮”。1965年建院以来，经过近60年的发展，已经形成包括核动力技术研发设计、核燃料和材料研究、反应堆运行和应用研究、核动力设备集成、核技术应用研究和同位素生产等完整的科研生产体系，同时建设有“核科学与技术”一级博士学位授权点和博士后科研流动站，是我国唯一成体系的综合性核动力研发机构，在我国先进能源开发工业体系和高新技术产业中，发挥着不可替代的重要作用。</w:t>
            </w:r>
          </w:p>
        </w:tc>
      </w:tr>
      <w:tr w14:paraId="090F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6" w:hRule="atLeast"/>
          <w:jc w:val="center"/>
        </w:trPr>
        <w:tc>
          <w:tcPr>
            <w:tcW w:w="1271" w:type="dxa"/>
            <w:shd w:val="clear" w:color="auto" w:fill="E7E6E6" w:themeFill="background2"/>
            <w:noWrap/>
            <w:vAlign w:val="center"/>
          </w:tcPr>
          <w:p w14:paraId="6E35A9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6BB03246">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82" w:type="dxa"/>
            <w:gridSpan w:val="11"/>
            <w:shd w:val="clear" w:color="000000" w:fill="auto"/>
            <w:noWrap/>
            <w:vAlign w:val="center"/>
          </w:tcPr>
          <w:p w14:paraId="109FDE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1.实行岗位绩效工资制度。工资水平在30-50万/年；同时享受国家、四川省、成都市（区）各级人才支持政策。</w:t>
            </w:r>
          </w:p>
          <w:p w14:paraId="167AF2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2.丰厚的福利体系</w:t>
            </w:r>
          </w:p>
          <w:p w14:paraId="1FA620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1)享受社保、公积金及在职职工同等福利待遇；</w:t>
            </w:r>
          </w:p>
          <w:p w14:paraId="6A6372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2)享受最高3000元/月租房报销标准；</w:t>
            </w:r>
          </w:p>
          <w:p w14:paraId="0706FF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3)除法定节假日外，享受春节集中休假、高温假等；</w:t>
            </w:r>
          </w:p>
          <w:p w14:paraId="383576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4)享受劳保、节假日问候、年度健康体检、生日慰问等。</w:t>
            </w:r>
          </w:p>
          <w:p w14:paraId="72541E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3.广阔的学习发展空间</w:t>
            </w:r>
          </w:p>
          <w:p w14:paraId="7034CC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1)配备博士生导师、集团首席和科带、项目总师等领军人才作为合作导师；</w:t>
            </w:r>
          </w:p>
          <w:p w14:paraId="21529D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2)鼓励博士后承担重要科研项目，提供经费保障；</w:t>
            </w:r>
          </w:p>
          <w:p w14:paraId="391885C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3)鼓励博士后参加国际国内学术会议，出国访学；</w:t>
            </w:r>
          </w:p>
          <w:p w14:paraId="1CD33D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4)出站后，可通过申报直接认定为副高级专业技术职务。</w:t>
            </w:r>
          </w:p>
          <w:p w14:paraId="050FE4D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4.出站后经本人和培养单位双向选择，可留院工作。</w:t>
            </w:r>
          </w:p>
        </w:tc>
      </w:tr>
      <w:tr w14:paraId="241F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20" w:type="dxa"/>
            <w:gridSpan w:val="2"/>
            <w:shd w:val="clear" w:color="auto" w:fill="E7E6E6" w:themeFill="background2"/>
            <w:noWrap/>
            <w:vAlign w:val="center"/>
          </w:tcPr>
          <w:p w14:paraId="5743EA4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1176" w:type="dxa"/>
            <w:gridSpan w:val="2"/>
            <w:shd w:val="clear" w:color="auto" w:fill="E7E6E6" w:themeFill="background2"/>
            <w:noWrap/>
            <w:vAlign w:val="center"/>
          </w:tcPr>
          <w:p w14:paraId="0F888F0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080" w:type="dxa"/>
            <w:gridSpan w:val="2"/>
            <w:shd w:val="clear" w:color="auto" w:fill="E7E6E6" w:themeFill="background2"/>
            <w:noWrap/>
            <w:vAlign w:val="center"/>
          </w:tcPr>
          <w:p w14:paraId="124A304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668" w:type="dxa"/>
            <w:gridSpan w:val="2"/>
            <w:shd w:val="clear" w:color="auto" w:fill="E7E6E6" w:themeFill="background2"/>
            <w:noWrap/>
            <w:vAlign w:val="center"/>
          </w:tcPr>
          <w:p w14:paraId="2D1EE0B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2E5FD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68" w:type="dxa"/>
            <w:shd w:val="clear" w:color="auto" w:fill="E7E6E6" w:themeFill="background2"/>
            <w:noWrap/>
            <w:vAlign w:val="center"/>
          </w:tcPr>
          <w:p w14:paraId="180D538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337656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41" w:type="dxa"/>
            <w:gridSpan w:val="3"/>
            <w:shd w:val="clear" w:color="auto" w:fill="E7E6E6" w:themeFill="background2"/>
            <w:noWrap/>
            <w:vAlign w:val="center"/>
          </w:tcPr>
          <w:p w14:paraId="324000B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B7A27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0248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auto"/>
            <w:noWrap/>
            <w:vAlign w:val="center"/>
          </w:tcPr>
          <w:p w14:paraId="3EA311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辐照后材料性能研发</w:t>
            </w:r>
          </w:p>
        </w:tc>
        <w:tc>
          <w:tcPr>
            <w:tcW w:w="1176" w:type="dxa"/>
            <w:gridSpan w:val="2"/>
            <w:shd w:val="clear" w:color="auto" w:fill="auto"/>
            <w:noWrap/>
            <w:vAlign w:val="center"/>
          </w:tcPr>
          <w:p w14:paraId="231709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0" w:type="dxa"/>
            <w:gridSpan w:val="2"/>
            <w:shd w:val="clear" w:color="auto" w:fill="auto"/>
            <w:noWrap/>
            <w:vAlign w:val="center"/>
          </w:tcPr>
          <w:p w14:paraId="64A08B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BSH001</w:t>
            </w:r>
          </w:p>
        </w:tc>
        <w:tc>
          <w:tcPr>
            <w:tcW w:w="1668" w:type="dxa"/>
            <w:gridSpan w:val="2"/>
            <w:shd w:val="clear" w:color="auto" w:fill="auto"/>
            <w:noWrap/>
            <w:vAlign w:val="center"/>
          </w:tcPr>
          <w:p w14:paraId="3DDBA0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w:t>
            </w:r>
          </w:p>
        </w:tc>
        <w:tc>
          <w:tcPr>
            <w:tcW w:w="1368" w:type="dxa"/>
            <w:shd w:val="clear" w:color="auto" w:fill="auto"/>
            <w:noWrap/>
            <w:vAlign w:val="center"/>
          </w:tcPr>
          <w:p w14:paraId="5CC114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en-US"/>
              </w:rPr>
            </w:pPr>
            <w:r>
              <w:rPr>
                <w:rFonts w:hint="eastAsia" w:ascii="Times New Roman" w:hAnsi="Times New Roman" w:cs="Times New Roman" w:eastAsiaTheme="minorEastAsia"/>
                <w:sz w:val="21"/>
                <w:szCs w:val="21"/>
                <w:lang w:val="en-US" w:eastAsia="zh-CN"/>
              </w:rPr>
              <w:t>50</w:t>
            </w:r>
          </w:p>
        </w:tc>
        <w:tc>
          <w:tcPr>
            <w:tcW w:w="2241" w:type="dxa"/>
            <w:gridSpan w:val="3"/>
            <w:shd w:val="clear" w:color="auto" w:fill="auto"/>
            <w:noWrap/>
            <w:vAlign w:val="center"/>
          </w:tcPr>
          <w:p w14:paraId="62421B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国内外知名高校或科研院所</w:t>
            </w:r>
          </w:p>
        </w:tc>
      </w:tr>
      <w:tr w14:paraId="5743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20" w:type="dxa"/>
            <w:gridSpan w:val="2"/>
            <w:shd w:val="clear" w:color="auto" w:fill="E7E6E6" w:themeFill="background2"/>
            <w:noWrap/>
            <w:vAlign w:val="center"/>
          </w:tcPr>
          <w:p w14:paraId="72242E36">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176" w:type="dxa"/>
            <w:gridSpan w:val="2"/>
            <w:shd w:val="clear" w:color="auto" w:fill="E7E6E6" w:themeFill="background2"/>
            <w:noWrap/>
            <w:vAlign w:val="center"/>
          </w:tcPr>
          <w:p w14:paraId="302A3ED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需求人数</w:t>
            </w:r>
          </w:p>
        </w:tc>
        <w:tc>
          <w:tcPr>
            <w:tcW w:w="1080" w:type="dxa"/>
            <w:gridSpan w:val="2"/>
            <w:shd w:val="clear" w:color="auto" w:fill="E7E6E6" w:themeFill="background2"/>
            <w:noWrap/>
            <w:vAlign w:val="center"/>
          </w:tcPr>
          <w:p w14:paraId="0C45EBC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岗位编号</w:t>
            </w:r>
          </w:p>
        </w:tc>
        <w:tc>
          <w:tcPr>
            <w:tcW w:w="1668" w:type="dxa"/>
            <w:gridSpan w:val="2"/>
            <w:shd w:val="clear" w:color="auto" w:fill="E7E6E6" w:themeFill="background2"/>
            <w:noWrap/>
            <w:vAlign w:val="center"/>
          </w:tcPr>
          <w:p w14:paraId="5FE0DE2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D6963D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368" w:type="dxa"/>
            <w:shd w:val="clear" w:color="auto" w:fill="E7E6E6" w:themeFill="background2"/>
            <w:noWrap/>
            <w:vAlign w:val="center"/>
          </w:tcPr>
          <w:p w14:paraId="08CF8F4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FC555A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41" w:type="dxa"/>
            <w:gridSpan w:val="3"/>
            <w:shd w:val="clear" w:color="auto" w:fill="E7E6E6" w:themeFill="background2"/>
            <w:noWrap/>
            <w:vAlign w:val="center"/>
          </w:tcPr>
          <w:p w14:paraId="5E0AEF2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A6867F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等要求</w:t>
            </w:r>
          </w:p>
        </w:tc>
      </w:tr>
      <w:tr w14:paraId="366E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FFFFFF"/>
            <w:noWrap/>
            <w:vAlign w:val="center"/>
          </w:tcPr>
          <w:p w14:paraId="07EE64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高温结构力学断裂疲劳研究</w:t>
            </w:r>
          </w:p>
        </w:tc>
        <w:tc>
          <w:tcPr>
            <w:tcW w:w="1176" w:type="dxa"/>
            <w:gridSpan w:val="2"/>
            <w:shd w:val="clear" w:color="auto" w:fill="FFFFFF"/>
            <w:noWrap/>
            <w:vAlign w:val="center"/>
          </w:tcPr>
          <w:p w14:paraId="627FE3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0" w:type="dxa"/>
            <w:gridSpan w:val="2"/>
            <w:shd w:val="clear" w:color="auto" w:fill="FFFFFF"/>
            <w:noWrap/>
            <w:vAlign w:val="center"/>
          </w:tcPr>
          <w:p w14:paraId="0DD6E3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668" w:type="dxa"/>
            <w:gridSpan w:val="2"/>
            <w:shd w:val="clear" w:color="auto" w:fill="FFFFFF"/>
            <w:noWrap/>
            <w:vAlign w:val="center"/>
          </w:tcPr>
          <w:p w14:paraId="4B6C86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核科学与技术、力学</w:t>
            </w:r>
          </w:p>
        </w:tc>
        <w:tc>
          <w:tcPr>
            <w:tcW w:w="1368" w:type="dxa"/>
            <w:shd w:val="clear" w:color="auto" w:fill="FFFFFF"/>
            <w:noWrap/>
            <w:vAlign w:val="center"/>
          </w:tcPr>
          <w:p w14:paraId="71FD11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241" w:type="dxa"/>
            <w:gridSpan w:val="3"/>
            <w:vMerge w:val="restart"/>
            <w:shd w:val="clear" w:color="auto" w:fill="FFFFFF"/>
            <w:noWrap/>
            <w:vAlign w:val="center"/>
          </w:tcPr>
          <w:p w14:paraId="6B5DBB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国内外知名高校或科研院所</w:t>
            </w:r>
          </w:p>
        </w:tc>
      </w:tr>
      <w:tr w14:paraId="3577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FFFFFF"/>
            <w:noWrap/>
            <w:vAlign w:val="center"/>
          </w:tcPr>
          <w:p w14:paraId="7179CD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增材制造过程监测及智能评价技术研究</w:t>
            </w:r>
          </w:p>
        </w:tc>
        <w:tc>
          <w:tcPr>
            <w:tcW w:w="1176" w:type="dxa"/>
            <w:gridSpan w:val="2"/>
            <w:shd w:val="clear" w:color="auto" w:fill="FFFFFF"/>
            <w:noWrap/>
            <w:vAlign w:val="center"/>
          </w:tcPr>
          <w:p w14:paraId="688C88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0" w:type="dxa"/>
            <w:gridSpan w:val="2"/>
            <w:shd w:val="clear" w:color="auto" w:fill="FFFFFF"/>
            <w:noWrap/>
            <w:vAlign w:val="center"/>
          </w:tcPr>
          <w:p w14:paraId="7B50AB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668" w:type="dxa"/>
            <w:gridSpan w:val="2"/>
            <w:shd w:val="clear" w:color="auto" w:fill="FFFFFF"/>
            <w:noWrap/>
            <w:vAlign w:val="center"/>
          </w:tcPr>
          <w:p w14:paraId="1E4D3F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核科学与技术、机械工程、材料科学与工程、动力工程及工程热物理</w:t>
            </w:r>
          </w:p>
        </w:tc>
        <w:tc>
          <w:tcPr>
            <w:tcW w:w="1368" w:type="dxa"/>
            <w:shd w:val="clear" w:color="auto" w:fill="FFFFFF"/>
            <w:noWrap/>
            <w:vAlign w:val="center"/>
          </w:tcPr>
          <w:p w14:paraId="2B4604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241" w:type="dxa"/>
            <w:gridSpan w:val="3"/>
            <w:vMerge w:val="continue"/>
            <w:shd w:val="clear" w:color="auto" w:fill="FFFFFF"/>
            <w:noWrap/>
            <w:vAlign w:val="center"/>
          </w:tcPr>
          <w:p w14:paraId="1E8EA1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p>
        </w:tc>
      </w:tr>
      <w:tr w14:paraId="0424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FFFFFF"/>
            <w:noWrap/>
            <w:vAlign w:val="center"/>
          </w:tcPr>
          <w:p w14:paraId="3E269B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反应堆燃料及材料研究</w:t>
            </w:r>
          </w:p>
        </w:tc>
        <w:tc>
          <w:tcPr>
            <w:tcW w:w="1176" w:type="dxa"/>
            <w:gridSpan w:val="2"/>
            <w:shd w:val="clear" w:color="auto" w:fill="FFFFFF"/>
            <w:noWrap/>
            <w:vAlign w:val="center"/>
          </w:tcPr>
          <w:p w14:paraId="33B4C9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080" w:type="dxa"/>
            <w:gridSpan w:val="2"/>
            <w:shd w:val="clear" w:color="auto" w:fill="FFFFFF"/>
            <w:noWrap/>
            <w:vAlign w:val="center"/>
          </w:tcPr>
          <w:p w14:paraId="73E5A8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BSH004</w:t>
            </w:r>
          </w:p>
        </w:tc>
        <w:tc>
          <w:tcPr>
            <w:tcW w:w="1668" w:type="dxa"/>
            <w:gridSpan w:val="2"/>
            <w:shd w:val="clear" w:color="auto" w:fill="FFFFFF"/>
            <w:noWrap/>
            <w:vAlign w:val="center"/>
          </w:tcPr>
          <w:p w14:paraId="0BC38C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w:t>
            </w:r>
          </w:p>
        </w:tc>
        <w:tc>
          <w:tcPr>
            <w:tcW w:w="1368" w:type="dxa"/>
            <w:shd w:val="clear" w:color="auto" w:fill="FFFFFF"/>
            <w:noWrap/>
            <w:vAlign w:val="center"/>
          </w:tcPr>
          <w:p w14:paraId="3B9019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241" w:type="dxa"/>
            <w:gridSpan w:val="3"/>
            <w:vMerge w:val="continue"/>
            <w:shd w:val="clear" w:color="auto" w:fill="FFFFFF"/>
            <w:noWrap/>
            <w:vAlign w:val="center"/>
          </w:tcPr>
          <w:p w14:paraId="1143E1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p>
        </w:tc>
      </w:tr>
      <w:tr w14:paraId="202C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FFFFFF"/>
            <w:noWrap/>
            <w:vAlign w:val="center"/>
          </w:tcPr>
          <w:p w14:paraId="3FFBE8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研究堆用铀钼锆金属燃料元件辐照肿胀机理研究</w:t>
            </w:r>
          </w:p>
        </w:tc>
        <w:tc>
          <w:tcPr>
            <w:tcW w:w="1176" w:type="dxa"/>
            <w:gridSpan w:val="2"/>
            <w:shd w:val="clear" w:color="auto" w:fill="FFFFFF"/>
            <w:noWrap/>
            <w:vAlign w:val="center"/>
          </w:tcPr>
          <w:p w14:paraId="6F5C7D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0" w:type="dxa"/>
            <w:gridSpan w:val="2"/>
            <w:shd w:val="clear" w:color="auto" w:fill="FFFFFF"/>
            <w:noWrap/>
            <w:vAlign w:val="center"/>
          </w:tcPr>
          <w:p w14:paraId="1B31CC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BSH005</w:t>
            </w:r>
          </w:p>
        </w:tc>
        <w:tc>
          <w:tcPr>
            <w:tcW w:w="1668" w:type="dxa"/>
            <w:gridSpan w:val="2"/>
            <w:shd w:val="clear" w:color="auto" w:fill="FFFFFF"/>
            <w:noWrap/>
            <w:vAlign w:val="center"/>
          </w:tcPr>
          <w:p w14:paraId="01601C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w:t>
            </w:r>
          </w:p>
        </w:tc>
        <w:tc>
          <w:tcPr>
            <w:tcW w:w="1368" w:type="dxa"/>
            <w:shd w:val="clear" w:color="auto" w:fill="FFFFFF"/>
            <w:noWrap/>
            <w:vAlign w:val="center"/>
          </w:tcPr>
          <w:p w14:paraId="2A09AD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241" w:type="dxa"/>
            <w:gridSpan w:val="3"/>
            <w:vMerge w:val="continue"/>
            <w:shd w:val="clear" w:color="auto" w:fill="FFFFFF"/>
            <w:noWrap/>
            <w:vAlign w:val="center"/>
          </w:tcPr>
          <w:p w14:paraId="2809DB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p>
        </w:tc>
      </w:tr>
      <w:tr w14:paraId="4A6E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20" w:type="dxa"/>
            <w:gridSpan w:val="2"/>
            <w:shd w:val="clear" w:color="auto" w:fill="FFFFFF"/>
            <w:noWrap/>
            <w:vAlign w:val="center"/>
          </w:tcPr>
          <w:p w14:paraId="3A2209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基于离散元法的颗粒系统动力学及传热特性研究</w:t>
            </w:r>
          </w:p>
        </w:tc>
        <w:tc>
          <w:tcPr>
            <w:tcW w:w="1176" w:type="dxa"/>
            <w:gridSpan w:val="2"/>
            <w:shd w:val="clear" w:color="auto" w:fill="FFFFFF"/>
            <w:noWrap/>
            <w:vAlign w:val="center"/>
          </w:tcPr>
          <w:p w14:paraId="2A575B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0" w:type="dxa"/>
            <w:gridSpan w:val="2"/>
            <w:shd w:val="clear" w:color="auto" w:fill="FFFFFF"/>
            <w:noWrap/>
            <w:vAlign w:val="center"/>
          </w:tcPr>
          <w:p w14:paraId="0BFE0C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BSH006</w:t>
            </w:r>
          </w:p>
        </w:tc>
        <w:tc>
          <w:tcPr>
            <w:tcW w:w="1668" w:type="dxa"/>
            <w:gridSpan w:val="2"/>
            <w:shd w:val="clear" w:color="auto" w:fill="FFFFFF"/>
            <w:noWrap/>
            <w:vAlign w:val="center"/>
          </w:tcPr>
          <w:p w14:paraId="31EC41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核科学与技术</w:t>
            </w:r>
          </w:p>
        </w:tc>
        <w:tc>
          <w:tcPr>
            <w:tcW w:w="1368" w:type="dxa"/>
            <w:shd w:val="clear" w:color="auto" w:fill="FFFFFF"/>
            <w:noWrap/>
            <w:vAlign w:val="center"/>
          </w:tcPr>
          <w:p w14:paraId="37CDF0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2241" w:type="dxa"/>
            <w:gridSpan w:val="3"/>
            <w:vMerge w:val="continue"/>
            <w:shd w:val="clear" w:color="auto" w:fill="FFFFFF"/>
            <w:noWrap/>
            <w:vAlign w:val="center"/>
          </w:tcPr>
          <w:p w14:paraId="73569C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lang w:val="en-US" w:eastAsia="zh-CN"/>
              </w:rPr>
            </w:pPr>
          </w:p>
        </w:tc>
      </w:tr>
    </w:tbl>
    <w:p w14:paraId="49454AF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AF672C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11BEF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6D8048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16893C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CB49FE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E2EDCA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68D1F0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0E4051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5FEBC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562FF84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319C07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25B26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E299D4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017B87CF">
      <w:pPr>
        <w:adjustRightInd w:val="0"/>
        <w:snapToGrid w:val="0"/>
        <w:spacing w:line="240" w:lineRule="auto"/>
        <w:ind w:firstLine="0"/>
        <w:jc w:val="center"/>
        <w:outlineLvl w:val="0"/>
        <w:rPr>
          <w:rFonts w:eastAsia="方正小标宋简体"/>
          <w:spacing w:val="-14"/>
          <w:sz w:val="44"/>
          <w:szCs w:val="44"/>
          <w:highlight w:val="yellow"/>
        </w:rPr>
      </w:pPr>
      <w:bookmarkStart w:id="143" w:name="_Toc27724"/>
      <w:bookmarkStart w:id="144" w:name="_Toc10379"/>
      <w:bookmarkStart w:id="145" w:name="_Toc15394"/>
      <w:bookmarkStart w:id="146" w:name="_Toc29122"/>
      <w:bookmarkStart w:id="147" w:name="_Toc21847"/>
      <w:r>
        <w:rPr>
          <w:rFonts w:eastAsia="方正小标宋简体"/>
          <w:spacing w:val="-14"/>
          <w:sz w:val="44"/>
          <w:szCs w:val="44"/>
          <w:highlight w:val="none"/>
        </w:rPr>
        <w:t>中国科学院、水利部成都山地灾害与环境研究所</w:t>
      </w:r>
      <w:bookmarkEnd w:id="143"/>
      <w:bookmarkEnd w:id="144"/>
      <w:bookmarkEnd w:id="145"/>
      <w:bookmarkEnd w:id="146"/>
      <w:bookmarkEnd w:id="147"/>
    </w:p>
    <w:p w14:paraId="4375C044">
      <w:pPr>
        <w:spacing w:line="240" w:lineRule="auto"/>
        <w:ind w:left="624" w:firstLine="0"/>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215"/>
        <w:gridCol w:w="63"/>
        <w:gridCol w:w="1428"/>
        <w:gridCol w:w="158"/>
        <w:gridCol w:w="1418"/>
        <w:gridCol w:w="387"/>
        <w:gridCol w:w="910"/>
        <w:gridCol w:w="721"/>
        <w:gridCol w:w="2151"/>
        <w:gridCol w:w="16"/>
      </w:tblGrid>
      <w:tr w14:paraId="55E4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271" w:type="dxa"/>
            <w:shd w:val="clear" w:color="auto" w:fill="E7E6E6" w:themeFill="background2"/>
            <w:noWrap/>
            <w:vAlign w:val="center"/>
          </w:tcPr>
          <w:p w14:paraId="4463453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265" w:type="dxa"/>
            <w:gridSpan w:val="2"/>
            <w:shd w:val="clear" w:color="000000" w:fill="auto"/>
            <w:noWrap/>
            <w:vAlign w:val="center"/>
          </w:tcPr>
          <w:p w14:paraId="6849099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w:t>
            </w:r>
          </w:p>
        </w:tc>
        <w:tc>
          <w:tcPr>
            <w:tcW w:w="1570" w:type="dxa"/>
            <w:gridSpan w:val="2"/>
            <w:shd w:val="clear" w:color="auto" w:fill="E7E6E6" w:themeFill="background2"/>
            <w:noWrap/>
            <w:vAlign w:val="center"/>
          </w:tcPr>
          <w:p w14:paraId="43260BB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787" w:type="dxa"/>
            <w:gridSpan w:val="2"/>
            <w:shd w:val="clear" w:color="000000" w:fill="auto"/>
            <w:noWrap/>
            <w:vAlign w:val="center"/>
          </w:tcPr>
          <w:p w14:paraId="3393B128">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流动站</w:t>
            </w:r>
          </w:p>
        </w:tc>
        <w:tc>
          <w:tcPr>
            <w:tcW w:w="1615" w:type="dxa"/>
            <w:gridSpan w:val="2"/>
            <w:shd w:val="clear" w:color="auto" w:fill="E7E6E6" w:themeFill="background2"/>
            <w:noWrap/>
            <w:vAlign w:val="center"/>
          </w:tcPr>
          <w:p w14:paraId="1B07669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2129" w:type="dxa"/>
            <w:shd w:val="clear" w:color="000000" w:fill="auto"/>
            <w:noWrap/>
            <w:vAlign w:val="center"/>
          </w:tcPr>
          <w:p w14:paraId="39593A4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3C14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567" w:hRule="atLeast"/>
          <w:jc w:val="center"/>
        </w:trPr>
        <w:tc>
          <w:tcPr>
            <w:tcW w:w="1271" w:type="dxa"/>
            <w:shd w:val="clear" w:color="auto" w:fill="E7E6E6" w:themeFill="background2"/>
            <w:noWrap/>
            <w:vAlign w:val="center"/>
          </w:tcPr>
          <w:p w14:paraId="3419D48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366" w:type="dxa"/>
            <w:gridSpan w:val="9"/>
            <w:shd w:val="clear" w:color="000000" w:fill="auto"/>
            <w:noWrap/>
            <w:vAlign w:val="center"/>
          </w:tcPr>
          <w:p w14:paraId="2FA3A629">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四川省成都市天府新区群贤南街189号中科院成都山地所</w:t>
            </w:r>
          </w:p>
        </w:tc>
      </w:tr>
      <w:tr w14:paraId="0253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4" w:hRule="atLeast"/>
          <w:jc w:val="center"/>
        </w:trPr>
        <w:tc>
          <w:tcPr>
            <w:tcW w:w="1271" w:type="dxa"/>
            <w:shd w:val="clear" w:color="auto" w:fill="E7E6E6" w:themeFill="background2"/>
            <w:noWrap/>
            <w:vAlign w:val="center"/>
          </w:tcPr>
          <w:p w14:paraId="684B064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82" w:type="dxa"/>
            <w:gridSpan w:val="10"/>
            <w:shd w:val="clear" w:color="000000" w:fill="auto"/>
            <w:noWrap/>
            <w:vAlign w:val="center"/>
          </w:tcPr>
          <w:p w14:paraId="149728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成都山地所拥有山地自然灾害与工程安全重点实验室、中国科学院山地灾害与地表过程重点实验室、中国科学院山地表生过程与生态调控重点实验室、山区发展研究中心、数字山地与遥感应用中心5个研究学科单元，设有四川省山区减灾工程技术研究中心、公共技术中心2个关键支撑平台，建立了以中国科学院东川泥石流观测研究站、中国科学院贡嘎山高山生态系统观测试验站、中国科学院盐亭紫色土农业生态试验站等3个国家重点野外台站和其他6个院所级台站构成的长江上游-西藏高原环境灾害与生态安全观测平台，建有山地自然灾害与工程安全重点实验室（中国科学院），共建国家工程实验室1个，共建国家测绘局工程技术中心1个，建有1个480m2的科技展馆。</w:t>
            </w:r>
          </w:p>
        </w:tc>
      </w:tr>
      <w:tr w14:paraId="3971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271" w:type="dxa"/>
            <w:shd w:val="clear" w:color="auto" w:fill="E7E6E6" w:themeFill="background2"/>
            <w:noWrap/>
            <w:vAlign w:val="center"/>
          </w:tcPr>
          <w:p w14:paraId="765609E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7F2D1C38">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82" w:type="dxa"/>
            <w:gridSpan w:val="10"/>
            <w:shd w:val="clear" w:color="000000" w:fill="auto"/>
            <w:noWrap/>
            <w:vAlign w:val="center"/>
          </w:tcPr>
          <w:p w14:paraId="500CAB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目前本流动站紧密对接国家重点基础研究发展规划项目（973项目）、国家科技攻关项目、国家自然科学基金项目等科研项目，所内所有野外观测台站和实验平台、测试设备供流动站为博士后开展科研工作提供了良好的条件。建设一支学术素质高、创新能力强的博士后队伍是我所人事人才工作的重要使命，从扩大博士后进站规模、提升国际化程度、强化人才计划管理等方面寻求突破点，进一步推动博士后工作的高水平发展。</w:t>
            </w:r>
          </w:p>
        </w:tc>
      </w:tr>
      <w:tr w14:paraId="061D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1" w:type="dxa"/>
            <w:shd w:val="clear" w:color="auto" w:fill="E7E6E6" w:themeFill="background2"/>
            <w:noWrap/>
            <w:vAlign w:val="center"/>
          </w:tcPr>
          <w:p w14:paraId="27CA63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noWrap/>
            <w:vAlign w:val="center"/>
          </w:tcPr>
          <w:p w14:paraId="081FF07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476" w:type="dxa"/>
            <w:gridSpan w:val="2"/>
            <w:shd w:val="clear" w:color="auto" w:fill="E7E6E6" w:themeFill="background2"/>
            <w:noWrap/>
            <w:vAlign w:val="center"/>
          </w:tcPr>
          <w:p w14:paraId="38AC158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560" w:type="dxa"/>
            <w:gridSpan w:val="2"/>
            <w:shd w:val="clear" w:color="auto" w:fill="E7E6E6" w:themeFill="background2"/>
            <w:noWrap/>
            <w:vAlign w:val="center"/>
          </w:tcPr>
          <w:p w14:paraId="485BBE6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26C269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noWrap/>
            <w:vAlign w:val="center"/>
          </w:tcPr>
          <w:p w14:paraId="267450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0CDAAF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859" w:type="dxa"/>
            <w:gridSpan w:val="3"/>
            <w:shd w:val="clear" w:color="auto" w:fill="E7E6E6" w:themeFill="background2"/>
            <w:noWrap/>
            <w:vAlign w:val="center"/>
          </w:tcPr>
          <w:p w14:paraId="7F297EA5">
            <w:pPr>
              <w:adjustRightInd w:val="0"/>
              <w:snapToGrid w:val="0"/>
              <w:spacing w:line="240" w:lineRule="auto"/>
              <w:ind w:firstLine="0"/>
              <w:jc w:val="center"/>
              <w:rPr>
                <w:rFonts w:hint="default" w:ascii="Times New Roman" w:hAnsi="Times New Roman" w:cs="Times New Roman" w:eastAsiaTheme="minorEastAsia"/>
                <w:sz w:val="21"/>
                <w:szCs w:val="21"/>
              </w:rPr>
            </w:pPr>
            <w:r>
              <w:rPr>
                <w:rFonts w:eastAsiaTheme="minorEastAsia"/>
                <w:b/>
                <w:bCs/>
                <w:sz w:val="21"/>
                <w:szCs w:val="21"/>
              </w:rPr>
              <w:t>博士生源单位等要求</w:t>
            </w:r>
          </w:p>
        </w:tc>
      </w:tr>
      <w:tr w14:paraId="7E13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71" w:type="dxa"/>
            <w:vMerge w:val="restart"/>
            <w:shd w:val="clear" w:color="auto" w:fill="auto"/>
            <w:noWrap/>
            <w:vAlign w:val="center"/>
          </w:tcPr>
          <w:p w14:paraId="6B3CD3E3">
            <w:pPr>
              <w:adjustRightInd w:val="0"/>
              <w:snapToGrid w:val="0"/>
              <w:spacing w:line="240" w:lineRule="auto"/>
              <w:ind w:firstLine="0" w:firstLineChars="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sz w:val="21"/>
                <w:szCs w:val="21"/>
                <w:lang w:val="en-US" w:eastAsia="zh-CN"/>
              </w:rPr>
              <w:t>灾害室</w:t>
            </w:r>
          </w:p>
        </w:tc>
        <w:tc>
          <w:tcPr>
            <w:tcW w:w="1203" w:type="dxa"/>
            <w:shd w:val="clear" w:color="auto" w:fill="auto"/>
            <w:noWrap/>
            <w:vAlign w:val="center"/>
          </w:tcPr>
          <w:p w14:paraId="228B0E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highlight w:val="none"/>
                <w:lang w:val="en-US" w:eastAsia="zh-CN"/>
              </w:rPr>
              <w:t>2</w:t>
            </w:r>
          </w:p>
        </w:tc>
        <w:tc>
          <w:tcPr>
            <w:tcW w:w="1476" w:type="dxa"/>
            <w:gridSpan w:val="2"/>
            <w:shd w:val="clear" w:color="auto" w:fill="auto"/>
            <w:noWrap/>
            <w:vAlign w:val="center"/>
          </w:tcPr>
          <w:p w14:paraId="7BC106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highlight w:val="none"/>
              </w:rPr>
              <w:t>BSH001</w:t>
            </w:r>
          </w:p>
        </w:tc>
        <w:tc>
          <w:tcPr>
            <w:tcW w:w="1560" w:type="dxa"/>
            <w:gridSpan w:val="2"/>
            <w:shd w:val="clear" w:color="auto" w:fill="auto"/>
            <w:noWrap/>
            <w:vAlign w:val="center"/>
          </w:tcPr>
          <w:p w14:paraId="38048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highlight w:val="none"/>
              </w:rPr>
              <w:t>工程地质</w:t>
            </w:r>
          </w:p>
        </w:tc>
        <w:tc>
          <w:tcPr>
            <w:tcW w:w="1284" w:type="dxa"/>
            <w:gridSpan w:val="2"/>
            <w:shd w:val="clear" w:color="auto" w:fill="auto"/>
            <w:noWrap/>
            <w:vAlign w:val="center"/>
          </w:tcPr>
          <w:p w14:paraId="011111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restart"/>
            <w:shd w:val="clear" w:color="auto" w:fill="auto"/>
            <w:noWrap/>
            <w:vAlign w:val="center"/>
          </w:tcPr>
          <w:p w14:paraId="21E45124">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rPr>
                <w:rFonts w:hint="default" w:ascii="Times New Roman" w:hAnsi="Times New Roman" w:cs="Times New Roman" w:eastAsiaTheme="minorEastAsia"/>
                <w:spacing w:val="-9"/>
                <w:sz w:val="21"/>
                <w:szCs w:val="21"/>
              </w:rPr>
            </w:pPr>
            <w:r>
              <w:rPr>
                <w:rFonts w:hint="default" w:ascii="Times New Roman" w:hAnsi="Times New Roman" w:cs="Times New Roman" w:eastAsiaTheme="minorEastAsia"/>
                <w:spacing w:val="-9"/>
                <w:sz w:val="21"/>
                <w:szCs w:val="21"/>
                <w:lang w:val="en-US" w:eastAsia="zh-CN"/>
              </w:rPr>
              <w:t>1.</w:t>
            </w:r>
            <w:r>
              <w:rPr>
                <w:rFonts w:hint="default" w:ascii="Times New Roman" w:hAnsi="Times New Roman" w:cs="Times New Roman" w:eastAsiaTheme="minorEastAsia"/>
                <w:spacing w:val="-9"/>
                <w:sz w:val="21"/>
                <w:szCs w:val="21"/>
              </w:rPr>
              <w:t>年龄不超过35岁；</w:t>
            </w:r>
          </w:p>
          <w:p w14:paraId="0FCCA283">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rPr>
              <w:t>2.博</w:t>
            </w:r>
            <w:r>
              <w:rPr>
                <w:rFonts w:hint="default" w:ascii="Times New Roman" w:hAnsi="Times New Roman" w:cs="Times New Roman" w:eastAsiaTheme="minorEastAsia"/>
                <w:spacing w:val="-3"/>
                <w:sz w:val="21"/>
                <w:szCs w:val="21"/>
              </w:rPr>
              <w:t>士毕业不超过</w:t>
            </w:r>
            <w:r>
              <w:rPr>
                <w:rFonts w:hint="default" w:ascii="Times New Roman" w:hAnsi="Times New Roman" w:cs="Times New Roman" w:eastAsiaTheme="minorEastAsia"/>
                <w:spacing w:val="-3"/>
                <w:sz w:val="21"/>
                <w:szCs w:val="21"/>
                <w:lang w:val="en-US" w:eastAsia="zh-CN"/>
              </w:rPr>
              <w:t>3</w:t>
            </w:r>
            <w:r>
              <w:rPr>
                <w:rFonts w:hint="default" w:ascii="Times New Roman" w:hAnsi="Times New Roman" w:cs="Times New Roman" w:eastAsiaTheme="minorEastAsia"/>
                <w:spacing w:val="-3"/>
                <w:sz w:val="21"/>
                <w:szCs w:val="21"/>
              </w:rPr>
              <w:t>年；</w:t>
            </w:r>
          </w:p>
          <w:p w14:paraId="14DFE981">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rPr>
                <w:rFonts w:hint="default" w:ascii="Times New Roman" w:hAnsi="Times New Roman" w:cs="Times New Roman" w:eastAsiaTheme="minorEastAsia"/>
                <w:spacing w:val="-7"/>
                <w:sz w:val="21"/>
                <w:szCs w:val="21"/>
              </w:rPr>
            </w:pPr>
            <w:r>
              <w:rPr>
                <w:rFonts w:hint="default" w:ascii="Times New Roman" w:hAnsi="Times New Roman" w:cs="Times New Roman" w:eastAsiaTheme="minorEastAsia"/>
                <w:spacing w:val="-12"/>
                <w:sz w:val="21"/>
                <w:szCs w:val="21"/>
              </w:rPr>
              <w:t>3</w:t>
            </w:r>
            <w:r>
              <w:rPr>
                <w:rFonts w:hint="default" w:ascii="Times New Roman" w:hAnsi="Times New Roman" w:cs="Times New Roman" w:eastAsiaTheme="minorEastAsia"/>
                <w:spacing w:val="-7"/>
                <w:sz w:val="21"/>
                <w:szCs w:val="21"/>
              </w:rPr>
              <w:t>.全职在岗；</w:t>
            </w:r>
          </w:p>
          <w:p w14:paraId="6ACD0AEC">
            <w:pPr>
              <w:keepNext w:val="0"/>
              <w:keepLines w:val="0"/>
              <w:pageBreakBefore w:val="0"/>
              <w:widowControl w:val="0"/>
              <w:numPr>
                <w:ilvl w:val="0"/>
                <w:numId w:val="0"/>
              </w:numPr>
              <w:kinsoku/>
              <w:wordWrap/>
              <w:overflowPunct/>
              <w:topLinePunct w:val="0"/>
              <w:autoSpaceDE/>
              <w:autoSpaceDN/>
              <w:bidi w:val="0"/>
              <w:spacing w:line="240" w:lineRule="auto"/>
              <w:ind w:left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4.热爱山地科学研究，具有较强的独立工作能力和团队合作</w:t>
            </w:r>
            <w:r>
              <w:rPr>
                <w:rFonts w:hint="default" w:ascii="Times New Roman" w:hAnsi="Times New Roman" w:cs="Times New Roman" w:eastAsiaTheme="minorEastAsia"/>
                <w:spacing w:val="1"/>
                <w:sz w:val="21"/>
                <w:szCs w:val="21"/>
              </w:rPr>
              <w:t>精</w:t>
            </w:r>
            <w:r>
              <w:rPr>
                <w:rFonts w:hint="default" w:ascii="Times New Roman" w:hAnsi="Times New Roman" w:cs="Times New Roman" w:eastAsiaTheme="minorEastAsia"/>
                <w:sz w:val="21"/>
                <w:szCs w:val="21"/>
              </w:rPr>
              <w:t>神；</w:t>
            </w:r>
          </w:p>
          <w:p w14:paraId="25434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
                <w:sz w:val="21"/>
                <w:szCs w:val="21"/>
              </w:rPr>
              <w:t>5.具</w:t>
            </w:r>
            <w:r>
              <w:rPr>
                <w:rFonts w:hint="default" w:ascii="Times New Roman" w:hAnsi="Times New Roman" w:cs="Times New Roman" w:eastAsiaTheme="minorEastAsia"/>
                <w:sz w:val="21"/>
                <w:szCs w:val="21"/>
              </w:rPr>
              <w:t>有参加国家级重要科研项目的能力；</w:t>
            </w:r>
          </w:p>
          <w:p w14:paraId="468F19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6.第一作者代表性SCI科技论文原则上不少于2篇或具有2项及以上获得同行公认的创新科技成果；</w:t>
            </w:r>
          </w:p>
          <w:p w14:paraId="6AF8FC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7.有相关科研工作经历或取得突出创新成果者优先；</w:t>
            </w:r>
          </w:p>
          <w:p w14:paraId="50963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8.具有良好的英阅读、写作和交流能力。</w:t>
            </w:r>
          </w:p>
        </w:tc>
      </w:tr>
      <w:tr w14:paraId="50DB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71" w:type="dxa"/>
            <w:vMerge w:val="continue"/>
            <w:shd w:val="clear" w:color="auto" w:fill="auto"/>
            <w:noWrap/>
            <w:vAlign w:val="center"/>
          </w:tcPr>
          <w:p w14:paraId="289EBC2B">
            <w:pPr>
              <w:adjustRightInd w:val="0"/>
              <w:snapToGrid w:val="0"/>
              <w:spacing w:line="240" w:lineRule="auto"/>
              <w:ind w:firstLine="0" w:firstLineChars="0"/>
              <w:jc w:val="center"/>
              <w:rPr>
                <w:rFonts w:eastAsiaTheme="minorEastAsia"/>
                <w:b/>
                <w:bCs/>
                <w:sz w:val="21"/>
                <w:szCs w:val="21"/>
              </w:rPr>
            </w:pPr>
          </w:p>
        </w:tc>
        <w:tc>
          <w:tcPr>
            <w:tcW w:w="1203" w:type="dxa"/>
            <w:shd w:val="clear" w:color="auto" w:fill="auto"/>
            <w:noWrap/>
            <w:vAlign w:val="center"/>
          </w:tcPr>
          <w:p w14:paraId="3670F7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476" w:type="dxa"/>
            <w:gridSpan w:val="2"/>
            <w:shd w:val="clear" w:color="auto" w:fill="auto"/>
            <w:noWrap/>
            <w:vAlign w:val="center"/>
          </w:tcPr>
          <w:p w14:paraId="2E29E0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2</w:t>
            </w:r>
          </w:p>
        </w:tc>
        <w:tc>
          <w:tcPr>
            <w:tcW w:w="1560" w:type="dxa"/>
            <w:gridSpan w:val="2"/>
            <w:shd w:val="clear" w:color="auto" w:fill="auto"/>
            <w:noWrap/>
            <w:vAlign w:val="center"/>
          </w:tcPr>
          <w:p w14:paraId="4F15B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岩土工程</w:t>
            </w:r>
          </w:p>
        </w:tc>
        <w:tc>
          <w:tcPr>
            <w:tcW w:w="1284" w:type="dxa"/>
            <w:gridSpan w:val="2"/>
            <w:shd w:val="clear" w:color="auto" w:fill="auto"/>
            <w:noWrap/>
            <w:vAlign w:val="center"/>
          </w:tcPr>
          <w:p w14:paraId="0445A4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continue"/>
            <w:shd w:val="clear" w:color="auto" w:fill="auto"/>
            <w:noWrap/>
            <w:vAlign w:val="center"/>
          </w:tcPr>
          <w:p w14:paraId="17265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6CE4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71" w:type="dxa"/>
            <w:vMerge w:val="continue"/>
            <w:shd w:val="clear" w:color="auto" w:fill="auto"/>
            <w:noWrap/>
            <w:vAlign w:val="center"/>
          </w:tcPr>
          <w:p w14:paraId="093B20F6">
            <w:pPr>
              <w:adjustRightInd w:val="0"/>
              <w:snapToGrid w:val="0"/>
              <w:spacing w:line="240" w:lineRule="auto"/>
              <w:ind w:firstLine="0" w:firstLineChars="0"/>
              <w:jc w:val="center"/>
              <w:rPr>
                <w:rFonts w:eastAsiaTheme="minorEastAsia"/>
                <w:b/>
                <w:bCs/>
                <w:sz w:val="21"/>
                <w:szCs w:val="21"/>
              </w:rPr>
            </w:pPr>
          </w:p>
        </w:tc>
        <w:tc>
          <w:tcPr>
            <w:tcW w:w="1203" w:type="dxa"/>
            <w:shd w:val="clear" w:color="auto" w:fill="auto"/>
            <w:noWrap/>
            <w:vAlign w:val="center"/>
          </w:tcPr>
          <w:p w14:paraId="2F95BF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476" w:type="dxa"/>
            <w:gridSpan w:val="2"/>
            <w:shd w:val="clear" w:color="auto" w:fill="auto"/>
            <w:noWrap/>
            <w:vAlign w:val="center"/>
          </w:tcPr>
          <w:p w14:paraId="7BB7A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3</w:t>
            </w:r>
          </w:p>
        </w:tc>
        <w:tc>
          <w:tcPr>
            <w:tcW w:w="1560" w:type="dxa"/>
            <w:gridSpan w:val="2"/>
            <w:shd w:val="clear" w:color="auto" w:fill="auto"/>
            <w:noWrap/>
            <w:vAlign w:val="center"/>
          </w:tcPr>
          <w:p w14:paraId="1D1DE6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泥沙运动力学</w:t>
            </w:r>
          </w:p>
        </w:tc>
        <w:tc>
          <w:tcPr>
            <w:tcW w:w="1284" w:type="dxa"/>
            <w:gridSpan w:val="2"/>
            <w:shd w:val="clear" w:color="auto" w:fill="auto"/>
            <w:noWrap/>
            <w:vAlign w:val="center"/>
          </w:tcPr>
          <w:p w14:paraId="4EB8A9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continue"/>
            <w:shd w:val="clear" w:color="auto" w:fill="auto"/>
            <w:noWrap/>
            <w:vAlign w:val="center"/>
          </w:tcPr>
          <w:p w14:paraId="69AF8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3EB8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71" w:type="dxa"/>
            <w:vMerge w:val="continue"/>
            <w:shd w:val="clear" w:color="auto" w:fill="auto"/>
            <w:noWrap/>
            <w:vAlign w:val="center"/>
          </w:tcPr>
          <w:p w14:paraId="3CFED049">
            <w:pPr>
              <w:adjustRightInd w:val="0"/>
              <w:snapToGrid w:val="0"/>
              <w:spacing w:line="240" w:lineRule="auto"/>
              <w:ind w:firstLine="0" w:firstLineChars="0"/>
              <w:jc w:val="center"/>
              <w:rPr>
                <w:rFonts w:eastAsiaTheme="minorEastAsia"/>
                <w:b/>
                <w:bCs/>
                <w:sz w:val="21"/>
                <w:szCs w:val="21"/>
              </w:rPr>
            </w:pPr>
          </w:p>
        </w:tc>
        <w:tc>
          <w:tcPr>
            <w:tcW w:w="1203" w:type="dxa"/>
            <w:shd w:val="clear" w:color="auto" w:fill="auto"/>
            <w:noWrap/>
            <w:vAlign w:val="center"/>
          </w:tcPr>
          <w:p w14:paraId="315E73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auto"/>
            <w:noWrap/>
            <w:vAlign w:val="center"/>
          </w:tcPr>
          <w:p w14:paraId="19AE7B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560" w:type="dxa"/>
            <w:gridSpan w:val="2"/>
            <w:shd w:val="clear" w:color="auto" w:fill="auto"/>
            <w:noWrap/>
            <w:vAlign w:val="center"/>
          </w:tcPr>
          <w:p w14:paraId="45445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结构工程</w:t>
            </w:r>
          </w:p>
        </w:tc>
        <w:tc>
          <w:tcPr>
            <w:tcW w:w="1284" w:type="dxa"/>
            <w:gridSpan w:val="2"/>
            <w:shd w:val="clear" w:color="auto" w:fill="auto"/>
            <w:noWrap/>
            <w:vAlign w:val="center"/>
          </w:tcPr>
          <w:p w14:paraId="24E325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continue"/>
            <w:shd w:val="clear" w:color="auto" w:fill="auto"/>
            <w:noWrap/>
            <w:vAlign w:val="center"/>
          </w:tcPr>
          <w:p w14:paraId="3DE89B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51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71" w:type="dxa"/>
            <w:vMerge w:val="continue"/>
            <w:shd w:val="clear" w:color="auto" w:fill="auto"/>
            <w:noWrap/>
            <w:vAlign w:val="center"/>
          </w:tcPr>
          <w:p w14:paraId="33614FF4">
            <w:pPr>
              <w:adjustRightInd w:val="0"/>
              <w:snapToGrid w:val="0"/>
              <w:spacing w:line="240" w:lineRule="auto"/>
              <w:ind w:firstLine="0" w:firstLineChars="0"/>
              <w:jc w:val="center"/>
              <w:rPr>
                <w:rFonts w:eastAsiaTheme="minorEastAsia"/>
                <w:b/>
                <w:bCs/>
                <w:sz w:val="21"/>
                <w:szCs w:val="21"/>
              </w:rPr>
            </w:pPr>
          </w:p>
        </w:tc>
        <w:tc>
          <w:tcPr>
            <w:tcW w:w="1203" w:type="dxa"/>
            <w:shd w:val="clear" w:color="auto" w:fill="auto"/>
            <w:noWrap/>
            <w:vAlign w:val="center"/>
          </w:tcPr>
          <w:p w14:paraId="4FDAF6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lang w:val="en-US" w:eastAsia="zh-CN"/>
              </w:rPr>
              <w:t>2</w:t>
            </w:r>
          </w:p>
        </w:tc>
        <w:tc>
          <w:tcPr>
            <w:tcW w:w="1476" w:type="dxa"/>
            <w:gridSpan w:val="2"/>
            <w:shd w:val="clear" w:color="auto" w:fill="auto"/>
            <w:noWrap/>
            <w:vAlign w:val="center"/>
          </w:tcPr>
          <w:p w14:paraId="751FE2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5</w:t>
            </w:r>
          </w:p>
        </w:tc>
        <w:tc>
          <w:tcPr>
            <w:tcW w:w="1560" w:type="dxa"/>
            <w:gridSpan w:val="2"/>
            <w:shd w:val="clear" w:color="auto" w:fill="auto"/>
            <w:noWrap/>
            <w:vAlign w:val="center"/>
          </w:tcPr>
          <w:p w14:paraId="195F37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水力学及河流动力学</w:t>
            </w:r>
          </w:p>
        </w:tc>
        <w:tc>
          <w:tcPr>
            <w:tcW w:w="1284" w:type="dxa"/>
            <w:gridSpan w:val="2"/>
            <w:shd w:val="clear" w:color="auto" w:fill="auto"/>
            <w:noWrap/>
            <w:vAlign w:val="center"/>
          </w:tcPr>
          <w:p w14:paraId="6D4F1D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continue"/>
            <w:shd w:val="clear" w:color="auto" w:fill="auto"/>
            <w:noWrap/>
            <w:vAlign w:val="center"/>
          </w:tcPr>
          <w:p w14:paraId="2A3DF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4C3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71" w:type="dxa"/>
            <w:vMerge w:val="continue"/>
            <w:shd w:val="clear" w:color="auto" w:fill="auto"/>
            <w:noWrap/>
            <w:vAlign w:val="center"/>
          </w:tcPr>
          <w:p w14:paraId="3ED3BD91">
            <w:pPr>
              <w:adjustRightInd w:val="0"/>
              <w:snapToGrid w:val="0"/>
              <w:spacing w:line="240" w:lineRule="auto"/>
              <w:ind w:firstLine="0" w:firstLineChars="0"/>
              <w:jc w:val="center"/>
              <w:rPr>
                <w:rFonts w:eastAsiaTheme="minorEastAsia"/>
                <w:b/>
                <w:bCs/>
                <w:sz w:val="21"/>
                <w:szCs w:val="21"/>
              </w:rPr>
            </w:pPr>
          </w:p>
        </w:tc>
        <w:tc>
          <w:tcPr>
            <w:tcW w:w="1203" w:type="dxa"/>
            <w:shd w:val="clear" w:color="auto" w:fill="auto"/>
            <w:noWrap/>
            <w:vAlign w:val="center"/>
          </w:tcPr>
          <w:p w14:paraId="6882E292">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476" w:type="dxa"/>
            <w:gridSpan w:val="2"/>
            <w:shd w:val="clear" w:color="auto" w:fill="auto"/>
            <w:noWrap/>
            <w:vAlign w:val="center"/>
          </w:tcPr>
          <w:p w14:paraId="79D74E1A">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6</w:t>
            </w:r>
          </w:p>
        </w:tc>
        <w:tc>
          <w:tcPr>
            <w:tcW w:w="1560" w:type="dxa"/>
            <w:gridSpan w:val="2"/>
            <w:shd w:val="clear" w:color="auto" w:fill="auto"/>
            <w:noWrap/>
            <w:vAlign w:val="center"/>
          </w:tcPr>
          <w:p w14:paraId="5EB28E4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w:t>
            </w:r>
          </w:p>
        </w:tc>
        <w:tc>
          <w:tcPr>
            <w:tcW w:w="1284" w:type="dxa"/>
            <w:gridSpan w:val="2"/>
            <w:shd w:val="clear" w:color="auto" w:fill="auto"/>
            <w:noWrap/>
            <w:vAlign w:val="center"/>
          </w:tcPr>
          <w:p w14:paraId="5A32139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eastAsia="en-US"/>
              </w:rPr>
            </w:pPr>
            <w:r>
              <w:rPr>
                <w:rFonts w:hint="default" w:ascii="Times New Roman" w:hAnsi="Times New Roman" w:cs="Times New Roman" w:eastAsiaTheme="minorEastAsia"/>
                <w:sz w:val="21"/>
                <w:szCs w:val="21"/>
                <w:highlight w:val="none"/>
                <w:lang w:val="en-US" w:eastAsia="zh-CN"/>
              </w:rPr>
              <w:t>20-30</w:t>
            </w:r>
          </w:p>
        </w:tc>
        <w:tc>
          <w:tcPr>
            <w:tcW w:w="2859" w:type="dxa"/>
            <w:gridSpan w:val="3"/>
            <w:vMerge w:val="continue"/>
            <w:shd w:val="clear" w:color="auto" w:fill="auto"/>
            <w:noWrap/>
            <w:vAlign w:val="center"/>
          </w:tcPr>
          <w:p w14:paraId="06A0E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ACE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1" w:type="dxa"/>
            <w:shd w:val="clear" w:color="auto" w:fill="E7E6E6" w:themeFill="background2"/>
            <w:noWrap/>
            <w:vAlign w:val="center"/>
          </w:tcPr>
          <w:p w14:paraId="1B7D373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noWrap/>
            <w:vAlign w:val="center"/>
          </w:tcPr>
          <w:p w14:paraId="66E10D47">
            <w:pPr>
              <w:adjustRightInd w:val="0"/>
              <w:snapToGrid w:val="0"/>
              <w:spacing w:line="240" w:lineRule="auto"/>
              <w:ind w:firstLine="0" w:firstLineChars="0"/>
              <w:jc w:val="center"/>
              <w:rPr>
                <w:sz w:val="21"/>
                <w:szCs w:val="21"/>
              </w:rPr>
            </w:pPr>
            <w:r>
              <w:rPr>
                <w:rFonts w:eastAsiaTheme="minorEastAsia"/>
                <w:b/>
                <w:bCs/>
                <w:sz w:val="21"/>
                <w:szCs w:val="21"/>
              </w:rPr>
              <w:t>需求人数</w:t>
            </w:r>
          </w:p>
        </w:tc>
        <w:tc>
          <w:tcPr>
            <w:tcW w:w="1476" w:type="dxa"/>
            <w:gridSpan w:val="2"/>
            <w:shd w:val="clear" w:color="auto" w:fill="E7E6E6" w:themeFill="background2"/>
            <w:noWrap/>
            <w:vAlign w:val="center"/>
          </w:tcPr>
          <w:p w14:paraId="4EC65E39">
            <w:pPr>
              <w:adjustRightInd w:val="0"/>
              <w:snapToGrid w:val="0"/>
              <w:spacing w:line="240" w:lineRule="auto"/>
              <w:ind w:firstLine="0" w:firstLineChars="0"/>
              <w:jc w:val="center"/>
              <w:rPr>
                <w:sz w:val="21"/>
                <w:szCs w:val="21"/>
              </w:rPr>
            </w:pPr>
            <w:r>
              <w:rPr>
                <w:rFonts w:eastAsiaTheme="minorEastAsia"/>
                <w:b/>
                <w:bCs/>
                <w:sz w:val="21"/>
                <w:szCs w:val="21"/>
              </w:rPr>
              <w:t>岗位编号</w:t>
            </w:r>
          </w:p>
        </w:tc>
        <w:tc>
          <w:tcPr>
            <w:tcW w:w="1560" w:type="dxa"/>
            <w:gridSpan w:val="2"/>
            <w:shd w:val="clear" w:color="auto" w:fill="E7E6E6" w:themeFill="background2"/>
            <w:noWrap/>
            <w:vAlign w:val="center"/>
          </w:tcPr>
          <w:p w14:paraId="2DA0FFB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41FBC15">
            <w:pPr>
              <w:adjustRightInd w:val="0"/>
              <w:snapToGrid w:val="0"/>
              <w:spacing w:line="240" w:lineRule="auto"/>
              <w:ind w:firstLine="0" w:firstLineChars="0"/>
              <w:jc w:val="center"/>
              <w:rPr>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noWrap/>
            <w:vAlign w:val="center"/>
          </w:tcPr>
          <w:p w14:paraId="2DD6643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CEED498">
            <w:pPr>
              <w:adjustRightInd w:val="0"/>
              <w:snapToGrid w:val="0"/>
              <w:spacing w:line="240" w:lineRule="auto"/>
              <w:ind w:firstLine="0" w:firstLineChars="0"/>
              <w:jc w:val="center"/>
              <w:rPr>
                <w:rFonts w:hint="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859" w:type="dxa"/>
            <w:gridSpan w:val="3"/>
            <w:shd w:val="clear" w:color="auto" w:fill="E7E6E6" w:themeFill="background2"/>
            <w:noWrap/>
            <w:vAlign w:val="center"/>
          </w:tcPr>
          <w:p w14:paraId="566DFF0B">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14:paraId="497F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restart"/>
            <w:shd w:val="clear" w:color="auto" w:fill="auto"/>
            <w:noWrap/>
            <w:vAlign w:val="center"/>
          </w:tcPr>
          <w:p w14:paraId="00415FD7">
            <w:pPr>
              <w:adjustRightInd w:val="0"/>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val="0"/>
                <w:bCs w:val="0"/>
                <w:sz w:val="21"/>
                <w:szCs w:val="21"/>
                <w:lang w:val="en-US" w:eastAsia="zh-CN"/>
              </w:rPr>
              <w:t>灾害室</w:t>
            </w:r>
          </w:p>
        </w:tc>
        <w:tc>
          <w:tcPr>
            <w:tcW w:w="1203" w:type="dxa"/>
            <w:shd w:val="clear" w:color="auto" w:fill="FFFFFF"/>
            <w:noWrap/>
            <w:vAlign w:val="center"/>
          </w:tcPr>
          <w:p w14:paraId="7BC86E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5F0FD0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7</w:t>
            </w:r>
          </w:p>
        </w:tc>
        <w:tc>
          <w:tcPr>
            <w:tcW w:w="1560" w:type="dxa"/>
            <w:gridSpan w:val="2"/>
            <w:shd w:val="clear" w:color="auto" w:fill="FFFFFF"/>
            <w:noWrap/>
            <w:vAlign w:val="center"/>
          </w:tcPr>
          <w:p w14:paraId="2B7B1F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计算机</w:t>
            </w:r>
          </w:p>
        </w:tc>
        <w:tc>
          <w:tcPr>
            <w:tcW w:w="1284" w:type="dxa"/>
            <w:gridSpan w:val="2"/>
            <w:shd w:val="clear" w:color="auto" w:fill="FFFFFF"/>
            <w:noWrap/>
            <w:vAlign w:val="center"/>
          </w:tcPr>
          <w:p w14:paraId="116D52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20-30</w:t>
            </w:r>
          </w:p>
        </w:tc>
        <w:tc>
          <w:tcPr>
            <w:tcW w:w="2859" w:type="dxa"/>
            <w:gridSpan w:val="3"/>
            <w:vMerge w:val="restart"/>
            <w:shd w:val="clear" w:color="auto" w:fill="auto"/>
            <w:noWrap/>
            <w:vAlign w:val="center"/>
          </w:tcPr>
          <w:p w14:paraId="6903D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1.年龄不超过35岁；</w:t>
            </w:r>
          </w:p>
          <w:p w14:paraId="3FA90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2.博士毕业不超过3年；</w:t>
            </w:r>
          </w:p>
          <w:p w14:paraId="79D412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3.全职在岗；</w:t>
            </w:r>
          </w:p>
          <w:p w14:paraId="073357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4.热爱山地科学研究，具有较强的独立工作能力和团队合作精神；</w:t>
            </w:r>
          </w:p>
          <w:p w14:paraId="6DF91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5.具有参加国家级重要科研项目的能力；</w:t>
            </w:r>
          </w:p>
          <w:p w14:paraId="23B32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6.第一作者代表性SCI科技论文原则上不少于2篇或具有2项及以上获得同行公认的创新科技成果；</w:t>
            </w:r>
          </w:p>
          <w:p w14:paraId="4025D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Theme="minorEastAsia"/>
                <w:b w:val="0"/>
                <w:bCs w:val="0"/>
                <w:sz w:val="21"/>
                <w:szCs w:val="21"/>
              </w:rPr>
            </w:pPr>
            <w:r>
              <w:rPr>
                <w:rFonts w:hint="eastAsia" w:eastAsiaTheme="minorEastAsia"/>
                <w:b w:val="0"/>
                <w:bCs w:val="0"/>
                <w:sz w:val="21"/>
                <w:szCs w:val="21"/>
              </w:rPr>
              <w:t>7.有相关科研工作经历或取得突出创新成果者优先；</w:t>
            </w:r>
          </w:p>
          <w:p w14:paraId="7CBF9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eastAsiaTheme="minorEastAsia"/>
                <w:b/>
                <w:bCs/>
                <w:sz w:val="21"/>
                <w:szCs w:val="21"/>
              </w:rPr>
            </w:pPr>
            <w:r>
              <w:rPr>
                <w:rFonts w:hint="eastAsia" w:eastAsiaTheme="minorEastAsia"/>
                <w:b w:val="0"/>
                <w:bCs w:val="0"/>
                <w:sz w:val="21"/>
                <w:szCs w:val="21"/>
              </w:rPr>
              <w:t>8.具有良好的英阅读、写作和交流能力。</w:t>
            </w:r>
          </w:p>
        </w:tc>
      </w:tr>
      <w:tr w14:paraId="63DD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3EF4FAE7">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25E991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56A8AE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8</w:t>
            </w:r>
          </w:p>
        </w:tc>
        <w:tc>
          <w:tcPr>
            <w:tcW w:w="1560" w:type="dxa"/>
            <w:gridSpan w:val="2"/>
            <w:shd w:val="clear" w:color="auto" w:fill="FFFFFF"/>
            <w:noWrap/>
            <w:vAlign w:val="center"/>
          </w:tcPr>
          <w:p w14:paraId="0153B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力学</w:t>
            </w:r>
          </w:p>
        </w:tc>
        <w:tc>
          <w:tcPr>
            <w:tcW w:w="1284" w:type="dxa"/>
            <w:gridSpan w:val="2"/>
            <w:shd w:val="clear" w:color="auto" w:fill="FFFFFF"/>
            <w:noWrap/>
            <w:vAlign w:val="center"/>
          </w:tcPr>
          <w:p w14:paraId="79A543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749F4787">
            <w:pPr>
              <w:adjustRightInd w:val="0"/>
              <w:snapToGrid w:val="0"/>
              <w:spacing w:line="240" w:lineRule="auto"/>
              <w:ind w:firstLine="0" w:firstLineChars="0"/>
              <w:jc w:val="center"/>
              <w:rPr>
                <w:rFonts w:eastAsiaTheme="minorEastAsia"/>
                <w:b/>
                <w:bCs/>
                <w:sz w:val="21"/>
                <w:szCs w:val="21"/>
              </w:rPr>
            </w:pPr>
          </w:p>
        </w:tc>
      </w:tr>
      <w:tr w14:paraId="7CDC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7A3910A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4700E0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6C2E49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9</w:t>
            </w:r>
          </w:p>
        </w:tc>
        <w:tc>
          <w:tcPr>
            <w:tcW w:w="1560" w:type="dxa"/>
            <w:gridSpan w:val="2"/>
            <w:shd w:val="clear" w:color="auto" w:fill="FFFFFF"/>
            <w:noWrap/>
            <w:vAlign w:val="center"/>
          </w:tcPr>
          <w:p w14:paraId="6B14F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测绘学</w:t>
            </w:r>
          </w:p>
        </w:tc>
        <w:tc>
          <w:tcPr>
            <w:tcW w:w="1284" w:type="dxa"/>
            <w:gridSpan w:val="2"/>
            <w:shd w:val="clear" w:color="auto" w:fill="FFFFFF"/>
            <w:noWrap/>
            <w:vAlign w:val="center"/>
          </w:tcPr>
          <w:p w14:paraId="7DDB2B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22042E63">
            <w:pPr>
              <w:adjustRightInd w:val="0"/>
              <w:snapToGrid w:val="0"/>
              <w:spacing w:line="240" w:lineRule="auto"/>
              <w:ind w:firstLine="0" w:firstLineChars="0"/>
              <w:jc w:val="center"/>
              <w:rPr>
                <w:rFonts w:eastAsiaTheme="minorEastAsia"/>
                <w:b/>
                <w:bCs/>
                <w:sz w:val="21"/>
                <w:szCs w:val="21"/>
              </w:rPr>
            </w:pPr>
          </w:p>
        </w:tc>
      </w:tr>
      <w:tr w14:paraId="165A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661E61B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02BD9D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3108B9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10</w:t>
            </w:r>
          </w:p>
        </w:tc>
        <w:tc>
          <w:tcPr>
            <w:tcW w:w="1560" w:type="dxa"/>
            <w:gridSpan w:val="2"/>
            <w:shd w:val="clear" w:color="auto" w:fill="FFFFFF"/>
            <w:noWrap/>
            <w:vAlign w:val="center"/>
          </w:tcPr>
          <w:p w14:paraId="13A8E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水文学</w:t>
            </w:r>
          </w:p>
        </w:tc>
        <w:tc>
          <w:tcPr>
            <w:tcW w:w="1284" w:type="dxa"/>
            <w:gridSpan w:val="2"/>
            <w:shd w:val="clear" w:color="auto" w:fill="FFFFFF"/>
            <w:noWrap/>
            <w:vAlign w:val="center"/>
          </w:tcPr>
          <w:p w14:paraId="7CBB3D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41EE34C4">
            <w:pPr>
              <w:adjustRightInd w:val="0"/>
              <w:snapToGrid w:val="0"/>
              <w:spacing w:line="240" w:lineRule="auto"/>
              <w:ind w:firstLine="0" w:firstLineChars="0"/>
              <w:jc w:val="center"/>
              <w:rPr>
                <w:rFonts w:eastAsiaTheme="minorEastAsia"/>
                <w:b/>
                <w:bCs/>
                <w:sz w:val="21"/>
                <w:szCs w:val="21"/>
              </w:rPr>
            </w:pPr>
          </w:p>
        </w:tc>
      </w:tr>
      <w:tr w14:paraId="233F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7236D692">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492EA4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2</w:t>
            </w:r>
          </w:p>
        </w:tc>
        <w:tc>
          <w:tcPr>
            <w:tcW w:w="1476" w:type="dxa"/>
            <w:gridSpan w:val="2"/>
            <w:shd w:val="clear" w:color="auto" w:fill="FFFFFF"/>
            <w:noWrap/>
            <w:vAlign w:val="center"/>
          </w:tcPr>
          <w:p w14:paraId="088FE6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1</w:t>
            </w:r>
          </w:p>
        </w:tc>
        <w:tc>
          <w:tcPr>
            <w:tcW w:w="1560" w:type="dxa"/>
            <w:gridSpan w:val="2"/>
            <w:shd w:val="clear" w:color="auto" w:fill="FFFFFF"/>
            <w:noWrap/>
            <w:vAlign w:val="center"/>
          </w:tcPr>
          <w:p w14:paraId="2F8DA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冰川水文</w:t>
            </w:r>
          </w:p>
        </w:tc>
        <w:tc>
          <w:tcPr>
            <w:tcW w:w="1284" w:type="dxa"/>
            <w:gridSpan w:val="2"/>
            <w:shd w:val="clear" w:color="auto" w:fill="FFFFFF"/>
            <w:noWrap/>
            <w:vAlign w:val="center"/>
          </w:tcPr>
          <w:p w14:paraId="12B20E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7D4D51CE">
            <w:pPr>
              <w:adjustRightInd w:val="0"/>
              <w:snapToGrid w:val="0"/>
              <w:spacing w:line="240" w:lineRule="auto"/>
              <w:ind w:firstLine="0" w:firstLineChars="0"/>
              <w:jc w:val="center"/>
              <w:rPr>
                <w:rFonts w:eastAsiaTheme="minorEastAsia"/>
                <w:b/>
                <w:bCs/>
                <w:sz w:val="21"/>
                <w:szCs w:val="21"/>
              </w:rPr>
            </w:pPr>
          </w:p>
        </w:tc>
      </w:tr>
      <w:tr w14:paraId="4781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1FEB255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5FB998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6C2825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12</w:t>
            </w:r>
          </w:p>
        </w:tc>
        <w:tc>
          <w:tcPr>
            <w:tcW w:w="1560" w:type="dxa"/>
            <w:gridSpan w:val="2"/>
            <w:shd w:val="clear" w:color="auto" w:fill="FFFFFF"/>
            <w:noWrap/>
            <w:vAlign w:val="center"/>
          </w:tcPr>
          <w:p w14:paraId="31A49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水土保持</w:t>
            </w:r>
          </w:p>
        </w:tc>
        <w:tc>
          <w:tcPr>
            <w:tcW w:w="1284" w:type="dxa"/>
            <w:gridSpan w:val="2"/>
            <w:shd w:val="clear" w:color="auto" w:fill="FFFFFF"/>
            <w:noWrap/>
            <w:vAlign w:val="center"/>
          </w:tcPr>
          <w:p w14:paraId="0451A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5DFE7CFA">
            <w:pPr>
              <w:adjustRightInd w:val="0"/>
              <w:snapToGrid w:val="0"/>
              <w:spacing w:line="240" w:lineRule="auto"/>
              <w:ind w:firstLine="0" w:firstLineChars="0"/>
              <w:jc w:val="center"/>
              <w:rPr>
                <w:rFonts w:eastAsiaTheme="minorEastAsia"/>
                <w:b/>
                <w:bCs/>
                <w:sz w:val="21"/>
                <w:szCs w:val="21"/>
              </w:rPr>
            </w:pPr>
          </w:p>
        </w:tc>
      </w:tr>
      <w:tr w14:paraId="74DB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24739278">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62FA25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5751AF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13</w:t>
            </w:r>
          </w:p>
        </w:tc>
        <w:tc>
          <w:tcPr>
            <w:tcW w:w="1560" w:type="dxa"/>
            <w:gridSpan w:val="2"/>
            <w:shd w:val="clear" w:color="auto" w:fill="FFFFFF"/>
            <w:noWrap/>
            <w:vAlign w:val="center"/>
          </w:tcPr>
          <w:p w14:paraId="6D3D7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生态工程</w:t>
            </w:r>
          </w:p>
        </w:tc>
        <w:tc>
          <w:tcPr>
            <w:tcW w:w="1284" w:type="dxa"/>
            <w:gridSpan w:val="2"/>
            <w:shd w:val="clear" w:color="auto" w:fill="FFFFFF"/>
            <w:noWrap/>
            <w:vAlign w:val="center"/>
          </w:tcPr>
          <w:p w14:paraId="0A9A49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16438494">
            <w:pPr>
              <w:adjustRightInd w:val="0"/>
              <w:snapToGrid w:val="0"/>
              <w:spacing w:line="240" w:lineRule="auto"/>
              <w:ind w:firstLine="0" w:firstLineChars="0"/>
              <w:jc w:val="center"/>
              <w:rPr>
                <w:rFonts w:eastAsiaTheme="minorEastAsia"/>
                <w:b/>
                <w:bCs/>
                <w:sz w:val="21"/>
                <w:szCs w:val="21"/>
              </w:rPr>
            </w:pPr>
          </w:p>
        </w:tc>
      </w:tr>
      <w:tr w14:paraId="0A2E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5B73D823">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560704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52C0B1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14</w:t>
            </w:r>
          </w:p>
        </w:tc>
        <w:tc>
          <w:tcPr>
            <w:tcW w:w="1560" w:type="dxa"/>
            <w:gridSpan w:val="2"/>
            <w:shd w:val="clear" w:color="auto" w:fill="FFFFFF"/>
            <w:noWrap/>
            <w:vAlign w:val="center"/>
          </w:tcPr>
          <w:p w14:paraId="26E817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遥感与地理信息系统</w:t>
            </w:r>
          </w:p>
        </w:tc>
        <w:tc>
          <w:tcPr>
            <w:tcW w:w="1284" w:type="dxa"/>
            <w:gridSpan w:val="2"/>
            <w:shd w:val="clear" w:color="auto" w:fill="FFFFFF"/>
            <w:noWrap/>
            <w:vAlign w:val="center"/>
          </w:tcPr>
          <w:p w14:paraId="4A043C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6F6E93FE">
            <w:pPr>
              <w:adjustRightInd w:val="0"/>
              <w:snapToGrid w:val="0"/>
              <w:spacing w:line="240" w:lineRule="auto"/>
              <w:ind w:firstLine="0" w:firstLineChars="0"/>
              <w:jc w:val="center"/>
              <w:rPr>
                <w:rFonts w:eastAsiaTheme="minorEastAsia"/>
                <w:b/>
                <w:bCs/>
                <w:sz w:val="21"/>
                <w:szCs w:val="21"/>
              </w:rPr>
            </w:pPr>
          </w:p>
        </w:tc>
      </w:tr>
      <w:tr w14:paraId="729A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restart"/>
            <w:shd w:val="clear" w:color="auto" w:fill="auto"/>
            <w:noWrap/>
            <w:vAlign w:val="center"/>
          </w:tcPr>
          <w:p w14:paraId="361C8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lang w:val="en-US" w:eastAsia="zh-CN"/>
              </w:rPr>
              <w:t>环境室</w:t>
            </w:r>
          </w:p>
        </w:tc>
        <w:tc>
          <w:tcPr>
            <w:tcW w:w="1203" w:type="dxa"/>
            <w:shd w:val="clear" w:color="auto" w:fill="FFFFFF"/>
            <w:noWrap/>
            <w:vAlign w:val="center"/>
          </w:tcPr>
          <w:p w14:paraId="588546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highlight w:val="none"/>
                <w:lang w:val="en-US" w:eastAsia="zh-CN"/>
              </w:rPr>
              <w:t>2</w:t>
            </w:r>
          </w:p>
        </w:tc>
        <w:tc>
          <w:tcPr>
            <w:tcW w:w="1476" w:type="dxa"/>
            <w:gridSpan w:val="2"/>
            <w:shd w:val="clear" w:color="auto" w:fill="FFFFFF"/>
            <w:noWrap/>
            <w:vAlign w:val="center"/>
          </w:tcPr>
          <w:p w14:paraId="3CAD09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15</w:t>
            </w:r>
          </w:p>
        </w:tc>
        <w:tc>
          <w:tcPr>
            <w:tcW w:w="1560" w:type="dxa"/>
            <w:gridSpan w:val="2"/>
            <w:shd w:val="clear" w:color="auto" w:fill="FFFFFF"/>
            <w:noWrap/>
            <w:vAlign w:val="center"/>
          </w:tcPr>
          <w:p w14:paraId="2D81A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地理学</w:t>
            </w:r>
          </w:p>
        </w:tc>
        <w:tc>
          <w:tcPr>
            <w:tcW w:w="1284" w:type="dxa"/>
            <w:gridSpan w:val="2"/>
            <w:shd w:val="clear" w:color="auto" w:fill="FFFFFF"/>
            <w:noWrap/>
            <w:vAlign w:val="center"/>
          </w:tcPr>
          <w:p w14:paraId="59A5EF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06AAFBCC">
            <w:pPr>
              <w:adjustRightInd w:val="0"/>
              <w:snapToGrid w:val="0"/>
              <w:spacing w:line="240" w:lineRule="auto"/>
              <w:ind w:firstLine="0" w:firstLineChars="0"/>
              <w:jc w:val="center"/>
              <w:rPr>
                <w:rFonts w:eastAsiaTheme="minorEastAsia"/>
                <w:b/>
                <w:bCs/>
                <w:sz w:val="21"/>
                <w:szCs w:val="21"/>
              </w:rPr>
            </w:pPr>
          </w:p>
        </w:tc>
      </w:tr>
      <w:tr w14:paraId="147D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43342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bCs/>
                <w:sz w:val="21"/>
                <w:szCs w:val="21"/>
              </w:rPr>
            </w:pPr>
          </w:p>
        </w:tc>
        <w:tc>
          <w:tcPr>
            <w:tcW w:w="1203" w:type="dxa"/>
            <w:shd w:val="clear" w:color="auto" w:fill="FFFFFF"/>
            <w:noWrap/>
            <w:vAlign w:val="center"/>
          </w:tcPr>
          <w:p w14:paraId="1F4E8C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737F45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16</w:t>
            </w:r>
          </w:p>
        </w:tc>
        <w:tc>
          <w:tcPr>
            <w:tcW w:w="1560" w:type="dxa"/>
            <w:gridSpan w:val="2"/>
            <w:shd w:val="clear" w:color="auto" w:fill="FFFFFF"/>
            <w:noWrap/>
            <w:vAlign w:val="center"/>
          </w:tcPr>
          <w:p w14:paraId="210B0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生态学</w:t>
            </w:r>
          </w:p>
        </w:tc>
        <w:tc>
          <w:tcPr>
            <w:tcW w:w="1284" w:type="dxa"/>
            <w:gridSpan w:val="2"/>
            <w:shd w:val="clear" w:color="auto" w:fill="FFFFFF"/>
            <w:noWrap/>
            <w:vAlign w:val="center"/>
          </w:tcPr>
          <w:p w14:paraId="6432B1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5981674F">
            <w:pPr>
              <w:adjustRightInd w:val="0"/>
              <w:snapToGrid w:val="0"/>
              <w:spacing w:line="240" w:lineRule="auto"/>
              <w:ind w:firstLine="0" w:firstLineChars="0"/>
              <w:jc w:val="center"/>
              <w:rPr>
                <w:rFonts w:eastAsiaTheme="minorEastAsia"/>
                <w:b/>
                <w:bCs/>
                <w:sz w:val="21"/>
                <w:szCs w:val="21"/>
              </w:rPr>
            </w:pPr>
          </w:p>
        </w:tc>
      </w:tr>
      <w:tr w14:paraId="39FE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restart"/>
            <w:shd w:val="clear" w:color="auto" w:fill="auto"/>
            <w:noWrap/>
            <w:vAlign w:val="center"/>
          </w:tcPr>
          <w:p w14:paraId="21599227">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lang w:val="en-US" w:eastAsia="zh-CN"/>
              </w:rPr>
              <w:t>数字山地</w:t>
            </w:r>
          </w:p>
        </w:tc>
        <w:tc>
          <w:tcPr>
            <w:tcW w:w="1203" w:type="dxa"/>
            <w:shd w:val="clear" w:color="auto" w:fill="FFFFFF"/>
            <w:noWrap/>
            <w:vAlign w:val="center"/>
          </w:tcPr>
          <w:p w14:paraId="603375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1F3673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17</w:t>
            </w:r>
          </w:p>
        </w:tc>
        <w:tc>
          <w:tcPr>
            <w:tcW w:w="1560" w:type="dxa"/>
            <w:gridSpan w:val="2"/>
            <w:shd w:val="clear" w:color="auto" w:fill="FFFFFF"/>
            <w:noWrap/>
            <w:vAlign w:val="center"/>
          </w:tcPr>
          <w:p w14:paraId="30489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水文学</w:t>
            </w:r>
          </w:p>
        </w:tc>
        <w:tc>
          <w:tcPr>
            <w:tcW w:w="1284" w:type="dxa"/>
            <w:gridSpan w:val="2"/>
            <w:shd w:val="clear" w:color="auto" w:fill="FFFFFF"/>
            <w:noWrap/>
            <w:vAlign w:val="center"/>
          </w:tcPr>
          <w:p w14:paraId="6C933C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1D1152E6">
            <w:pPr>
              <w:adjustRightInd w:val="0"/>
              <w:snapToGrid w:val="0"/>
              <w:spacing w:line="240" w:lineRule="auto"/>
              <w:ind w:firstLine="0" w:firstLineChars="0"/>
              <w:jc w:val="center"/>
              <w:rPr>
                <w:rFonts w:eastAsiaTheme="minorEastAsia"/>
                <w:b/>
                <w:bCs/>
                <w:sz w:val="21"/>
                <w:szCs w:val="21"/>
              </w:rPr>
            </w:pPr>
          </w:p>
        </w:tc>
      </w:tr>
      <w:tr w14:paraId="0900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03E38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24740B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7E7590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18</w:t>
            </w:r>
          </w:p>
        </w:tc>
        <w:tc>
          <w:tcPr>
            <w:tcW w:w="1560" w:type="dxa"/>
            <w:gridSpan w:val="2"/>
            <w:shd w:val="clear" w:color="auto" w:fill="FFFFFF"/>
            <w:noWrap/>
            <w:vAlign w:val="center"/>
          </w:tcPr>
          <w:p w14:paraId="3ACF6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生态学</w:t>
            </w:r>
          </w:p>
        </w:tc>
        <w:tc>
          <w:tcPr>
            <w:tcW w:w="1284" w:type="dxa"/>
            <w:gridSpan w:val="2"/>
            <w:shd w:val="clear" w:color="auto" w:fill="FFFFFF"/>
            <w:noWrap/>
            <w:vAlign w:val="center"/>
          </w:tcPr>
          <w:p w14:paraId="6D5297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0921C042">
            <w:pPr>
              <w:adjustRightInd w:val="0"/>
              <w:snapToGrid w:val="0"/>
              <w:spacing w:line="240" w:lineRule="auto"/>
              <w:ind w:firstLine="0" w:firstLineChars="0"/>
              <w:jc w:val="center"/>
              <w:rPr>
                <w:rFonts w:eastAsiaTheme="minorEastAsia"/>
                <w:b/>
                <w:bCs/>
                <w:sz w:val="21"/>
                <w:szCs w:val="21"/>
              </w:rPr>
            </w:pPr>
          </w:p>
        </w:tc>
      </w:tr>
      <w:tr w14:paraId="36DB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2A7AF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587CF5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45F32B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19</w:t>
            </w:r>
          </w:p>
        </w:tc>
        <w:tc>
          <w:tcPr>
            <w:tcW w:w="1560" w:type="dxa"/>
            <w:gridSpan w:val="2"/>
            <w:shd w:val="clear" w:color="auto" w:fill="FFFFFF"/>
            <w:noWrap/>
            <w:vAlign w:val="center"/>
          </w:tcPr>
          <w:p w14:paraId="7C50D9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遥感与地理信息系统</w:t>
            </w:r>
          </w:p>
        </w:tc>
        <w:tc>
          <w:tcPr>
            <w:tcW w:w="1284" w:type="dxa"/>
            <w:gridSpan w:val="2"/>
            <w:shd w:val="clear" w:color="auto" w:fill="FFFFFF"/>
            <w:noWrap/>
            <w:vAlign w:val="center"/>
          </w:tcPr>
          <w:p w14:paraId="5429B9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62233805">
            <w:pPr>
              <w:adjustRightInd w:val="0"/>
              <w:snapToGrid w:val="0"/>
              <w:spacing w:line="240" w:lineRule="auto"/>
              <w:ind w:firstLine="0" w:firstLineChars="0"/>
              <w:jc w:val="center"/>
              <w:rPr>
                <w:rFonts w:eastAsiaTheme="minorEastAsia"/>
                <w:b/>
                <w:bCs/>
                <w:sz w:val="21"/>
                <w:szCs w:val="21"/>
              </w:rPr>
            </w:pPr>
          </w:p>
        </w:tc>
      </w:tr>
      <w:tr w14:paraId="7FE2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restart"/>
            <w:shd w:val="clear" w:color="auto" w:fill="auto"/>
            <w:noWrap/>
            <w:vAlign w:val="center"/>
          </w:tcPr>
          <w:p w14:paraId="6D141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val="0"/>
                <w:bCs w:val="0"/>
                <w:sz w:val="21"/>
                <w:szCs w:val="21"/>
                <w:lang w:val="en-US" w:eastAsia="zh-CN"/>
              </w:rPr>
              <w:t>山区发展</w:t>
            </w:r>
          </w:p>
        </w:tc>
        <w:tc>
          <w:tcPr>
            <w:tcW w:w="1203" w:type="dxa"/>
            <w:shd w:val="clear" w:color="auto" w:fill="FFFFFF"/>
            <w:noWrap/>
            <w:vAlign w:val="center"/>
          </w:tcPr>
          <w:p w14:paraId="3AF258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highlight w:val="none"/>
                <w:lang w:val="en-US" w:eastAsia="zh-CN"/>
              </w:rPr>
              <w:t>2</w:t>
            </w:r>
          </w:p>
        </w:tc>
        <w:tc>
          <w:tcPr>
            <w:tcW w:w="1476" w:type="dxa"/>
            <w:gridSpan w:val="2"/>
            <w:shd w:val="clear" w:color="auto" w:fill="FFFFFF"/>
            <w:noWrap/>
            <w:vAlign w:val="center"/>
          </w:tcPr>
          <w:p w14:paraId="7D80D4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20</w:t>
            </w:r>
          </w:p>
        </w:tc>
        <w:tc>
          <w:tcPr>
            <w:tcW w:w="1560" w:type="dxa"/>
            <w:gridSpan w:val="2"/>
            <w:shd w:val="clear" w:color="auto" w:fill="FFFFFF"/>
            <w:noWrap/>
            <w:vAlign w:val="center"/>
          </w:tcPr>
          <w:p w14:paraId="2F6F6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人文地理学</w:t>
            </w:r>
          </w:p>
        </w:tc>
        <w:tc>
          <w:tcPr>
            <w:tcW w:w="1284" w:type="dxa"/>
            <w:gridSpan w:val="2"/>
            <w:shd w:val="clear" w:color="auto" w:fill="FFFFFF"/>
            <w:noWrap/>
            <w:vAlign w:val="center"/>
          </w:tcPr>
          <w:p w14:paraId="009B0F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1E389E2B">
            <w:pPr>
              <w:adjustRightInd w:val="0"/>
              <w:snapToGrid w:val="0"/>
              <w:spacing w:line="240" w:lineRule="auto"/>
              <w:ind w:firstLine="0" w:firstLineChars="0"/>
              <w:jc w:val="center"/>
              <w:rPr>
                <w:rFonts w:eastAsiaTheme="minorEastAsia"/>
                <w:b/>
                <w:bCs/>
                <w:sz w:val="21"/>
                <w:szCs w:val="21"/>
              </w:rPr>
            </w:pPr>
          </w:p>
        </w:tc>
      </w:tr>
      <w:tr w14:paraId="57FE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645CD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p>
        </w:tc>
        <w:tc>
          <w:tcPr>
            <w:tcW w:w="1203" w:type="dxa"/>
            <w:shd w:val="clear" w:color="auto" w:fill="FFFFFF"/>
            <w:noWrap/>
            <w:vAlign w:val="center"/>
          </w:tcPr>
          <w:p w14:paraId="2D1A20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5497CB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21</w:t>
            </w:r>
          </w:p>
        </w:tc>
        <w:tc>
          <w:tcPr>
            <w:tcW w:w="1560" w:type="dxa"/>
            <w:gridSpan w:val="2"/>
            <w:shd w:val="clear" w:color="auto" w:fill="FFFFFF"/>
            <w:noWrap/>
            <w:vAlign w:val="center"/>
          </w:tcPr>
          <w:p w14:paraId="158427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地理学</w:t>
            </w:r>
          </w:p>
        </w:tc>
        <w:tc>
          <w:tcPr>
            <w:tcW w:w="1284" w:type="dxa"/>
            <w:gridSpan w:val="2"/>
            <w:shd w:val="clear" w:color="auto" w:fill="FFFFFF"/>
            <w:noWrap/>
            <w:vAlign w:val="center"/>
          </w:tcPr>
          <w:p w14:paraId="0088BF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1E531CAE">
            <w:pPr>
              <w:adjustRightInd w:val="0"/>
              <w:snapToGrid w:val="0"/>
              <w:spacing w:line="240" w:lineRule="auto"/>
              <w:ind w:firstLine="0" w:firstLineChars="0"/>
              <w:jc w:val="center"/>
              <w:rPr>
                <w:rFonts w:eastAsiaTheme="minorEastAsia"/>
                <w:b/>
                <w:bCs/>
                <w:sz w:val="21"/>
                <w:szCs w:val="21"/>
              </w:rPr>
            </w:pPr>
          </w:p>
        </w:tc>
      </w:tr>
      <w:tr w14:paraId="742D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55D35009">
            <w:pPr>
              <w:adjustRightInd w:val="0"/>
              <w:snapToGrid w:val="0"/>
              <w:spacing w:line="240" w:lineRule="auto"/>
              <w:ind w:firstLine="0" w:firstLineChars="0"/>
              <w:jc w:val="center"/>
              <w:rPr>
                <w:rFonts w:eastAsiaTheme="minorEastAsia"/>
                <w:b/>
                <w:bCs/>
                <w:sz w:val="21"/>
                <w:szCs w:val="21"/>
              </w:rPr>
            </w:pPr>
          </w:p>
        </w:tc>
        <w:tc>
          <w:tcPr>
            <w:tcW w:w="1203" w:type="dxa"/>
            <w:shd w:val="clear" w:color="auto" w:fill="FFFFFF"/>
            <w:noWrap/>
            <w:vAlign w:val="center"/>
          </w:tcPr>
          <w:p w14:paraId="68F651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476" w:type="dxa"/>
            <w:gridSpan w:val="2"/>
            <w:shd w:val="clear" w:color="auto" w:fill="FFFFFF"/>
            <w:noWrap/>
            <w:vAlign w:val="center"/>
          </w:tcPr>
          <w:p w14:paraId="21B61E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22</w:t>
            </w:r>
          </w:p>
        </w:tc>
        <w:tc>
          <w:tcPr>
            <w:tcW w:w="1560" w:type="dxa"/>
            <w:gridSpan w:val="2"/>
            <w:shd w:val="clear" w:color="auto" w:fill="FFFFFF"/>
            <w:noWrap/>
            <w:vAlign w:val="center"/>
          </w:tcPr>
          <w:p w14:paraId="66219E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计算机学</w:t>
            </w:r>
          </w:p>
        </w:tc>
        <w:tc>
          <w:tcPr>
            <w:tcW w:w="1284" w:type="dxa"/>
            <w:gridSpan w:val="2"/>
            <w:shd w:val="clear" w:color="auto" w:fill="FFFFFF"/>
            <w:noWrap/>
            <w:vAlign w:val="center"/>
          </w:tcPr>
          <w:p w14:paraId="2854EA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0C9C64C6">
            <w:pPr>
              <w:adjustRightInd w:val="0"/>
              <w:snapToGrid w:val="0"/>
              <w:spacing w:line="240" w:lineRule="auto"/>
              <w:ind w:firstLine="0" w:firstLineChars="0"/>
              <w:jc w:val="center"/>
              <w:rPr>
                <w:rFonts w:eastAsiaTheme="minorEastAsia"/>
                <w:b/>
                <w:bCs/>
                <w:sz w:val="21"/>
                <w:szCs w:val="21"/>
              </w:rPr>
            </w:pPr>
          </w:p>
        </w:tc>
      </w:tr>
      <w:tr w14:paraId="733F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71" w:type="dxa"/>
            <w:vMerge w:val="continue"/>
            <w:shd w:val="clear" w:color="auto" w:fill="auto"/>
            <w:noWrap/>
            <w:vAlign w:val="center"/>
          </w:tcPr>
          <w:p w14:paraId="482E4A16">
            <w:pPr>
              <w:adjustRightInd w:val="0"/>
              <w:snapToGrid w:val="0"/>
              <w:spacing w:line="240" w:lineRule="auto"/>
              <w:ind w:firstLine="0" w:firstLineChars="0"/>
              <w:jc w:val="center"/>
              <w:rPr>
                <w:rFonts w:eastAsiaTheme="minorEastAsia"/>
                <w:b/>
                <w:bCs/>
                <w:sz w:val="21"/>
                <w:szCs w:val="21"/>
              </w:rPr>
            </w:pPr>
          </w:p>
        </w:tc>
        <w:tc>
          <w:tcPr>
            <w:tcW w:w="1203" w:type="dxa"/>
            <w:shd w:val="clear" w:color="auto" w:fill="FFFFFF"/>
            <w:noWrap/>
            <w:vAlign w:val="center"/>
          </w:tcPr>
          <w:p w14:paraId="3828F6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476" w:type="dxa"/>
            <w:gridSpan w:val="2"/>
            <w:shd w:val="clear" w:color="auto" w:fill="FFFFFF"/>
            <w:noWrap/>
            <w:vAlign w:val="center"/>
          </w:tcPr>
          <w:p w14:paraId="21D5FA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23</w:t>
            </w:r>
          </w:p>
        </w:tc>
        <w:tc>
          <w:tcPr>
            <w:tcW w:w="1560" w:type="dxa"/>
            <w:gridSpan w:val="2"/>
            <w:shd w:val="clear" w:color="auto" w:fill="FFFFFF"/>
            <w:noWrap/>
            <w:vAlign w:val="center"/>
          </w:tcPr>
          <w:p w14:paraId="10D0F8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遥感与地理信息系统</w:t>
            </w:r>
          </w:p>
        </w:tc>
        <w:tc>
          <w:tcPr>
            <w:tcW w:w="1284" w:type="dxa"/>
            <w:gridSpan w:val="2"/>
            <w:shd w:val="clear" w:color="auto" w:fill="FFFFFF"/>
            <w:noWrap/>
            <w:vAlign w:val="center"/>
          </w:tcPr>
          <w:p w14:paraId="58048F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20-30</w:t>
            </w:r>
          </w:p>
        </w:tc>
        <w:tc>
          <w:tcPr>
            <w:tcW w:w="2859" w:type="dxa"/>
            <w:gridSpan w:val="3"/>
            <w:vMerge w:val="continue"/>
            <w:shd w:val="clear" w:color="auto" w:fill="auto"/>
            <w:noWrap/>
            <w:vAlign w:val="center"/>
          </w:tcPr>
          <w:p w14:paraId="79AA62BA">
            <w:pPr>
              <w:adjustRightInd w:val="0"/>
              <w:snapToGrid w:val="0"/>
              <w:spacing w:line="240" w:lineRule="auto"/>
              <w:ind w:firstLine="0" w:firstLineChars="0"/>
              <w:jc w:val="center"/>
              <w:rPr>
                <w:rFonts w:eastAsiaTheme="minorEastAsia"/>
                <w:b/>
                <w:bCs/>
                <w:sz w:val="21"/>
                <w:szCs w:val="21"/>
              </w:rPr>
            </w:pPr>
          </w:p>
        </w:tc>
      </w:tr>
    </w:tbl>
    <w:p w14:paraId="24D84050">
      <w:pPr>
        <w:adjustRightInd w:val="0"/>
        <w:snapToGrid w:val="0"/>
        <w:spacing w:line="240" w:lineRule="auto"/>
        <w:ind w:left="0" w:leftChars="0" w:firstLine="0" w:firstLineChars="0"/>
        <w:rPr>
          <w:sz w:val="21"/>
          <w:szCs w:val="21"/>
        </w:rPr>
      </w:pPr>
      <w:r>
        <w:rPr>
          <w:sz w:val="21"/>
          <w:szCs w:val="21"/>
        </w:rPr>
        <w:br w:type="page"/>
      </w:r>
    </w:p>
    <w:p w14:paraId="34CA9DDC">
      <w:pPr>
        <w:adjustRightInd w:val="0"/>
        <w:snapToGrid w:val="0"/>
        <w:spacing w:line="240" w:lineRule="auto"/>
        <w:ind w:firstLine="0"/>
        <w:rPr>
          <w:rFonts w:eastAsia="方正小标宋简体"/>
          <w:sz w:val="44"/>
          <w:szCs w:val="44"/>
        </w:rPr>
      </w:pPr>
    </w:p>
    <w:p w14:paraId="6D157E0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148" w:name="_Toc1696"/>
      <w:bookmarkStart w:id="149" w:name="_Toc6850"/>
      <w:bookmarkStart w:id="150" w:name="_Toc9901"/>
      <w:bookmarkStart w:id="151" w:name="_Toc25655"/>
      <w:bookmarkStart w:id="152" w:name="_Toc28261"/>
      <w:r>
        <w:rPr>
          <w:rFonts w:eastAsia="方正小标宋简体"/>
          <w:sz w:val="44"/>
          <w:szCs w:val="44"/>
          <w:highlight w:val="none"/>
        </w:rPr>
        <w:t>中国科学院成都生物研究所</w:t>
      </w:r>
      <w:bookmarkEnd w:id="148"/>
      <w:bookmarkEnd w:id="149"/>
      <w:bookmarkEnd w:id="150"/>
      <w:bookmarkEnd w:id="151"/>
      <w:bookmarkEnd w:id="152"/>
    </w:p>
    <w:p w14:paraId="0C531AE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573"/>
        <w:gridCol w:w="822"/>
        <w:gridCol w:w="440"/>
        <w:gridCol w:w="1201"/>
        <w:gridCol w:w="58"/>
        <w:gridCol w:w="1492"/>
        <w:gridCol w:w="112"/>
        <w:gridCol w:w="1359"/>
        <w:gridCol w:w="197"/>
        <w:gridCol w:w="1772"/>
      </w:tblGrid>
      <w:tr w14:paraId="0685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6" w:type="dxa"/>
            <w:shd w:val="clear" w:color="auto" w:fill="E7E6E6" w:themeFill="background2"/>
            <w:noWrap/>
            <w:vAlign w:val="center"/>
          </w:tcPr>
          <w:p w14:paraId="34360C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0" w:type="dxa"/>
            <w:gridSpan w:val="2"/>
            <w:shd w:val="clear" w:color="auto" w:fill="auto"/>
            <w:noWrap/>
            <w:vAlign w:val="center"/>
          </w:tcPr>
          <w:p w14:paraId="2D2414CC">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80" w:type="dxa"/>
            <w:gridSpan w:val="3"/>
            <w:shd w:val="clear" w:color="auto" w:fill="E7E6E6" w:themeFill="background2"/>
            <w:noWrap/>
            <w:vAlign w:val="center"/>
          </w:tcPr>
          <w:p w14:paraId="5CD1EA6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76" w:type="dxa"/>
            <w:shd w:val="clear" w:color="auto" w:fill="auto"/>
            <w:noWrap/>
            <w:vAlign w:val="center"/>
          </w:tcPr>
          <w:p w14:paraId="23532C76">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50" w:type="dxa"/>
            <w:gridSpan w:val="3"/>
            <w:shd w:val="clear" w:color="auto" w:fill="E7E6E6" w:themeFill="background2"/>
            <w:noWrap/>
            <w:vAlign w:val="center"/>
          </w:tcPr>
          <w:p w14:paraId="03CC66F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2" w:type="dxa"/>
            <w:shd w:val="clear" w:color="auto" w:fill="auto"/>
            <w:noWrap/>
            <w:vAlign w:val="center"/>
          </w:tcPr>
          <w:p w14:paraId="065B4177">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7DEC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6" w:type="dxa"/>
            <w:shd w:val="clear" w:color="auto" w:fill="E7E6E6" w:themeFill="background2"/>
            <w:noWrap/>
            <w:vAlign w:val="center"/>
          </w:tcPr>
          <w:p w14:paraId="3AB02DC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10"/>
            <w:shd w:val="clear" w:color="auto" w:fill="auto"/>
            <w:noWrap/>
            <w:vAlign w:val="center"/>
          </w:tcPr>
          <w:p w14:paraId="1F9171A8">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成都市天府新区</w:t>
            </w:r>
          </w:p>
        </w:tc>
      </w:tr>
      <w:tr w14:paraId="1C8A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1706" w:type="dxa"/>
            <w:shd w:val="clear" w:color="auto" w:fill="E7E6E6" w:themeFill="background2"/>
            <w:noWrap/>
            <w:vAlign w:val="center"/>
          </w:tcPr>
          <w:p w14:paraId="1FDD39F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10"/>
            <w:shd w:val="clear" w:color="auto" w:fill="auto"/>
            <w:noWrap/>
            <w:vAlign w:val="center"/>
          </w:tcPr>
          <w:p w14:paraId="7E067C4D">
            <w:pPr>
              <w:adjustRightInd w:val="0"/>
              <w:snapToGrid w:val="0"/>
              <w:spacing w:line="288" w:lineRule="auto"/>
              <w:ind w:firstLine="420" w:firstLineChars="200"/>
              <w:rPr>
                <w:rFonts w:eastAsiaTheme="minorEastAsia"/>
                <w:sz w:val="21"/>
                <w:szCs w:val="21"/>
              </w:rPr>
            </w:pPr>
            <w:r>
              <w:rPr>
                <w:rFonts w:hint="eastAsia" w:eastAsiaTheme="minorEastAsia"/>
                <w:sz w:val="21"/>
                <w:szCs w:val="21"/>
              </w:rPr>
              <w:t>中国科学院成都生物研究所成立于1958年，是以一级学科建所的国立科研事业单位。成都生物所始终坚持面向世界科技前沿、面向国家重大需求、面向国民经济主战场，致力于生物多样性保育与生态环境建设、生物资源高效可持续利用、食品-人类健康-水资源安全中的科学前沿问题和重大技术瓶颈，开展基础性、战略性和前瞻性科学研究、技术研发与集成。为国家经济建设、生态文明建设，为乡村振兴战略、“一带一路”倡议、长江上游生态屏障建设，提供科学基础、技术支撑与决策依据，为建设世界科技强国以及富强民主文明和谐美丽中国贡献力量。</w:t>
            </w:r>
          </w:p>
        </w:tc>
      </w:tr>
      <w:tr w14:paraId="6026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jc w:val="center"/>
        </w:trPr>
        <w:tc>
          <w:tcPr>
            <w:tcW w:w="1706" w:type="dxa"/>
            <w:shd w:val="clear" w:color="auto" w:fill="E7E6E6" w:themeFill="background2"/>
            <w:noWrap/>
            <w:vAlign w:val="center"/>
          </w:tcPr>
          <w:p w14:paraId="59043BA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10"/>
            <w:shd w:val="clear" w:color="auto" w:fill="auto"/>
            <w:noWrap/>
            <w:vAlign w:val="center"/>
          </w:tcPr>
          <w:p w14:paraId="3790FBBE">
            <w:pPr>
              <w:adjustRightInd w:val="0"/>
              <w:snapToGrid w:val="0"/>
              <w:spacing w:line="380" w:lineRule="exact"/>
              <w:ind w:firstLine="420" w:firstLineChars="200"/>
              <w:rPr>
                <w:rFonts w:eastAsiaTheme="minorEastAsia"/>
                <w:sz w:val="21"/>
                <w:szCs w:val="21"/>
              </w:rPr>
            </w:pPr>
            <w:r>
              <w:rPr>
                <w:rFonts w:hint="eastAsia" w:eastAsiaTheme="minorEastAsia"/>
                <w:sz w:val="21"/>
                <w:szCs w:val="21"/>
              </w:rPr>
              <w:t>成都生物所生物学博士后科研流动站全年受理申请，申请人须全职从事博士后研究工作，年龄不超过35岁；研究所为博士后研究人员从事项目研究提供良好的工作条件，成立博士后专家指导小组，共同负责对博士后研究人员在站期间的科研工作进行指导和定期（入站评审、开题、中期及出站）学术考评；博士后进站人员参照我所同类人员工作标准，根据科研成果情况有相应绩效奖励，研究所为其购买五险一金；符合相应条件的博士后，按照有关规定享受住房补贴和配偶生活补贴；在站博士后择优纳入特别研究助理管理。</w:t>
            </w:r>
          </w:p>
        </w:tc>
      </w:tr>
      <w:tr w14:paraId="5CD5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2E3898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14:paraId="62FEDC6B">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需求人数</w:t>
            </w:r>
          </w:p>
        </w:tc>
        <w:tc>
          <w:tcPr>
            <w:tcW w:w="1188" w:type="dxa"/>
            <w:shd w:val="clear" w:color="auto" w:fill="E7E6E6" w:themeFill="background2"/>
            <w:noWrap/>
            <w:vAlign w:val="center"/>
          </w:tcPr>
          <w:p w14:paraId="6B7FA977">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14:paraId="06D5A75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DE6AE19">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4350C2D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37DE245">
            <w:pPr>
              <w:adjustRightInd w:val="0"/>
              <w:snapToGrid w:val="0"/>
              <w:spacing w:line="240" w:lineRule="auto"/>
              <w:ind w:firstLine="0" w:firstLineChars="0"/>
              <w:jc w:val="center"/>
              <w:rPr>
                <w:rFonts w:hint="eastAsia"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5B2804D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64B2F99">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等要求</w:t>
            </w:r>
          </w:p>
        </w:tc>
      </w:tr>
      <w:tr w14:paraId="0023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FFFFFF"/>
            <w:noWrap/>
            <w:vAlign w:val="center"/>
          </w:tcPr>
          <w:p w14:paraId="1C76A81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动物生态学及保护生物地理学</w:t>
            </w:r>
          </w:p>
        </w:tc>
        <w:tc>
          <w:tcPr>
            <w:tcW w:w="1248" w:type="dxa"/>
            <w:gridSpan w:val="2"/>
            <w:shd w:val="clear" w:color="auto" w:fill="FFFFFF"/>
            <w:noWrap/>
            <w:vAlign w:val="center"/>
          </w:tcPr>
          <w:p w14:paraId="2AD51F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2-3</w:t>
            </w:r>
          </w:p>
        </w:tc>
        <w:tc>
          <w:tcPr>
            <w:tcW w:w="1188" w:type="dxa"/>
            <w:shd w:val="clear" w:color="auto" w:fill="FFFFFF"/>
            <w:noWrap/>
            <w:vAlign w:val="center"/>
          </w:tcPr>
          <w:p w14:paraId="03ED45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644" w:type="dxa"/>
            <w:gridSpan w:val="3"/>
            <w:shd w:val="clear" w:color="auto" w:fill="FFFFFF"/>
            <w:noWrap/>
            <w:vAlign w:val="center"/>
          </w:tcPr>
          <w:p w14:paraId="5AE8F84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动物生态学、保护生物学、生物地理学</w:t>
            </w:r>
          </w:p>
        </w:tc>
        <w:tc>
          <w:tcPr>
            <w:tcW w:w="1344" w:type="dxa"/>
            <w:shd w:val="clear" w:color="auto" w:fill="FFFFFF"/>
            <w:noWrap/>
            <w:vAlign w:val="center"/>
          </w:tcPr>
          <w:p w14:paraId="45AA20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22-30</w:t>
            </w:r>
          </w:p>
        </w:tc>
        <w:tc>
          <w:tcPr>
            <w:tcW w:w="1947" w:type="dxa"/>
            <w:gridSpan w:val="2"/>
            <w:vMerge w:val="restart"/>
            <w:shd w:val="clear" w:color="auto" w:fill="FFFFFF"/>
            <w:noWrap/>
            <w:vAlign w:val="center"/>
          </w:tcPr>
          <w:p w14:paraId="62AA80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sz w:val="21"/>
                <w:szCs w:val="21"/>
              </w:rPr>
              <w:t>具备良好的科研训练背景及潜质</w:t>
            </w:r>
          </w:p>
        </w:tc>
      </w:tr>
      <w:tr w14:paraId="7439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FFFFFF"/>
            <w:noWrap/>
            <w:vAlign w:val="center"/>
          </w:tcPr>
          <w:p w14:paraId="4ED1D9A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智能优化算法与统计决策模型研发</w:t>
            </w:r>
          </w:p>
        </w:tc>
        <w:tc>
          <w:tcPr>
            <w:tcW w:w="1248" w:type="dxa"/>
            <w:gridSpan w:val="2"/>
            <w:shd w:val="clear" w:color="auto" w:fill="FFFFFF"/>
            <w:noWrap/>
            <w:vAlign w:val="center"/>
          </w:tcPr>
          <w:p w14:paraId="33C9A6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1-2</w:t>
            </w:r>
          </w:p>
        </w:tc>
        <w:tc>
          <w:tcPr>
            <w:tcW w:w="1188" w:type="dxa"/>
            <w:shd w:val="clear" w:color="auto" w:fill="FFFFFF"/>
            <w:noWrap/>
            <w:vAlign w:val="center"/>
          </w:tcPr>
          <w:p w14:paraId="17A2B3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644" w:type="dxa"/>
            <w:gridSpan w:val="3"/>
            <w:shd w:val="clear" w:color="auto" w:fill="FFFFFF"/>
            <w:noWrap/>
            <w:vAlign w:val="center"/>
          </w:tcPr>
          <w:p w14:paraId="5A42FA3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统计学、计算机科学、人工智能、机器学习等相关专业</w:t>
            </w:r>
          </w:p>
        </w:tc>
        <w:tc>
          <w:tcPr>
            <w:tcW w:w="1344" w:type="dxa"/>
            <w:shd w:val="clear" w:color="auto" w:fill="FFFFFF"/>
            <w:noWrap/>
            <w:vAlign w:val="center"/>
          </w:tcPr>
          <w:p w14:paraId="72FEDB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22-30</w:t>
            </w:r>
          </w:p>
        </w:tc>
        <w:tc>
          <w:tcPr>
            <w:tcW w:w="1947" w:type="dxa"/>
            <w:gridSpan w:val="2"/>
            <w:vMerge w:val="continue"/>
            <w:shd w:val="clear" w:color="auto" w:fill="FFFFFF"/>
            <w:noWrap/>
            <w:vAlign w:val="center"/>
          </w:tcPr>
          <w:p w14:paraId="127FE3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1F32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5BF24B6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生物多样性时空演变过程与机制</w:t>
            </w:r>
          </w:p>
        </w:tc>
        <w:tc>
          <w:tcPr>
            <w:tcW w:w="1248" w:type="dxa"/>
            <w:gridSpan w:val="2"/>
            <w:shd w:val="clear" w:color="auto" w:fill="auto"/>
            <w:noWrap/>
            <w:vAlign w:val="center"/>
          </w:tcPr>
          <w:p w14:paraId="27D6F18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1-3</w:t>
            </w:r>
          </w:p>
        </w:tc>
        <w:tc>
          <w:tcPr>
            <w:tcW w:w="1188" w:type="dxa"/>
            <w:shd w:val="clear" w:color="auto" w:fill="auto"/>
            <w:noWrap/>
            <w:vAlign w:val="center"/>
          </w:tcPr>
          <w:p w14:paraId="3A6757E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BSH003</w:t>
            </w:r>
          </w:p>
        </w:tc>
        <w:tc>
          <w:tcPr>
            <w:tcW w:w="1644" w:type="dxa"/>
            <w:gridSpan w:val="3"/>
            <w:shd w:val="clear" w:color="auto" w:fill="auto"/>
            <w:noWrap/>
            <w:vAlign w:val="center"/>
          </w:tcPr>
          <w:p w14:paraId="6A796F1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动物学、植物学、生态学、生物地理学、保护生物学等相关专业</w:t>
            </w:r>
          </w:p>
        </w:tc>
        <w:tc>
          <w:tcPr>
            <w:tcW w:w="1344" w:type="dxa"/>
            <w:shd w:val="clear" w:color="auto" w:fill="auto"/>
            <w:noWrap/>
            <w:vAlign w:val="center"/>
          </w:tcPr>
          <w:p w14:paraId="329FAF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7DD3EB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p>
        </w:tc>
      </w:tr>
      <w:tr w14:paraId="580D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1495A35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物种灭绝风险预测与保护成效评估</w:t>
            </w:r>
          </w:p>
        </w:tc>
        <w:tc>
          <w:tcPr>
            <w:tcW w:w="1248" w:type="dxa"/>
            <w:gridSpan w:val="2"/>
            <w:shd w:val="clear" w:color="auto" w:fill="auto"/>
            <w:noWrap/>
            <w:vAlign w:val="center"/>
          </w:tcPr>
          <w:p w14:paraId="4FF7348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rPr>
              <w:t>1-4</w:t>
            </w:r>
          </w:p>
        </w:tc>
        <w:tc>
          <w:tcPr>
            <w:tcW w:w="1188" w:type="dxa"/>
            <w:shd w:val="clear" w:color="auto" w:fill="auto"/>
            <w:noWrap/>
            <w:vAlign w:val="center"/>
          </w:tcPr>
          <w:p w14:paraId="64B032A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rPr>
              <w:t>BSH004</w:t>
            </w:r>
          </w:p>
        </w:tc>
        <w:tc>
          <w:tcPr>
            <w:tcW w:w="1644" w:type="dxa"/>
            <w:gridSpan w:val="3"/>
            <w:shd w:val="clear" w:color="auto" w:fill="auto"/>
            <w:noWrap/>
            <w:vAlign w:val="center"/>
          </w:tcPr>
          <w:p w14:paraId="652D63C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计算机科学、宏观生态学、景观生态学、生态系统生态学、保护生物学</w:t>
            </w:r>
          </w:p>
        </w:tc>
        <w:tc>
          <w:tcPr>
            <w:tcW w:w="1344" w:type="dxa"/>
            <w:shd w:val="clear" w:color="auto" w:fill="auto"/>
            <w:noWrap/>
            <w:vAlign w:val="center"/>
          </w:tcPr>
          <w:p w14:paraId="411FE79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F453F8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val="en-US" w:eastAsia="zh-CN"/>
              </w:rPr>
            </w:pPr>
          </w:p>
        </w:tc>
      </w:tr>
      <w:tr w14:paraId="33C0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74EB7973">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14:paraId="4B871F3A">
            <w:pPr>
              <w:adjustRightInd w:val="0"/>
              <w:snapToGrid w:val="0"/>
              <w:spacing w:line="240" w:lineRule="auto"/>
              <w:ind w:firstLine="0" w:firstLineChars="0"/>
              <w:jc w:val="center"/>
              <w:rPr>
                <w:rFonts w:hint="default" w:ascii="Times New Roman" w:hAnsi="Times New Roman" w:cs="Times New Roman"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14:paraId="754288C2">
            <w:pPr>
              <w:adjustRightInd w:val="0"/>
              <w:snapToGrid w:val="0"/>
              <w:spacing w:line="240" w:lineRule="auto"/>
              <w:ind w:firstLine="0" w:firstLineChars="0"/>
              <w:jc w:val="center"/>
              <w:rPr>
                <w:rFonts w:hint="default" w:ascii="Times New Roman" w:hAnsi="Times New Roman" w:cs="Times New Roman"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14:paraId="25C70ED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7933E80">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39C220D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CB3BBFF">
            <w:pPr>
              <w:adjustRightInd w:val="0"/>
              <w:snapToGrid w:val="0"/>
              <w:spacing w:line="240" w:lineRule="auto"/>
              <w:ind w:firstLine="0" w:firstLineChars="0"/>
              <w:jc w:val="center"/>
              <w:rPr>
                <w:rFonts w:hint="default" w:ascii="Times New Roman" w:hAnsi="Times New Roman" w:cs="Times New Roman" w:eastAsiaTheme="minorEastAsia"/>
                <w:color w:val="000000"/>
                <w:kern w:val="0"/>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5B25E5C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8165238">
            <w:pPr>
              <w:adjustRightInd w:val="0"/>
              <w:snapToGrid w:val="0"/>
              <w:spacing w:line="240" w:lineRule="auto"/>
              <w:ind w:firstLine="0" w:firstLineChars="0"/>
              <w:jc w:val="center"/>
              <w:rPr>
                <w:rFonts w:hint="default" w:ascii="Times New Roman" w:hAnsi="Times New Roman" w:cs="Times New Roman" w:eastAsiaTheme="minorEastAsia"/>
                <w:color w:val="000000"/>
                <w:kern w:val="0"/>
                <w:sz w:val="21"/>
                <w:szCs w:val="21"/>
                <w:lang w:val="en-US" w:eastAsia="zh-CN"/>
              </w:rPr>
            </w:pPr>
            <w:r>
              <w:rPr>
                <w:rFonts w:eastAsiaTheme="minorEastAsia"/>
                <w:b/>
                <w:bCs/>
                <w:sz w:val="21"/>
                <w:szCs w:val="21"/>
              </w:rPr>
              <w:t>等要求</w:t>
            </w:r>
          </w:p>
        </w:tc>
      </w:tr>
      <w:tr w14:paraId="1550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7A46863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两栖动物适应高海拔的行为和生理机制</w:t>
            </w:r>
          </w:p>
        </w:tc>
        <w:tc>
          <w:tcPr>
            <w:tcW w:w="1248" w:type="dxa"/>
            <w:gridSpan w:val="2"/>
            <w:shd w:val="clear" w:color="auto" w:fill="auto"/>
            <w:noWrap/>
            <w:vAlign w:val="center"/>
          </w:tcPr>
          <w:p w14:paraId="6F1A87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748943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BSH005</w:t>
            </w:r>
          </w:p>
        </w:tc>
        <w:tc>
          <w:tcPr>
            <w:tcW w:w="1644" w:type="dxa"/>
            <w:gridSpan w:val="3"/>
            <w:shd w:val="clear" w:color="auto" w:fill="auto"/>
            <w:noWrap/>
            <w:vAlign w:val="center"/>
          </w:tcPr>
          <w:p w14:paraId="6158BBA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动物生态学、动物学</w:t>
            </w:r>
          </w:p>
        </w:tc>
        <w:tc>
          <w:tcPr>
            <w:tcW w:w="1344" w:type="dxa"/>
            <w:shd w:val="clear" w:color="auto" w:fill="auto"/>
            <w:noWrap/>
            <w:vAlign w:val="center"/>
          </w:tcPr>
          <w:p w14:paraId="54D0300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4F5DE8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5CF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37F28E5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爪蟾听觉毛细胞的噪音损伤与再生修复机制</w:t>
            </w:r>
          </w:p>
        </w:tc>
        <w:tc>
          <w:tcPr>
            <w:tcW w:w="1248" w:type="dxa"/>
            <w:gridSpan w:val="2"/>
            <w:shd w:val="clear" w:color="auto" w:fill="auto"/>
            <w:noWrap/>
            <w:vAlign w:val="center"/>
          </w:tcPr>
          <w:p w14:paraId="2F7BD17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035A99E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BSH006</w:t>
            </w:r>
          </w:p>
        </w:tc>
        <w:tc>
          <w:tcPr>
            <w:tcW w:w="1644" w:type="dxa"/>
            <w:gridSpan w:val="3"/>
            <w:shd w:val="clear" w:color="auto" w:fill="auto"/>
            <w:noWrap/>
            <w:vAlign w:val="center"/>
          </w:tcPr>
          <w:p w14:paraId="1110B2D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生物信息学、比较基因组学、分子生物学</w:t>
            </w:r>
          </w:p>
        </w:tc>
        <w:tc>
          <w:tcPr>
            <w:tcW w:w="1344" w:type="dxa"/>
            <w:shd w:val="clear" w:color="auto" w:fill="auto"/>
            <w:noWrap/>
            <w:vAlign w:val="center"/>
          </w:tcPr>
          <w:p w14:paraId="4278AD0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14E360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75A4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00AD0EF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蛙类声源定位的行为与神经生物学机制</w:t>
            </w:r>
          </w:p>
        </w:tc>
        <w:tc>
          <w:tcPr>
            <w:tcW w:w="1248" w:type="dxa"/>
            <w:gridSpan w:val="2"/>
            <w:shd w:val="clear" w:color="auto" w:fill="auto"/>
            <w:noWrap/>
            <w:vAlign w:val="center"/>
          </w:tcPr>
          <w:p w14:paraId="2198ED2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D4EB0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BSH007</w:t>
            </w:r>
          </w:p>
        </w:tc>
        <w:tc>
          <w:tcPr>
            <w:tcW w:w="1644" w:type="dxa"/>
            <w:gridSpan w:val="3"/>
            <w:shd w:val="clear" w:color="auto" w:fill="auto"/>
            <w:noWrap/>
            <w:vAlign w:val="center"/>
          </w:tcPr>
          <w:p w14:paraId="262B695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动物学、神经生物学</w:t>
            </w:r>
          </w:p>
        </w:tc>
        <w:tc>
          <w:tcPr>
            <w:tcW w:w="1344" w:type="dxa"/>
            <w:shd w:val="clear" w:color="auto" w:fill="auto"/>
            <w:noWrap/>
            <w:vAlign w:val="center"/>
          </w:tcPr>
          <w:p w14:paraId="6DC9C5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9AD46D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28A0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5C044A2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蝮蛇红外感知的神经机制</w:t>
            </w:r>
          </w:p>
        </w:tc>
        <w:tc>
          <w:tcPr>
            <w:tcW w:w="1248" w:type="dxa"/>
            <w:gridSpan w:val="2"/>
            <w:shd w:val="clear" w:color="auto" w:fill="auto"/>
            <w:noWrap/>
            <w:vAlign w:val="center"/>
          </w:tcPr>
          <w:p w14:paraId="7F0A95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288F52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BSH008</w:t>
            </w:r>
          </w:p>
        </w:tc>
        <w:tc>
          <w:tcPr>
            <w:tcW w:w="1644" w:type="dxa"/>
            <w:gridSpan w:val="3"/>
            <w:shd w:val="clear" w:color="auto" w:fill="auto"/>
            <w:noWrap/>
            <w:vAlign w:val="center"/>
          </w:tcPr>
          <w:p w14:paraId="4E75367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动物学、神经生物学</w:t>
            </w:r>
          </w:p>
        </w:tc>
        <w:tc>
          <w:tcPr>
            <w:tcW w:w="1344" w:type="dxa"/>
            <w:shd w:val="clear" w:color="auto" w:fill="auto"/>
            <w:noWrap/>
            <w:vAlign w:val="center"/>
          </w:tcPr>
          <w:p w14:paraId="6175A6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E1D84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0E87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7DE95AE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两栖类基因组与再生能力进化</w:t>
            </w:r>
          </w:p>
        </w:tc>
        <w:tc>
          <w:tcPr>
            <w:tcW w:w="1248" w:type="dxa"/>
            <w:gridSpan w:val="2"/>
            <w:shd w:val="clear" w:color="auto" w:fill="auto"/>
            <w:noWrap/>
            <w:vAlign w:val="center"/>
          </w:tcPr>
          <w:p w14:paraId="0DD963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034B4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BSH009</w:t>
            </w:r>
          </w:p>
        </w:tc>
        <w:tc>
          <w:tcPr>
            <w:tcW w:w="1644" w:type="dxa"/>
            <w:gridSpan w:val="3"/>
            <w:shd w:val="clear" w:color="auto" w:fill="auto"/>
            <w:noWrap/>
            <w:vAlign w:val="center"/>
          </w:tcPr>
          <w:p w14:paraId="3DAEB42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分子生态学、生物信息学</w:t>
            </w:r>
          </w:p>
        </w:tc>
        <w:tc>
          <w:tcPr>
            <w:tcW w:w="1344" w:type="dxa"/>
            <w:shd w:val="clear" w:color="auto" w:fill="auto"/>
            <w:noWrap/>
            <w:vAlign w:val="center"/>
          </w:tcPr>
          <w:p w14:paraId="0D0D27F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63122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5B6E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700800A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青藏高原人为干扰下动物群落结构与生态系统健康评估</w:t>
            </w:r>
          </w:p>
        </w:tc>
        <w:tc>
          <w:tcPr>
            <w:tcW w:w="1248" w:type="dxa"/>
            <w:gridSpan w:val="2"/>
            <w:shd w:val="clear" w:color="auto" w:fill="auto"/>
            <w:noWrap/>
            <w:vAlign w:val="center"/>
          </w:tcPr>
          <w:p w14:paraId="06612C2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30001D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BSH010</w:t>
            </w:r>
          </w:p>
        </w:tc>
        <w:tc>
          <w:tcPr>
            <w:tcW w:w="1644" w:type="dxa"/>
            <w:gridSpan w:val="3"/>
            <w:shd w:val="clear" w:color="auto" w:fill="auto"/>
            <w:noWrap/>
            <w:vAlign w:val="center"/>
          </w:tcPr>
          <w:p w14:paraId="41279F7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动物学、生态学</w:t>
            </w:r>
          </w:p>
        </w:tc>
        <w:tc>
          <w:tcPr>
            <w:tcW w:w="1344" w:type="dxa"/>
            <w:shd w:val="clear" w:color="auto" w:fill="auto"/>
            <w:noWrap/>
            <w:vAlign w:val="center"/>
          </w:tcPr>
          <w:p w14:paraId="6AA16A9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73BD631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2EB4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3350275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动物多样性生态功能解析</w:t>
            </w:r>
          </w:p>
        </w:tc>
        <w:tc>
          <w:tcPr>
            <w:tcW w:w="1248" w:type="dxa"/>
            <w:gridSpan w:val="2"/>
            <w:shd w:val="clear" w:color="auto" w:fill="auto"/>
            <w:noWrap/>
            <w:vAlign w:val="center"/>
          </w:tcPr>
          <w:p w14:paraId="6F4C4BA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C7AC32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BSH011</w:t>
            </w:r>
          </w:p>
        </w:tc>
        <w:tc>
          <w:tcPr>
            <w:tcW w:w="1644" w:type="dxa"/>
            <w:gridSpan w:val="3"/>
            <w:shd w:val="clear" w:color="auto" w:fill="auto"/>
            <w:noWrap/>
            <w:vAlign w:val="center"/>
          </w:tcPr>
          <w:p w14:paraId="571289E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动物学、生态学</w:t>
            </w:r>
          </w:p>
        </w:tc>
        <w:tc>
          <w:tcPr>
            <w:tcW w:w="1344" w:type="dxa"/>
            <w:shd w:val="clear" w:color="auto" w:fill="auto"/>
            <w:noWrap/>
            <w:vAlign w:val="center"/>
          </w:tcPr>
          <w:p w14:paraId="6FD16EF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45FD9F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633F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5E845CD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动物系统发育与进化适应</w:t>
            </w:r>
          </w:p>
        </w:tc>
        <w:tc>
          <w:tcPr>
            <w:tcW w:w="1248" w:type="dxa"/>
            <w:gridSpan w:val="2"/>
            <w:shd w:val="clear" w:color="auto" w:fill="auto"/>
            <w:noWrap/>
            <w:vAlign w:val="center"/>
          </w:tcPr>
          <w:p w14:paraId="520ACB7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CFD1FF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BSH012</w:t>
            </w:r>
          </w:p>
        </w:tc>
        <w:tc>
          <w:tcPr>
            <w:tcW w:w="1644" w:type="dxa"/>
            <w:gridSpan w:val="3"/>
            <w:shd w:val="clear" w:color="auto" w:fill="auto"/>
            <w:noWrap/>
            <w:vAlign w:val="center"/>
          </w:tcPr>
          <w:p w14:paraId="4E0F96E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动物学、进化生物学</w:t>
            </w:r>
          </w:p>
        </w:tc>
        <w:tc>
          <w:tcPr>
            <w:tcW w:w="1344" w:type="dxa"/>
            <w:shd w:val="clear" w:color="auto" w:fill="auto"/>
            <w:noWrap/>
            <w:vAlign w:val="center"/>
          </w:tcPr>
          <w:p w14:paraId="7A1E1A0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DE3729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p>
        </w:tc>
      </w:tr>
      <w:tr w14:paraId="6749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6EFD0F8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两栖爬行动物多样性格局演化、复杂性状分子机制解析</w:t>
            </w:r>
          </w:p>
        </w:tc>
        <w:tc>
          <w:tcPr>
            <w:tcW w:w="1248" w:type="dxa"/>
            <w:gridSpan w:val="2"/>
            <w:shd w:val="clear" w:color="auto" w:fill="auto"/>
            <w:noWrap/>
            <w:vAlign w:val="center"/>
          </w:tcPr>
          <w:p w14:paraId="74CECDC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7F1332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BSH013</w:t>
            </w:r>
          </w:p>
        </w:tc>
        <w:tc>
          <w:tcPr>
            <w:tcW w:w="1644" w:type="dxa"/>
            <w:gridSpan w:val="3"/>
            <w:shd w:val="clear" w:color="auto" w:fill="auto"/>
            <w:noWrap/>
            <w:vAlign w:val="center"/>
          </w:tcPr>
          <w:p w14:paraId="09C5451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动物学、生态学、基因组学</w:t>
            </w:r>
          </w:p>
        </w:tc>
        <w:tc>
          <w:tcPr>
            <w:tcW w:w="1344" w:type="dxa"/>
            <w:shd w:val="clear" w:color="auto" w:fill="auto"/>
            <w:noWrap/>
            <w:vAlign w:val="center"/>
          </w:tcPr>
          <w:p w14:paraId="3680110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2D9C28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897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689CF7F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动物特殊性状的功能仿生</w:t>
            </w:r>
          </w:p>
        </w:tc>
        <w:tc>
          <w:tcPr>
            <w:tcW w:w="1248" w:type="dxa"/>
            <w:gridSpan w:val="2"/>
            <w:shd w:val="clear" w:color="auto" w:fill="auto"/>
            <w:noWrap/>
            <w:vAlign w:val="center"/>
          </w:tcPr>
          <w:p w14:paraId="1EABB67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90CCE5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BSH014</w:t>
            </w:r>
          </w:p>
        </w:tc>
        <w:tc>
          <w:tcPr>
            <w:tcW w:w="1644" w:type="dxa"/>
            <w:gridSpan w:val="3"/>
            <w:shd w:val="clear" w:color="auto" w:fill="auto"/>
            <w:noWrap/>
            <w:vAlign w:val="center"/>
          </w:tcPr>
          <w:p w14:paraId="58D254F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材料工程</w:t>
            </w:r>
          </w:p>
        </w:tc>
        <w:tc>
          <w:tcPr>
            <w:tcW w:w="1344" w:type="dxa"/>
            <w:shd w:val="clear" w:color="auto" w:fill="auto"/>
            <w:noWrap/>
            <w:vAlign w:val="center"/>
          </w:tcPr>
          <w:p w14:paraId="55F2757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2C1675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8AD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08B505A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野生动物资源发掘与利用</w:t>
            </w:r>
          </w:p>
        </w:tc>
        <w:tc>
          <w:tcPr>
            <w:tcW w:w="1248" w:type="dxa"/>
            <w:gridSpan w:val="2"/>
            <w:shd w:val="clear" w:color="auto" w:fill="auto"/>
            <w:noWrap/>
            <w:vAlign w:val="center"/>
          </w:tcPr>
          <w:p w14:paraId="6EA3643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484569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BSH015</w:t>
            </w:r>
          </w:p>
        </w:tc>
        <w:tc>
          <w:tcPr>
            <w:tcW w:w="1644" w:type="dxa"/>
            <w:gridSpan w:val="3"/>
            <w:shd w:val="clear" w:color="auto" w:fill="auto"/>
            <w:noWrap/>
            <w:vAlign w:val="center"/>
          </w:tcPr>
          <w:p w14:paraId="08DA976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药学、生物化学、药物化学</w:t>
            </w:r>
          </w:p>
        </w:tc>
        <w:tc>
          <w:tcPr>
            <w:tcW w:w="1344" w:type="dxa"/>
            <w:shd w:val="clear" w:color="auto" w:fill="auto"/>
            <w:noWrap/>
            <w:vAlign w:val="center"/>
          </w:tcPr>
          <w:p w14:paraId="5009E49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F33E8C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14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74C142D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豆科山蚂蝗族的系统发生与分类研究</w:t>
            </w:r>
          </w:p>
        </w:tc>
        <w:tc>
          <w:tcPr>
            <w:tcW w:w="1248" w:type="dxa"/>
            <w:gridSpan w:val="2"/>
            <w:shd w:val="clear" w:color="auto" w:fill="auto"/>
            <w:noWrap/>
            <w:vAlign w:val="center"/>
          </w:tcPr>
          <w:p w14:paraId="16E43F3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978406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BSH016</w:t>
            </w:r>
          </w:p>
        </w:tc>
        <w:tc>
          <w:tcPr>
            <w:tcW w:w="1644" w:type="dxa"/>
            <w:gridSpan w:val="3"/>
            <w:shd w:val="clear" w:color="auto" w:fill="auto"/>
            <w:noWrap/>
            <w:vAlign w:val="center"/>
          </w:tcPr>
          <w:p w14:paraId="060C54B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植物分类学，系统进化</w:t>
            </w:r>
          </w:p>
        </w:tc>
        <w:tc>
          <w:tcPr>
            <w:tcW w:w="1344" w:type="dxa"/>
            <w:shd w:val="clear" w:color="auto" w:fill="auto"/>
            <w:noWrap/>
            <w:vAlign w:val="center"/>
          </w:tcPr>
          <w:p w14:paraId="2BAA918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9BFC4A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8D5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4BC8D64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珍稀濒危物种保护生物学研究</w:t>
            </w:r>
          </w:p>
        </w:tc>
        <w:tc>
          <w:tcPr>
            <w:tcW w:w="1248" w:type="dxa"/>
            <w:gridSpan w:val="2"/>
            <w:shd w:val="clear" w:color="auto" w:fill="auto"/>
            <w:noWrap/>
            <w:vAlign w:val="center"/>
          </w:tcPr>
          <w:p w14:paraId="5F5CB5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589F363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BSH017</w:t>
            </w:r>
          </w:p>
        </w:tc>
        <w:tc>
          <w:tcPr>
            <w:tcW w:w="1644" w:type="dxa"/>
            <w:gridSpan w:val="3"/>
            <w:shd w:val="clear" w:color="auto" w:fill="auto"/>
            <w:noWrap/>
            <w:vAlign w:val="center"/>
          </w:tcPr>
          <w:p w14:paraId="4774B16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保护生物学、基因组学、生物信息学</w:t>
            </w:r>
          </w:p>
        </w:tc>
        <w:tc>
          <w:tcPr>
            <w:tcW w:w="1344" w:type="dxa"/>
            <w:shd w:val="clear" w:color="auto" w:fill="auto"/>
            <w:noWrap/>
            <w:vAlign w:val="center"/>
          </w:tcPr>
          <w:p w14:paraId="7DDD439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6B4CA8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288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73" w:type="dxa"/>
            <w:gridSpan w:val="2"/>
            <w:shd w:val="clear" w:color="auto" w:fill="auto"/>
            <w:noWrap/>
            <w:vAlign w:val="center"/>
          </w:tcPr>
          <w:p w14:paraId="5E7416E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重要物种的就地保护与迁地保护</w:t>
            </w:r>
          </w:p>
        </w:tc>
        <w:tc>
          <w:tcPr>
            <w:tcW w:w="1248" w:type="dxa"/>
            <w:gridSpan w:val="2"/>
            <w:shd w:val="clear" w:color="auto" w:fill="auto"/>
            <w:noWrap/>
            <w:vAlign w:val="center"/>
          </w:tcPr>
          <w:p w14:paraId="4D04D74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7B54967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BSH018</w:t>
            </w:r>
          </w:p>
        </w:tc>
        <w:tc>
          <w:tcPr>
            <w:tcW w:w="1644" w:type="dxa"/>
            <w:gridSpan w:val="3"/>
            <w:shd w:val="clear" w:color="auto" w:fill="auto"/>
            <w:noWrap/>
            <w:vAlign w:val="center"/>
          </w:tcPr>
          <w:p w14:paraId="5ECD359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植物学、保护生物学</w:t>
            </w:r>
          </w:p>
        </w:tc>
        <w:tc>
          <w:tcPr>
            <w:tcW w:w="1344" w:type="dxa"/>
            <w:shd w:val="clear" w:color="auto" w:fill="auto"/>
            <w:noWrap/>
            <w:vAlign w:val="center"/>
          </w:tcPr>
          <w:p w14:paraId="447E7C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4FE92A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753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00FF4CAF">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项目名称</w:t>
            </w:r>
          </w:p>
        </w:tc>
        <w:tc>
          <w:tcPr>
            <w:tcW w:w="1248" w:type="dxa"/>
            <w:gridSpan w:val="2"/>
            <w:shd w:val="clear" w:color="auto" w:fill="E7E6E6" w:themeFill="background2"/>
            <w:noWrap/>
            <w:vAlign w:val="center"/>
          </w:tcPr>
          <w:p w14:paraId="2D04E0EE">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需求人数</w:t>
            </w:r>
          </w:p>
        </w:tc>
        <w:tc>
          <w:tcPr>
            <w:tcW w:w="1188" w:type="dxa"/>
            <w:shd w:val="clear" w:color="auto" w:fill="E7E6E6" w:themeFill="background2"/>
            <w:noWrap/>
            <w:vAlign w:val="center"/>
          </w:tcPr>
          <w:p w14:paraId="0FCA555A">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岗位编号</w:t>
            </w:r>
          </w:p>
        </w:tc>
        <w:tc>
          <w:tcPr>
            <w:tcW w:w="1644" w:type="dxa"/>
            <w:gridSpan w:val="3"/>
            <w:shd w:val="clear" w:color="auto" w:fill="E7E6E6" w:themeFill="background2"/>
            <w:noWrap/>
            <w:vAlign w:val="center"/>
          </w:tcPr>
          <w:p w14:paraId="4CC6995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2F01F10">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5F7C274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CAFD49B">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24361B6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A822FE0">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等要求</w:t>
            </w:r>
          </w:p>
        </w:tc>
      </w:tr>
      <w:tr w14:paraId="7B83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3A55A1D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植物抗逆分子基础及功能性状解析</w:t>
            </w:r>
          </w:p>
        </w:tc>
        <w:tc>
          <w:tcPr>
            <w:tcW w:w="1248" w:type="dxa"/>
            <w:gridSpan w:val="2"/>
            <w:shd w:val="clear" w:color="auto" w:fill="auto"/>
            <w:noWrap/>
            <w:vAlign w:val="center"/>
          </w:tcPr>
          <w:p w14:paraId="2A2FBB9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01D89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BSH019</w:t>
            </w:r>
          </w:p>
        </w:tc>
        <w:tc>
          <w:tcPr>
            <w:tcW w:w="1644" w:type="dxa"/>
            <w:gridSpan w:val="3"/>
            <w:shd w:val="clear" w:color="auto" w:fill="auto"/>
            <w:noWrap/>
            <w:vAlign w:val="center"/>
          </w:tcPr>
          <w:p w14:paraId="56B6116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植物学、遗传学、基因组学</w:t>
            </w:r>
          </w:p>
        </w:tc>
        <w:tc>
          <w:tcPr>
            <w:tcW w:w="1344" w:type="dxa"/>
            <w:shd w:val="clear" w:color="auto" w:fill="auto"/>
            <w:noWrap/>
            <w:vAlign w:val="center"/>
          </w:tcPr>
          <w:p w14:paraId="14A9F26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7C2E5C8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51F5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14D511C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百合科核型多样性形成与进化进制</w:t>
            </w:r>
          </w:p>
        </w:tc>
        <w:tc>
          <w:tcPr>
            <w:tcW w:w="1248" w:type="dxa"/>
            <w:gridSpan w:val="2"/>
            <w:shd w:val="clear" w:color="auto" w:fill="auto"/>
            <w:noWrap/>
            <w:vAlign w:val="center"/>
          </w:tcPr>
          <w:p w14:paraId="7BB576B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DFC5A0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BSH020</w:t>
            </w:r>
          </w:p>
        </w:tc>
        <w:tc>
          <w:tcPr>
            <w:tcW w:w="1644" w:type="dxa"/>
            <w:gridSpan w:val="3"/>
            <w:shd w:val="clear" w:color="auto" w:fill="auto"/>
            <w:noWrap/>
            <w:vAlign w:val="center"/>
          </w:tcPr>
          <w:p w14:paraId="4846129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植物学，遗传学，系统进化</w:t>
            </w:r>
          </w:p>
        </w:tc>
        <w:tc>
          <w:tcPr>
            <w:tcW w:w="1344" w:type="dxa"/>
            <w:shd w:val="clear" w:color="auto" w:fill="auto"/>
            <w:noWrap/>
            <w:vAlign w:val="center"/>
          </w:tcPr>
          <w:p w14:paraId="649B8C9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8FAF18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27C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7ACDD93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筋骨草属系统发育基因组学</w:t>
            </w:r>
          </w:p>
        </w:tc>
        <w:tc>
          <w:tcPr>
            <w:tcW w:w="1248" w:type="dxa"/>
            <w:gridSpan w:val="2"/>
            <w:shd w:val="clear" w:color="auto" w:fill="auto"/>
            <w:noWrap/>
            <w:vAlign w:val="center"/>
          </w:tcPr>
          <w:p w14:paraId="7F6B53B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407F80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BSH021</w:t>
            </w:r>
          </w:p>
        </w:tc>
        <w:tc>
          <w:tcPr>
            <w:tcW w:w="1644" w:type="dxa"/>
            <w:gridSpan w:val="3"/>
            <w:shd w:val="clear" w:color="auto" w:fill="auto"/>
            <w:noWrap/>
            <w:vAlign w:val="center"/>
          </w:tcPr>
          <w:p w14:paraId="0C70B29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植物学、生物信息学</w:t>
            </w:r>
          </w:p>
        </w:tc>
        <w:tc>
          <w:tcPr>
            <w:tcW w:w="1344" w:type="dxa"/>
            <w:shd w:val="clear" w:color="auto" w:fill="auto"/>
            <w:noWrap/>
            <w:vAlign w:val="center"/>
          </w:tcPr>
          <w:p w14:paraId="59D9D71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49BE3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335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5B46D3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经济植物关键基因挖掘与功能验证</w:t>
            </w:r>
          </w:p>
        </w:tc>
        <w:tc>
          <w:tcPr>
            <w:tcW w:w="1248" w:type="dxa"/>
            <w:gridSpan w:val="2"/>
            <w:shd w:val="clear" w:color="auto" w:fill="auto"/>
            <w:noWrap/>
            <w:vAlign w:val="center"/>
          </w:tcPr>
          <w:p w14:paraId="5B91C4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1191E96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BSH022</w:t>
            </w:r>
          </w:p>
        </w:tc>
        <w:tc>
          <w:tcPr>
            <w:tcW w:w="1644" w:type="dxa"/>
            <w:gridSpan w:val="3"/>
            <w:shd w:val="clear" w:color="auto" w:fill="auto"/>
            <w:noWrap/>
            <w:vAlign w:val="center"/>
          </w:tcPr>
          <w:p w14:paraId="5121ABD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分子生物学、遗传学、植物学</w:t>
            </w:r>
          </w:p>
        </w:tc>
        <w:tc>
          <w:tcPr>
            <w:tcW w:w="1344" w:type="dxa"/>
            <w:shd w:val="clear" w:color="auto" w:fill="auto"/>
            <w:noWrap/>
            <w:vAlign w:val="center"/>
          </w:tcPr>
          <w:p w14:paraId="3B7705C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05A76B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F11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913C47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菊科植物系统进化研究</w:t>
            </w:r>
          </w:p>
        </w:tc>
        <w:tc>
          <w:tcPr>
            <w:tcW w:w="1248" w:type="dxa"/>
            <w:gridSpan w:val="2"/>
            <w:shd w:val="clear" w:color="auto" w:fill="auto"/>
            <w:noWrap/>
            <w:vAlign w:val="center"/>
          </w:tcPr>
          <w:p w14:paraId="3542141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449608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BSH023</w:t>
            </w:r>
          </w:p>
        </w:tc>
        <w:tc>
          <w:tcPr>
            <w:tcW w:w="1644" w:type="dxa"/>
            <w:gridSpan w:val="3"/>
            <w:shd w:val="clear" w:color="auto" w:fill="auto"/>
            <w:noWrap/>
            <w:vAlign w:val="center"/>
          </w:tcPr>
          <w:p w14:paraId="3E995C5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植物学、保护生物学</w:t>
            </w:r>
          </w:p>
        </w:tc>
        <w:tc>
          <w:tcPr>
            <w:tcW w:w="1344" w:type="dxa"/>
            <w:shd w:val="clear" w:color="auto" w:fill="auto"/>
            <w:noWrap/>
            <w:vAlign w:val="center"/>
          </w:tcPr>
          <w:p w14:paraId="7C21130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B731A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62F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098B9DA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两栖爬行动物性别决定及性染色体进化</w:t>
            </w:r>
          </w:p>
        </w:tc>
        <w:tc>
          <w:tcPr>
            <w:tcW w:w="1248" w:type="dxa"/>
            <w:gridSpan w:val="2"/>
            <w:shd w:val="clear" w:color="auto" w:fill="auto"/>
            <w:noWrap/>
            <w:vAlign w:val="center"/>
          </w:tcPr>
          <w:p w14:paraId="1E4BA55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AD723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BSH024</w:t>
            </w:r>
          </w:p>
        </w:tc>
        <w:tc>
          <w:tcPr>
            <w:tcW w:w="1644" w:type="dxa"/>
            <w:gridSpan w:val="3"/>
            <w:shd w:val="clear" w:color="auto" w:fill="auto"/>
            <w:noWrap/>
            <w:vAlign w:val="center"/>
          </w:tcPr>
          <w:p w14:paraId="4B6E0A1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遗传学，动物学，生物信息学</w:t>
            </w:r>
          </w:p>
        </w:tc>
        <w:tc>
          <w:tcPr>
            <w:tcW w:w="1344" w:type="dxa"/>
            <w:shd w:val="clear" w:color="auto" w:fill="auto"/>
            <w:noWrap/>
            <w:vAlign w:val="center"/>
          </w:tcPr>
          <w:p w14:paraId="38805E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AE432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D42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314ADF3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干旱区蜥蜴多样性与进化</w:t>
            </w:r>
          </w:p>
        </w:tc>
        <w:tc>
          <w:tcPr>
            <w:tcW w:w="1248" w:type="dxa"/>
            <w:gridSpan w:val="2"/>
            <w:shd w:val="clear" w:color="auto" w:fill="auto"/>
            <w:noWrap/>
            <w:vAlign w:val="center"/>
          </w:tcPr>
          <w:p w14:paraId="739654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06EDEF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BSH025</w:t>
            </w:r>
          </w:p>
        </w:tc>
        <w:tc>
          <w:tcPr>
            <w:tcW w:w="1644" w:type="dxa"/>
            <w:gridSpan w:val="3"/>
            <w:shd w:val="clear" w:color="auto" w:fill="auto"/>
            <w:noWrap/>
            <w:vAlign w:val="center"/>
          </w:tcPr>
          <w:p w14:paraId="6E94758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动物学、分类学、进化生物学</w:t>
            </w:r>
          </w:p>
        </w:tc>
        <w:tc>
          <w:tcPr>
            <w:tcW w:w="1344" w:type="dxa"/>
            <w:shd w:val="clear" w:color="auto" w:fill="auto"/>
            <w:noWrap/>
            <w:vAlign w:val="center"/>
          </w:tcPr>
          <w:p w14:paraId="7ECBA11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67609D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3046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B216F5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蜥蜴适应多样化荒漠环境的遗传基础</w:t>
            </w:r>
          </w:p>
        </w:tc>
        <w:tc>
          <w:tcPr>
            <w:tcW w:w="1248" w:type="dxa"/>
            <w:gridSpan w:val="2"/>
            <w:shd w:val="clear" w:color="auto" w:fill="auto"/>
            <w:noWrap/>
            <w:vAlign w:val="center"/>
          </w:tcPr>
          <w:p w14:paraId="6A61497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583E0B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BSH026</w:t>
            </w:r>
          </w:p>
        </w:tc>
        <w:tc>
          <w:tcPr>
            <w:tcW w:w="1644" w:type="dxa"/>
            <w:gridSpan w:val="3"/>
            <w:shd w:val="clear" w:color="auto" w:fill="auto"/>
            <w:noWrap/>
            <w:vAlign w:val="center"/>
          </w:tcPr>
          <w:p w14:paraId="09597C6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动物学、生态学、群体基因组学、生物信息学</w:t>
            </w:r>
          </w:p>
        </w:tc>
        <w:tc>
          <w:tcPr>
            <w:tcW w:w="1344" w:type="dxa"/>
            <w:shd w:val="clear" w:color="auto" w:fill="auto"/>
            <w:noWrap/>
            <w:vAlign w:val="center"/>
          </w:tcPr>
          <w:p w14:paraId="0EE5FBE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53F6C8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29B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558F4C2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动物行为和功能性状仿生</w:t>
            </w:r>
          </w:p>
        </w:tc>
        <w:tc>
          <w:tcPr>
            <w:tcW w:w="1248" w:type="dxa"/>
            <w:gridSpan w:val="2"/>
            <w:shd w:val="clear" w:color="auto" w:fill="auto"/>
            <w:noWrap/>
            <w:vAlign w:val="center"/>
          </w:tcPr>
          <w:p w14:paraId="0BA8517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083C55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BSH027</w:t>
            </w:r>
          </w:p>
        </w:tc>
        <w:tc>
          <w:tcPr>
            <w:tcW w:w="1644" w:type="dxa"/>
            <w:gridSpan w:val="3"/>
            <w:shd w:val="clear" w:color="auto" w:fill="auto"/>
            <w:noWrap/>
            <w:vAlign w:val="center"/>
          </w:tcPr>
          <w:p w14:paraId="41C6E99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机械电子工程、自动化</w:t>
            </w:r>
          </w:p>
        </w:tc>
        <w:tc>
          <w:tcPr>
            <w:tcW w:w="1344" w:type="dxa"/>
            <w:shd w:val="clear" w:color="auto" w:fill="auto"/>
            <w:noWrap/>
            <w:vAlign w:val="center"/>
          </w:tcPr>
          <w:p w14:paraId="358FF6E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83E1A0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083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7F1993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野生动物保护策略与技术</w:t>
            </w:r>
          </w:p>
        </w:tc>
        <w:tc>
          <w:tcPr>
            <w:tcW w:w="1248" w:type="dxa"/>
            <w:gridSpan w:val="2"/>
            <w:shd w:val="clear" w:color="auto" w:fill="auto"/>
            <w:noWrap/>
            <w:vAlign w:val="center"/>
          </w:tcPr>
          <w:p w14:paraId="00C7F40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C59F92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BSH028</w:t>
            </w:r>
          </w:p>
        </w:tc>
        <w:tc>
          <w:tcPr>
            <w:tcW w:w="1644" w:type="dxa"/>
            <w:gridSpan w:val="3"/>
            <w:shd w:val="clear" w:color="auto" w:fill="auto"/>
            <w:noWrap/>
            <w:vAlign w:val="center"/>
          </w:tcPr>
          <w:p w14:paraId="6A6B472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保护生物学、保护生态学、保护遗传学</w:t>
            </w:r>
          </w:p>
        </w:tc>
        <w:tc>
          <w:tcPr>
            <w:tcW w:w="1344" w:type="dxa"/>
            <w:shd w:val="clear" w:color="auto" w:fill="auto"/>
            <w:noWrap/>
            <w:vAlign w:val="center"/>
          </w:tcPr>
          <w:p w14:paraId="5279112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E61EE6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064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A85435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高寒泥炭地土壤碳循环对气候变暖的响应</w:t>
            </w:r>
          </w:p>
        </w:tc>
        <w:tc>
          <w:tcPr>
            <w:tcW w:w="1248" w:type="dxa"/>
            <w:gridSpan w:val="2"/>
            <w:shd w:val="clear" w:color="auto" w:fill="auto"/>
            <w:noWrap/>
            <w:vAlign w:val="center"/>
          </w:tcPr>
          <w:p w14:paraId="251145A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F986FE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BSH029</w:t>
            </w:r>
          </w:p>
        </w:tc>
        <w:tc>
          <w:tcPr>
            <w:tcW w:w="1644" w:type="dxa"/>
            <w:gridSpan w:val="3"/>
            <w:shd w:val="clear" w:color="auto" w:fill="auto"/>
            <w:noWrap/>
            <w:vAlign w:val="center"/>
          </w:tcPr>
          <w:p w14:paraId="24EBD30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土壤学、微生物学、生态学</w:t>
            </w:r>
          </w:p>
        </w:tc>
        <w:tc>
          <w:tcPr>
            <w:tcW w:w="1344" w:type="dxa"/>
            <w:shd w:val="clear" w:color="auto" w:fill="auto"/>
            <w:noWrap/>
            <w:vAlign w:val="center"/>
          </w:tcPr>
          <w:p w14:paraId="44A4723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9187B3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C2A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9EC47F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根际生态学、根际生态过程与调控机制</w:t>
            </w:r>
          </w:p>
        </w:tc>
        <w:tc>
          <w:tcPr>
            <w:tcW w:w="1248" w:type="dxa"/>
            <w:gridSpan w:val="2"/>
            <w:shd w:val="clear" w:color="auto" w:fill="auto"/>
            <w:noWrap/>
            <w:vAlign w:val="center"/>
          </w:tcPr>
          <w:p w14:paraId="0B43647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2-3</w:t>
            </w:r>
          </w:p>
        </w:tc>
        <w:tc>
          <w:tcPr>
            <w:tcW w:w="1188" w:type="dxa"/>
            <w:shd w:val="clear" w:color="auto" w:fill="auto"/>
            <w:noWrap/>
            <w:vAlign w:val="center"/>
          </w:tcPr>
          <w:p w14:paraId="5CB994E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BSH030</w:t>
            </w:r>
          </w:p>
        </w:tc>
        <w:tc>
          <w:tcPr>
            <w:tcW w:w="1644" w:type="dxa"/>
            <w:gridSpan w:val="3"/>
            <w:shd w:val="clear" w:color="auto" w:fill="auto"/>
            <w:noWrap/>
            <w:vAlign w:val="center"/>
          </w:tcPr>
          <w:p w14:paraId="3DD8DDC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生态学、林学、土壤学、微生物学、分析化学、分子生物学</w:t>
            </w:r>
          </w:p>
        </w:tc>
        <w:tc>
          <w:tcPr>
            <w:tcW w:w="1344" w:type="dxa"/>
            <w:shd w:val="clear" w:color="auto" w:fill="auto"/>
            <w:noWrap/>
            <w:vAlign w:val="center"/>
          </w:tcPr>
          <w:p w14:paraId="60FEC52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4BAD5E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31A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F42273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微藻底盘细胞智能构建与高值产物开发</w:t>
            </w:r>
          </w:p>
        </w:tc>
        <w:tc>
          <w:tcPr>
            <w:tcW w:w="1248" w:type="dxa"/>
            <w:gridSpan w:val="2"/>
            <w:shd w:val="clear" w:color="auto" w:fill="auto"/>
            <w:noWrap/>
            <w:vAlign w:val="center"/>
          </w:tcPr>
          <w:p w14:paraId="10B8666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40464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BSH031</w:t>
            </w:r>
          </w:p>
        </w:tc>
        <w:tc>
          <w:tcPr>
            <w:tcW w:w="1644" w:type="dxa"/>
            <w:gridSpan w:val="3"/>
            <w:shd w:val="clear" w:color="auto" w:fill="auto"/>
            <w:noWrap/>
            <w:vAlign w:val="center"/>
          </w:tcPr>
          <w:p w14:paraId="128C948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合成生物学等、分子遗传学、生物工程、生物信息、人工智能</w:t>
            </w:r>
          </w:p>
        </w:tc>
        <w:tc>
          <w:tcPr>
            <w:tcW w:w="1344" w:type="dxa"/>
            <w:shd w:val="clear" w:color="auto" w:fill="auto"/>
            <w:noWrap/>
            <w:vAlign w:val="center"/>
          </w:tcPr>
          <w:p w14:paraId="027470D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389CB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3C48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7094C9A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微藻/微生物高密度发酵智能调控</w:t>
            </w:r>
          </w:p>
        </w:tc>
        <w:tc>
          <w:tcPr>
            <w:tcW w:w="1248" w:type="dxa"/>
            <w:gridSpan w:val="2"/>
            <w:shd w:val="clear" w:color="auto" w:fill="auto"/>
            <w:noWrap/>
            <w:vAlign w:val="center"/>
          </w:tcPr>
          <w:p w14:paraId="71EEE7B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561AC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BSH032</w:t>
            </w:r>
          </w:p>
        </w:tc>
        <w:tc>
          <w:tcPr>
            <w:tcW w:w="1644" w:type="dxa"/>
            <w:gridSpan w:val="3"/>
            <w:shd w:val="clear" w:color="auto" w:fill="auto"/>
            <w:noWrap/>
            <w:vAlign w:val="center"/>
          </w:tcPr>
          <w:p w14:paraId="40D9E45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生物工程、人工智能、自动化与控制、电子信息工程、微生物学</w:t>
            </w:r>
          </w:p>
        </w:tc>
        <w:tc>
          <w:tcPr>
            <w:tcW w:w="1344" w:type="dxa"/>
            <w:shd w:val="clear" w:color="auto" w:fill="auto"/>
            <w:noWrap/>
            <w:vAlign w:val="center"/>
          </w:tcPr>
          <w:p w14:paraId="0A7F641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A39077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ED2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10D4248E">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项目名称</w:t>
            </w:r>
          </w:p>
        </w:tc>
        <w:tc>
          <w:tcPr>
            <w:tcW w:w="1248" w:type="dxa"/>
            <w:gridSpan w:val="2"/>
            <w:shd w:val="clear" w:color="auto" w:fill="E7E6E6" w:themeFill="background2"/>
            <w:noWrap/>
            <w:vAlign w:val="center"/>
          </w:tcPr>
          <w:p w14:paraId="3B9C8473">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需求人数</w:t>
            </w:r>
          </w:p>
        </w:tc>
        <w:tc>
          <w:tcPr>
            <w:tcW w:w="1188" w:type="dxa"/>
            <w:shd w:val="clear" w:color="auto" w:fill="E7E6E6" w:themeFill="background2"/>
            <w:noWrap/>
            <w:vAlign w:val="center"/>
          </w:tcPr>
          <w:p w14:paraId="1ADB8232">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岗位编号</w:t>
            </w:r>
          </w:p>
        </w:tc>
        <w:tc>
          <w:tcPr>
            <w:tcW w:w="1644" w:type="dxa"/>
            <w:gridSpan w:val="3"/>
            <w:shd w:val="clear" w:color="auto" w:fill="E7E6E6" w:themeFill="background2"/>
            <w:noWrap/>
            <w:vAlign w:val="center"/>
          </w:tcPr>
          <w:p w14:paraId="065EA77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1A57119">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3A2863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24D40DE">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51E7C57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2D7BD5E">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等要求</w:t>
            </w:r>
          </w:p>
        </w:tc>
      </w:tr>
      <w:tr w14:paraId="631D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151B39D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合成微生物组构建与污水资源化应用</w:t>
            </w:r>
          </w:p>
        </w:tc>
        <w:tc>
          <w:tcPr>
            <w:tcW w:w="1248" w:type="dxa"/>
            <w:gridSpan w:val="2"/>
            <w:shd w:val="clear" w:color="auto" w:fill="auto"/>
            <w:noWrap/>
            <w:vAlign w:val="center"/>
          </w:tcPr>
          <w:p w14:paraId="7BC839D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E828FC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BSH033</w:t>
            </w:r>
          </w:p>
        </w:tc>
        <w:tc>
          <w:tcPr>
            <w:tcW w:w="1644" w:type="dxa"/>
            <w:gridSpan w:val="3"/>
            <w:shd w:val="clear" w:color="auto" w:fill="auto"/>
            <w:noWrap/>
            <w:vAlign w:val="center"/>
          </w:tcPr>
          <w:p w14:paraId="4D780D9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合成生物学、环境微生物学、生物信息、酶工程、人工智能</w:t>
            </w:r>
          </w:p>
        </w:tc>
        <w:tc>
          <w:tcPr>
            <w:tcW w:w="1344" w:type="dxa"/>
            <w:shd w:val="clear" w:color="auto" w:fill="auto"/>
            <w:noWrap/>
            <w:vAlign w:val="center"/>
          </w:tcPr>
          <w:p w14:paraId="2BAFF6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543CC4F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2C25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39887A5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基于组学的逆境植物生物学研究、抗逆植物筛选</w:t>
            </w:r>
          </w:p>
        </w:tc>
        <w:tc>
          <w:tcPr>
            <w:tcW w:w="1248" w:type="dxa"/>
            <w:gridSpan w:val="2"/>
            <w:shd w:val="clear" w:color="auto" w:fill="auto"/>
            <w:noWrap/>
            <w:vAlign w:val="center"/>
          </w:tcPr>
          <w:p w14:paraId="137EAA9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7A2662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BSH034</w:t>
            </w:r>
          </w:p>
        </w:tc>
        <w:tc>
          <w:tcPr>
            <w:tcW w:w="1644" w:type="dxa"/>
            <w:gridSpan w:val="3"/>
            <w:shd w:val="clear" w:color="auto" w:fill="auto"/>
            <w:noWrap/>
            <w:vAlign w:val="center"/>
          </w:tcPr>
          <w:p w14:paraId="7C6FB50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植物学、林学、园艺学、植物生理学、分子生物学、生物信息学等</w:t>
            </w:r>
          </w:p>
        </w:tc>
        <w:tc>
          <w:tcPr>
            <w:tcW w:w="1344" w:type="dxa"/>
            <w:shd w:val="clear" w:color="auto" w:fill="auto"/>
            <w:noWrap/>
            <w:vAlign w:val="center"/>
          </w:tcPr>
          <w:p w14:paraId="2B7F2F0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38F76B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C08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4EEE80B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菌根生态学、植物-土壤-微生物互作</w:t>
            </w:r>
          </w:p>
        </w:tc>
        <w:tc>
          <w:tcPr>
            <w:tcW w:w="1248" w:type="dxa"/>
            <w:gridSpan w:val="2"/>
            <w:shd w:val="clear" w:color="auto" w:fill="auto"/>
            <w:noWrap/>
            <w:vAlign w:val="center"/>
          </w:tcPr>
          <w:p w14:paraId="0D455F0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244CB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BSH035</w:t>
            </w:r>
          </w:p>
        </w:tc>
        <w:tc>
          <w:tcPr>
            <w:tcW w:w="1644" w:type="dxa"/>
            <w:gridSpan w:val="3"/>
            <w:shd w:val="clear" w:color="auto" w:fill="auto"/>
            <w:noWrap/>
            <w:vAlign w:val="center"/>
          </w:tcPr>
          <w:p w14:paraId="1E0830A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微生物学、土壤学、生态学、恢复生态学、生物信息学等</w:t>
            </w:r>
          </w:p>
        </w:tc>
        <w:tc>
          <w:tcPr>
            <w:tcW w:w="1344" w:type="dxa"/>
            <w:shd w:val="clear" w:color="auto" w:fill="auto"/>
            <w:noWrap/>
            <w:vAlign w:val="center"/>
          </w:tcPr>
          <w:p w14:paraId="209A7E3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5D4DC74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28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4562DF8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植物-土壤系统养分循环及利用</w:t>
            </w:r>
          </w:p>
        </w:tc>
        <w:tc>
          <w:tcPr>
            <w:tcW w:w="1248" w:type="dxa"/>
            <w:gridSpan w:val="2"/>
            <w:shd w:val="clear" w:color="auto" w:fill="auto"/>
            <w:noWrap/>
            <w:vAlign w:val="center"/>
          </w:tcPr>
          <w:p w14:paraId="7595669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A5C87E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BSH036</w:t>
            </w:r>
          </w:p>
        </w:tc>
        <w:tc>
          <w:tcPr>
            <w:tcW w:w="1644" w:type="dxa"/>
            <w:gridSpan w:val="3"/>
            <w:shd w:val="clear" w:color="auto" w:fill="auto"/>
            <w:noWrap/>
            <w:vAlign w:val="center"/>
          </w:tcPr>
          <w:p w14:paraId="0A44809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植物营养学、林学、园艺学、生态学、恢复生态学等</w:t>
            </w:r>
          </w:p>
        </w:tc>
        <w:tc>
          <w:tcPr>
            <w:tcW w:w="1344" w:type="dxa"/>
            <w:shd w:val="clear" w:color="auto" w:fill="auto"/>
            <w:noWrap/>
            <w:vAlign w:val="center"/>
          </w:tcPr>
          <w:p w14:paraId="18D0F8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ED3AD9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FC8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49B7117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典型外来入侵植物入侵成功的地下生态学机制</w:t>
            </w:r>
          </w:p>
        </w:tc>
        <w:tc>
          <w:tcPr>
            <w:tcW w:w="1248" w:type="dxa"/>
            <w:gridSpan w:val="2"/>
            <w:shd w:val="clear" w:color="auto" w:fill="auto"/>
            <w:noWrap/>
            <w:vAlign w:val="center"/>
          </w:tcPr>
          <w:p w14:paraId="7766E6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55CEDC9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BSH037</w:t>
            </w:r>
          </w:p>
        </w:tc>
        <w:tc>
          <w:tcPr>
            <w:tcW w:w="1644" w:type="dxa"/>
            <w:gridSpan w:val="3"/>
            <w:shd w:val="clear" w:color="auto" w:fill="auto"/>
            <w:noWrap/>
            <w:vAlign w:val="center"/>
          </w:tcPr>
          <w:p w14:paraId="5FA3BAB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生态学、林学、地理学、植物学、土壤学、农学、微生物学、土壤动物等</w:t>
            </w:r>
          </w:p>
        </w:tc>
        <w:tc>
          <w:tcPr>
            <w:tcW w:w="1344" w:type="dxa"/>
            <w:shd w:val="clear" w:color="auto" w:fill="auto"/>
            <w:noWrap/>
            <w:vAlign w:val="center"/>
          </w:tcPr>
          <w:p w14:paraId="0559F8C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83966C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5D5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16085F7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青藏高原农田土壤空间分布格局及驱动因素</w:t>
            </w:r>
          </w:p>
        </w:tc>
        <w:tc>
          <w:tcPr>
            <w:tcW w:w="1248" w:type="dxa"/>
            <w:gridSpan w:val="2"/>
            <w:shd w:val="clear" w:color="auto" w:fill="auto"/>
            <w:noWrap/>
            <w:vAlign w:val="center"/>
          </w:tcPr>
          <w:p w14:paraId="463DCFA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1C38A05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BSH038</w:t>
            </w:r>
          </w:p>
        </w:tc>
        <w:tc>
          <w:tcPr>
            <w:tcW w:w="1644" w:type="dxa"/>
            <w:gridSpan w:val="3"/>
            <w:shd w:val="clear" w:color="auto" w:fill="auto"/>
            <w:noWrap/>
            <w:vAlign w:val="center"/>
          </w:tcPr>
          <w:p w14:paraId="702ABD6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生态学、林学、地理学、植物学、土壤学、农学、微生物学等</w:t>
            </w:r>
          </w:p>
        </w:tc>
        <w:tc>
          <w:tcPr>
            <w:tcW w:w="1344" w:type="dxa"/>
            <w:shd w:val="clear" w:color="auto" w:fill="auto"/>
            <w:noWrap/>
            <w:vAlign w:val="center"/>
          </w:tcPr>
          <w:p w14:paraId="00BD55A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096BF9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B44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5CAC13A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气候变化下西南地区重要木本植物的分布格局变迁</w:t>
            </w:r>
          </w:p>
        </w:tc>
        <w:tc>
          <w:tcPr>
            <w:tcW w:w="1248" w:type="dxa"/>
            <w:gridSpan w:val="2"/>
            <w:shd w:val="clear" w:color="auto" w:fill="auto"/>
            <w:noWrap/>
            <w:vAlign w:val="center"/>
          </w:tcPr>
          <w:p w14:paraId="72AE49F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4</w:t>
            </w:r>
          </w:p>
        </w:tc>
        <w:tc>
          <w:tcPr>
            <w:tcW w:w="1188" w:type="dxa"/>
            <w:shd w:val="clear" w:color="auto" w:fill="auto"/>
            <w:noWrap/>
            <w:vAlign w:val="center"/>
          </w:tcPr>
          <w:p w14:paraId="72ABB2B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BSH039</w:t>
            </w:r>
          </w:p>
        </w:tc>
        <w:tc>
          <w:tcPr>
            <w:tcW w:w="1644" w:type="dxa"/>
            <w:gridSpan w:val="3"/>
            <w:shd w:val="clear" w:color="auto" w:fill="auto"/>
            <w:noWrap/>
            <w:vAlign w:val="center"/>
          </w:tcPr>
          <w:p w14:paraId="7D3E0CA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生态学、林学、地理学、植物学、土壤学、农学、景观生态学等</w:t>
            </w:r>
          </w:p>
        </w:tc>
        <w:tc>
          <w:tcPr>
            <w:tcW w:w="1344" w:type="dxa"/>
            <w:shd w:val="clear" w:color="auto" w:fill="auto"/>
            <w:noWrap/>
            <w:vAlign w:val="center"/>
          </w:tcPr>
          <w:p w14:paraId="158A679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92DB3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AB2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5B7130B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青藏高原重大工程扰动区生态格局演变及其驱动机制</w:t>
            </w:r>
          </w:p>
        </w:tc>
        <w:tc>
          <w:tcPr>
            <w:tcW w:w="1248" w:type="dxa"/>
            <w:gridSpan w:val="2"/>
            <w:shd w:val="clear" w:color="auto" w:fill="auto"/>
            <w:noWrap/>
            <w:vAlign w:val="center"/>
          </w:tcPr>
          <w:p w14:paraId="1599B91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1D2A151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BSH040</w:t>
            </w:r>
          </w:p>
        </w:tc>
        <w:tc>
          <w:tcPr>
            <w:tcW w:w="1644" w:type="dxa"/>
            <w:gridSpan w:val="3"/>
            <w:shd w:val="clear" w:color="auto" w:fill="auto"/>
            <w:noWrap/>
            <w:vAlign w:val="center"/>
          </w:tcPr>
          <w:p w14:paraId="539A2E7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地理学、生态学、林学、土壤学、植物学、地理信息系统等</w:t>
            </w:r>
          </w:p>
        </w:tc>
        <w:tc>
          <w:tcPr>
            <w:tcW w:w="1344" w:type="dxa"/>
            <w:shd w:val="clear" w:color="auto" w:fill="auto"/>
            <w:noWrap/>
            <w:vAlign w:val="center"/>
          </w:tcPr>
          <w:p w14:paraId="570BE2C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D13435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A47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72F612F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重大工程扰动区生态功能退化诊断技术</w:t>
            </w:r>
          </w:p>
        </w:tc>
        <w:tc>
          <w:tcPr>
            <w:tcW w:w="1248" w:type="dxa"/>
            <w:gridSpan w:val="2"/>
            <w:shd w:val="clear" w:color="auto" w:fill="auto"/>
            <w:noWrap/>
            <w:vAlign w:val="center"/>
          </w:tcPr>
          <w:p w14:paraId="319B658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20E60B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BSH041</w:t>
            </w:r>
          </w:p>
        </w:tc>
        <w:tc>
          <w:tcPr>
            <w:tcW w:w="1644" w:type="dxa"/>
            <w:gridSpan w:val="3"/>
            <w:shd w:val="clear" w:color="auto" w:fill="auto"/>
            <w:noWrap/>
            <w:vAlign w:val="center"/>
          </w:tcPr>
          <w:p w14:paraId="09CBD1E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生态学、地理学、土壤学、植物学、林学、地理信息系统、动物学等</w:t>
            </w:r>
          </w:p>
        </w:tc>
        <w:tc>
          <w:tcPr>
            <w:tcW w:w="1344" w:type="dxa"/>
            <w:shd w:val="clear" w:color="auto" w:fill="auto"/>
            <w:noWrap/>
            <w:vAlign w:val="center"/>
          </w:tcPr>
          <w:p w14:paraId="489C56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EE9FD7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69C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6A16528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重大工程扰动区生态功能修复潜力评估</w:t>
            </w:r>
          </w:p>
        </w:tc>
        <w:tc>
          <w:tcPr>
            <w:tcW w:w="1248" w:type="dxa"/>
            <w:gridSpan w:val="2"/>
            <w:shd w:val="clear" w:color="auto" w:fill="auto"/>
            <w:noWrap/>
            <w:vAlign w:val="center"/>
          </w:tcPr>
          <w:p w14:paraId="5FAA98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024AC03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BSH042</w:t>
            </w:r>
          </w:p>
        </w:tc>
        <w:tc>
          <w:tcPr>
            <w:tcW w:w="1644" w:type="dxa"/>
            <w:gridSpan w:val="3"/>
            <w:shd w:val="clear" w:color="auto" w:fill="auto"/>
            <w:noWrap/>
            <w:vAlign w:val="center"/>
          </w:tcPr>
          <w:p w14:paraId="12894EB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生态学、地理学、土壤学、林学、植物学、地理信息系统、动物学等</w:t>
            </w:r>
          </w:p>
        </w:tc>
        <w:tc>
          <w:tcPr>
            <w:tcW w:w="1344" w:type="dxa"/>
            <w:shd w:val="clear" w:color="auto" w:fill="auto"/>
            <w:noWrap/>
            <w:vAlign w:val="center"/>
          </w:tcPr>
          <w:p w14:paraId="379865A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13685C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38B7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75843EEF">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项目名称</w:t>
            </w:r>
          </w:p>
        </w:tc>
        <w:tc>
          <w:tcPr>
            <w:tcW w:w="1248" w:type="dxa"/>
            <w:gridSpan w:val="2"/>
            <w:shd w:val="clear" w:color="auto" w:fill="E7E6E6" w:themeFill="background2"/>
            <w:noWrap/>
            <w:vAlign w:val="center"/>
          </w:tcPr>
          <w:p w14:paraId="19ADBF27">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需求人数</w:t>
            </w:r>
          </w:p>
        </w:tc>
        <w:tc>
          <w:tcPr>
            <w:tcW w:w="1188" w:type="dxa"/>
            <w:shd w:val="clear" w:color="auto" w:fill="E7E6E6" w:themeFill="background2"/>
            <w:noWrap/>
            <w:vAlign w:val="center"/>
          </w:tcPr>
          <w:p w14:paraId="79997C3B">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岗位编号</w:t>
            </w:r>
          </w:p>
        </w:tc>
        <w:tc>
          <w:tcPr>
            <w:tcW w:w="1644" w:type="dxa"/>
            <w:gridSpan w:val="3"/>
            <w:shd w:val="clear" w:color="auto" w:fill="E7E6E6" w:themeFill="background2"/>
            <w:noWrap/>
            <w:vAlign w:val="center"/>
          </w:tcPr>
          <w:p w14:paraId="26F3AC2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7E2CE56">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47FCFD6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3AC0513">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0D5081D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3164FD9">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eastAsiaTheme="minorEastAsia"/>
                <w:b/>
                <w:bCs/>
                <w:sz w:val="21"/>
                <w:szCs w:val="21"/>
              </w:rPr>
              <w:t>等要求</w:t>
            </w:r>
          </w:p>
        </w:tc>
      </w:tr>
      <w:tr w14:paraId="24DA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65C104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青藏高原农田生态系统可持续性诊断和评估</w:t>
            </w:r>
          </w:p>
        </w:tc>
        <w:tc>
          <w:tcPr>
            <w:tcW w:w="1248" w:type="dxa"/>
            <w:gridSpan w:val="2"/>
            <w:shd w:val="clear" w:color="auto" w:fill="auto"/>
            <w:noWrap/>
            <w:vAlign w:val="center"/>
          </w:tcPr>
          <w:p w14:paraId="0C06EFD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5DC75EC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BSH043</w:t>
            </w:r>
          </w:p>
        </w:tc>
        <w:tc>
          <w:tcPr>
            <w:tcW w:w="1644" w:type="dxa"/>
            <w:gridSpan w:val="3"/>
            <w:shd w:val="clear" w:color="auto" w:fill="auto"/>
            <w:noWrap/>
            <w:vAlign w:val="center"/>
          </w:tcPr>
          <w:p w14:paraId="063E530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生态学、地理学、土壤学、植物学、地理信息系统、农学等</w:t>
            </w:r>
          </w:p>
        </w:tc>
        <w:tc>
          <w:tcPr>
            <w:tcW w:w="1344" w:type="dxa"/>
            <w:shd w:val="clear" w:color="auto" w:fill="auto"/>
            <w:noWrap/>
            <w:vAlign w:val="center"/>
          </w:tcPr>
          <w:p w14:paraId="59CB189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4DD70AD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2EF8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8FFACC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重大工程扰动区生态修复技术修复成效评估及技术优化</w:t>
            </w:r>
          </w:p>
        </w:tc>
        <w:tc>
          <w:tcPr>
            <w:tcW w:w="1248" w:type="dxa"/>
            <w:gridSpan w:val="2"/>
            <w:shd w:val="clear" w:color="auto" w:fill="auto"/>
            <w:noWrap/>
            <w:vAlign w:val="center"/>
          </w:tcPr>
          <w:p w14:paraId="284A8A2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3B12E9F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BSH044</w:t>
            </w:r>
          </w:p>
        </w:tc>
        <w:tc>
          <w:tcPr>
            <w:tcW w:w="1644" w:type="dxa"/>
            <w:gridSpan w:val="3"/>
            <w:shd w:val="clear" w:color="auto" w:fill="auto"/>
            <w:noWrap/>
            <w:vAlign w:val="center"/>
          </w:tcPr>
          <w:p w14:paraId="63B0E02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林学、生态学、地理学、土壤学、植物学、地理信息系统</w:t>
            </w:r>
          </w:p>
        </w:tc>
        <w:tc>
          <w:tcPr>
            <w:tcW w:w="1344" w:type="dxa"/>
            <w:shd w:val="clear" w:color="auto" w:fill="auto"/>
            <w:noWrap/>
            <w:vAlign w:val="center"/>
          </w:tcPr>
          <w:p w14:paraId="1E7B0EA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32F9E3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2DB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5EEFFAE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新型污染物对耕地质量及粮食安全的影响评估</w:t>
            </w:r>
          </w:p>
        </w:tc>
        <w:tc>
          <w:tcPr>
            <w:tcW w:w="1248" w:type="dxa"/>
            <w:gridSpan w:val="2"/>
            <w:shd w:val="clear" w:color="auto" w:fill="auto"/>
            <w:noWrap/>
            <w:vAlign w:val="center"/>
          </w:tcPr>
          <w:p w14:paraId="764A478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344ED24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BSH045</w:t>
            </w:r>
          </w:p>
        </w:tc>
        <w:tc>
          <w:tcPr>
            <w:tcW w:w="1644" w:type="dxa"/>
            <w:gridSpan w:val="3"/>
            <w:shd w:val="clear" w:color="auto" w:fill="auto"/>
            <w:noWrap/>
            <w:vAlign w:val="center"/>
          </w:tcPr>
          <w:p w14:paraId="0D19AC2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环境科学、生态学、土壤学、地理学、农学等</w:t>
            </w:r>
          </w:p>
        </w:tc>
        <w:tc>
          <w:tcPr>
            <w:tcW w:w="1344" w:type="dxa"/>
            <w:shd w:val="clear" w:color="auto" w:fill="auto"/>
            <w:noWrap/>
            <w:vAlign w:val="center"/>
          </w:tcPr>
          <w:p w14:paraId="63DDAE1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B3478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83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5E01C28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新污染物生物毒性</w:t>
            </w:r>
          </w:p>
        </w:tc>
        <w:tc>
          <w:tcPr>
            <w:tcW w:w="1248" w:type="dxa"/>
            <w:gridSpan w:val="2"/>
            <w:shd w:val="clear" w:color="auto" w:fill="auto"/>
            <w:noWrap/>
            <w:vAlign w:val="center"/>
          </w:tcPr>
          <w:p w14:paraId="1247EEC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C25A54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BSH046</w:t>
            </w:r>
          </w:p>
        </w:tc>
        <w:tc>
          <w:tcPr>
            <w:tcW w:w="1644" w:type="dxa"/>
            <w:gridSpan w:val="3"/>
            <w:shd w:val="clear" w:color="auto" w:fill="auto"/>
            <w:noWrap/>
            <w:vAlign w:val="center"/>
          </w:tcPr>
          <w:p w14:paraId="2DB278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环境科学</w:t>
            </w:r>
          </w:p>
        </w:tc>
        <w:tc>
          <w:tcPr>
            <w:tcW w:w="1344" w:type="dxa"/>
            <w:shd w:val="clear" w:color="auto" w:fill="auto"/>
            <w:noWrap/>
            <w:vAlign w:val="center"/>
          </w:tcPr>
          <w:p w14:paraId="132B5F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024C7F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A9E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68A1412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新污染物环境效应</w:t>
            </w:r>
          </w:p>
        </w:tc>
        <w:tc>
          <w:tcPr>
            <w:tcW w:w="1248" w:type="dxa"/>
            <w:gridSpan w:val="2"/>
            <w:shd w:val="clear" w:color="auto" w:fill="auto"/>
            <w:noWrap/>
            <w:vAlign w:val="center"/>
          </w:tcPr>
          <w:p w14:paraId="1AEF03B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1C3CD0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BSH047</w:t>
            </w:r>
          </w:p>
        </w:tc>
        <w:tc>
          <w:tcPr>
            <w:tcW w:w="1644" w:type="dxa"/>
            <w:gridSpan w:val="3"/>
            <w:shd w:val="clear" w:color="auto" w:fill="auto"/>
            <w:noWrap/>
            <w:vAlign w:val="center"/>
          </w:tcPr>
          <w:p w14:paraId="6A26580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环境科学</w:t>
            </w:r>
          </w:p>
        </w:tc>
        <w:tc>
          <w:tcPr>
            <w:tcW w:w="1344" w:type="dxa"/>
            <w:shd w:val="clear" w:color="auto" w:fill="auto"/>
            <w:noWrap/>
            <w:vAlign w:val="center"/>
          </w:tcPr>
          <w:p w14:paraId="0B21249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00EA1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FE2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16F49C1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作物土传病害胁迫下的根际微生态变化研究</w:t>
            </w:r>
          </w:p>
        </w:tc>
        <w:tc>
          <w:tcPr>
            <w:tcW w:w="1248" w:type="dxa"/>
            <w:gridSpan w:val="2"/>
            <w:shd w:val="clear" w:color="auto" w:fill="auto"/>
            <w:noWrap/>
            <w:vAlign w:val="center"/>
          </w:tcPr>
          <w:p w14:paraId="59F6616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CA6692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BSH048</w:t>
            </w:r>
          </w:p>
        </w:tc>
        <w:tc>
          <w:tcPr>
            <w:tcW w:w="1644" w:type="dxa"/>
            <w:gridSpan w:val="3"/>
            <w:shd w:val="clear" w:color="auto" w:fill="auto"/>
            <w:noWrap/>
            <w:vAlign w:val="center"/>
          </w:tcPr>
          <w:p w14:paraId="4C2A8C5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植物学、微生物学、土壤学</w:t>
            </w:r>
          </w:p>
        </w:tc>
        <w:tc>
          <w:tcPr>
            <w:tcW w:w="1344" w:type="dxa"/>
            <w:shd w:val="clear" w:color="auto" w:fill="auto"/>
            <w:noWrap/>
            <w:vAlign w:val="center"/>
          </w:tcPr>
          <w:p w14:paraId="2AA1ABC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3684A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3ACC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14D036C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土壤动物、微生物多样性及维持机制</w:t>
            </w:r>
          </w:p>
        </w:tc>
        <w:tc>
          <w:tcPr>
            <w:tcW w:w="1248" w:type="dxa"/>
            <w:gridSpan w:val="2"/>
            <w:shd w:val="clear" w:color="auto" w:fill="auto"/>
            <w:noWrap/>
            <w:vAlign w:val="center"/>
          </w:tcPr>
          <w:p w14:paraId="1211761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2-3</w:t>
            </w:r>
          </w:p>
        </w:tc>
        <w:tc>
          <w:tcPr>
            <w:tcW w:w="1188" w:type="dxa"/>
            <w:shd w:val="clear" w:color="auto" w:fill="auto"/>
            <w:noWrap/>
            <w:vAlign w:val="center"/>
          </w:tcPr>
          <w:p w14:paraId="295140E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BSH049</w:t>
            </w:r>
          </w:p>
        </w:tc>
        <w:tc>
          <w:tcPr>
            <w:tcW w:w="1644" w:type="dxa"/>
            <w:gridSpan w:val="3"/>
            <w:shd w:val="clear" w:color="auto" w:fill="auto"/>
            <w:noWrap/>
            <w:vAlign w:val="center"/>
          </w:tcPr>
          <w:p w14:paraId="247FDDF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微生物学、生态学、生物学、动物学和生物信息学等</w:t>
            </w:r>
          </w:p>
        </w:tc>
        <w:tc>
          <w:tcPr>
            <w:tcW w:w="1344" w:type="dxa"/>
            <w:shd w:val="clear" w:color="auto" w:fill="auto"/>
            <w:noWrap/>
            <w:vAlign w:val="center"/>
          </w:tcPr>
          <w:p w14:paraId="72F5500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9F83E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45A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30A06AD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土壤有机碳稳定性机制</w:t>
            </w:r>
          </w:p>
        </w:tc>
        <w:tc>
          <w:tcPr>
            <w:tcW w:w="1248" w:type="dxa"/>
            <w:gridSpan w:val="2"/>
            <w:shd w:val="clear" w:color="auto" w:fill="auto"/>
            <w:noWrap/>
            <w:vAlign w:val="center"/>
          </w:tcPr>
          <w:p w14:paraId="20332F4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65DBE8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BSH050</w:t>
            </w:r>
          </w:p>
        </w:tc>
        <w:tc>
          <w:tcPr>
            <w:tcW w:w="1644" w:type="dxa"/>
            <w:gridSpan w:val="3"/>
            <w:shd w:val="clear" w:color="auto" w:fill="auto"/>
            <w:noWrap/>
            <w:vAlign w:val="center"/>
          </w:tcPr>
          <w:p w14:paraId="76C21CB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土壤学、生态学、林学、微生物学、植物学、自然地理学等</w:t>
            </w:r>
          </w:p>
        </w:tc>
        <w:tc>
          <w:tcPr>
            <w:tcW w:w="1344" w:type="dxa"/>
            <w:shd w:val="clear" w:color="auto" w:fill="auto"/>
            <w:noWrap/>
            <w:vAlign w:val="center"/>
          </w:tcPr>
          <w:p w14:paraId="2DE37DF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73EFB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1A3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5DCD54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土壤氮、磷循环及微生物机制</w:t>
            </w:r>
          </w:p>
        </w:tc>
        <w:tc>
          <w:tcPr>
            <w:tcW w:w="1248" w:type="dxa"/>
            <w:gridSpan w:val="2"/>
            <w:shd w:val="clear" w:color="auto" w:fill="auto"/>
            <w:noWrap/>
            <w:vAlign w:val="center"/>
          </w:tcPr>
          <w:p w14:paraId="7208CF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1-2</w:t>
            </w:r>
          </w:p>
        </w:tc>
        <w:tc>
          <w:tcPr>
            <w:tcW w:w="1188" w:type="dxa"/>
            <w:shd w:val="clear" w:color="auto" w:fill="auto"/>
            <w:noWrap/>
            <w:vAlign w:val="center"/>
          </w:tcPr>
          <w:p w14:paraId="210F3CB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BSH051</w:t>
            </w:r>
          </w:p>
        </w:tc>
        <w:tc>
          <w:tcPr>
            <w:tcW w:w="1644" w:type="dxa"/>
            <w:gridSpan w:val="3"/>
            <w:shd w:val="clear" w:color="auto" w:fill="auto"/>
            <w:noWrap/>
            <w:vAlign w:val="center"/>
          </w:tcPr>
          <w:p w14:paraId="222648C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土壤学、生态学、林学、微生物学、植物学、生物信息学等</w:t>
            </w:r>
          </w:p>
        </w:tc>
        <w:tc>
          <w:tcPr>
            <w:tcW w:w="1344" w:type="dxa"/>
            <w:shd w:val="clear" w:color="auto" w:fill="auto"/>
            <w:noWrap/>
            <w:vAlign w:val="center"/>
          </w:tcPr>
          <w:p w14:paraId="1F44AE8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CBDD12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EB1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67C995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土壤食物网结构与功能</w:t>
            </w:r>
          </w:p>
        </w:tc>
        <w:tc>
          <w:tcPr>
            <w:tcW w:w="1248" w:type="dxa"/>
            <w:gridSpan w:val="2"/>
            <w:shd w:val="clear" w:color="auto" w:fill="auto"/>
            <w:noWrap/>
            <w:vAlign w:val="center"/>
          </w:tcPr>
          <w:p w14:paraId="0604025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2FE3A3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BSH052</w:t>
            </w:r>
          </w:p>
        </w:tc>
        <w:tc>
          <w:tcPr>
            <w:tcW w:w="1644" w:type="dxa"/>
            <w:gridSpan w:val="3"/>
            <w:shd w:val="clear" w:color="auto" w:fill="auto"/>
            <w:noWrap/>
            <w:vAlign w:val="center"/>
          </w:tcPr>
          <w:p w14:paraId="3988F3C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动物学、微生物学、生态学、地理学、林学等</w:t>
            </w:r>
          </w:p>
        </w:tc>
        <w:tc>
          <w:tcPr>
            <w:tcW w:w="1344" w:type="dxa"/>
            <w:shd w:val="clear" w:color="auto" w:fill="auto"/>
            <w:noWrap/>
            <w:vAlign w:val="center"/>
          </w:tcPr>
          <w:p w14:paraId="0A21DFD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84B44B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92C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205A736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退化生态系统微生物修复</w:t>
            </w:r>
          </w:p>
        </w:tc>
        <w:tc>
          <w:tcPr>
            <w:tcW w:w="1248" w:type="dxa"/>
            <w:gridSpan w:val="2"/>
            <w:shd w:val="clear" w:color="auto" w:fill="auto"/>
            <w:noWrap/>
            <w:vAlign w:val="center"/>
          </w:tcPr>
          <w:p w14:paraId="33846FD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31C3EB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BSH053</w:t>
            </w:r>
          </w:p>
        </w:tc>
        <w:tc>
          <w:tcPr>
            <w:tcW w:w="1644" w:type="dxa"/>
            <w:gridSpan w:val="3"/>
            <w:shd w:val="clear" w:color="auto" w:fill="auto"/>
            <w:noWrap/>
            <w:vAlign w:val="center"/>
          </w:tcPr>
          <w:p w14:paraId="0D315B0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微生物学、土壤学、生态学、林学、农业资源与环境</w:t>
            </w:r>
          </w:p>
        </w:tc>
        <w:tc>
          <w:tcPr>
            <w:tcW w:w="1344" w:type="dxa"/>
            <w:shd w:val="clear" w:color="auto" w:fill="auto"/>
            <w:noWrap/>
            <w:vAlign w:val="center"/>
          </w:tcPr>
          <w:p w14:paraId="2F75F42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65F85D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F32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45AB691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重大工程生态修复</w:t>
            </w:r>
          </w:p>
        </w:tc>
        <w:tc>
          <w:tcPr>
            <w:tcW w:w="1248" w:type="dxa"/>
            <w:gridSpan w:val="2"/>
            <w:shd w:val="clear" w:color="auto" w:fill="auto"/>
            <w:noWrap/>
            <w:vAlign w:val="center"/>
          </w:tcPr>
          <w:p w14:paraId="5067353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48E91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BSH054</w:t>
            </w:r>
          </w:p>
        </w:tc>
        <w:tc>
          <w:tcPr>
            <w:tcW w:w="1644" w:type="dxa"/>
            <w:gridSpan w:val="3"/>
            <w:shd w:val="clear" w:color="auto" w:fill="auto"/>
            <w:noWrap/>
            <w:vAlign w:val="center"/>
          </w:tcPr>
          <w:p w14:paraId="37B0F47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土壤学、生态学、微生物学、林学、农业资源与环境、植物学</w:t>
            </w:r>
          </w:p>
        </w:tc>
        <w:tc>
          <w:tcPr>
            <w:tcW w:w="1344" w:type="dxa"/>
            <w:shd w:val="clear" w:color="auto" w:fill="auto"/>
            <w:noWrap/>
            <w:vAlign w:val="center"/>
          </w:tcPr>
          <w:p w14:paraId="35A00B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6BE9B4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9BD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0CFF82AD">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14:paraId="679DA11F">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14:paraId="6B8E5C12">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14:paraId="1C761AE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4B59971">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65636D5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74B2EA2">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46FAF8F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5EDAAC9">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rPr>
            </w:pPr>
            <w:r>
              <w:rPr>
                <w:rFonts w:eastAsiaTheme="minorEastAsia"/>
                <w:b/>
                <w:bCs/>
                <w:sz w:val="21"/>
                <w:szCs w:val="21"/>
              </w:rPr>
              <w:t>等要求</w:t>
            </w:r>
          </w:p>
        </w:tc>
      </w:tr>
      <w:tr w14:paraId="2E9F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4B315CC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植物-微生物互作分子机制</w:t>
            </w:r>
          </w:p>
        </w:tc>
        <w:tc>
          <w:tcPr>
            <w:tcW w:w="1248" w:type="dxa"/>
            <w:gridSpan w:val="2"/>
            <w:shd w:val="clear" w:color="auto" w:fill="auto"/>
            <w:noWrap/>
            <w:vAlign w:val="center"/>
          </w:tcPr>
          <w:p w14:paraId="0A8CC79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5DE7DBF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BSH055</w:t>
            </w:r>
          </w:p>
        </w:tc>
        <w:tc>
          <w:tcPr>
            <w:tcW w:w="1644" w:type="dxa"/>
            <w:gridSpan w:val="3"/>
            <w:shd w:val="clear" w:color="auto" w:fill="auto"/>
            <w:noWrap/>
            <w:vAlign w:val="center"/>
          </w:tcPr>
          <w:p w14:paraId="6A18F88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植物学、微生物学、分子生物学、生物信息学</w:t>
            </w:r>
          </w:p>
        </w:tc>
        <w:tc>
          <w:tcPr>
            <w:tcW w:w="1344" w:type="dxa"/>
            <w:shd w:val="clear" w:color="auto" w:fill="auto"/>
            <w:noWrap/>
            <w:vAlign w:val="center"/>
          </w:tcPr>
          <w:p w14:paraId="3B5D40C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24773A6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3C11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514EF27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苔藓植物分子育种与新品系创制</w:t>
            </w:r>
          </w:p>
        </w:tc>
        <w:tc>
          <w:tcPr>
            <w:tcW w:w="1248" w:type="dxa"/>
            <w:gridSpan w:val="2"/>
            <w:shd w:val="clear" w:color="auto" w:fill="auto"/>
            <w:noWrap/>
            <w:vAlign w:val="center"/>
          </w:tcPr>
          <w:p w14:paraId="046EDD1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51FB14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BSH056</w:t>
            </w:r>
          </w:p>
        </w:tc>
        <w:tc>
          <w:tcPr>
            <w:tcW w:w="1644" w:type="dxa"/>
            <w:gridSpan w:val="3"/>
            <w:shd w:val="clear" w:color="auto" w:fill="auto"/>
            <w:noWrap/>
            <w:vAlign w:val="center"/>
          </w:tcPr>
          <w:p w14:paraId="2A0ED6C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植物学、分子生物学</w:t>
            </w:r>
          </w:p>
        </w:tc>
        <w:tc>
          <w:tcPr>
            <w:tcW w:w="1344" w:type="dxa"/>
            <w:shd w:val="clear" w:color="auto" w:fill="auto"/>
            <w:noWrap/>
            <w:vAlign w:val="center"/>
          </w:tcPr>
          <w:p w14:paraId="2DE39D5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B0DD98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7EC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18589D0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苔藓植物工厂生产</w:t>
            </w:r>
          </w:p>
        </w:tc>
        <w:tc>
          <w:tcPr>
            <w:tcW w:w="1248" w:type="dxa"/>
            <w:gridSpan w:val="2"/>
            <w:shd w:val="clear" w:color="auto" w:fill="auto"/>
            <w:noWrap/>
            <w:vAlign w:val="center"/>
          </w:tcPr>
          <w:p w14:paraId="247F024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7E9E96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BSH057</w:t>
            </w:r>
          </w:p>
        </w:tc>
        <w:tc>
          <w:tcPr>
            <w:tcW w:w="1644" w:type="dxa"/>
            <w:gridSpan w:val="3"/>
            <w:shd w:val="clear" w:color="auto" w:fill="auto"/>
            <w:noWrap/>
            <w:vAlign w:val="center"/>
          </w:tcPr>
          <w:p w14:paraId="64E645B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植物学、农学、生态学</w:t>
            </w:r>
          </w:p>
        </w:tc>
        <w:tc>
          <w:tcPr>
            <w:tcW w:w="1344" w:type="dxa"/>
            <w:shd w:val="clear" w:color="auto" w:fill="auto"/>
            <w:noWrap/>
            <w:vAlign w:val="center"/>
          </w:tcPr>
          <w:p w14:paraId="771EB5B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34242F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C3C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7B338C8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高寒退化草地恢复过程与碳增汇机制</w:t>
            </w:r>
          </w:p>
        </w:tc>
        <w:tc>
          <w:tcPr>
            <w:tcW w:w="1248" w:type="dxa"/>
            <w:gridSpan w:val="2"/>
            <w:shd w:val="clear" w:color="auto" w:fill="auto"/>
            <w:noWrap/>
            <w:vAlign w:val="center"/>
          </w:tcPr>
          <w:p w14:paraId="6843120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A97C24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BSH058</w:t>
            </w:r>
          </w:p>
        </w:tc>
        <w:tc>
          <w:tcPr>
            <w:tcW w:w="1644" w:type="dxa"/>
            <w:gridSpan w:val="3"/>
            <w:shd w:val="clear" w:color="auto" w:fill="auto"/>
            <w:noWrap/>
            <w:vAlign w:val="center"/>
          </w:tcPr>
          <w:p w14:paraId="3A9ADF5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微生物学、土壤学、生态学、林学、农业资源与环境</w:t>
            </w:r>
          </w:p>
        </w:tc>
        <w:tc>
          <w:tcPr>
            <w:tcW w:w="1344" w:type="dxa"/>
            <w:shd w:val="clear" w:color="auto" w:fill="auto"/>
            <w:noWrap/>
            <w:vAlign w:val="center"/>
          </w:tcPr>
          <w:p w14:paraId="5433DD8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0533B2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F17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64EFEF6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Clostridiales微生物的基因编辑及代谢机制研究</w:t>
            </w:r>
          </w:p>
        </w:tc>
        <w:tc>
          <w:tcPr>
            <w:tcW w:w="1248" w:type="dxa"/>
            <w:gridSpan w:val="2"/>
            <w:shd w:val="clear" w:color="auto" w:fill="auto"/>
            <w:noWrap/>
            <w:vAlign w:val="center"/>
          </w:tcPr>
          <w:p w14:paraId="2CFE491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207299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BSH059</w:t>
            </w:r>
          </w:p>
        </w:tc>
        <w:tc>
          <w:tcPr>
            <w:tcW w:w="1644" w:type="dxa"/>
            <w:gridSpan w:val="3"/>
            <w:shd w:val="clear" w:color="auto" w:fill="auto"/>
            <w:noWrap/>
            <w:vAlign w:val="center"/>
          </w:tcPr>
          <w:p w14:paraId="36EC051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微生物学、分子生物学及基因工程学</w:t>
            </w:r>
          </w:p>
        </w:tc>
        <w:tc>
          <w:tcPr>
            <w:tcW w:w="1344" w:type="dxa"/>
            <w:shd w:val="clear" w:color="auto" w:fill="auto"/>
            <w:noWrap/>
            <w:vAlign w:val="center"/>
          </w:tcPr>
          <w:p w14:paraId="3D74BEB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F959AB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463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7B54DBA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合成微生物组的模型构建及互作机制研究</w:t>
            </w:r>
          </w:p>
        </w:tc>
        <w:tc>
          <w:tcPr>
            <w:tcW w:w="1248" w:type="dxa"/>
            <w:gridSpan w:val="2"/>
            <w:shd w:val="clear" w:color="auto" w:fill="auto"/>
            <w:noWrap/>
            <w:vAlign w:val="center"/>
          </w:tcPr>
          <w:p w14:paraId="0FF1056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C7D597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BSH060</w:t>
            </w:r>
          </w:p>
        </w:tc>
        <w:tc>
          <w:tcPr>
            <w:tcW w:w="1644" w:type="dxa"/>
            <w:gridSpan w:val="3"/>
            <w:shd w:val="clear" w:color="auto" w:fill="auto"/>
            <w:noWrap/>
            <w:vAlign w:val="center"/>
          </w:tcPr>
          <w:p w14:paraId="487F168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微生物学、计算生物学及合成生物学</w:t>
            </w:r>
          </w:p>
        </w:tc>
        <w:tc>
          <w:tcPr>
            <w:tcW w:w="1344" w:type="dxa"/>
            <w:shd w:val="clear" w:color="auto" w:fill="auto"/>
            <w:noWrap/>
            <w:vAlign w:val="center"/>
          </w:tcPr>
          <w:p w14:paraId="66F11F5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C5FBAF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EE4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3155275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微生物电化学及其生物脱氮机制</w:t>
            </w:r>
          </w:p>
        </w:tc>
        <w:tc>
          <w:tcPr>
            <w:tcW w:w="1248" w:type="dxa"/>
            <w:gridSpan w:val="2"/>
            <w:shd w:val="clear" w:color="auto" w:fill="auto"/>
            <w:noWrap/>
            <w:vAlign w:val="center"/>
          </w:tcPr>
          <w:p w14:paraId="4178417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15BEA4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BSH061</w:t>
            </w:r>
          </w:p>
        </w:tc>
        <w:tc>
          <w:tcPr>
            <w:tcW w:w="1644" w:type="dxa"/>
            <w:gridSpan w:val="3"/>
            <w:shd w:val="clear" w:color="auto" w:fill="auto"/>
            <w:noWrap/>
            <w:vAlign w:val="center"/>
          </w:tcPr>
          <w:p w14:paraId="174C0DD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微生物电化学、微生物学与分子生物学、环境科学与工程、材料科学与电化学</w:t>
            </w:r>
          </w:p>
        </w:tc>
        <w:tc>
          <w:tcPr>
            <w:tcW w:w="1344" w:type="dxa"/>
            <w:shd w:val="clear" w:color="auto" w:fill="auto"/>
            <w:noWrap/>
            <w:vAlign w:val="center"/>
          </w:tcPr>
          <w:p w14:paraId="67C872A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5C62FD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5EE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4933B54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微生物电化学传感监测及设备开发</w:t>
            </w:r>
          </w:p>
        </w:tc>
        <w:tc>
          <w:tcPr>
            <w:tcW w:w="1248" w:type="dxa"/>
            <w:gridSpan w:val="2"/>
            <w:shd w:val="clear" w:color="auto" w:fill="auto"/>
            <w:noWrap/>
            <w:vAlign w:val="center"/>
          </w:tcPr>
          <w:p w14:paraId="18BC885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5DF9EC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BSH062</w:t>
            </w:r>
          </w:p>
        </w:tc>
        <w:tc>
          <w:tcPr>
            <w:tcW w:w="1644" w:type="dxa"/>
            <w:gridSpan w:val="3"/>
            <w:shd w:val="clear" w:color="auto" w:fill="auto"/>
            <w:noWrap/>
            <w:vAlign w:val="center"/>
          </w:tcPr>
          <w:p w14:paraId="15C7BD6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微生物电化学、材料科学与电化学、生物传感、环境微生物学</w:t>
            </w:r>
          </w:p>
        </w:tc>
        <w:tc>
          <w:tcPr>
            <w:tcW w:w="1344" w:type="dxa"/>
            <w:shd w:val="clear" w:color="auto" w:fill="auto"/>
            <w:noWrap/>
            <w:vAlign w:val="center"/>
          </w:tcPr>
          <w:p w14:paraId="70FE83D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21DAE6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8F2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4B84B13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微生物电合成与生物催化转化</w:t>
            </w:r>
          </w:p>
        </w:tc>
        <w:tc>
          <w:tcPr>
            <w:tcW w:w="1248" w:type="dxa"/>
            <w:gridSpan w:val="2"/>
            <w:shd w:val="clear" w:color="auto" w:fill="auto"/>
            <w:noWrap/>
            <w:vAlign w:val="center"/>
          </w:tcPr>
          <w:p w14:paraId="3D45D51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C10032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BSH063</w:t>
            </w:r>
          </w:p>
        </w:tc>
        <w:tc>
          <w:tcPr>
            <w:tcW w:w="1644" w:type="dxa"/>
            <w:gridSpan w:val="3"/>
            <w:shd w:val="clear" w:color="auto" w:fill="auto"/>
            <w:noWrap/>
            <w:vAlign w:val="center"/>
          </w:tcPr>
          <w:p w14:paraId="03C26C9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微生物学与分子生物学、环境科学与工程、酶催化等</w:t>
            </w:r>
          </w:p>
        </w:tc>
        <w:tc>
          <w:tcPr>
            <w:tcW w:w="1344" w:type="dxa"/>
            <w:shd w:val="clear" w:color="auto" w:fill="auto"/>
            <w:noWrap/>
            <w:vAlign w:val="center"/>
          </w:tcPr>
          <w:p w14:paraId="73A7490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5D838A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9EF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6B9042B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灌丛植被生态恢复的调控机制及气候变化响应特征</w:t>
            </w:r>
          </w:p>
        </w:tc>
        <w:tc>
          <w:tcPr>
            <w:tcW w:w="1248" w:type="dxa"/>
            <w:gridSpan w:val="2"/>
            <w:shd w:val="clear" w:color="auto" w:fill="auto"/>
            <w:noWrap/>
            <w:vAlign w:val="center"/>
          </w:tcPr>
          <w:p w14:paraId="58E7FD0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E13465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BSH064</w:t>
            </w:r>
          </w:p>
        </w:tc>
        <w:tc>
          <w:tcPr>
            <w:tcW w:w="1644" w:type="dxa"/>
            <w:gridSpan w:val="3"/>
            <w:shd w:val="clear" w:color="auto" w:fill="auto"/>
            <w:noWrap/>
            <w:vAlign w:val="center"/>
          </w:tcPr>
          <w:p w14:paraId="29CEB70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植物生态、恢复生态、植物-土壤-微生物互作</w:t>
            </w:r>
          </w:p>
        </w:tc>
        <w:tc>
          <w:tcPr>
            <w:tcW w:w="1344" w:type="dxa"/>
            <w:shd w:val="clear" w:color="auto" w:fill="auto"/>
            <w:noWrap/>
            <w:vAlign w:val="center"/>
          </w:tcPr>
          <w:p w14:paraId="1C31B8E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826178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C0F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4A2DC17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国家级保护植物的生态保护对策</w:t>
            </w:r>
          </w:p>
        </w:tc>
        <w:tc>
          <w:tcPr>
            <w:tcW w:w="1248" w:type="dxa"/>
            <w:gridSpan w:val="2"/>
            <w:shd w:val="clear" w:color="auto" w:fill="auto"/>
            <w:noWrap/>
            <w:vAlign w:val="center"/>
          </w:tcPr>
          <w:p w14:paraId="5A49875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D47D3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BSH065</w:t>
            </w:r>
          </w:p>
        </w:tc>
        <w:tc>
          <w:tcPr>
            <w:tcW w:w="1644" w:type="dxa"/>
            <w:gridSpan w:val="3"/>
            <w:shd w:val="clear" w:color="auto" w:fill="auto"/>
            <w:noWrap/>
            <w:vAlign w:val="center"/>
          </w:tcPr>
          <w:p w14:paraId="2B8516E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植被调查、植物学、地理信息系统</w:t>
            </w:r>
          </w:p>
        </w:tc>
        <w:tc>
          <w:tcPr>
            <w:tcW w:w="1344" w:type="dxa"/>
            <w:shd w:val="clear" w:color="auto" w:fill="auto"/>
            <w:noWrap/>
            <w:vAlign w:val="center"/>
          </w:tcPr>
          <w:p w14:paraId="12717A5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07A04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5B1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73" w:type="dxa"/>
            <w:gridSpan w:val="2"/>
            <w:shd w:val="clear" w:color="auto" w:fill="auto"/>
            <w:noWrap/>
            <w:vAlign w:val="center"/>
          </w:tcPr>
          <w:p w14:paraId="4E9D9C3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西南山区植被调查、监测与结构功能研究</w:t>
            </w:r>
          </w:p>
        </w:tc>
        <w:tc>
          <w:tcPr>
            <w:tcW w:w="1248" w:type="dxa"/>
            <w:gridSpan w:val="2"/>
            <w:shd w:val="clear" w:color="auto" w:fill="auto"/>
            <w:noWrap/>
            <w:vAlign w:val="center"/>
          </w:tcPr>
          <w:p w14:paraId="1DBFF92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31EB691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BSH066</w:t>
            </w:r>
          </w:p>
        </w:tc>
        <w:tc>
          <w:tcPr>
            <w:tcW w:w="1644" w:type="dxa"/>
            <w:gridSpan w:val="3"/>
            <w:shd w:val="clear" w:color="auto" w:fill="auto"/>
            <w:noWrap/>
            <w:vAlign w:val="center"/>
          </w:tcPr>
          <w:p w14:paraId="4DE2690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植物分类学、植被生态学、自然地理学等</w:t>
            </w:r>
          </w:p>
        </w:tc>
        <w:tc>
          <w:tcPr>
            <w:tcW w:w="1344" w:type="dxa"/>
            <w:shd w:val="clear" w:color="auto" w:fill="auto"/>
            <w:noWrap/>
            <w:vAlign w:val="center"/>
          </w:tcPr>
          <w:p w14:paraId="52474F0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9DE9BC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57B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0C1FA264">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14:paraId="796D4126">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14:paraId="1B4B491C">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14:paraId="0DDE37E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AAE4280">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5F37CCE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F8E3108">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71B4B7E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FABFAEA">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rPr>
            </w:pPr>
            <w:r>
              <w:rPr>
                <w:rFonts w:eastAsiaTheme="minorEastAsia"/>
                <w:b/>
                <w:bCs/>
                <w:sz w:val="21"/>
                <w:szCs w:val="21"/>
              </w:rPr>
              <w:t>等要求</w:t>
            </w:r>
          </w:p>
        </w:tc>
      </w:tr>
      <w:tr w14:paraId="163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D6770C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高寒草原湿地生态区生态修复技术体系构建研究 </w:t>
            </w:r>
          </w:p>
        </w:tc>
        <w:tc>
          <w:tcPr>
            <w:tcW w:w="1248" w:type="dxa"/>
            <w:gridSpan w:val="2"/>
            <w:shd w:val="clear" w:color="auto" w:fill="auto"/>
            <w:noWrap/>
            <w:vAlign w:val="center"/>
          </w:tcPr>
          <w:p w14:paraId="4E0DE55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4A174FC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BSH067</w:t>
            </w:r>
          </w:p>
        </w:tc>
        <w:tc>
          <w:tcPr>
            <w:tcW w:w="1644" w:type="dxa"/>
            <w:gridSpan w:val="3"/>
            <w:shd w:val="clear" w:color="auto" w:fill="auto"/>
            <w:noWrap/>
            <w:vAlign w:val="center"/>
          </w:tcPr>
          <w:p w14:paraId="6E94C26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植物群落学、土壤学、恢复生态学</w:t>
            </w:r>
          </w:p>
        </w:tc>
        <w:tc>
          <w:tcPr>
            <w:tcW w:w="1344" w:type="dxa"/>
            <w:shd w:val="clear" w:color="auto" w:fill="auto"/>
            <w:noWrap/>
            <w:vAlign w:val="center"/>
          </w:tcPr>
          <w:p w14:paraId="074739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0D08F2A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7C58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70F1FE8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岷江源区林草交错带植被格局变化及其生态系统服务权衡</w:t>
            </w:r>
          </w:p>
        </w:tc>
        <w:tc>
          <w:tcPr>
            <w:tcW w:w="1248" w:type="dxa"/>
            <w:gridSpan w:val="2"/>
            <w:shd w:val="clear" w:color="auto" w:fill="auto"/>
            <w:noWrap/>
            <w:vAlign w:val="center"/>
          </w:tcPr>
          <w:p w14:paraId="4BD085E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1DC1FD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BSH068</w:t>
            </w:r>
          </w:p>
        </w:tc>
        <w:tc>
          <w:tcPr>
            <w:tcW w:w="1644" w:type="dxa"/>
            <w:gridSpan w:val="3"/>
            <w:shd w:val="clear" w:color="auto" w:fill="auto"/>
            <w:noWrap/>
            <w:vAlign w:val="center"/>
          </w:tcPr>
          <w:p w14:paraId="3172B50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生态遥感</w:t>
            </w:r>
          </w:p>
        </w:tc>
        <w:tc>
          <w:tcPr>
            <w:tcW w:w="1344" w:type="dxa"/>
            <w:shd w:val="clear" w:color="auto" w:fill="auto"/>
            <w:noWrap/>
            <w:vAlign w:val="center"/>
          </w:tcPr>
          <w:p w14:paraId="51CCBA5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76FAE1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61E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0A9AB0C">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鼠李糖脂菌种创制与高效发酵</w:t>
            </w:r>
          </w:p>
        </w:tc>
        <w:tc>
          <w:tcPr>
            <w:tcW w:w="1248" w:type="dxa"/>
            <w:gridSpan w:val="2"/>
            <w:shd w:val="clear" w:color="auto" w:fill="auto"/>
            <w:noWrap/>
            <w:vAlign w:val="center"/>
          </w:tcPr>
          <w:p w14:paraId="51BFE56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C4BD41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BSH069</w:t>
            </w:r>
          </w:p>
        </w:tc>
        <w:tc>
          <w:tcPr>
            <w:tcW w:w="1644" w:type="dxa"/>
            <w:gridSpan w:val="3"/>
            <w:shd w:val="clear" w:color="auto" w:fill="auto"/>
            <w:noWrap/>
            <w:vAlign w:val="center"/>
          </w:tcPr>
          <w:p w14:paraId="1D43528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合成生物学、生物信息学、发酵工程</w:t>
            </w:r>
          </w:p>
        </w:tc>
        <w:tc>
          <w:tcPr>
            <w:tcW w:w="1344" w:type="dxa"/>
            <w:shd w:val="clear" w:color="auto" w:fill="auto"/>
            <w:noWrap/>
            <w:vAlign w:val="center"/>
          </w:tcPr>
          <w:p w14:paraId="0111217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873CE7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864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75F79CC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活性天然产物的基因挖掘和作用机制</w:t>
            </w:r>
          </w:p>
        </w:tc>
        <w:tc>
          <w:tcPr>
            <w:tcW w:w="1248" w:type="dxa"/>
            <w:gridSpan w:val="2"/>
            <w:shd w:val="clear" w:color="auto" w:fill="auto"/>
            <w:noWrap/>
            <w:vAlign w:val="center"/>
          </w:tcPr>
          <w:p w14:paraId="1183DC6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w:t>
            </w:r>
          </w:p>
        </w:tc>
        <w:tc>
          <w:tcPr>
            <w:tcW w:w="1188" w:type="dxa"/>
            <w:shd w:val="clear" w:color="auto" w:fill="auto"/>
            <w:noWrap/>
            <w:vAlign w:val="center"/>
          </w:tcPr>
          <w:p w14:paraId="4C44398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BSH070</w:t>
            </w:r>
          </w:p>
        </w:tc>
        <w:tc>
          <w:tcPr>
            <w:tcW w:w="1644" w:type="dxa"/>
            <w:gridSpan w:val="3"/>
            <w:shd w:val="clear" w:color="auto" w:fill="auto"/>
            <w:noWrap/>
            <w:vAlign w:val="center"/>
          </w:tcPr>
          <w:p w14:paraId="46B1905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药理学、生物化学、细胞生物学、分子遗传学</w:t>
            </w:r>
          </w:p>
        </w:tc>
        <w:tc>
          <w:tcPr>
            <w:tcW w:w="1344" w:type="dxa"/>
            <w:shd w:val="clear" w:color="auto" w:fill="auto"/>
            <w:noWrap/>
            <w:vAlign w:val="center"/>
          </w:tcPr>
          <w:p w14:paraId="142EB3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B06532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A84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BA9E5D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浮萍生物学</w:t>
            </w:r>
          </w:p>
        </w:tc>
        <w:tc>
          <w:tcPr>
            <w:tcW w:w="1248" w:type="dxa"/>
            <w:gridSpan w:val="2"/>
            <w:shd w:val="clear" w:color="auto" w:fill="auto"/>
            <w:noWrap/>
            <w:vAlign w:val="center"/>
          </w:tcPr>
          <w:p w14:paraId="12B3E09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4</w:t>
            </w:r>
          </w:p>
        </w:tc>
        <w:tc>
          <w:tcPr>
            <w:tcW w:w="1188" w:type="dxa"/>
            <w:shd w:val="clear" w:color="auto" w:fill="auto"/>
            <w:noWrap/>
            <w:vAlign w:val="center"/>
          </w:tcPr>
          <w:p w14:paraId="63AF7F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BSH071</w:t>
            </w:r>
          </w:p>
        </w:tc>
        <w:tc>
          <w:tcPr>
            <w:tcW w:w="1644" w:type="dxa"/>
            <w:gridSpan w:val="3"/>
            <w:shd w:val="clear" w:color="auto" w:fill="auto"/>
            <w:noWrap/>
            <w:vAlign w:val="center"/>
          </w:tcPr>
          <w:p w14:paraId="721091B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植物生理、细胞生物学、分子生物学、植物遗传学、环境科学</w:t>
            </w:r>
          </w:p>
        </w:tc>
        <w:tc>
          <w:tcPr>
            <w:tcW w:w="1344" w:type="dxa"/>
            <w:shd w:val="clear" w:color="auto" w:fill="auto"/>
            <w:noWrap/>
            <w:vAlign w:val="center"/>
          </w:tcPr>
          <w:p w14:paraId="21F5A7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4EB545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00E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2DD0528">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CO2微生物固定利用</w:t>
            </w:r>
          </w:p>
        </w:tc>
        <w:tc>
          <w:tcPr>
            <w:tcW w:w="1248" w:type="dxa"/>
            <w:gridSpan w:val="2"/>
            <w:shd w:val="clear" w:color="auto" w:fill="auto"/>
            <w:noWrap/>
            <w:vAlign w:val="center"/>
          </w:tcPr>
          <w:p w14:paraId="24B6EF6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B76273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BSH072</w:t>
            </w:r>
          </w:p>
        </w:tc>
        <w:tc>
          <w:tcPr>
            <w:tcW w:w="1644" w:type="dxa"/>
            <w:gridSpan w:val="3"/>
            <w:shd w:val="clear" w:color="auto" w:fill="auto"/>
            <w:noWrap/>
            <w:vAlign w:val="center"/>
          </w:tcPr>
          <w:p w14:paraId="2C861A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w:t>
            </w:r>
          </w:p>
        </w:tc>
        <w:tc>
          <w:tcPr>
            <w:tcW w:w="1344" w:type="dxa"/>
            <w:shd w:val="clear" w:color="auto" w:fill="auto"/>
            <w:noWrap/>
            <w:vAlign w:val="center"/>
          </w:tcPr>
          <w:p w14:paraId="0A6BFC2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7DC2705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EDD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08D39F8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基因编辑与合成生物学在微生物生物制造中的应用</w:t>
            </w:r>
          </w:p>
        </w:tc>
        <w:tc>
          <w:tcPr>
            <w:tcW w:w="1248" w:type="dxa"/>
            <w:gridSpan w:val="2"/>
            <w:shd w:val="clear" w:color="auto" w:fill="auto"/>
            <w:noWrap/>
            <w:vAlign w:val="center"/>
          </w:tcPr>
          <w:p w14:paraId="052C5C0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EE263E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BSH073</w:t>
            </w:r>
          </w:p>
        </w:tc>
        <w:tc>
          <w:tcPr>
            <w:tcW w:w="1644" w:type="dxa"/>
            <w:gridSpan w:val="3"/>
            <w:shd w:val="clear" w:color="auto" w:fill="auto"/>
            <w:noWrap/>
            <w:vAlign w:val="center"/>
          </w:tcPr>
          <w:p w14:paraId="6178552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微生物学、生物化学与分子生物学</w:t>
            </w:r>
          </w:p>
        </w:tc>
        <w:tc>
          <w:tcPr>
            <w:tcW w:w="1344" w:type="dxa"/>
            <w:shd w:val="clear" w:color="auto" w:fill="auto"/>
            <w:noWrap/>
            <w:vAlign w:val="center"/>
          </w:tcPr>
          <w:p w14:paraId="45CAFBE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A5CCB1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174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52A6BE5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利用微生物处理农业废弃物资</w:t>
            </w:r>
          </w:p>
        </w:tc>
        <w:tc>
          <w:tcPr>
            <w:tcW w:w="1248" w:type="dxa"/>
            <w:gridSpan w:val="2"/>
            <w:shd w:val="clear" w:color="auto" w:fill="auto"/>
            <w:noWrap/>
            <w:vAlign w:val="center"/>
          </w:tcPr>
          <w:p w14:paraId="3A3E356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92E502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BSH074</w:t>
            </w:r>
          </w:p>
        </w:tc>
        <w:tc>
          <w:tcPr>
            <w:tcW w:w="1644" w:type="dxa"/>
            <w:gridSpan w:val="3"/>
            <w:shd w:val="clear" w:color="auto" w:fill="auto"/>
            <w:noWrap/>
            <w:vAlign w:val="center"/>
          </w:tcPr>
          <w:p w14:paraId="1B0387F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微生物学、环境科学</w:t>
            </w:r>
          </w:p>
        </w:tc>
        <w:tc>
          <w:tcPr>
            <w:tcW w:w="1344" w:type="dxa"/>
            <w:shd w:val="clear" w:color="auto" w:fill="auto"/>
            <w:noWrap/>
            <w:vAlign w:val="center"/>
          </w:tcPr>
          <w:p w14:paraId="31CAAC9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555DA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067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5D53EC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中链脂肪酸的生物发酵技术</w:t>
            </w:r>
          </w:p>
        </w:tc>
        <w:tc>
          <w:tcPr>
            <w:tcW w:w="1248" w:type="dxa"/>
            <w:gridSpan w:val="2"/>
            <w:shd w:val="clear" w:color="auto" w:fill="auto"/>
            <w:noWrap/>
            <w:vAlign w:val="center"/>
          </w:tcPr>
          <w:p w14:paraId="089A44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877C5F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BSH075</w:t>
            </w:r>
          </w:p>
        </w:tc>
        <w:tc>
          <w:tcPr>
            <w:tcW w:w="1644" w:type="dxa"/>
            <w:gridSpan w:val="3"/>
            <w:shd w:val="clear" w:color="auto" w:fill="auto"/>
            <w:noWrap/>
            <w:vAlign w:val="center"/>
          </w:tcPr>
          <w:p w14:paraId="228C637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微生物学，环境工程</w:t>
            </w:r>
          </w:p>
        </w:tc>
        <w:tc>
          <w:tcPr>
            <w:tcW w:w="1344" w:type="dxa"/>
            <w:shd w:val="clear" w:color="auto" w:fill="auto"/>
            <w:noWrap/>
            <w:vAlign w:val="center"/>
          </w:tcPr>
          <w:p w14:paraId="527EF7D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05BF9F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A01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319D30C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药物设计与合成</w:t>
            </w:r>
          </w:p>
        </w:tc>
        <w:tc>
          <w:tcPr>
            <w:tcW w:w="1248" w:type="dxa"/>
            <w:gridSpan w:val="2"/>
            <w:shd w:val="clear" w:color="auto" w:fill="auto"/>
            <w:noWrap/>
            <w:vAlign w:val="center"/>
          </w:tcPr>
          <w:p w14:paraId="0963D72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1BEF6D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BSH076</w:t>
            </w:r>
          </w:p>
        </w:tc>
        <w:tc>
          <w:tcPr>
            <w:tcW w:w="1644" w:type="dxa"/>
            <w:gridSpan w:val="3"/>
            <w:shd w:val="clear" w:color="auto" w:fill="auto"/>
            <w:noWrap/>
            <w:vAlign w:val="center"/>
          </w:tcPr>
          <w:p w14:paraId="2EAEF1F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药物化学/有机合成</w:t>
            </w:r>
          </w:p>
        </w:tc>
        <w:tc>
          <w:tcPr>
            <w:tcW w:w="1344" w:type="dxa"/>
            <w:shd w:val="clear" w:color="auto" w:fill="auto"/>
            <w:noWrap/>
            <w:vAlign w:val="center"/>
          </w:tcPr>
          <w:p w14:paraId="1A5A941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5A0DBD7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CA2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7BD8C2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植物活性物质的高效物质解析</w:t>
            </w:r>
          </w:p>
        </w:tc>
        <w:tc>
          <w:tcPr>
            <w:tcW w:w="1248" w:type="dxa"/>
            <w:gridSpan w:val="2"/>
            <w:shd w:val="clear" w:color="auto" w:fill="auto"/>
            <w:noWrap/>
            <w:vAlign w:val="center"/>
          </w:tcPr>
          <w:p w14:paraId="34DD132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94DF6F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BSH077</w:t>
            </w:r>
          </w:p>
        </w:tc>
        <w:tc>
          <w:tcPr>
            <w:tcW w:w="1644" w:type="dxa"/>
            <w:gridSpan w:val="3"/>
            <w:shd w:val="clear" w:color="auto" w:fill="auto"/>
            <w:noWrap/>
            <w:vAlign w:val="center"/>
          </w:tcPr>
          <w:p w14:paraId="2B27B26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天然产物化学</w:t>
            </w:r>
          </w:p>
        </w:tc>
        <w:tc>
          <w:tcPr>
            <w:tcW w:w="1344" w:type="dxa"/>
            <w:shd w:val="clear" w:color="auto" w:fill="auto"/>
            <w:noWrap/>
            <w:vAlign w:val="center"/>
          </w:tcPr>
          <w:p w14:paraId="75A5924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6BEECE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AF8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86127D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微生物活性物质的高效生物合成</w:t>
            </w:r>
          </w:p>
        </w:tc>
        <w:tc>
          <w:tcPr>
            <w:tcW w:w="1248" w:type="dxa"/>
            <w:gridSpan w:val="2"/>
            <w:shd w:val="clear" w:color="auto" w:fill="auto"/>
            <w:noWrap/>
            <w:vAlign w:val="center"/>
          </w:tcPr>
          <w:p w14:paraId="66AF501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122ADB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BSH078</w:t>
            </w:r>
          </w:p>
        </w:tc>
        <w:tc>
          <w:tcPr>
            <w:tcW w:w="1644" w:type="dxa"/>
            <w:gridSpan w:val="3"/>
            <w:shd w:val="clear" w:color="auto" w:fill="auto"/>
            <w:noWrap/>
            <w:vAlign w:val="center"/>
          </w:tcPr>
          <w:p w14:paraId="0730A85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生物合成</w:t>
            </w:r>
          </w:p>
        </w:tc>
        <w:tc>
          <w:tcPr>
            <w:tcW w:w="1344" w:type="dxa"/>
            <w:shd w:val="clear" w:color="auto" w:fill="auto"/>
            <w:noWrap/>
            <w:vAlign w:val="center"/>
          </w:tcPr>
          <w:p w14:paraId="3D9B926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5C56837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62E1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D6FF72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药物新靶标发现及作用机制</w:t>
            </w:r>
          </w:p>
        </w:tc>
        <w:tc>
          <w:tcPr>
            <w:tcW w:w="1248" w:type="dxa"/>
            <w:gridSpan w:val="2"/>
            <w:shd w:val="clear" w:color="auto" w:fill="auto"/>
            <w:noWrap/>
            <w:vAlign w:val="center"/>
          </w:tcPr>
          <w:p w14:paraId="237A4D5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ED7FB7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BSH079</w:t>
            </w:r>
          </w:p>
        </w:tc>
        <w:tc>
          <w:tcPr>
            <w:tcW w:w="1644" w:type="dxa"/>
            <w:gridSpan w:val="3"/>
            <w:shd w:val="clear" w:color="auto" w:fill="auto"/>
            <w:noWrap/>
            <w:vAlign w:val="center"/>
          </w:tcPr>
          <w:p w14:paraId="4B87703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化学生物学/结构生物学</w:t>
            </w:r>
          </w:p>
        </w:tc>
        <w:tc>
          <w:tcPr>
            <w:tcW w:w="1344" w:type="dxa"/>
            <w:shd w:val="clear" w:color="auto" w:fill="auto"/>
            <w:noWrap/>
            <w:vAlign w:val="center"/>
          </w:tcPr>
          <w:p w14:paraId="412DF2A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FFBA38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2E1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0F6BB68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基于合成生物学的微生物制造</w:t>
            </w:r>
          </w:p>
        </w:tc>
        <w:tc>
          <w:tcPr>
            <w:tcW w:w="1248" w:type="dxa"/>
            <w:gridSpan w:val="2"/>
            <w:shd w:val="clear" w:color="auto" w:fill="auto"/>
            <w:noWrap/>
            <w:vAlign w:val="center"/>
          </w:tcPr>
          <w:p w14:paraId="039BBE0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9A10F0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BSH080</w:t>
            </w:r>
          </w:p>
        </w:tc>
        <w:tc>
          <w:tcPr>
            <w:tcW w:w="1644" w:type="dxa"/>
            <w:gridSpan w:val="3"/>
            <w:shd w:val="clear" w:color="auto" w:fill="auto"/>
            <w:noWrap/>
            <w:vAlign w:val="center"/>
          </w:tcPr>
          <w:p w14:paraId="2AA9DEF4">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微生物遗传学、生物化学与分子生物学、合成生物学</w:t>
            </w:r>
          </w:p>
        </w:tc>
        <w:tc>
          <w:tcPr>
            <w:tcW w:w="1344" w:type="dxa"/>
            <w:shd w:val="clear" w:color="auto" w:fill="auto"/>
            <w:noWrap/>
            <w:vAlign w:val="center"/>
          </w:tcPr>
          <w:p w14:paraId="216E67F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41333C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20E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3192E6D4">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14:paraId="1E772363">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14:paraId="3DC8158C">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14:paraId="03AE257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E4CD6A2">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61DF60D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FAA04E0">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3462926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C52F2D4">
            <w:pPr>
              <w:adjustRightInd w:val="0"/>
              <w:snapToGrid w:val="0"/>
              <w:spacing w:line="240" w:lineRule="auto"/>
              <w:ind w:firstLine="0" w:firstLineChars="0"/>
              <w:jc w:val="center"/>
              <w:rPr>
                <w:rFonts w:hint="eastAsia" w:ascii="Times New Roman" w:hAnsi="Times New Roman" w:cs="Times New Roman" w:eastAsiaTheme="minorEastAsia"/>
                <w:color w:val="000000"/>
                <w:kern w:val="0"/>
                <w:sz w:val="21"/>
                <w:szCs w:val="21"/>
                <w:lang w:val="en-US" w:eastAsia="zh-CN"/>
              </w:rPr>
            </w:pPr>
            <w:r>
              <w:rPr>
                <w:rFonts w:eastAsiaTheme="minorEastAsia"/>
                <w:b/>
                <w:bCs/>
                <w:sz w:val="21"/>
                <w:szCs w:val="21"/>
              </w:rPr>
              <w:t>等要求</w:t>
            </w:r>
          </w:p>
        </w:tc>
      </w:tr>
      <w:tr w14:paraId="7B93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3D4025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活性天然产物的发现、改造与评价</w:t>
            </w:r>
          </w:p>
        </w:tc>
        <w:tc>
          <w:tcPr>
            <w:tcW w:w="1248" w:type="dxa"/>
            <w:gridSpan w:val="2"/>
            <w:shd w:val="clear" w:color="auto" w:fill="auto"/>
            <w:noWrap/>
            <w:vAlign w:val="center"/>
          </w:tcPr>
          <w:p w14:paraId="1CED350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0FCB183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BSH081</w:t>
            </w:r>
          </w:p>
        </w:tc>
        <w:tc>
          <w:tcPr>
            <w:tcW w:w="1644" w:type="dxa"/>
            <w:gridSpan w:val="3"/>
            <w:shd w:val="clear" w:color="auto" w:fill="auto"/>
            <w:noWrap/>
            <w:vAlign w:val="center"/>
          </w:tcPr>
          <w:p w14:paraId="19A8C6C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天然药物化学</w:t>
            </w:r>
          </w:p>
        </w:tc>
        <w:tc>
          <w:tcPr>
            <w:tcW w:w="1344" w:type="dxa"/>
            <w:shd w:val="clear" w:color="auto" w:fill="auto"/>
            <w:noWrap/>
            <w:vAlign w:val="center"/>
          </w:tcPr>
          <w:p w14:paraId="5497762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30DB670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12C7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3B8271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糖苷类化合物的合成及活性评价</w:t>
            </w:r>
          </w:p>
        </w:tc>
        <w:tc>
          <w:tcPr>
            <w:tcW w:w="1248" w:type="dxa"/>
            <w:gridSpan w:val="2"/>
            <w:shd w:val="clear" w:color="auto" w:fill="auto"/>
            <w:noWrap/>
            <w:vAlign w:val="center"/>
          </w:tcPr>
          <w:p w14:paraId="34BC3F9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E83AAC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BSH082</w:t>
            </w:r>
          </w:p>
        </w:tc>
        <w:tc>
          <w:tcPr>
            <w:tcW w:w="1644" w:type="dxa"/>
            <w:gridSpan w:val="3"/>
            <w:shd w:val="clear" w:color="auto" w:fill="auto"/>
            <w:noWrap/>
            <w:vAlign w:val="center"/>
          </w:tcPr>
          <w:p w14:paraId="1EEC411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药物化学、有机合成</w:t>
            </w:r>
          </w:p>
        </w:tc>
        <w:tc>
          <w:tcPr>
            <w:tcW w:w="1344" w:type="dxa"/>
            <w:shd w:val="clear" w:color="auto" w:fill="auto"/>
            <w:noWrap/>
            <w:vAlign w:val="center"/>
          </w:tcPr>
          <w:p w14:paraId="29A45F0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314335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FF3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96AC9E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氮杂环类化合物的合成与转化</w:t>
            </w:r>
          </w:p>
        </w:tc>
        <w:tc>
          <w:tcPr>
            <w:tcW w:w="1248" w:type="dxa"/>
            <w:gridSpan w:val="2"/>
            <w:shd w:val="clear" w:color="auto" w:fill="auto"/>
            <w:noWrap/>
            <w:vAlign w:val="center"/>
          </w:tcPr>
          <w:p w14:paraId="160A752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658F6A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BSH083</w:t>
            </w:r>
          </w:p>
        </w:tc>
        <w:tc>
          <w:tcPr>
            <w:tcW w:w="1644" w:type="dxa"/>
            <w:gridSpan w:val="3"/>
            <w:shd w:val="clear" w:color="auto" w:fill="auto"/>
            <w:noWrap/>
            <w:vAlign w:val="center"/>
          </w:tcPr>
          <w:p w14:paraId="1EC96CA7">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药物化学、有机合成</w:t>
            </w:r>
          </w:p>
        </w:tc>
        <w:tc>
          <w:tcPr>
            <w:tcW w:w="1344" w:type="dxa"/>
            <w:shd w:val="clear" w:color="auto" w:fill="auto"/>
            <w:noWrap/>
            <w:vAlign w:val="center"/>
          </w:tcPr>
          <w:p w14:paraId="15CAD9B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910EF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BCC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3C8B600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AI辅助的功能分子挖掘与改造</w:t>
            </w:r>
          </w:p>
        </w:tc>
        <w:tc>
          <w:tcPr>
            <w:tcW w:w="1248" w:type="dxa"/>
            <w:gridSpan w:val="2"/>
            <w:shd w:val="clear" w:color="auto" w:fill="auto"/>
            <w:noWrap/>
            <w:vAlign w:val="center"/>
          </w:tcPr>
          <w:p w14:paraId="234F29A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63F2A3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BSH084</w:t>
            </w:r>
          </w:p>
        </w:tc>
        <w:tc>
          <w:tcPr>
            <w:tcW w:w="1644" w:type="dxa"/>
            <w:gridSpan w:val="3"/>
            <w:shd w:val="clear" w:color="auto" w:fill="auto"/>
            <w:noWrap/>
            <w:vAlign w:val="center"/>
          </w:tcPr>
          <w:p w14:paraId="01F9763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人工智能与机器学习、药物化学、有机合成</w:t>
            </w:r>
          </w:p>
        </w:tc>
        <w:tc>
          <w:tcPr>
            <w:tcW w:w="1344" w:type="dxa"/>
            <w:shd w:val="clear" w:color="auto" w:fill="auto"/>
            <w:noWrap/>
            <w:vAlign w:val="center"/>
          </w:tcPr>
          <w:p w14:paraId="5D3F3C1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3D4C63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6D4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553ECAC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大麦（青稞）重要农艺性状演替规律及遗传改良</w:t>
            </w:r>
          </w:p>
        </w:tc>
        <w:tc>
          <w:tcPr>
            <w:tcW w:w="1248" w:type="dxa"/>
            <w:gridSpan w:val="2"/>
            <w:shd w:val="clear" w:color="auto" w:fill="auto"/>
            <w:noWrap/>
            <w:vAlign w:val="center"/>
          </w:tcPr>
          <w:p w14:paraId="502489F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E1B6F2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BSH085</w:t>
            </w:r>
          </w:p>
        </w:tc>
        <w:tc>
          <w:tcPr>
            <w:tcW w:w="1644" w:type="dxa"/>
            <w:gridSpan w:val="3"/>
            <w:shd w:val="clear" w:color="auto" w:fill="auto"/>
            <w:noWrap/>
            <w:vAlign w:val="center"/>
          </w:tcPr>
          <w:p w14:paraId="1617E382">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植物学、遗传学、基因组学</w:t>
            </w:r>
          </w:p>
        </w:tc>
        <w:tc>
          <w:tcPr>
            <w:tcW w:w="1344" w:type="dxa"/>
            <w:shd w:val="clear" w:color="auto" w:fill="auto"/>
            <w:noWrap/>
            <w:vAlign w:val="center"/>
          </w:tcPr>
          <w:p w14:paraId="10D7033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7CC038E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A83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1F22608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植物功能内生菌挖掘及其作用机制研究</w:t>
            </w:r>
          </w:p>
        </w:tc>
        <w:tc>
          <w:tcPr>
            <w:tcW w:w="1248" w:type="dxa"/>
            <w:gridSpan w:val="2"/>
            <w:shd w:val="clear" w:color="auto" w:fill="auto"/>
            <w:noWrap/>
            <w:vAlign w:val="center"/>
          </w:tcPr>
          <w:p w14:paraId="20187DE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486739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BSH086</w:t>
            </w:r>
          </w:p>
        </w:tc>
        <w:tc>
          <w:tcPr>
            <w:tcW w:w="1644" w:type="dxa"/>
            <w:gridSpan w:val="3"/>
            <w:shd w:val="clear" w:color="auto" w:fill="auto"/>
            <w:noWrap/>
            <w:vAlign w:val="center"/>
          </w:tcPr>
          <w:p w14:paraId="75AD719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植物生理与分子生物学</w:t>
            </w:r>
          </w:p>
        </w:tc>
        <w:tc>
          <w:tcPr>
            <w:tcW w:w="1344" w:type="dxa"/>
            <w:shd w:val="clear" w:color="auto" w:fill="auto"/>
            <w:noWrap/>
            <w:vAlign w:val="center"/>
          </w:tcPr>
          <w:p w14:paraId="03F67D5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B92CBC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EA3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217F36E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耐逆牧草分子机制研究及新材料创制</w:t>
            </w:r>
          </w:p>
        </w:tc>
        <w:tc>
          <w:tcPr>
            <w:tcW w:w="1248" w:type="dxa"/>
            <w:gridSpan w:val="2"/>
            <w:shd w:val="clear" w:color="auto" w:fill="auto"/>
            <w:noWrap/>
            <w:vAlign w:val="center"/>
          </w:tcPr>
          <w:p w14:paraId="5AEE8C0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31CE24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BSH087</w:t>
            </w:r>
          </w:p>
        </w:tc>
        <w:tc>
          <w:tcPr>
            <w:tcW w:w="1644" w:type="dxa"/>
            <w:gridSpan w:val="3"/>
            <w:shd w:val="clear" w:color="auto" w:fill="auto"/>
            <w:noWrap/>
            <w:vAlign w:val="center"/>
          </w:tcPr>
          <w:p w14:paraId="7BF5548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植物生理与分子生物学</w:t>
            </w:r>
          </w:p>
        </w:tc>
        <w:tc>
          <w:tcPr>
            <w:tcW w:w="1344" w:type="dxa"/>
            <w:shd w:val="clear" w:color="auto" w:fill="auto"/>
            <w:noWrap/>
            <w:vAlign w:val="center"/>
          </w:tcPr>
          <w:p w14:paraId="62D1015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037958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ACE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4E36B7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作物耐逆分子机制研究及新材料创制</w:t>
            </w:r>
          </w:p>
        </w:tc>
        <w:tc>
          <w:tcPr>
            <w:tcW w:w="1248" w:type="dxa"/>
            <w:gridSpan w:val="2"/>
            <w:shd w:val="clear" w:color="auto" w:fill="auto"/>
            <w:noWrap/>
            <w:vAlign w:val="center"/>
          </w:tcPr>
          <w:p w14:paraId="49FE099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87E757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BSH088</w:t>
            </w:r>
          </w:p>
        </w:tc>
        <w:tc>
          <w:tcPr>
            <w:tcW w:w="1644" w:type="dxa"/>
            <w:gridSpan w:val="3"/>
            <w:shd w:val="clear" w:color="auto" w:fill="auto"/>
            <w:noWrap/>
            <w:vAlign w:val="center"/>
          </w:tcPr>
          <w:p w14:paraId="529A334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植物生理与分子生物学、遗传学、细胞生物学</w:t>
            </w:r>
          </w:p>
        </w:tc>
        <w:tc>
          <w:tcPr>
            <w:tcW w:w="1344" w:type="dxa"/>
            <w:shd w:val="clear" w:color="auto" w:fill="auto"/>
            <w:noWrap/>
            <w:vAlign w:val="center"/>
          </w:tcPr>
          <w:p w14:paraId="7447F7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2E7942C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FCD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5782088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麦类作物产量性状遗传基础解析</w:t>
            </w:r>
          </w:p>
        </w:tc>
        <w:tc>
          <w:tcPr>
            <w:tcW w:w="1248" w:type="dxa"/>
            <w:gridSpan w:val="2"/>
            <w:shd w:val="clear" w:color="auto" w:fill="auto"/>
            <w:noWrap/>
            <w:vAlign w:val="center"/>
          </w:tcPr>
          <w:p w14:paraId="5555C30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E991BD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BSH089</w:t>
            </w:r>
          </w:p>
        </w:tc>
        <w:tc>
          <w:tcPr>
            <w:tcW w:w="1644" w:type="dxa"/>
            <w:gridSpan w:val="3"/>
            <w:shd w:val="clear" w:color="auto" w:fill="auto"/>
            <w:noWrap/>
            <w:vAlign w:val="center"/>
          </w:tcPr>
          <w:p w14:paraId="36DDFFD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生物化学与分子生物学、遗传学、细胞生物学</w:t>
            </w:r>
          </w:p>
        </w:tc>
        <w:tc>
          <w:tcPr>
            <w:tcW w:w="1344" w:type="dxa"/>
            <w:shd w:val="clear" w:color="auto" w:fill="auto"/>
            <w:noWrap/>
            <w:vAlign w:val="center"/>
          </w:tcPr>
          <w:p w14:paraId="1D83F28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85F103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2407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C2AE369">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作物品质调控创新</w:t>
            </w:r>
          </w:p>
        </w:tc>
        <w:tc>
          <w:tcPr>
            <w:tcW w:w="1248" w:type="dxa"/>
            <w:gridSpan w:val="2"/>
            <w:shd w:val="clear" w:color="auto" w:fill="auto"/>
            <w:noWrap/>
            <w:vAlign w:val="center"/>
          </w:tcPr>
          <w:p w14:paraId="7CDE884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CCC3FE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BSH090</w:t>
            </w:r>
          </w:p>
        </w:tc>
        <w:tc>
          <w:tcPr>
            <w:tcW w:w="1644" w:type="dxa"/>
            <w:gridSpan w:val="3"/>
            <w:shd w:val="clear" w:color="auto" w:fill="auto"/>
            <w:noWrap/>
            <w:vAlign w:val="center"/>
          </w:tcPr>
          <w:p w14:paraId="1921111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分子生物学、遗传学、细胞生物学</w:t>
            </w:r>
          </w:p>
        </w:tc>
        <w:tc>
          <w:tcPr>
            <w:tcW w:w="1344" w:type="dxa"/>
            <w:shd w:val="clear" w:color="auto" w:fill="auto"/>
            <w:noWrap/>
            <w:vAlign w:val="center"/>
          </w:tcPr>
          <w:p w14:paraId="0B1327D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3101EDE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754D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125897D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靶向蛋白降解药物开发</w:t>
            </w:r>
          </w:p>
        </w:tc>
        <w:tc>
          <w:tcPr>
            <w:tcW w:w="1248" w:type="dxa"/>
            <w:gridSpan w:val="2"/>
            <w:shd w:val="clear" w:color="auto" w:fill="auto"/>
            <w:noWrap/>
            <w:vAlign w:val="center"/>
          </w:tcPr>
          <w:p w14:paraId="5CE9A88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E1592E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BSH091</w:t>
            </w:r>
          </w:p>
        </w:tc>
        <w:tc>
          <w:tcPr>
            <w:tcW w:w="1644" w:type="dxa"/>
            <w:gridSpan w:val="3"/>
            <w:shd w:val="clear" w:color="auto" w:fill="auto"/>
            <w:noWrap/>
            <w:vAlign w:val="center"/>
          </w:tcPr>
          <w:p w14:paraId="12FD41F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药化、药理专业</w:t>
            </w:r>
          </w:p>
        </w:tc>
        <w:tc>
          <w:tcPr>
            <w:tcW w:w="1344" w:type="dxa"/>
            <w:shd w:val="clear" w:color="auto" w:fill="auto"/>
            <w:noWrap/>
            <w:vAlign w:val="center"/>
          </w:tcPr>
          <w:p w14:paraId="57108B5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243074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F0F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6DF6F5A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基因操控和基因编辑</w:t>
            </w:r>
          </w:p>
        </w:tc>
        <w:tc>
          <w:tcPr>
            <w:tcW w:w="1248" w:type="dxa"/>
            <w:gridSpan w:val="2"/>
            <w:shd w:val="clear" w:color="auto" w:fill="auto"/>
            <w:noWrap/>
            <w:vAlign w:val="center"/>
          </w:tcPr>
          <w:p w14:paraId="716E1E5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41284BD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BSH092</w:t>
            </w:r>
          </w:p>
        </w:tc>
        <w:tc>
          <w:tcPr>
            <w:tcW w:w="1644" w:type="dxa"/>
            <w:gridSpan w:val="3"/>
            <w:shd w:val="clear" w:color="auto" w:fill="auto"/>
            <w:noWrap/>
            <w:vAlign w:val="center"/>
          </w:tcPr>
          <w:p w14:paraId="533F29AB">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核酸化学、分子生物学</w:t>
            </w:r>
          </w:p>
        </w:tc>
        <w:tc>
          <w:tcPr>
            <w:tcW w:w="1344" w:type="dxa"/>
            <w:shd w:val="clear" w:color="auto" w:fill="auto"/>
            <w:noWrap/>
            <w:vAlign w:val="center"/>
          </w:tcPr>
          <w:p w14:paraId="0679CBC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769EE1F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52B0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73" w:type="dxa"/>
            <w:gridSpan w:val="2"/>
            <w:shd w:val="clear" w:color="auto" w:fill="auto"/>
            <w:noWrap/>
            <w:vAlign w:val="center"/>
          </w:tcPr>
          <w:p w14:paraId="4B68B14E">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重要农艺性状基因挖掘及种质创新</w:t>
            </w:r>
          </w:p>
        </w:tc>
        <w:tc>
          <w:tcPr>
            <w:tcW w:w="1248" w:type="dxa"/>
            <w:gridSpan w:val="2"/>
            <w:shd w:val="clear" w:color="auto" w:fill="auto"/>
            <w:noWrap/>
            <w:vAlign w:val="center"/>
          </w:tcPr>
          <w:p w14:paraId="62DA2BC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15A5499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BSH093</w:t>
            </w:r>
          </w:p>
        </w:tc>
        <w:tc>
          <w:tcPr>
            <w:tcW w:w="1644" w:type="dxa"/>
            <w:gridSpan w:val="3"/>
            <w:shd w:val="clear" w:color="auto" w:fill="auto"/>
            <w:noWrap/>
            <w:vAlign w:val="center"/>
          </w:tcPr>
          <w:p w14:paraId="3568796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作物遗传育种，基因组学, 生物化学与分子生物学</w:t>
            </w:r>
          </w:p>
        </w:tc>
        <w:tc>
          <w:tcPr>
            <w:tcW w:w="1344" w:type="dxa"/>
            <w:shd w:val="clear" w:color="auto" w:fill="auto"/>
            <w:noWrap/>
            <w:vAlign w:val="center"/>
          </w:tcPr>
          <w:p w14:paraId="15617FF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78CFDF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5DC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273" w:type="dxa"/>
            <w:gridSpan w:val="2"/>
            <w:shd w:val="clear" w:color="auto" w:fill="auto"/>
            <w:noWrap/>
            <w:vAlign w:val="center"/>
          </w:tcPr>
          <w:p w14:paraId="64E3DCB6">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质谱分析新技术开发</w:t>
            </w:r>
          </w:p>
        </w:tc>
        <w:tc>
          <w:tcPr>
            <w:tcW w:w="1248" w:type="dxa"/>
            <w:gridSpan w:val="2"/>
            <w:shd w:val="clear" w:color="auto" w:fill="auto"/>
            <w:noWrap/>
            <w:vAlign w:val="center"/>
          </w:tcPr>
          <w:p w14:paraId="40F05BE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2135276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BSH094</w:t>
            </w:r>
          </w:p>
        </w:tc>
        <w:tc>
          <w:tcPr>
            <w:tcW w:w="1644" w:type="dxa"/>
            <w:gridSpan w:val="3"/>
            <w:shd w:val="clear" w:color="auto" w:fill="auto"/>
            <w:noWrap/>
            <w:vAlign w:val="center"/>
          </w:tcPr>
          <w:p w14:paraId="1A454B0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分析化学、药物分析、天然产物化学、临床质谱</w:t>
            </w:r>
          </w:p>
        </w:tc>
        <w:tc>
          <w:tcPr>
            <w:tcW w:w="1344" w:type="dxa"/>
            <w:shd w:val="clear" w:color="auto" w:fill="auto"/>
            <w:noWrap/>
            <w:vAlign w:val="center"/>
          </w:tcPr>
          <w:p w14:paraId="40C76C2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8375D1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0C49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73" w:type="dxa"/>
            <w:gridSpan w:val="2"/>
            <w:shd w:val="clear" w:color="auto" w:fill="E7E6E6" w:themeFill="background2"/>
            <w:noWrap/>
            <w:vAlign w:val="center"/>
          </w:tcPr>
          <w:p w14:paraId="4ED8CA4C">
            <w:pPr>
              <w:adjustRightInd w:val="0"/>
              <w:snapToGrid w:val="0"/>
              <w:spacing w:line="240" w:lineRule="auto"/>
              <w:ind w:firstLine="0" w:firstLineChars="0"/>
              <w:jc w:val="center"/>
              <w:rPr>
                <w:rFonts w:hint="eastAsia" w:ascii="仿宋_GB2312"/>
                <w:color w:val="000000"/>
                <w:kern w:val="0"/>
                <w:sz w:val="22"/>
                <w:szCs w:val="22"/>
              </w:rPr>
            </w:pPr>
            <w:r>
              <w:rPr>
                <w:rFonts w:eastAsiaTheme="minorEastAsia"/>
                <w:b/>
                <w:bCs/>
                <w:sz w:val="21"/>
                <w:szCs w:val="21"/>
              </w:rPr>
              <w:t>项目名称</w:t>
            </w:r>
          </w:p>
        </w:tc>
        <w:tc>
          <w:tcPr>
            <w:tcW w:w="1248" w:type="dxa"/>
            <w:gridSpan w:val="2"/>
            <w:shd w:val="clear" w:color="auto" w:fill="E7E6E6" w:themeFill="background2"/>
            <w:noWrap/>
            <w:vAlign w:val="center"/>
          </w:tcPr>
          <w:p w14:paraId="4A8517BA">
            <w:pPr>
              <w:adjustRightInd w:val="0"/>
              <w:snapToGrid w:val="0"/>
              <w:spacing w:line="240" w:lineRule="auto"/>
              <w:ind w:firstLine="0" w:firstLineChars="0"/>
              <w:jc w:val="center"/>
              <w:rPr>
                <w:rFonts w:eastAsia="等线"/>
                <w:color w:val="000000"/>
                <w:kern w:val="0"/>
                <w:sz w:val="22"/>
                <w:szCs w:val="22"/>
              </w:rPr>
            </w:pPr>
            <w:r>
              <w:rPr>
                <w:rFonts w:eastAsiaTheme="minorEastAsia"/>
                <w:b/>
                <w:bCs/>
                <w:sz w:val="21"/>
                <w:szCs w:val="21"/>
              </w:rPr>
              <w:t>需求人数</w:t>
            </w:r>
          </w:p>
        </w:tc>
        <w:tc>
          <w:tcPr>
            <w:tcW w:w="1188" w:type="dxa"/>
            <w:shd w:val="clear" w:color="auto" w:fill="E7E6E6" w:themeFill="background2"/>
            <w:noWrap/>
            <w:vAlign w:val="center"/>
          </w:tcPr>
          <w:p w14:paraId="70C5D063">
            <w:pPr>
              <w:adjustRightInd w:val="0"/>
              <w:snapToGrid w:val="0"/>
              <w:spacing w:line="240" w:lineRule="auto"/>
              <w:ind w:firstLine="0" w:firstLineChars="0"/>
              <w:jc w:val="center"/>
              <w:rPr>
                <w:rFonts w:eastAsia="等线"/>
                <w:color w:val="000000"/>
                <w:kern w:val="0"/>
                <w:sz w:val="22"/>
                <w:szCs w:val="22"/>
              </w:rPr>
            </w:pPr>
            <w:r>
              <w:rPr>
                <w:rFonts w:eastAsiaTheme="minorEastAsia"/>
                <w:b/>
                <w:bCs/>
                <w:sz w:val="21"/>
                <w:szCs w:val="21"/>
              </w:rPr>
              <w:t>岗位编号</w:t>
            </w:r>
          </w:p>
        </w:tc>
        <w:tc>
          <w:tcPr>
            <w:tcW w:w="1644" w:type="dxa"/>
            <w:gridSpan w:val="3"/>
            <w:shd w:val="clear" w:color="auto" w:fill="E7E6E6" w:themeFill="background2"/>
            <w:noWrap/>
            <w:vAlign w:val="center"/>
          </w:tcPr>
          <w:p w14:paraId="2E8BF00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F3E9096">
            <w:pPr>
              <w:adjustRightInd w:val="0"/>
              <w:snapToGrid w:val="0"/>
              <w:spacing w:line="240" w:lineRule="auto"/>
              <w:ind w:firstLine="0" w:firstLineChars="0"/>
              <w:jc w:val="center"/>
              <w:rPr>
                <w:rFonts w:hint="eastAsia" w:ascii="仿宋_GB2312"/>
                <w:color w:val="000000"/>
                <w:kern w:val="0"/>
                <w:sz w:val="22"/>
                <w:szCs w:val="22"/>
              </w:rPr>
            </w:pPr>
            <w:r>
              <w:rPr>
                <w:rFonts w:eastAsiaTheme="minorEastAsia"/>
                <w:b/>
                <w:bCs/>
                <w:sz w:val="21"/>
                <w:szCs w:val="21"/>
              </w:rPr>
              <w:t>（一级学科</w:t>
            </w:r>
            <w:r>
              <w:rPr>
                <w:rFonts w:hint="eastAsia" w:eastAsiaTheme="minorEastAsia"/>
                <w:b/>
                <w:bCs/>
                <w:sz w:val="21"/>
                <w:szCs w:val="21"/>
                <w:lang w:eastAsia="zh-CN"/>
              </w:rPr>
              <w:t>）</w:t>
            </w:r>
          </w:p>
        </w:tc>
        <w:tc>
          <w:tcPr>
            <w:tcW w:w="1344" w:type="dxa"/>
            <w:shd w:val="clear" w:color="auto" w:fill="E7E6E6" w:themeFill="background2"/>
            <w:noWrap/>
            <w:vAlign w:val="center"/>
          </w:tcPr>
          <w:p w14:paraId="53D8B6B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6AEDF2F">
            <w:pPr>
              <w:adjustRightInd w:val="0"/>
              <w:snapToGrid w:val="0"/>
              <w:spacing w:line="240" w:lineRule="auto"/>
              <w:ind w:firstLine="0" w:firstLineChars="0"/>
              <w:jc w:val="center"/>
              <w:rPr>
                <w:rFonts w:eastAsia="等线"/>
                <w:color w:val="000000"/>
                <w:kern w:val="0"/>
                <w:sz w:val="22"/>
                <w:szCs w:val="22"/>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47" w:type="dxa"/>
            <w:gridSpan w:val="2"/>
            <w:shd w:val="clear" w:color="auto" w:fill="E7E6E6" w:themeFill="background2"/>
            <w:noWrap/>
            <w:vAlign w:val="center"/>
          </w:tcPr>
          <w:p w14:paraId="49BA24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66C34DC">
            <w:pPr>
              <w:adjustRightInd w:val="0"/>
              <w:snapToGrid w:val="0"/>
              <w:spacing w:line="240" w:lineRule="auto"/>
              <w:ind w:firstLine="0" w:firstLineChars="0"/>
              <w:jc w:val="center"/>
              <w:rPr>
                <w:rFonts w:hint="eastAsia" w:ascii="仿宋_GB2312"/>
                <w:color w:val="000000"/>
                <w:kern w:val="0"/>
                <w:sz w:val="22"/>
                <w:szCs w:val="22"/>
              </w:rPr>
            </w:pPr>
            <w:r>
              <w:rPr>
                <w:rFonts w:eastAsiaTheme="minorEastAsia"/>
                <w:b/>
                <w:bCs/>
                <w:sz w:val="21"/>
                <w:szCs w:val="21"/>
              </w:rPr>
              <w:t>等要求</w:t>
            </w:r>
          </w:p>
        </w:tc>
      </w:tr>
      <w:tr w14:paraId="09EF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73" w:type="dxa"/>
            <w:gridSpan w:val="2"/>
            <w:shd w:val="clear" w:color="auto" w:fill="auto"/>
            <w:noWrap/>
            <w:vAlign w:val="center"/>
          </w:tcPr>
          <w:p w14:paraId="4CC302DF">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基因编辑过程的计算机模拟仿真</w:t>
            </w:r>
          </w:p>
        </w:tc>
        <w:tc>
          <w:tcPr>
            <w:tcW w:w="1248" w:type="dxa"/>
            <w:gridSpan w:val="2"/>
            <w:shd w:val="clear" w:color="auto" w:fill="auto"/>
            <w:noWrap/>
            <w:vAlign w:val="center"/>
          </w:tcPr>
          <w:p w14:paraId="32418BD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7D47A2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BSH095</w:t>
            </w:r>
          </w:p>
        </w:tc>
        <w:tc>
          <w:tcPr>
            <w:tcW w:w="1644" w:type="dxa"/>
            <w:gridSpan w:val="3"/>
            <w:shd w:val="clear" w:color="auto" w:fill="auto"/>
            <w:noWrap/>
            <w:vAlign w:val="center"/>
          </w:tcPr>
          <w:p w14:paraId="7B5410ED">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生物物理学、生物化学与分子生物学、细胞生物学、物理电子学、生物信息学、计算机应用</w:t>
            </w:r>
          </w:p>
        </w:tc>
        <w:tc>
          <w:tcPr>
            <w:tcW w:w="1344" w:type="dxa"/>
            <w:shd w:val="clear" w:color="auto" w:fill="auto"/>
            <w:noWrap/>
            <w:vAlign w:val="center"/>
          </w:tcPr>
          <w:p w14:paraId="46F7E72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restart"/>
            <w:shd w:val="clear" w:color="auto" w:fill="auto"/>
            <w:noWrap/>
            <w:vAlign w:val="center"/>
          </w:tcPr>
          <w:p w14:paraId="74A20BB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具备良好的科研训练背景及潜质</w:t>
            </w:r>
          </w:p>
        </w:tc>
      </w:tr>
      <w:tr w14:paraId="5826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73" w:type="dxa"/>
            <w:gridSpan w:val="2"/>
            <w:shd w:val="clear" w:color="auto" w:fill="auto"/>
            <w:noWrap/>
            <w:vAlign w:val="center"/>
          </w:tcPr>
          <w:p w14:paraId="021E7E2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生物组织的电磁、超声逆散射成像</w:t>
            </w:r>
          </w:p>
        </w:tc>
        <w:tc>
          <w:tcPr>
            <w:tcW w:w="1248" w:type="dxa"/>
            <w:gridSpan w:val="2"/>
            <w:shd w:val="clear" w:color="auto" w:fill="auto"/>
            <w:noWrap/>
            <w:vAlign w:val="center"/>
          </w:tcPr>
          <w:p w14:paraId="29F295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555D1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BSH096</w:t>
            </w:r>
          </w:p>
        </w:tc>
        <w:tc>
          <w:tcPr>
            <w:tcW w:w="1644" w:type="dxa"/>
            <w:gridSpan w:val="3"/>
            <w:shd w:val="clear" w:color="auto" w:fill="auto"/>
            <w:noWrap/>
            <w:vAlign w:val="center"/>
          </w:tcPr>
          <w:p w14:paraId="108E1253">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生物医学工程、物理电子学、应用数学、生物信息学</w:t>
            </w:r>
          </w:p>
        </w:tc>
        <w:tc>
          <w:tcPr>
            <w:tcW w:w="1344" w:type="dxa"/>
            <w:shd w:val="clear" w:color="auto" w:fill="auto"/>
            <w:noWrap/>
            <w:vAlign w:val="center"/>
          </w:tcPr>
          <w:p w14:paraId="10DEF32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4FBDE11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19AC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73" w:type="dxa"/>
            <w:gridSpan w:val="2"/>
            <w:shd w:val="clear" w:color="auto" w:fill="auto"/>
            <w:noWrap/>
            <w:vAlign w:val="center"/>
          </w:tcPr>
          <w:p w14:paraId="33D9F91A">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量子生物学</w:t>
            </w:r>
          </w:p>
        </w:tc>
        <w:tc>
          <w:tcPr>
            <w:tcW w:w="1248" w:type="dxa"/>
            <w:gridSpan w:val="2"/>
            <w:shd w:val="clear" w:color="auto" w:fill="auto"/>
            <w:noWrap/>
            <w:vAlign w:val="center"/>
          </w:tcPr>
          <w:p w14:paraId="3C9AC39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3F074AA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BSH097</w:t>
            </w:r>
          </w:p>
        </w:tc>
        <w:tc>
          <w:tcPr>
            <w:tcW w:w="1644" w:type="dxa"/>
            <w:gridSpan w:val="3"/>
            <w:shd w:val="clear" w:color="auto" w:fill="auto"/>
            <w:noWrap/>
            <w:vAlign w:val="center"/>
          </w:tcPr>
          <w:p w14:paraId="5C001000">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生物物理学、生物化学与分子生物学、细胞生物学、物理电子学、生物信息学、计算机应用</w:t>
            </w:r>
          </w:p>
        </w:tc>
        <w:tc>
          <w:tcPr>
            <w:tcW w:w="1344" w:type="dxa"/>
            <w:shd w:val="clear" w:color="auto" w:fill="auto"/>
            <w:noWrap/>
            <w:vAlign w:val="center"/>
          </w:tcPr>
          <w:p w14:paraId="7D1A242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6841CE5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r w14:paraId="4D51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73" w:type="dxa"/>
            <w:gridSpan w:val="2"/>
            <w:shd w:val="clear" w:color="auto" w:fill="auto"/>
            <w:noWrap/>
            <w:vAlign w:val="center"/>
          </w:tcPr>
          <w:p w14:paraId="00B97A85">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人工智能大模型与生物成像</w:t>
            </w:r>
          </w:p>
        </w:tc>
        <w:tc>
          <w:tcPr>
            <w:tcW w:w="1248" w:type="dxa"/>
            <w:gridSpan w:val="2"/>
            <w:shd w:val="clear" w:color="auto" w:fill="auto"/>
            <w:noWrap/>
            <w:vAlign w:val="center"/>
          </w:tcPr>
          <w:p w14:paraId="036105D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1</w:t>
            </w:r>
          </w:p>
        </w:tc>
        <w:tc>
          <w:tcPr>
            <w:tcW w:w="1188" w:type="dxa"/>
            <w:shd w:val="clear" w:color="auto" w:fill="auto"/>
            <w:noWrap/>
            <w:vAlign w:val="center"/>
          </w:tcPr>
          <w:p w14:paraId="5A18B5F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BSH098</w:t>
            </w:r>
          </w:p>
        </w:tc>
        <w:tc>
          <w:tcPr>
            <w:tcW w:w="1644" w:type="dxa"/>
            <w:gridSpan w:val="3"/>
            <w:shd w:val="clear" w:color="auto" w:fill="auto"/>
            <w:noWrap/>
            <w:vAlign w:val="center"/>
          </w:tcPr>
          <w:p w14:paraId="081E1001">
            <w:pPr>
              <w:keepNext w:val="0"/>
              <w:keepLines w:val="0"/>
              <w:pageBreakBefore w:val="0"/>
              <w:widowControl/>
              <w:kinsoku/>
              <w:wordWrap/>
              <w:overflowPunct/>
              <w:topLinePunct w:val="0"/>
              <w:autoSpaceDE/>
              <w:autoSpaceDN/>
              <w:bidi w:val="0"/>
              <w:spacing w:line="240" w:lineRule="auto"/>
              <w:ind w:firstLine="0" w:firstLineChars="0"/>
              <w:jc w:val="both"/>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生物信息学、生物医学工程、计算机科学、应用数学</w:t>
            </w:r>
          </w:p>
        </w:tc>
        <w:tc>
          <w:tcPr>
            <w:tcW w:w="1344" w:type="dxa"/>
            <w:shd w:val="clear" w:color="auto" w:fill="auto"/>
            <w:noWrap/>
            <w:vAlign w:val="center"/>
          </w:tcPr>
          <w:p w14:paraId="02AAD3E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rPr>
              <w:t>22-30</w:t>
            </w:r>
          </w:p>
        </w:tc>
        <w:tc>
          <w:tcPr>
            <w:tcW w:w="1947" w:type="dxa"/>
            <w:gridSpan w:val="2"/>
            <w:vMerge w:val="continue"/>
            <w:shd w:val="clear" w:color="auto" w:fill="auto"/>
            <w:noWrap/>
            <w:vAlign w:val="center"/>
          </w:tcPr>
          <w:p w14:paraId="1BA888F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p>
        </w:tc>
      </w:tr>
    </w:tbl>
    <w:p w14:paraId="6F9300BB">
      <w:pPr>
        <w:pStyle w:val="3"/>
        <w:spacing w:before="0" w:after="0" w:line="240" w:lineRule="auto"/>
        <w:ind w:firstLine="0"/>
        <w:outlineLvl w:val="9"/>
        <w:rPr>
          <w:sz w:val="21"/>
          <w:szCs w:val="21"/>
        </w:rPr>
      </w:pPr>
      <w:r>
        <w:rPr>
          <w:rFonts w:ascii="Times New Roman" w:hAnsi="Times New Roman"/>
          <w:sz w:val="21"/>
          <w:szCs w:val="21"/>
        </w:rPr>
        <w:br w:type="page"/>
      </w:r>
    </w:p>
    <w:p w14:paraId="01418EE5">
      <w:pPr>
        <w:adjustRightInd w:val="0"/>
        <w:snapToGrid w:val="0"/>
        <w:spacing w:line="240" w:lineRule="auto"/>
        <w:ind w:firstLine="0"/>
        <w:jc w:val="center"/>
        <w:rPr>
          <w:rFonts w:eastAsia="方正小标宋简体"/>
          <w:sz w:val="44"/>
          <w:szCs w:val="44"/>
        </w:rPr>
      </w:pPr>
    </w:p>
    <w:p w14:paraId="5A296C39">
      <w:pPr>
        <w:adjustRightInd w:val="0"/>
        <w:snapToGrid w:val="0"/>
        <w:spacing w:line="240" w:lineRule="auto"/>
        <w:ind w:firstLine="0"/>
        <w:jc w:val="center"/>
        <w:outlineLvl w:val="0"/>
        <w:rPr>
          <w:rFonts w:eastAsia="方正小标宋简体"/>
          <w:sz w:val="44"/>
          <w:szCs w:val="44"/>
          <w:highlight w:val="yellow"/>
        </w:rPr>
      </w:pPr>
      <w:bookmarkStart w:id="153" w:name="_Toc16240"/>
      <w:bookmarkStart w:id="154" w:name="_Toc28506"/>
      <w:bookmarkStart w:id="155" w:name="_Toc29554"/>
      <w:bookmarkStart w:id="156" w:name="_Toc7193"/>
      <w:bookmarkStart w:id="157" w:name="_Toc22983"/>
      <w:r>
        <w:rPr>
          <w:rFonts w:eastAsia="方正小标宋简体"/>
          <w:sz w:val="44"/>
          <w:szCs w:val="44"/>
          <w:highlight w:val="none"/>
        </w:rPr>
        <w:t>中国科学院成都有机化学研究所</w:t>
      </w:r>
      <w:bookmarkEnd w:id="153"/>
      <w:bookmarkEnd w:id="154"/>
      <w:bookmarkEnd w:id="155"/>
      <w:bookmarkEnd w:id="156"/>
      <w:bookmarkEnd w:id="157"/>
    </w:p>
    <w:p w14:paraId="0D25E8A5">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281"/>
        <w:gridCol w:w="1302"/>
        <w:gridCol w:w="304"/>
        <w:gridCol w:w="1677"/>
        <w:gridCol w:w="63"/>
        <w:gridCol w:w="1784"/>
        <w:gridCol w:w="22"/>
        <w:gridCol w:w="1790"/>
      </w:tblGrid>
      <w:tr w14:paraId="0072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shd w:val="clear" w:color="auto" w:fill="E7E6E6" w:themeFill="background2"/>
            <w:noWrap/>
            <w:vAlign w:val="center"/>
          </w:tcPr>
          <w:p w14:paraId="0477E29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1" w:type="dxa"/>
            <w:shd w:val="clear" w:color="auto" w:fill="auto"/>
            <w:noWrap/>
            <w:vAlign w:val="center"/>
          </w:tcPr>
          <w:p w14:paraId="4228A8BD">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494" w:type="dxa"/>
            <w:gridSpan w:val="2"/>
            <w:shd w:val="clear" w:color="auto" w:fill="E7E6E6" w:themeFill="background2"/>
            <w:noWrap/>
            <w:vAlign w:val="center"/>
          </w:tcPr>
          <w:p w14:paraId="4763D86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59" w:type="dxa"/>
            <w:shd w:val="clear" w:color="auto" w:fill="auto"/>
            <w:noWrap/>
            <w:vAlign w:val="center"/>
          </w:tcPr>
          <w:p w14:paraId="31FFEC11">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18" w:type="dxa"/>
            <w:gridSpan w:val="2"/>
            <w:shd w:val="clear" w:color="auto" w:fill="E7E6E6" w:themeFill="background2"/>
            <w:noWrap/>
            <w:vAlign w:val="center"/>
          </w:tcPr>
          <w:p w14:paraId="645C33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84" w:type="dxa"/>
            <w:gridSpan w:val="2"/>
            <w:shd w:val="clear" w:color="auto" w:fill="auto"/>
            <w:noWrap/>
            <w:vAlign w:val="center"/>
          </w:tcPr>
          <w:p w14:paraId="567E55FD">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B4C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shd w:val="clear" w:color="auto" w:fill="E7E6E6" w:themeFill="background2"/>
            <w:noWrap/>
            <w:vAlign w:val="center"/>
          </w:tcPr>
          <w:p w14:paraId="085FB419">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646" w:type="dxa"/>
            <w:gridSpan w:val="8"/>
            <w:shd w:val="clear" w:color="auto" w:fill="auto"/>
            <w:noWrap/>
            <w:vAlign w:val="center"/>
          </w:tcPr>
          <w:p w14:paraId="3E08C61A">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四川省成都市天府新区鹿溪口北路519号</w:t>
            </w:r>
          </w:p>
        </w:tc>
      </w:tr>
      <w:tr w14:paraId="1252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9" w:hRule="atLeast"/>
          <w:jc w:val="center"/>
        </w:trPr>
        <w:tc>
          <w:tcPr>
            <w:tcW w:w="1421" w:type="dxa"/>
            <w:shd w:val="clear" w:color="auto" w:fill="E7E6E6" w:themeFill="background2"/>
            <w:noWrap/>
            <w:vAlign w:val="center"/>
          </w:tcPr>
          <w:p w14:paraId="1F866ED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646" w:type="dxa"/>
            <w:gridSpan w:val="8"/>
            <w:shd w:val="clear" w:color="auto" w:fill="auto"/>
            <w:vAlign w:val="center"/>
          </w:tcPr>
          <w:p w14:paraId="13619D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有机化学研究所是以不对称合成与手性技术、生物有机、药物合成、有机合成、生物医用高分子材料、智能与储能高分子材料、水溶性高分子材料、催化技术与新型催化剂、绿色化工、新型储能材料等为主要研究领域，以应用研究和高技术创新为主的综合性研究所。多年来，在学科建设和自主创新中取得突出成绩，1996年建立有机化学博士学位培养点，1999年有机化学评为四川省重点学科，2004年建立应用化学博士学位培养点，2006年建立高分子化学与物理博士学位培养点。目前已有3个博士学位培养点（有机化学、应用化学、高分子化学与物理）。2003年建立不对称合成与手性药物与手性技术四川省重点实验室，同年被科技部确定为“国家高技术发展计划成果产业化基地”，2005年获得国家发改委批准组建“手性药物国家工程研究中心”。</w:t>
            </w:r>
          </w:p>
        </w:tc>
      </w:tr>
      <w:tr w14:paraId="783E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1421" w:type="dxa"/>
            <w:shd w:val="clear" w:color="auto" w:fill="E7E6E6" w:themeFill="background2"/>
            <w:noWrap/>
            <w:vAlign w:val="center"/>
          </w:tcPr>
          <w:p w14:paraId="2CA395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646" w:type="dxa"/>
            <w:gridSpan w:val="8"/>
            <w:shd w:val="clear" w:color="auto" w:fill="auto"/>
            <w:vAlign w:val="center"/>
          </w:tcPr>
          <w:p w14:paraId="789B6E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1、享受公司正式职工同等待遇</w:t>
            </w:r>
            <w:r>
              <w:rPr>
                <w:rFonts w:hint="eastAsia" w:eastAsiaTheme="minorEastAsia"/>
                <w:sz w:val="21"/>
                <w:szCs w:val="21"/>
                <w:lang w:eastAsia="zh-CN"/>
              </w:rPr>
              <w:t>；</w:t>
            </w:r>
          </w:p>
          <w:p w14:paraId="59B296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2、提供一套两室一厅的博士后公寓</w:t>
            </w:r>
            <w:r>
              <w:rPr>
                <w:rFonts w:hint="eastAsia" w:eastAsiaTheme="minorEastAsia"/>
                <w:sz w:val="21"/>
                <w:szCs w:val="21"/>
                <w:lang w:eastAsia="zh-CN"/>
              </w:rPr>
              <w:t>；</w:t>
            </w:r>
          </w:p>
          <w:p w14:paraId="2264B6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3、户口落户，配偶及未成年子女可随博士后一起流动</w:t>
            </w:r>
            <w:r>
              <w:rPr>
                <w:rFonts w:hint="eastAsia" w:eastAsiaTheme="minorEastAsia"/>
                <w:sz w:val="21"/>
                <w:szCs w:val="21"/>
                <w:lang w:eastAsia="zh-CN"/>
              </w:rPr>
              <w:t>；</w:t>
            </w:r>
          </w:p>
          <w:p w14:paraId="03EF6E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4、有完善的实验设备，较强的科研团队，充足的科研经费。</w:t>
            </w:r>
          </w:p>
        </w:tc>
      </w:tr>
      <w:tr w14:paraId="6083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1" w:type="dxa"/>
            <w:shd w:val="clear" w:color="auto" w:fill="E7E6E6" w:themeFill="background2"/>
            <w:noWrap/>
            <w:vAlign w:val="center"/>
          </w:tcPr>
          <w:p w14:paraId="0A67A3A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91" w:type="dxa"/>
            <w:shd w:val="clear" w:color="auto" w:fill="E7E6E6" w:themeFill="background2"/>
            <w:vAlign w:val="center"/>
          </w:tcPr>
          <w:p w14:paraId="7B89ADD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1" w:type="dxa"/>
            <w:shd w:val="clear" w:color="auto" w:fill="E7E6E6" w:themeFill="background2"/>
            <w:vAlign w:val="center"/>
          </w:tcPr>
          <w:p w14:paraId="5AB3D38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1" w:type="dxa"/>
            <w:gridSpan w:val="3"/>
            <w:shd w:val="clear" w:color="auto" w:fill="E7E6E6" w:themeFill="background2"/>
            <w:vAlign w:val="center"/>
          </w:tcPr>
          <w:p w14:paraId="49388CD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725155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79" w:type="dxa"/>
            <w:gridSpan w:val="2"/>
            <w:shd w:val="clear" w:color="auto" w:fill="E7E6E6" w:themeFill="background2"/>
            <w:vAlign w:val="center"/>
          </w:tcPr>
          <w:p w14:paraId="6FF8A4E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305CD5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64" w:type="dxa"/>
            <w:shd w:val="clear" w:color="auto" w:fill="E7E6E6" w:themeFill="background2"/>
            <w:vAlign w:val="center"/>
          </w:tcPr>
          <w:p w14:paraId="72CB1D0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C762EC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1A4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1421" w:type="dxa"/>
            <w:tcBorders>
              <w:top w:val="single" w:color="000000" w:sz="4" w:space="0"/>
              <w:left w:val="single" w:color="000000" w:sz="4" w:space="0"/>
              <w:bottom w:val="single" w:color="000000" w:sz="4" w:space="0"/>
              <w:right w:val="single" w:color="000000" w:sz="4" w:space="0"/>
            </w:tcBorders>
            <w:noWrap/>
            <w:vAlign w:val="center"/>
          </w:tcPr>
          <w:p w14:paraId="42C9BA9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化学化工、新材料方向</w:t>
            </w:r>
          </w:p>
        </w:tc>
        <w:tc>
          <w:tcPr>
            <w:tcW w:w="1191" w:type="dxa"/>
            <w:tcBorders>
              <w:top w:val="single" w:color="000000" w:sz="4" w:space="0"/>
              <w:left w:val="single" w:color="000000" w:sz="4" w:space="0"/>
              <w:bottom w:val="single" w:color="000000" w:sz="4" w:space="0"/>
              <w:right w:val="single" w:color="000000" w:sz="4" w:space="0"/>
            </w:tcBorders>
            <w:vAlign w:val="center"/>
          </w:tcPr>
          <w:p w14:paraId="640ABAF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211" w:type="dxa"/>
            <w:tcBorders>
              <w:top w:val="single" w:color="000000" w:sz="4" w:space="0"/>
              <w:left w:val="single" w:color="000000" w:sz="4" w:space="0"/>
              <w:bottom w:val="single" w:color="000000" w:sz="4" w:space="0"/>
              <w:right w:val="single" w:color="000000" w:sz="4" w:space="0"/>
            </w:tcBorders>
            <w:vAlign w:val="center"/>
          </w:tcPr>
          <w:p w14:paraId="0570CBC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01" w:type="dxa"/>
            <w:gridSpan w:val="3"/>
            <w:tcBorders>
              <w:top w:val="single" w:color="000000" w:sz="4" w:space="0"/>
              <w:left w:val="single" w:color="000000" w:sz="4" w:space="0"/>
              <w:bottom w:val="single" w:color="000000" w:sz="4" w:space="0"/>
              <w:right w:val="single" w:color="000000" w:sz="4" w:space="0"/>
            </w:tcBorders>
            <w:vAlign w:val="center"/>
          </w:tcPr>
          <w:p w14:paraId="0D8DD75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w:t>
            </w:r>
          </w:p>
        </w:tc>
        <w:tc>
          <w:tcPr>
            <w:tcW w:w="1679" w:type="dxa"/>
            <w:gridSpan w:val="2"/>
            <w:tcBorders>
              <w:top w:val="single" w:color="000000" w:sz="4" w:space="0"/>
              <w:left w:val="single" w:color="000000" w:sz="4" w:space="0"/>
              <w:bottom w:val="single" w:color="000000" w:sz="4" w:space="0"/>
              <w:right w:val="single" w:color="000000" w:sz="4" w:space="0"/>
            </w:tcBorders>
            <w:vAlign w:val="center"/>
          </w:tcPr>
          <w:p w14:paraId="0CB4B0B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30-50，按预算执行</w:t>
            </w:r>
          </w:p>
        </w:tc>
        <w:tc>
          <w:tcPr>
            <w:tcW w:w="1664" w:type="dxa"/>
            <w:tcBorders>
              <w:top w:val="single" w:color="000000" w:sz="4" w:space="0"/>
              <w:left w:val="single" w:color="000000" w:sz="4" w:space="0"/>
              <w:bottom w:val="single" w:color="000000" w:sz="4" w:space="0"/>
              <w:right w:val="single" w:color="000000" w:sz="4" w:space="0"/>
            </w:tcBorders>
            <w:vAlign w:val="center"/>
          </w:tcPr>
          <w:p w14:paraId="46170BF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1、博士学位（一般年龄在35岁以下。2、具备扎实的理论基础，能够独立开展科研工作。</w:t>
            </w:r>
          </w:p>
        </w:tc>
      </w:tr>
    </w:tbl>
    <w:p w14:paraId="5B8A14AA">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5532B2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F9ED483">
      <w:pPr>
        <w:adjustRightInd w:val="0"/>
        <w:snapToGrid w:val="0"/>
        <w:spacing w:line="240" w:lineRule="auto"/>
        <w:ind w:firstLine="0"/>
        <w:jc w:val="center"/>
        <w:outlineLvl w:val="0"/>
        <w:rPr>
          <w:rFonts w:eastAsia="方正小标宋简体"/>
          <w:sz w:val="44"/>
          <w:szCs w:val="44"/>
          <w:highlight w:val="yellow"/>
        </w:rPr>
      </w:pPr>
      <w:bookmarkStart w:id="158" w:name="_Toc9135"/>
      <w:bookmarkStart w:id="159" w:name="_Toc5180"/>
      <w:bookmarkStart w:id="160" w:name="_Toc14119"/>
      <w:bookmarkStart w:id="161" w:name="_Toc11041"/>
      <w:bookmarkStart w:id="162" w:name="_Toc24641"/>
      <w:r>
        <w:rPr>
          <w:rFonts w:eastAsia="方正小标宋简体"/>
          <w:sz w:val="44"/>
          <w:szCs w:val="44"/>
          <w:highlight w:val="none"/>
        </w:rPr>
        <w:t>中国科学院光电技术研究所</w:t>
      </w:r>
      <w:bookmarkEnd w:id="158"/>
      <w:bookmarkEnd w:id="159"/>
      <w:bookmarkEnd w:id="160"/>
      <w:bookmarkEnd w:id="161"/>
    </w:p>
    <w:p w14:paraId="51DDFA3E">
      <w:pPr>
        <w:pStyle w:val="5"/>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426"/>
        <w:gridCol w:w="1048"/>
        <w:gridCol w:w="103"/>
        <w:gridCol w:w="1189"/>
        <w:gridCol w:w="550"/>
        <w:gridCol w:w="1655"/>
        <w:gridCol w:w="1568"/>
        <w:gridCol w:w="1348"/>
      </w:tblGrid>
      <w:tr w14:paraId="3E83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64" w:type="dxa"/>
            <w:shd w:val="clear" w:color="auto" w:fill="E7E6E6" w:themeFill="background2"/>
            <w:noWrap/>
            <w:vAlign w:val="center"/>
          </w:tcPr>
          <w:p w14:paraId="1D0C81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单位性质</w:t>
            </w:r>
          </w:p>
        </w:tc>
        <w:tc>
          <w:tcPr>
            <w:tcW w:w="1474" w:type="dxa"/>
            <w:gridSpan w:val="2"/>
            <w:shd w:val="clear" w:color="auto" w:fill="auto"/>
            <w:noWrap/>
            <w:vAlign w:val="center"/>
          </w:tcPr>
          <w:p w14:paraId="0597977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科研院所</w:t>
            </w:r>
          </w:p>
        </w:tc>
        <w:tc>
          <w:tcPr>
            <w:tcW w:w="1842" w:type="dxa"/>
            <w:gridSpan w:val="3"/>
            <w:shd w:val="clear" w:color="auto" w:fill="E7E6E6" w:themeFill="background2"/>
            <w:noWrap/>
            <w:vAlign w:val="center"/>
          </w:tcPr>
          <w:p w14:paraId="4DC4541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设站单位类型</w:t>
            </w:r>
          </w:p>
        </w:tc>
        <w:tc>
          <w:tcPr>
            <w:tcW w:w="1655" w:type="dxa"/>
            <w:shd w:val="clear" w:color="auto" w:fill="auto"/>
            <w:noWrap/>
            <w:vAlign w:val="center"/>
          </w:tcPr>
          <w:p w14:paraId="7161C0E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流动站</w:t>
            </w:r>
          </w:p>
        </w:tc>
        <w:tc>
          <w:tcPr>
            <w:tcW w:w="1568" w:type="dxa"/>
            <w:shd w:val="clear" w:color="auto" w:fill="E7E6E6" w:themeFill="background2"/>
            <w:noWrap/>
            <w:vAlign w:val="center"/>
          </w:tcPr>
          <w:p w14:paraId="43F2341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单位所在城市</w:t>
            </w:r>
          </w:p>
        </w:tc>
        <w:tc>
          <w:tcPr>
            <w:tcW w:w="1348" w:type="dxa"/>
            <w:shd w:val="clear" w:color="auto" w:fill="auto"/>
            <w:noWrap/>
            <w:vAlign w:val="center"/>
          </w:tcPr>
          <w:p w14:paraId="2E29B3B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成都</w:t>
            </w:r>
          </w:p>
        </w:tc>
      </w:tr>
      <w:tr w14:paraId="6E1C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64" w:type="dxa"/>
            <w:shd w:val="clear" w:color="auto" w:fill="E7E6E6" w:themeFill="background2"/>
            <w:noWrap/>
            <w:vAlign w:val="center"/>
          </w:tcPr>
          <w:p w14:paraId="7FA61C3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通讯地址</w:t>
            </w:r>
          </w:p>
        </w:tc>
        <w:tc>
          <w:tcPr>
            <w:tcW w:w="7887" w:type="dxa"/>
            <w:gridSpan w:val="8"/>
            <w:shd w:val="clear" w:color="auto" w:fill="auto"/>
            <w:noWrap/>
            <w:vAlign w:val="center"/>
          </w:tcPr>
          <w:p w14:paraId="64805E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asciiTheme="minorEastAsia" w:hAnsiTheme="minorEastAsia" w:eastAsiaTheme="minorEastAsia" w:cstheme="minorEastAsia"/>
                <w:sz w:val="21"/>
                <w:szCs w:val="21"/>
                <w:lang w:val="en-US" w:eastAsia="zh-CN"/>
              </w:rPr>
              <w:t>四川省</w:t>
            </w:r>
            <w:r>
              <w:rPr>
                <w:rFonts w:hint="eastAsia" w:asciiTheme="minorEastAsia" w:hAnsiTheme="minorEastAsia" w:eastAsiaTheme="minorEastAsia" w:cstheme="minorEastAsia"/>
                <w:sz w:val="21"/>
                <w:szCs w:val="21"/>
              </w:rPr>
              <w:t>成都市双流区光电大道1号</w:t>
            </w:r>
          </w:p>
        </w:tc>
      </w:tr>
      <w:tr w14:paraId="7A48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3" w:hRule="atLeast"/>
          <w:jc w:val="center"/>
        </w:trPr>
        <w:tc>
          <w:tcPr>
            <w:tcW w:w="1864" w:type="dxa"/>
            <w:shd w:val="clear" w:color="auto" w:fill="E7E6E6" w:themeFill="background2"/>
            <w:noWrap/>
            <w:vAlign w:val="center"/>
          </w:tcPr>
          <w:p w14:paraId="4E1751C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887" w:type="dxa"/>
            <w:gridSpan w:val="8"/>
            <w:shd w:val="clear" w:color="auto" w:fill="auto"/>
            <w:vAlign w:val="center"/>
          </w:tcPr>
          <w:p w14:paraId="3C18B4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科学院光电技术研究所（简称光电所）始建于1970年。光电所在自适应光学、光束控制、微纳光学等领域取得了多项重大成就，先后取得包括国家科技进步特等奖、国家技术发明一等奖在内的500余项科技成果，目前承担有国家重点研发计划、自然科学基金、部委重大重点项目及企业委托开发项目研究，研究水平居国内领先或国际先进。与此同时，广泛开展国内外学术交流与合作，多次承办国际先进光学制造和检测会议等国际学术交流活动。</w:t>
            </w:r>
          </w:p>
          <w:p w14:paraId="4C0345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光电所即将投入使用的新园区位于国家级新区天府新区核心区——成都科学城。光电所将坚持创新发展、高质量发展、协调发展，持续产出创新成果、创新人才、创新思想，勇做新时代科技创新的排头兵，无愧于国家战略科技力量的时代担当。</w:t>
            </w:r>
          </w:p>
        </w:tc>
      </w:tr>
      <w:tr w14:paraId="58E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864" w:type="dxa"/>
            <w:shd w:val="clear" w:color="auto" w:fill="E7E6E6" w:themeFill="background2"/>
            <w:noWrap/>
            <w:vAlign w:val="center"/>
          </w:tcPr>
          <w:p w14:paraId="7EB061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14:paraId="77A402F2">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887" w:type="dxa"/>
            <w:gridSpan w:val="8"/>
            <w:shd w:val="clear" w:color="auto" w:fill="auto"/>
            <w:vAlign w:val="center"/>
          </w:tcPr>
          <w:p w14:paraId="04E414E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一、申请条件</w:t>
            </w:r>
          </w:p>
          <w:p w14:paraId="6E2664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1.应届毕业生或近3年获得博士学位，年龄不超过35周岁；</w:t>
            </w:r>
          </w:p>
          <w:p w14:paraId="3B775A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2.具有良好的科研潜质和学术道德，具有较高的学术水平（以第一作者发表至少2篇SCI收录的学术文章）；</w:t>
            </w:r>
          </w:p>
          <w:p w14:paraId="2929C2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3.申请人须全职从事博士后研究工作。</w:t>
            </w:r>
          </w:p>
          <w:p w14:paraId="688851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二、薪酬待遇</w:t>
            </w:r>
          </w:p>
          <w:p w14:paraId="52EEA3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1.提供具有竞争力的年薪；</w:t>
            </w:r>
          </w:p>
          <w:p w14:paraId="1FB558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2.待遇按照中国科学院相关规定执行；</w:t>
            </w:r>
          </w:p>
          <w:p w14:paraId="7997F87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3.协助博士后期间自然科学基金、博士后科学基金等科研项目的申请及推荐；</w:t>
            </w:r>
          </w:p>
          <w:p w14:paraId="0FC2A4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4.提供与国内外顶尖科研机构的合作、访问机会。</w:t>
            </w:r>
          </w:p>
        </w:tc>
      </w:tr>
      <w:tr w14:paraId="2347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90" w:type="dxa"/>
            <w:gridSpan w:val="2"/>
            <w:shd w:val="clear" w:color="auto" w:fill="E7E6E6" w:themeFill="background2"/>
            <w:noWrap/>
            <w:vAlign w:val="center"/>
          </w:tcPr>
          <w:p w14:paraId="31A49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bCs/>
                <w:sz w:val="21"/>
                <w:szCs w:val="21"/>
              </w:rPr>
            </w:pPr>
            <w:r>
              <w:rPr>
                <w:rFonts w:eastAsiaTheme="minorEastAsia"/>
                <w:b/>
                <w:bCs/>
                <w:sz w:val="21"/>
                <w:szCs w:val="21"/>
              </w:rPr>
              <w:t>项目名称</w:t>
            </w:r>
          </w:p>
        </w:tc>
        <w:tc>
          <w:tcPr>
            <w:tcW w:w="1151" w:type="dxa"/>
            <w:gridSpan w:val="2"/>
            <w:shd w:val="clear" w:color="auto" w:fill="E7E6E6" w:themeFill="background2"/>
            <w:vAlign w:val="center"/>
          </w:tcPr>
          <w:p w14:paraId="78D21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需求人数</w:t>
            </w:r>
          </w:p>
        </w:tc>
        <w:tc>
          <w:tcPr>
            <w:tcW w:w="1189" w:type="dxa"/>
            <w:shd w:val="clear" w:color="auto" w:fill="E7E6E6" w:themeFill="background2"/>
            <w:vAlign w:val="center"/>
          </w:tcPr>
          <w:p w14:paraId="49ECF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岗位编号</w:t>
            </w:r>
          </w:p>
        </w:tc>
        <w:tc>
          <w:tcPr>
            <w:tcW w:w="2205" w:type="dxa"/>
            <w:gridSpan w:val="2"/>
            <w:shd w:val="clear" w:color="auto" w:fill="E7E6E6" w:themeFill="background2"/>
            <w:vAlign w:val="center"/>
          </w:tcPr>
          <w:p w14:paraId="6EF0C17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E9CFA5F">
            <w:pPr>
              <w:adjustRightInd w:val="0"/>
              <w:snapToGrid w:val="0"/>
              <w:spacing w:line="240" w:lineRule="auto"/>
              <w:ind w:firstLine="0" w:firstLineChars="0"/>
              <w:jc w:val="center"/>
              <w:rPr>
                <w:rFonts w:hint="eastAsia"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68" w:type="dxa"/>
            <w:shd w:val="clear" w:color="auto" w:fill="E7E6E6" w:themeFill="background2"/>
            <w:vAlign w:val="center"/>
          </w:tcPr>
          <w:p w14:paraId="74DDCD0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0EA5512">
            <w:pPr>
              <w:adjustRightInd w:val="0"/>
              <w:snapToGrid w:val="0"/>
              <w:spacing w:line="240" w:lineRule="auto"/>
              <w:ind w:firstLine="0" w:firstLineChars="0"/>
              <w:jc w:val="center"/>
              <w:rPr>
                <w:rFonts w:hint="eastAsia"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348" w:type="dxa"/>
            <w:shd w:val="clear" w:color="auto" w:fill="E7E6E6" w:themeFill="background2"/>
            <w:vAlign w:val="center"/>
          </w:tcPr>
          <w:p w14:paraId="1EF5F14D">
            <w:pPr>
              <w:adjustRightInd w:val="0"/>
              <w:snapToGrid w:val="0"/>
              <w:spacing w:line="240" w:lineRule="auto"/>
              <w:ind w:firstLine="0"/>
              <w:jc w:val="center"/>
              <w:rPr>
                <w:rFonts w:hint="eastAsia" w:ascii="Times New Roman" w:hAnsi="Times New Roman" w:cs="Times New Roman" w:eastAsiaTheme="minorEastAsia"/>
                <w:b/>
                <w:bCs/>
                <w:sz w:val="21"/>
                <w:szCs w:val="21"/>
              </w:rPr>
            </w:pPr>
            <w:r>
              <w:rPr>
                <w:rFonts w:eastAsiaTheme="minorEastAsia"/>
                <w:b/>
                <w:bCs/>
                <w:sz w:val="21"/>
                <w:szCs w:val="21"/>
              </w:rPr>
              <w:t>博士生源单位等要求</w:t>
            </w:r>
          </w:p>
        </w:tc>
      </w:tr>
      <w:tr w14:paraId="3920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0961E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系统控制</w:t>
            </w:r>
          </w:p>
        </w:tc>
        <w:tc>
          <w:tcPr>
            <w:tcW w:w="1151" w:type="dxa"/>
            <w:gridSpan w:val="2"/>
            <w:shd w:val="clear" w:color="auto" w:fill="FFFFFF"/>
            <w:vAlign w:val="center"/>
          </w:tcPr>
          <w:p w14:paraId="55590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27A263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BSH001</w:t>
            </w:r>
          </w:p>
        </w:tc>
        <w:tc>
          <w:tcPr>
            <w:tcW w:w="2205" w:type="dxa"/>
            <w:gridSpan w:val="2"/>
            <w:shd w:val="clear" w:color="auto" w:fill="FFFFFF"/>
            <w:vAlign w:val="center"/>
          </w:tcPr>
          <w:p w14:paraId="00DE2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信号与信息处理专业</w:t>
            </w:r>
          </w:p>
        </w:tc>
        <w:tc>
          <w:tcPr>
            <w:tcW w:w="1568" w:type="dxa"/>
            <w:vMerge w:val="restart"/>
            <w:shd w:val="clear" w:color="auto" w:fill="FFFFFF"/>
            <w:vAlign w:val="center"/>
          </w:tcPr>
          <w:p w14:paraId="04F62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color w:val="auto"/>
                <w:sz w:val="21"/>
                <w:szCs w:val="21"/>
                <w:shd w:val="clear" w:color="auto" w:fill="auto"/>
              </w:rPr>
              <w:t>面议</w:t>
            </w:r>
          </w:p>
        </w:tc>
        <w:tc>
          <w:tcPr>
            <w:tcW w:w="1348" w:type="dxa"/>
            <w:vMerge w:val="restart"/>
            <w:shd w:val="clear" w:color="auto" w:fill="FFFFFF"/>
            <w:vAlign w:val="center"/>
          </w:tcPr>
          <w:p w14:paraId="352A3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color w:val="auto"/>
                <w:sz w:val="21"/>
                <w:szCs w:val="21"/>
                <w:shd w:val="clear" w:color="auto" w:fill="auto"/>
              </w:rPr>
              <w:t>QS前200</w:t>
            </w:r>
          </w:p>
        </w:tc>
      </w:tr>
      <w:tr w14:paraId="458C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6C9E8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跟踪测量</w:t>
            </w:r>
          </w:p>
        </w:tc>
        <w:tc>
          <w:tcPr>
            <w:tcW w:w="1151" w:type="dxa"/>
            <w:gridSpan w:val="2"/>
            <w:shd w:val="clear" w:color="auto" w:fill="FFFFFF"/>
            <w:vAlign w:val="center"/>
          </w:tcPr>
          <w:p w14:paraId="14E7F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703E7F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BSH002</w:t>
            </w:r>
          </w:p>
        </w:tc>
        <w:tc>
          <w:tcPr>
            <w:tcW w:w="2205" w:type="dxa"/>
            <w:gridSpan w:val="2"/>
            <w:shd w:val="clear" w:color="auto" w:fill="FFFFFF"/>
            <w:vAlign w:val="center"/>
          </w:tcPr>
          <w:p w14:paraId="7F503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计算机技术、信号与信息处理专业</w:t>
            </w:r>
          </w:p>
        </w:tc>
        <w:tc>
          <w:tcPr>
            <w:tcW w:w="1568" w:type="dxa"/>
            <w:vMerge w:val="continue"/>
            <w:shd w:val="clear" w:color="auto" w:fill="FFFFFF"/>
            <w:vAlign w:val="center"/>
          </w:tcPr>
          <w:p w14:paraId="175135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p>
        </w:tc>
        <w:tc>
          <w:tcPr>
            <w:tcW w:w="1348" w:type="dxa"/>
            <w:vMerge w:val="continue"/>
            <w:shd w:val="clear" w:color="auto" w:fill="FFFFFF"/>
            <w:vAlign w:val="center"/>
          </w:tcPr>
          <w:p w14:paraId="33BC7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p>
        </w:tc>
      </w:tr>
      <w:tr w14:paraId="7CF4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90" w:type="dxa"/>
            <w:gridSpan w:val="2"/>
            <w:shd w:val="clear" w:color="auto" w:fill="E7E6E6" w:themeFill="background2"/>
            <w:noWrap/>
            <w:vAlign w:val="center"/>
          </w:tcPr>
          <w:p w14:paraId="58F5C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151" w:type="dxa"/>
            <w:gridSpan w:val="2"/>
            <w:shd w:val="clear" w:color="auto" w:fill="E7E6E6" w:themeFill="background2"/>
            <w:vAlign w:val="center"/>
          </w:tcPr>
          <w:p w14:paraId="7DAF4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ascii="Times New Roman" w:hAnsi="Times New Roman" w:cs="Times New Roman" w:eastAsiaTheme="minorEastAsia"/>
                <w:b/>
                <w:bCs/>
                <w:sz w:val="21"/>
                <w:szCs w:val="21"/>
              </w:rPr>
              <w:t>需求人数</w:t>
            </w:r>
          </w:p>
        </w:tc>
        <w:tc>
          <w:tcPr>
            <w:tcW w:w="1189" w:type="dxa"/>
            <w:shd w:val="clear" w:color="auto" w:fill="E7E6E6" w:themeFill="background2"/>
            <w:vAlign w:val="center"/>
          </w:tcPr>
          <w:p w14:paraId="1F7EA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ascii="Times New Roman" w:hAnsi="Times New Roman" w:cs="Times New Roman" w:eastAsiaTheme="minorEastAsia"/>
                <w:b/>
                <w:bCs/>
                <w:sz w:val="21"/>
                <w:szCs w:val="21"/>
              </w:rPr>
              <w:t>岗位编号</w:t>
            </w:r>
          </w:p>
        </w:tc>
        <w:tc>
          <w:tcPr>
            <w:tcW w:w="2205" w:type="dxa"/>
            <w:gridSpan w:val="2"/>
            <w:shd w:val="clear" w:color="auto" w:fill="E7E6E6" w:themeFill="background2"/>
            <w:vAlign w:val="center"/>
          </w:tcPr>
          <w:p w14:paraId="7E9E2FC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5297BEE">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568" w:type="dxa"/>
            <w:shd w:val="clear" w:color="auto" w:fill="E7E6E6" w:themeFill="background2"/>
            <w:vAlign w:val="center"/>
          </w:tcPr>
          <w:p w14:paraId="5D693A7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BD1E615">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348" w:type="dxa"/>
            <w:shd w:val="clear" w:color="auto" w:fill="E7E6E6" w:themeFill="background2"/>
            <w:vAlign w:val="center"/>
          </w:tcPr>
          <w:p w14:paraId="0A34A07F">
            <w:pPr>
              <w:adjustRightInd w:val="0"/>
              <w:snapToGrid w:val="0"/>
              <w:spacing w:line="240" w:lineRule="auto"/>
              <w:ind w:firstLine="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5C63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4D4DC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机电控制</w:t>
            </w:r>
          </w:p>
        </w:tc>
        <w:tc>
          <w:tcPr>
            <w:tcW w:w="1151" w:type="dxa"/>
            <w:gridSpan w:val="2"/>
            <w:shd w:val="clear" w:color="auto" w:fill="FFFFFF"/>
            <w:vAlign w:val="center"/>
          </w:tcPr>
          <w:p w14:paraId="0FBAF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54EBC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sz w:val="21"/>
                <w:szCs w:val="21"/>
              </w:rPr>
              <w:t>BSH003</w:t>
            </w:r>
          </w:p>
        </w:tc>
        <w:tc>
          <w:tcPr>
            <w:tcW w:w="2205" w:type="dxa"/>
            <w:gridSpan w:val="2"/>
            <w:shd w:val="clear" w:color="auto" w:fill="FFFFFF"/>
            <w:vAlign w:val="center"/>
          </w:tcPr>
          <w:p w14:paraId="13D9A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sz w:val="21"/>
                <w:szCs w:val="21"/>
              </w:rPr>
              <w:t>自动化、计算机技术专业</w:t>
            </w:r>
          </w:p>
        </w:tc>
        <w:tc>
          <w:tcPr>
            <w:tcW w:w="1568" w:type="dxa"/>
            <w:vMerge w:val="restart"/>
            <w:shd w:val="clear" w:color="auto" w:fill="FFFFFF"/>
            <w:vAlign w:val="center"/>
          </w:tcPr>
          <w:p w14:paraId="33AEB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面议</w:t>
            </w:r>
          </w:p>
        </w:tc>
        <w:tc>
          <w:tcPr>
            <w:tcW w:w="1348" w:type="dxa"/>
            <w:vMerge w:val="restart"/>
            <w:shd w:val="clear" w:color="auto" w:fill="FFFFFF"/>
            <w:vAlign w:val="center"/>
          </w:tcPr>
          <w:p w14:paraId="733EC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QS前200</w:t>
            </w:r>
          </w:p>
        </w:tc>
      </w:tr>
      <w:tr w14:paraId="2411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253CD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设计仿真</w:t>
            </w:r>
          </w:p>
        </w:tc>
        <w:tc>
          <w:tcPr>
            <w:tcW w:w="1151" w:type="dxa"/>
            <w:gridSpan w:val="2"/>
            <w:shd w:val="clear" w:color="auto" w:fill="FFFFFF"/>
            <w:vAlign w:val="center"/>
          </w:tcPr>
          <w:p w14:paraId="5D460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45CD8D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BSH004</w:t>
            </w:r>
          </w:p>
        </w:tc>
        <w:tc>
          <w:tcPr>
            <w:tcW w:w="2205" w:type="dxa"/>
            <w:gridSpan w:val="2"/>
            <w:shd w:val="clear" w:color="auto" w:fill="FFFFFF"/>
            <w:vAlign w:val="center"/>
          </w:tcPr>
          <w:p w14:paraId="074A3F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spacing w:val="-8"/>
                <w:kern w:val="2"/>
                <w:sz w:val="21"/>
                <w:szCs w:val="21"/>
                <w:lang w:val="en-US" w:eastAsia="zh-CN" w:bidi="ar-SA"/>
              </w:rPr>
            </w:pPr>
            <w:r>
              <w:rPr>
                <w:rFonts w:hint="eastAsia" w:asciiTheme="minorEastAsia" w:hAnsiTheme="minorEastAsia" w:eastAsiaTheme="minorEastAsia" w:cstheme="minorEastAsia"/>
                <w:sz w:val="21"/>
                <w:szCs w:val="21"/>
              </w:rPr>
              <w:t>物理学、材料力学、薄膜光学、流体力学专业</w:t>
            </w:r>
          </w:p>
        </w:tc>
        <w:tc>
          <w:tcPr>
            <w:tcW w:w="1568" w:type="dxa"/>
            <w:vMerge w:val="continue"/>
            <w:shd w:val="clear" w:color="auto" w:fill="FFFFFF"/>
            <w:vAlign w:val="center"/>
          </w:tcPr>
          <w:p w14:paraId="3906DC7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04310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4193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01582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光场控制</w:t>
            </w:r>
          </w:p>
        </w:tc>
        <w:tc>
          <w:tcPr>
            <w:tcW w:w="1151" w:type="dxa"/>
            <w:gridSpan w:val="2"/>
            <w:shd w:val="clear" w:color="auto" w:fill="FFFFFF"/>
            <w:vAlign w:val="center"/>
          </w:tcPr>
          <w:p w14:paraId="4E7BD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3CE42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BSH005</w:t>
            </w:r>
          </w:p>
        </w:tc>
        <w:tc>
          <w:tcPr>
            <w:tcW w:w="2205" w:type="dxa"/>
            <w:gridSpan w:val="2"/>
            <w:shd w:val="clear" w:color="auto" w:fill="FFFFFF"/>
            <w:vAlign w:val="center"/>
          </w:tcPr>
          <w:p w14:paraId="346A5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spacing w:val="-8"/>
                <w:kern w:val="2"/>
                <w:sz w:val="21"/>
                <w:szCs w:val="21"/>
                <w:lang w:val="en-US" w:eastAsia="zh-CN" w:bidi="ar-SA"/>
              </w:rPr>
            </w:pPr>
            <w:r>
              <w:rPr>
                <w:rFonts w:hint="eastAsia" w:asciiTheme="minorEastAsia" w:hAnsiTheme="minorEastAsia" w:eastAsiaTheme="minorEastAsia" w:cstheme="minorEastAsia"/>
                <w:sz w:val="21"/>
                <w:szCs w:val="21"/>
              </w:rPr>
              <w:t>光学、光学工程专业</w:t>
            </w:r>
          </w:p>
        </w:tc>
        <w:tc>
          <w:tcPr>
            <w:tcW w:w="1568" w:type="dxa"/>
            <w:vMerge w:val="continue"/>
            <w:shd w:val="clear" w:color="auto" w:fill="FFFFFF"/>
            <w:vAlign w:val="center"/>
          </w:tcPr>
          <w:p w14:paraId="28B9791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09303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1C29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4D455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自适应光学</w:t>
            </w:r>
          </w:p>
        </w:tc>
        <w:tc>
          <w:tcPr>
            <w:tcW w:w="1151" w:type="dxa"/>
            <w:gridSpan w:val="2"/>
            <w:shd w:val="clear" w:color="auto" w:fill="FFFFFF"/>
            <w:vAlign w:val="center"/>
          </w:tcPr>
          <w:p w14:paraId="36A6A7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w:t>
            </w:r>
          </w:p>
        </w:tc>
        <w:tc>
          <w:tcPr>
            <w:tcW w:w="1189" w:type="dxa"/>
            <w:shd w:val="clear" w:color="auto" w:fill="FFFFFF"/>
            <w:vAlign w:val="center"/>
          </w:tcPr>
          <w:p w14:paraId="72690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BSH006</w:t>
            </w:r>
          </w:p>
        </w:tc>
        <w:tc>
          <w:tcPr>
            <w:tcW w:w="2205" w:type="dxa"/>
            <w:gridSpan w:val="2"/>
            <w:shd w:val="clear" w:color="auto" w:fill="FFFFFF"/>
            <w:vAlign w:val="center"/>
          </w:tcPr>
          <w:p w14:paraId="1D8A2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信号与信息处理、光学工程、计算机、通信专业</w:t>
            </w:r>
          </w:p>
        </w:tc>
        <w:tc>
          <w:tcPr>
            <w:tcW w:w="1568" w:type="dxa"/>
            <w:vMerge w:val="continue"/>
            <w:shd w:val="clear" w:color="auto" w:fill="FFFFFF"/>
            <w:vAlign w:val="center"/>
          </w:tcPr>
          <w:p w14:paraId="353EB22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17521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3BF1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7B2AA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激光与物质相互作用</w:t>
            </w:r>
          </w:p>
        </w:tc>
        <w:tc>
          <w:tcPr>
            <w:tcW w:w="1151" w:type="dxa"/>
            <w:gridSpan w:val="2"/>
            <w:shd w:val="clear" w:color="auto" w:fill="FFFFFF"/>
            <w:vAlign w:val="center"/>
          </w:tcPr>
          <w:p w14:paraId="2D354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89" w:type="dxa"/>
            <w:shd w:val="clear" w:color="auto" w:fill="FFFFFF"/>
            <w:vAlign w:val="center"/>
          </w:tcPr>
          <w:p w14:paraId="42D78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BSH007</w:t>
            </w:r>
          </w:p>
        </w:tc>
        <w:tc>
          <w:tcPr>
            <w:tcW w:w="2205" w:type="dxa"/>
            <w:gridSpan w:val="2"/>
            <w:shd w:val="clear" w:color="auto" w:fill="FFFFFF"/>
            <w:vAlign w:val="center"/>
          </w:tcPr>
          <w:p w14:paraId="6E740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光学、物理学、材料专业</w:t>
            </w:r>
          </w:p>
        </w:tc>
        <w:tc>
          <w:tcPr>
            <w:tcW w:w="1568" w:type="dxa"/>
            <w:vMerge w:val="continue"/>
            <w:shd w:val="clear" w:color="auto" w:fill="FFFFFF"/>
            <w:vAlign w:val="center"/>
          </w:tcPr>
          <w:p w14:paraId="0762AB3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39D29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5835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386CD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微纳结构光谱调控技术</w:t>
            </w:r>
          </w:p>
        </w:tc>
        <w:tc>
          <w:tcPr>
            <w:tcW w:w="1151" w:type="dxa"/>
            <w:gridSpan w:val="2"/>
            <w:shd w:val="clear" w:color="auto" w:fill="FFFFFF"/>
            <w:vAlign w:val="center"/>
          </w:tcPr>
          <w:p w14:paraId="3B4FD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89" w:type="dxa"/>
            <w:shd w:val="clear" w:color="auto" w:fill="FFFFFF"/>
            <w:vAlign w:val="center"/>
          </w:tcPr>
          <w:p w14:paraId="049CED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BSH008</w:t>
            </w:r>
          </w:p>
        </w:tc>
        <w:tc>
          <w:tcPr>
            <w:tcW w:w="2205" w:type="dxa"/>
            <w:gridSpan w:val="2"/>
            <w:shd w:val="clear" w:color="auto" w:fill="FFFFFF"/>
            <w:vAlign w:val="center"/>
          </w:tcPr>
          <w:p w14:paraId="09AB63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光学、物理学、材料(无机材料、有机材料)专业</w:t>
            </w:r>
          </w:p>
        </w:tc>
        <w:tc>
          <w:tcPr>
            <w:tcW w:w="1568" w:type="dxa"/>
            <w:vMerge w:val="continue"/>
            <w:shd w:val="clear" w:color="auto" w:fill="FFFFFF"/>
            <w:vAlign w:val="center"/>
          </w:tcPr>
          <w:p w14:paraId="17F41E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13A1F1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5FB7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2F076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多功能电磁结构功能材料研究</w:t>
            </w:r>
          </w:p>
        </w:tc>
        <w:tc>
          <w:tcPr>
            <w:tcW w:w="1151" w:type="dxa"/>
            <w:gridSpan w:val="2"/>
            <w:shd w:val="clear" w:color="auto" w:fill="FFFFFF"/>
            <w:vAlign w:val="center"/>
          </w:tcPr>
          <w:p w14:paraId="65B12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89" w:type="dxa"/>
            <w:shd w:val="clear" w:color="auto" w:fill="FFFFFF"/>
            <w:vAlign w:val="center"/>
          </w:tcPr>
          <w:p w14:paraId="115CF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BSH009</w:t>
            </w:r>
          </w:p>
        </w:tc>
        <w:tc>
          <w:tcPr>
            <w:tcW w:w="2205" w:type="dxa"/>
            <w:gridSpan w:val="2"/>
            <w:shd w:val="clear" w:color="auto" w:fill="FFFFFF"/>
            <w:vAlign w:val="center"/>
          </w:tcPr>
          <w:p w14:paraId="54144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微波与电磁场、电子信息等专业</w:t>
            </w:r>
          </w:p>
        </w:tc>
        <w:tc>
          <w:tcPr>
            <w:tcW w:w="1568" w:type="dxa"/>
            <w:vMerge w:val="continue"/>
            <w:shd w:val="clear" w:color="auto" w:fill="FFFFFF"/>
            <w:vAlign w:val="center"/>
          </w:tcPr>
          <w:p w14:paraId="4A4CD1B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73F043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4CE5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35335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亚波长结构功能材料</w:t>
            </w:r>
          </w:p>
        </w:tc>
        <w:tc>
          <w:tcPr>
            <w:tcW w:w="1151" w:type="dxa"/>
            <w:gridSpan w:val="2"/>
            <w:shd w:val="clear" w:color="auto" w:fill="FFFFFF"/>
            <w:vAlign w:val="center"/>
          </w:tcPr>
          <w:p w14:paraId="0D8BF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89" w:type="dxa"/>
            <w:shd w:val="clear" w:color="auto" w:fill="FFFFFF"/>
            <w:vAlign w:val="center"/>
          </w:tcPr>
          <w:p w14:paraId="7F459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BSH010</w:t>
            </w:r>
          </w:p>
        </w:tc>
        <w:tc>
          <w:tcPr>
            <w:tcW w:w="2205" w:type="dxa"/>
            <w:gridSpan w:val="2"/>
            <w:shd w:val="clear" w:color="auto" w:fill="FFFFFF"/>
            <w:vAlign w:val="center"/>
          </w:tcPr>
          <w:p w14:paraId="5D2CF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物理、微波与电磁场、电子信息、材料专业</w:t>
            </w:r>
          </w:p>
        </w:tc>
        <w:tc>
          <w:tcPr>
            <w:tcW w:w="1568" w:type="dxa"/>
            <w:vMerge w:val="continue"/>
            <w:shd w:val="clear" w:color="auto" w:fill="FFFFFF"/>
            <w:vAlign w:val="center"/>
          </w:tcPr>
          <w:p w14:paraId="2B85CD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45C08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71F5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1C33E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图像处理</w:t>
            </w:r>
          </w:p>
        </w:tc>
        <w:tc>
          <w:tcPr>
            <w:tcW w:w="1151" w:type="dxa"/>
            <w:gridSpan w:val="2"/>
            <w:shd w:val="clear" w:color="auto" w:fill="FFFFFF"/>
            <w:vAlign w:val="center"/>
          </w:tcPr>
          <w:p w14:paraId="13B97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w:t>
            </w:r>
          </w:p>
        </w:tc>
        <w:tc>
          <w:tcPr>
            <w:tcW w:w="1189" w:type="dxa"/>
            <w:shd w:val="clear" w:color="auto" w:fill="FFFFFF"/>
            <w:vAlign w:val="center"/>
          </w:tcPr>
          <w:p w14:paraId="7905E4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BSH011</w:t>
            </w:r>
          </w:p>
        </w:tc>
        <w:tc>
          <w:tcPr>
            <w:tcW w:w="2205" w:type="dxa"/>
            <w:gridSpan w:val="2"/>
            <w:shd w:val="clear" w:color="auto" w:fill="FFFFFF"/>
            <w:vAlign w:val="center"/>
          </w:tcPr>
          <w:p w14:paraId="31F96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计算机视觉、机器视觉专业</w:t>
            </w:r>
          </w:p>
        </w:tc>
        <w:tc>
          <w:tcPr>
            <w:tcW w:w="1568" w:type="dxa"/>
            <w:vMerge w:val="continue"/>
            <w:shd w:val="clear" w:color="auto" w:fill="FFFFFF"/>
            <w:vAlign w:val="center"/>
          </w:tcPr>
          <w:p w14:paraId="7AD2909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68C68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kern w:val="2"/>
                <w:sz w:val="21"/>
                <w:szCs w:val="21"/>
                <w:lang w:val="en-US" w:eastAsia="zh-CN" w:bidi="ar-SA"/>
              </w:rPr>
            </w:pPr>
          </w:p>
        </w:tc>
      </w:tr>
      <w:tr w14:paraId="2461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90" w:type="dxa"/>
            <w:gridSpan w:val="2"/>
            <w:shd w:val="clear" w:color="auto" w:fill="FFFFFF"/>
            <w:noWrap/>
            <w:vAlign w:val="center"/>
          </w:tcPr>
          <w:p w14:paraId="000DC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电学硬件</w:t>
            </w:r>
          </w:p>
        </w:tc>
        <w:tc>
          <w:tcPr>
            <w:tcW w:w="1151" w:type="dxa"/>
            <w:gridSpan w:val="2"/>
            <w:shd w:val="clear" w:color="auto" w:fill="FFFFFF"/>
            <w:vAlign w:val="center"/>
          </w:tcPr>
          <w:p w14:paraId="3D1BF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89" w:type="dxa"/>
            <w:shd w:val="clear" w:color="auto" w:fill="FFFFFF"/>
            <w:vAlign w:val="center"/>
          </w:tcPr>
          <w:p w14:paraId="589732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BSH012</w:t>
            </w:r>
          </w:p>
        </w:tc>
        <w:tc>
          <w:tcPr>
            <w:tcW w:w="2205" w:type="dxa"/>
            <w:gridSpan w:val="2"/>
            <w:shd w:val="clear" w:color="auto" w:fill="FFFFFF"/>
            <w:vAlign w:val="center"/>
          </w:tcPr>
          <w:p w14:paraId="29435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电学</w:t>
            </w:r>
          </w:p>
        </w:tc>
        <w:tc>
          <w:tcPr>
            <w:tcW w:w="1568" w:type="dxa"/>
            <w:vMerge w:val="continue"/>
            <w:shd w:val="clear" w:color="auto" w:fill="FFFFFF"/>
            <w:vAlign w:val="center"/>
          </w:tcPr>
          <w:p w14:paraId="6AFCB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p>
        </w:tc>
        <w:tc>
          <w:tcPr>
            <w:tcW w:w="1348" w:type="dxa"/>
            <w:vMerge w:val="continue"/>
            <w:shd w:val="clear" w:color="auto" w:fill="FFFFFF"/>
            <w:vAlign w:val="center"/>
          </w:tcPr>
          <w:p w14:paraId="18662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p>
        </w:tc>
      </w:tr>
    </w:tbl>
    <w:p w14:paraId="1E8326B9">
      <w:pPr>
        <w:pStyle w:val="3"/>
        <w:adjustRightInd w:val="0"/>
        <w:snapToGrid w:val="0"/>
        <w:spacing w:before="0" w:after="0" w:line="240" w:lineRule="auto"/>
        <w:outlineLvl w:val="9"/>
        <w:rPr>
          <w:sz w:val="21"/>
          <w:szCs w:val="21"/>
        </w:rPr>
      </w:pPr>
      <w:r>
        <w:rPr>
          <w:rFonts w:ascii="Times New Roman" w:hAnsi="Times New Roman"/>
          <w:sz w:val="21"/>
          <w:szCs w:val="21"/>
        </w:rPr>
        <w:br w:type="page"/>
      </w:r>
    </w:p>
    <w:p w14:paraId="0EF0B5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066E9C8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eastAsia="方正小标宋简体"/>
          <w:sz w:val="44"/>
          <w:szCs w:val="44"/>
          <w:highlight w:val="yellow"/>
        </w:rPr>
      </w:pPr>
      <w:bookmarkStart w:id="163" w:name="_Toc3201"/>
      <w:bookmarkStart w:id="164" w:name="_Toc23828"/>
      <w:bookmarkStart w:id="165" w:name="_Toc9666"/>
      <w:bookmarkStart w:id="166" w:name="_Toc5352"/>
      <w:r>
        <w:rPr>
          <w:rFonts w:eastAsia="方正小标宋简体"/>
          <w:sz w:val="44"/>
          <w:szCs w:val="44"/>
          <w:highlight w:val="none"/>
        </w:rPr>
        <w:t>成都大熊猫繁育研究基地</w:t>
      </w:r>
      <w:bookmarkEnd w:id="162"/>
      <w:bookmarkEnd w:id="163"/>
      <w:bookmarkEnd w:id="164"/>
      <w:bookmarkEnd w:id="165"/>
      <w:bookmarkEnd w:id="166"/>
    </w:p>
    <w:p w14:paraId="1774F9C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4F11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71" w:type="dxa"/>
            <w:shd w:val="clear" w:color="auto" w:fill="E7E6E6" w:themeFill="background2"/>
            <w:noWrap/>
            <w:vAlign w:val="center"/>
          </w:tcPr>
          <w:p w14:paraId="2A0F111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5203875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其他</w:t>
            </w:r>
          </w:p>
        </w:tc>
        <w:tc>
          <w:tcPr>
            <w:tcW w:w="1640" w:type="dxa"/>
            <w:gridSpan w:val="2"/>
            <w:shd w:val="clear" w:color="auto" w:fill="E7E6E6" w:themeFill="background2"/>
            <w:noWrap/>
            <w:vAlign w:val="center"/>
          </w:tcPr>
          <w:p w14:paraId="32FB40E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5E74796">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74FAB0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08943F82">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73E2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71" w:type="dxa"/>
            <w:shd w:val="clear" w:color="auto" w:fill="E7E6E6" w:themeFill="background2"/>
            <w:noWrap/>
            <w:vAlign w:val="center"/>
          </w:tcPr>
          <w:p w14:paraId="42C79F6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7E60D592">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成都市成华区熊猫大道1375号</w:t>
            </w:r>
          </w:p>
        </w:tc>
      </w:tr>
      <w:tr w14:paraId="4E56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jc w:val="center"/>
        </w:trPr>
        <w:tc>
          <w:tcPr>
            <w:tcW w:w="1271" w:type="dxa"/>
            <w:shd w:val="clear" w:color="auto" w:fill="E7E6E6" w:themeFill="background2"/>
            <w:noWrap/>
            <w:vAlign w:val="center"/>
          </w:tcPr>
          <w:p w14:paraId="7F787D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4D6383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大熊猫繁育研究基地（以下简称“熊猫基地”），主要从事大熊猫等濒危野生动物的饲养与繁育、遗传资源与种群保护、重大疾病预防与控制、大熊猫国家公园保护与管理方面的研究，先后建立了省部共建国家重点实验室培育基地、国家级“国际科技合作示范基地”和“院士（专家）创新工作站”等多个具有行业内领先水平的科研平台，柔性引进以中国科学院魏辅文院士、中国工程院夏咸柱院士为首的多名国内外知名专家作为科研顾问团队，拥有6000平方米的实验、办公场地和总面积达227万平方米的三个野化放归基地，研究条件优良，科研实力雄厚。熊猫基地还与境内外数十家高等院校和科研机构开展科研合作，初步搭建了各类交流互动现代化服务平台，发展前景良好。</w:t>
            </w:r>
          </w:p>
        </w:tc>
      </w:tr>
      <w:tr w14:paraId="77FD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9" w:hRule="atLeast"/>
          <w:jc w:val="center"/>
        </w:trPr>
        <w:tc>
          <w:tcPr>
            <w:tcW w:w="1271" w:type="dxa"/>
            <w:shd w:val="clear" w:color="auto" w:fill="E7E6E6" w:themeFill="background2"/>
            <w:noWrap/>
            <w:vAlign w:val="center"/>
          </w:tcPr>
          <w:p w14:paraId="5CD827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E8B8D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eastAsiaTheme="minorEastAsia"/>
                <w:sz w:val="21"/>
                <w:szCs w:val="21"/>
              </w:rPr>
            </w:pPr>
            <w:r>
              <w:rPr>
                <w:rFonts w:hint="eastAsia" w:eastAsiaTheme="minorEastAsia"/>
                <w:sz w:val="21"/>
                <w:szCs w:val="21"/>
              </w:rPr>
              <w:t>熊猫基地将根据行业内的薪酬标准提供固定额度的年薪及完备的后勤保障服务，配套充足的科研启动经费，遴选经验丰富的博士后导师指导博士后开展研究工作。单位现已制定了《博士后科研工作站管理办法（试行）》《科研专项经费管理办法（试行）》等一系列相关办法，配备专职管理团队协助博士后申请国家、省、市博士后项目基金、国家自然科学青年基金及省、市博士后相关日常生活补助，同时，提供参与国际科研合作的机会。</w:t>
            </w:r>
          </w:p>
        </w:tc>
      </w:tr>
      <w:tr w14:paraId="1EBF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05C574F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7C43DC7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33F481E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2FEFF17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4CCE87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43A9D5D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A73141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5E79FD3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7CA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8" w:hRule="atLeast"/>
          <w:jc w:val="center"/>
        </w:trPr>
        <w:tc>
          <w:tcPr>
            <w:tcW w:w="1619" w:type="dxa"/>
            <w:gridSpan w:val="2"/>
            <w:shd w:val="clear" w:color="000000" w:fill="FFFFFF"/>
            <w:noWrap/>
            <w:vAlign w:val="center"/>
          </w:tcPr>
          <w:p w14:paraId="6B601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大熊猫种群高遗传负载位点筛选及等位基因鉴定</w:t>
            </w:r>
          </w:p>
        </w:tc>
        <w:tc>
          <w:tcPr>
            <w:tcW w:w="1176" w:type="dxa"/>
            <w:shd w:val="clear" w:color="000000" w:fill="FFFFFF"/>
            <w:vAlign w:val="center"/>
          </w:tcPr>
          <w:p w14:paraId="1CB111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569E2D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1</w:t>
            </w:r>
          </w:p>
        </w:tc>
        <w:tc>
          <w:tcPr>
            <w:tcW w:w="1722" w:type="dxa"/>
            <w:gridSpan w:val="2"/>
            <w:shd w:val="clear" w:color="000000" w:fill="FFFFFF"/>
            <w:vAlign w:val="center"/>
          </w:tcPr>
          <w:p w14:paraId="30D44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生物学</w:t>
            </w:r>
          </w:p>
        </w:tc>
        <w:tc>
          <w:tcPr>
            <w:tcW w:w="1399" w:type="dxa"/>
            <w:gridSpan w:val="2"/>
            <w:shd w:val="clear" w:color="000000" w:fill="FFFFFF"/>
            <w:vAlign w:val="center"/>
          </w:tcPr>
          <w:p w14:paraId="7D8B4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2550" w:type="dxa"/>
            <w:gridSpan w:val="2"/>
            <w:shd w:val="clear" w:color="000000" w:fill="FFFFFF"/>
            <w:vAlign w:val="center"/>
          </w:tcPr>
          <w:p w14:paraId="2E45282B">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1.双一流建设高校或同等科研能力的科研院所取得博士学位或即将取得博士学位；</w:t>
            </w:r>
          </w:p>
          <w:p w14:paraId="2B732F2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2.年龄35周岁以下，品学兼优、身体健康；</w:t>
            </w:r>
          </w:p>
          <w:p w14:paraId="01A6C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3.具备Linux、R或者python编程能力，且在相关领域内发表过高水平论文。</w:t>
            </w:r>
          </w:p>
        </w:tc>
      </w:tr>
      <w:tr w14:paraId="0AFA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000000" w:fill="E7E6E6" w:themeFill="background2"/>
            <w:noWrap/>
            <w:vAlign w:val="center"/>
          </w:tcPr>
          <w:p w14:paraId="2AE28EA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1176" w:type="dxa"/>
            <w:shd w:val="clear" w:color="000000" w:fill="E7E6E6" w:themeFill="background2"/>
            <w:vAlign w:val="center"/>
          </w:tcPr>
          <w:p w14:paraId="184FD2F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064" w:type="dxa"/>
            <w:shd w:val="clear" w:color="000000" w:fill="E7E6E6" w:themeFill="background2"/>
            <w:vAlign w:val="center"/>
          </w:tcPr>
          <w:p w14:paraId="76ACE19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722" w:type="dxa"/>
            <w:gridSpan w:val="2"/>
            <w:shd w:val="clear" w:color="000000" w:fill="E7E6E6" w:themeFill="background2"/>
            <w:vAlign w:val="center"/>
          </w:tcPr>
          <w:p w14:paraId="0986F3B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472934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000000" w:fill="E7E6E6" w:themeFill="background2"/>
            <w:vAlign w:val="center"/>
          </w:tcPr>
          <w:p w14:paraId="0431B58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88E60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000000" w:fill="E7E6E6" w:themeFill="background2"/>
            <w:vAlign w:val="center"/>
          </w:tcPr>
          <w:p w14:paraId="0446728A">
            <w:pPr>
              <w:adjustRightInd w:val="0"/>
              <w:snapToGrid w:val="0"/>
              <w:spacing w:line="240" w:lineRule="auto"/>
              <w:ind w:firstLine="0"/>
              <w:jc w:val="center"/>
              <w:rPr>
                <w:rFonts w:hint="default" w:ascii="Times New Roman" w:hAnsi="Times New Roman" w:cs="Times New Roman" w:eastAsiaTheme="minorEastAsia"/>
                <w:sz w:val="21"/>
                <w:szCs w:val="21"/>
              </w:rPr>
            </w:pPr>
            <w:r>
              <w:rPr>
                <w:rFonts w:eastAsiaTheme="minorEastAsia"/>
                <w:b/>
                <w:bCs/>
                <w:sz w:val="21"/>
                <w:szCs w:val="21"/>
              </w:rPr>
              <w:t>博士生源单位等要求</w:t>
            </w:r>
          </w:p>
        </w:tc>
      </w:tr>
      <w:tr w14:paraId="3E11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8" w:hRule="atLeast"/>
          <w:jc w:val="center"/>
        </w:trPr>
        <w:tc>
          <w:tcPr>
            <w:tcW w:w="1619" w:type="dxa"/>
            <w:gridSpan w:val="2"/>
            <w:shd w:val="clear" w:color="000000" w:fill="FFFFFF"/>
            <w:noWrap/>
            <w:vAlign w:val="center"/>
          </w:tcPr>
          <w:p w14:paraId="399A0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中国（大陆）鸟类重要栖息地（KBA）的识别与评价</w:t>
            </w:r>
          </w:p>
        </w:tc>
        <w:tc>
          <w:tcPr>
            <w:tcW w:w="1176" w:type="dxa"/>
            <w:shd w:val="clear" w:color="000000" w:fill="FFFFFF"/>
            <w:vAlign w:val="center"/>
          </w:tcPr>
          <w:p w14:paraId="57D9A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0A2F7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02</w:t>
            </w:r>
          </w:p>
        </w:tc>
        <w:tc>
          <w:tcPr>
            <w:tcW w:w="1722" w:type="dxa"/>
            <w:gridSpan w:val="2"/>
            <w:shd w:val="clear" w:color="000000" w:fill="FFFFFF"/>
            <w:vAlign w:val="center"/>
          </w:tcPr>
          <w:p w14:paraId="126C7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生态学/生物学/环境科学/计算机科学</w:t>
            </w:r>
          </w:p>
        </w:tc>
        <w:tc>
          <w:tcPr>
            <w:tcW w:w="1399" w:type="dxa"/>
            <w:gridSpan w:val="2"/>
            <w:shd w:val="clear" w:color="000000" w:fill="FFFFFF"/>
            <w:vAlign w:val="center"/>
          </w:tcPr>
          <w:p w14:paraId="1ACA6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2550" w:type="dxa"/>
            <w:gridSpan w:val="2"/>
            <w:shd w:val="clear" w:color="000000" w:fill="FFFFFF"/>
            <w:vAlign w:val="center"/>
          </w:tcPr>
          <w:p w14:paraId="1E4EA060">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1.在国内外已经获得或即将获得博士学位者；</w:t>
            </w:r>
          </w:p>
          <w:p w14:paraId="14285CA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2.年龄在35周岁以下，品学兼优，身体健康；</w:t>
            </w:r>
          </w:p>
          <w:p w14:paraId="061FC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3.具有生物多样性研究经验者优先。</w:t>
            </w:r>
          </w:p>
        </w:tc>
      </w:tr>
    </w:tbl>
    <w:p w14:paraId="0CC3BCF2">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4B7CE8F9">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eastAsia="方正小标宋简体"/>
          <w:sz w:val="44"/>
          <w:szCs w:val="44"/>
        </w:rPr>
      </w:pPr>
    </w:p>
    <w:p w14:paraId="2D12B09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167" w:name="_Toc4347"/>
      <w:bookmarkStart w:id="168" w:name="_Toc30766"/>
      <w:bookmarkStart w:id="169" w:name="_Toc10305"/>
      <w:bookmarkStart w:id="170" w:name="_Toc11800"/>
      <w:bookmarkStart w:id="171" w:name="_Toc25434"/>
      <w:r>
        <w:rPr>
          <w:rFonts w:hint="eastAsia" w:eastAsia="方正小标宋简体"/>
          <w:sz w:val="44"/>
          <w:szCs w:val="44"/>
          <w:highlight w:val="none"/>
        </w:rPr>
        <w:t>成都光明光电股份有限公司</w:t>
      </w:r>
      <w:bookmarkEnd w:id="167"/>
      <w:bookmarkEnd w:id="168"/>
      <w:bookmarkEnd w:id="169"/>
      <w:bookmarkEnd w:id="170"/>
      <w:bookmarkEnd w:id="171"/>
    </w:p>
    <w:p w14:paraId="564F202B">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5"/>
        <w:gridCol w:w="847"/>
        <w:gridCol w:w="1117"/>
        <w:gridCol w:w="478"/>
        <w:gridCol w:w="1278"/>
        <w:gridCol w:w="348"/>
        <w:gridCol w:w="1248"/>
        <w:gridCol w:w="316"/>
        <w:gridCol w:w="2024"/>
      </w:tblGrid>
      <w:tr w14:paraId="6810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0C24C9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14:paraId="30D0156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559" w:type="dxa"/>
            <w:gridSpan w:val="2"/>
            <w:shd w:val="clear" w:color="auto" w:fill="E7E6E6" w:themeFill="background2"/>
            <w:noWrap/>
            <w:vAlign w:val="center"/>
          </w:tcPr>
          <w:p w14:paraId="2848C8C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7586D80">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25A39DF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7E92234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0886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C56D8D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2827AD20">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四川省成都市龙泉驿区成都大道三段359号</w:t>
            </w:r>
          </w:p>
        </w:tc>
      </w:tr>
      <w:tr w14:paraId="371B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271" w:type="dxa"/>
            <w:shd w:val="clear" w:color="auto" w:fill="E7E6E6" w:themeFill="background2"/>
            <w:noWrap/>
            <w:vAlign w:val="center"/>
          </w:tcPr>
          <w:p w14:paraId="618F40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1A0F11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光明光电股份有限公司是中国领先、国际具有较大影响力的专业性光电材料研发制造企业，光学玻璃年产销量位居全球第一，拥有国内同行业首个国家级企业技术中心和国家特种玻璃材料创新中心，是国家高新技术企业和国家知识产权示范企业，检测技术达到国际同行业先进水平，编制了国际认可的中国光学玻璃行业检测标准。</w:t>
            </w:r>
          </w:p>
        </w:tc>
      </w:tr>
      <w:tr w14:paraId="2D21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1271" w:type="dxa"/>
            <w:shd w:val="clear" w:color="auto" w:fill="E7E6E6" w:themeFill="background2"/>
            <w:noWrap/>
            <w:vAlign w:val="center"/>
          </w:tcPr>
          <w:p w14:paraId="4C100D9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042FE3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年薪30-40万、一次性安家费21万、住房补贴2000元/月（共5年）、提供员工宿舍，购买七险二金、免费工作午餐、每年免费体检、节假日福利</w:t>
            </w:r>
            <w:r>
              <w:rPr>
                <w:rFonts w:hint="eastAsia" w:ascii="Times New Roman" w:hAnsi="Times New Roman" w:cs="Times New Roman" w:eastAsiaTheme="minorEastAsia"/>
                <w:sz w:val="21"/>
                <w:szCs w:val="21"/>
                <w:lang w:eastAsia="zh-CN"/>
              </w:rPr>
              <w:t>。</w:t>
            </w:r>
          </w:p>
        </w:tc>
      </w:tr>
      <w:tr w14:paraId="402B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8" w:type="dxa"/>
            <w:gridSpan w:val="2"/>
            <w:shd w:val="clear" w:color="auto" w:fill="E7E6E6" w:themeFill="background2"/>
            <w:noWrap/>
            <w:vAlign w:val="center"/>
          </w:tcPr>
          <w:p w14:paraId="02458E44">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308080B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14:paraId="10B2E83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16" w:type="dxa"/>
            <w:gridSpan w:val="2"/>
            <w:shd w:val="clear" w:color="auto" w:fill="E7E6E6" w:themeFill="background2"/>
            <w:vAlign w:val="center"/>
          </w:tcPr>
          <w:p w14:paraId="6D904FF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C85D44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60" w:type="dxa"/>
            <w:gridSpan w:val="2"/>
            <w:shd w:val="clear" w:color="auto" w:fill="E7E6E6" w:themeFill="background2"/>
            <w:vAlign w:val="center"/>
          </w:tcPr>
          <w:p w14:paraId="7B9864A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F7F3BFF">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6" w:type="dxa"/>
            <w:gridSpan w:val="2"/>
            <w:shd w:val="clear" w:color="auto" w:fill="E7E6E6" w:themeFill="background2"/>
            <w:vAlign w:val="center"/>
          </w:tcPr>
          <w:p w14:paraId="3C0B0C7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505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8" w:type="dxa"/>
            <w:gridSpan w:val="2"/>
            <w:shd w:val="clear" w:color="000000" w:fill="FFFFFF"/>
            <w:noWrap/>
            <w:vAlign w:val="center"/>
          </w:tcPr>
          <w:p w14:paraId="73491746">
            <w:pPr>
              <w:widowControl/>
              <w:adjustRightInd w:val="0"/>
              <w:snapToGrid w:val="0"/>
              <w:spacing w:line="300" w:lineRule="exact"/>
              <w:ind w:firstLine="0" w:firstLine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博士后项目</w:t>
            </w:r>
          </w:p>
        </w:tc>
        <w:tc>
          <w:tcPr>
            <w:tcW w:w="828" w:type="dxa"/>
            <w:shd w:val="clear" w:color="000000" w:fill="FFFFFF"/>
            <w:vAlign w:val="center"/>
          </w:tcPr>
          <w:p w14:paraId="2BAE68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092" w:type="dxa"/>
            <w:shd w:val="clear" w:color="000000" w:fill="FFFFFF"/>
            <w:vAlign w:val="center"/>
          </w:tcPr>
          <w:p w14:paraId="7DC92C3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16" w:type="dxa"/>
            <w:gridSpan w:val="2"/>
            <w:shd w:val="clear" w:color="000000" w:fill="FFFFFF"/>
            <w:vAlign w:val="center"/>
          </w:tcPr>
          <w:p w14:paraId="3333626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材料学、无机化学</w:t>
            </w:r>
          </w:p>
        </w:tc>
        <w:tc>
          <w:tcPr>
            <w:tcW w:w="1560" w:type="dxa"/>
            <w:gridSpan w:val="2"/>
            <w:shd w:val="clear" w:color="000000" w:fill="FFFFFF"/>
            <w:vAlign w:val="center"/>
          </w:tcPr>
          <w:p w14:paraId="3BB3DE3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500</w:t>
            </w:r>
          </w:p>
        </w:tc>
        <w:tc>
          <w:tcPr>
            <w:tcW w:w="2286" w:type="dxa"/>
            <w:gridSpan w:val="2"/>
            <w:shd w:val="clear" w:color="000000" w:fill="FFFFFF"/>
            <w:vAlign w:val="center"/>
          </w:tcPr>
          <w:p w14:paraId="5F4C445A">
            <w:pPr>
              <w:adjustRightInd w:val="0"/>
              <w:snapToGrid w:val="0"/>
              <w:spacing w:line="240" w:lineRule="auto"/>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lang w:val="en-US" w:eastAsia="zh-CN"/>
              </w:rPr>
              <w:t>无</w:t>
            </w:r>
          </w:p>
        </w:tc>
      </w:tr>
    </w:tbl>
    <w:p w14:paraId="0F53A5E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5A45E55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35401FE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5A1F6AB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0FE4B46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470AE4E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0D85626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099F2CC3">
      <w:pPr>
        <w:pStyle w:val="5"/>
        <w:adjustRightInd w:val="0"/>
        <w:snapToGrid w:val="0"/>
        <w:spacing w:line="240" w:lineRule="auto"/>
        <w:ind w:firstLine="0"/>
        <w:jc w:val="center"/>
        <w:outlineLvl w:val="0"/>
        <w:rPr>
          <w:rFonts w:eastAsia="方正小标宋简体"/>
          <w:sz w:val="44"/>
          <w:szCs w:val="44"/>
          <w:highlight w:val="yellow"/>
        </w:rPr>
      </w:pPr>
      <w:bookmarkStart w:id="172" w:name="_Toc25810"/>
      <w:bookmarkStart w:id="173" w:name="_Toc20197"/>
      <w:bookmarkStart w:id="174" w:name="_Toc2707"/>
      <w:bookmarkStart w:id="175" w:name="_Toc19093"/>
      <w:bookmarkStart w:id="176" w:name="_Toc17429"/>
      <w:r>
        <w:rPr>
          <w:rFonts w:hint="eastAsia" w:eastAsia="方正小标宋简体"/>
          <w:sz w:val="44"/>
          <w:szCs w:val="44"/>
          <w:highlight w:val="none"/>
        </w:rPr>
        <w:t>成都硅宝科技股份有限公司</w:t>
      </w:r>
      <w:bookmarkEnd w:id="172"/>
      <w:bookmarkEnd w:id="173"/>
      <w:bookmarkEnd w:id="174"/>
      <w:bookmarkEnd w:id="175"/>
      <w:bookmarkEnd w:id="176"/>
    </w:p>
    <w:p w14:paraId="0E6CF79E">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585"/>
        <w:gridCol w:w="1166"/>
        <w:gridCol w:w="1105"/>
        <w:gridCol w:w="381"/>
        <w:gridCol w:w="1547"/>
        <w:gridCol w:w="79"/>
        <w:gridCol w:w="1247"/>
        <w:gridCol w:w="317"/>
        <w:gridCol w:w="2024"/>
      </w:tblGrid>
      <w:tr w14:paraId="1CEC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B0F512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2" w:type="dxa"/>
            <w:gridSpan w:val="2"/>
            <w:shd w:val="clear" w:color="000000" w:fill="FFFFFF"/>
            <w:noWrap/>
            <w:vAlign w:val="center"/>
          </w:tcPr>
          <w:p w14:paraId="1F227D3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民营企业</w:t>
            </w:r>
          </w:p>
        </w:tc>
        <w:tc>
          <w:tcPr>
            <w:tcW w:w="1452" w:type="dxa"/>
            <w:gridSpan w:val="2"/>
            <w:shd w:val="clear" w:color="auto" w:fill="E7E6E6" w:themeFill="background2"/>
            <w:noWrap/>
            <w:vAlign w:val="center"/>
          </w:tcPr>
          <w:p w14:paraId="69820AE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ADA07C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BF507E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13822B1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A48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38C7B72">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1A67C157">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四川省成都市高新区新园大道16号</w:t>
            </w:r>
          </w:p>
        </w:tc>
      </w:tr>
      <w:tr w14:paraId="118B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1271" w:type="dxa"/>
            <w:shd w:val="clear" w:color="auto" w:fill="E7E6E6" w:themeFill="background2"/>
            <w:noWrap/>
            <w:vAlign w:val="center"/>
          </w:tcPr>
          <w:p w14:paraId="785B6FA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5B6C7E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公司成立于1998年，主要从事有机硅密封胶等新材料的研发、生产和销售，是中国首批创业板上市公司（股票代码：300019），是中国新材料行业第一家上市公司。目前，拥有18家全资子公司、9大生产基地，生产能力约37万吨/年，是亚洲最大的有机硅密封胶生产企业。</w:t>
            </w:r>
          </w:p>
          <w:p w14:paraId="72392E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公司拥有国家企业技术中心、国家博士后科研工作站、国家装配式建筑产业基地、国家实验室认可（CNAS）的检验中心等创新平台，牵头承担并完成“十三五”国家重点研发计划项目、工信部工业强基工程项目等重点项目，技术成果斐然。</w:t>
            </w:r>
          </w:p>
          <w:p w14:paraId="267ADA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公司成立25年来保持经营业绩持续增长，2023年实现营收26亿元。先后获评国家技术创新示范企业、国家级绿色工厂、制造业单项冠军示范企业等，是中国有机硅密封材料行业龙头企业。</w:t>
            </w:r>
          </w:p>
        </w:tc>
      </w:tr>
      <w:tr w14:paraId="598D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1271" w:type="dxa"/>
            <w:shd w:val="clear" w:color="auto" w:fill="E7E6E6" w:themeFill="background2"/>
            <w:noWrap/>
            <w:vAlign w:val="center"/>
          </w:tcPr>
          <w:p w14:paraId="537DFD8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10EC1F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1、博士后薪酬待遇：30-50万元/年，同时为其申报各级政策补贴、荣誉称号、科研项目等。</w:t>
            </w:r>
          </w:p>
          <w:p w14:paraId="4AB038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2、公司持续开展研发岗位定级晋升、内部竞聘、轮岗等活动，为员工创造晋升和锻炼的机会，为博士提供管理发展和专业发展双通道。</w:t>
            </w:r>
          </w:p>
          <w:p w14:paraId="01F291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3、公司拥有健全的福利体系和薪酬激励机制，通过建立员工食堂、提供班车通勤、定期体检等，保障员工切身需求；设置多个表彰奖项、实施股权激励，让骨干员工分享到公司的成长价值。</w:t>
            </w:r>
          </w:p>
          <w:p w14:paraId="0FDF001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4、公司拥有完备的党工团建设，适时开展党组织生活，进行党员干部红色教育培训活动；工会积极维护员工权益，举办丰富多彩的工会活动，为员工创造良好的工作生活环境。</w:t>
            </w:r>
          </w:p>
        </w:tc>
      </w:tr>
      <w:tr w14:paraId="1FA0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843" w:type="dxa"/>
            <w:gridSpan w:val="2"/>
            <w:shd w:val="clear" w:color="auto" w:fill="E7E6E6" w:themeFill="background2"/>
            <w:noWrap/>
            <w:vAlign w:val="center"/>
          </w:tcPr>
          <w:p w14:paraId="3FA3BCA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14:paraId="644655E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0" w:type="dxa"/>
            <w:shd w:val="clear" w:color="auto" w:fill="E7E6E6" w:themeFill="background2"/>
            <w:vAlign w:val="center"/>
          </w:tcPr>
          <w:p w14:paraId="2644367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84" w:type="dxa"/>
            <w:gridSpan w:val="2"/>
            <w:shd w:val="clear" w:color="auto" w:fill="E7E6E6" w:themeFill="background2"/>
            <w:vAlign w:val="center"/>
          </w:tcPr>
          <w:p w14:paraId="58DF056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3EB9B9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3B737A8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1E1D55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7" w:type="dxa"/>
            <w:gridSpan w:val="2"/>
            <w:shd w:val="clear" w:color="auto" w:fill="E7E6E6" w:themeFill="background2"/>
            <w:vAlign w:val="center"/>
          </w:tcPr>
          <w:p w14:paraId="233E6D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7A4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43" w:type="dxa"/>
            <w:gridSpan w:val="2"/>
            <w:shd w:val="clear" w:color="000000" w:fill="FFFFFF"/>
            <w:noWrap/>
            <w:vAlign w:val="center"/>
          </w:tcPr>
          <w:p w14:paraId="19B752E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聚氨酯体系的研制与开发</w:t>
            </w:r>
          </w:p>
        </w:tc>
        <w:tc>
          <w:tcPr>
            <w:tcW w:w="1140" w:type="dxa"/>
            <w:shd w:val="clear" w:color="000000" w:fill="FFFFFF"/>
            <w:vAlign w:val="center"/>
          </w:tcPr>
          <w:p w14:paraId="128C0C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80" w:type="dxa"/>
            <w:shd w:val="clear" w:color="000000" w:fill="FFFFFF"/>
            <w:vAlign w:val="center"/>
          </w:tcPr>
          <w:p w14:paraId="5D62A50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884" w:type="dxa"/>
            <w:gridSpan w:val="2"/>
            <w:shd w:val="clear" w:color="000000" w:fill="FFFFFF"/>
            <w:vAlign w:val="center"/>
          </w:tcPr>
          <w:p w14:paraId="71A0815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w:t>
            </w:r>
          </w:p>
        </w:tc>
        <w:tc>
          <w:tcPr>
            <w:tcW w:w="1296" w:type="dxa"/>
            <w:gridSpan w:val="2"/>
            <w:shd w:val="clear" w:color="000000" w:fill="FFFFFF"/>
            <w:vAlign w:val="center"/>
          </w:tcPr>
          <w:p w14:paraId="75FB1AA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287" w:type="dxa"/>
            <w:gridSpan w:val="2"/>
            <w:vMerge w:val="restart"/>
            <w:shd w:val="clear" w:color="000000" w:fill="FFFFFF"/>
            <w:vAlign w:val="center"/>
          </w:tcPr>
          <w:p w14:paraId="2ED8E997">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rPr>
              <w:t>985、211院校毕业博士生，具有良好的化学合成、高分子材料等研究基础</w:t>
            </w:r>
          </w:p>
        </w:tc>
      </w:tr>
      <w:tr w14:paraId="0B7A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43" w:type="dxa"/>
            <w:gridSpan w:val="2"/>
            <w:shd w:val="clear" w:color="000000" w:fill="FFFFFF"/>
            <w:noWrap/>
            <w:vAlign w:val="center"/>
          </w:tcPr>
          <w:p w14:paraId="1C330D1E">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rPr>
              <w:t>系列特种助剂的研制与开发</w:t>
            </w:r>
          </w:p>
        </w:tc>
        <w:tc>
          <w:tcPr>
            <w:tcW w:w="1140" w:type="dxa"/>
            <w:shd w:val="clear" w:color="000000" w:fill="FFFFFF"/>
            <w:vAlign w:val="center"/>
          </w:tcPr>
          <w:p w14:paraId="12D82A8E">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rPr>
              <w:t>1</w:t>
            </w:r>
          </w:p>
        </w:tc>
        <w:tc>
          <w:tcPr>
            <w:tcW w:w="1080" w:type="dxa"/>
            <w:shd w:val="clear" w:color="000000" w:fill="FFFFFF"/>
            <w:vAlign w:val="center"/>
          </w:tcPr>
          <w:p w14:paraId="7790FD46">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kern w:val="0"/>
                <w:sz w:val="21"/>
                <w:szCs w:val="21"/>
              </w:rPr>
              <w:t>BSH002</w:t>
            </w:r>
          </w:p>
        </w:tc>
        <w:tc>
          <w:tcPr>
            <w:tcW w:w="1884" w:type="dxa"/>
            <w:gridSpan w:val="2"/>
            <w:shd w:val="clear" w:color="000000" w:fill="FFFFFF"/>
            <w:vAlign w:val="center"/>
          </w:tcPr>
          <w:p w14:paraId="2C97F7BB">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rPr>
              <w:t>化学</w:t>
            </w:r>
          </w:p>
        </w:tc>
        <w:tc>
          <w:tcPr>
            <w:tcW w:w="1296" w:type="dxa"/>
            <w:gridSpan w:val="2"/>
            <w:shd w:val="clear" w:color="000000" w:fill="FFFFFF"/>
            <w:vAlign w:val="center"/>
          </w:tcPr>
          <w:p w14:paraId="4839FA60">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rPr>
              <w:t>200</w:t>
            </w:r>
          </w:p>
        </w:tc>
        <w:tc>
          <w:tcPr>
            <w:tcW w:w="2287" w:type="dxa"/>
            <w:gridSpan w:val="2"/>
            <w:vMerge w:val="continue"/>
            <w:shd w:val="clear" w:color="000000" w:fill="FFFFFF"/>
            <w:vAlign w:val="center"/>
          </w:tcPr>
          <w:p w14:paraId="48F832B2">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r>
    </w:tbl>
    <w:p w14:paraId="1BE3533A">
      <w:pPr>
        <w:pStyle w:val="5"/>
        <w:adjustRightInd w:val="0"/>
        <w:snapToGrid w:val="0"/>
        <w:spacing w:line="240" w:lineRule="auto"/>
        <w:ind w:firstLine="0"/>
        <w:jc w:val="center"/>
        <w:rPr>
          <w:rFonts w:eastAsia="方正小标宋简体"/>
          <w:sz w:val="44"/>
          <w:szCs w:val="44"/>
        </w:rPr>
      </w:pPr>
    </w:p>
    <w:p w14:paraId="1987C70E">
      <w:pPr>
        <w:pStyle w:val="5"/>
        <w:adjustRightInd w:val="0"/>
        <w:snapToGrid w:val="0"/>
        <w:spacing w:line="240" w:lineRule="auto"/>
        <w:ind w:firstLine="0"/>
        <w:jc w:val="center"/>
        <w:outlineLvl w:val="0"/>
        <w:rPr>
          <w:rFonts w:eastAsia="方正小标宋简体"/>
          <w:sz w:val="44"/>
          <w:szCs w:val="44"/>
        </w:rPr>
      </w:pPr>
      <w:bookmarkStart w:id="177" w:name="_Toc3632"/>
      <w:bookmarkStart w:id="178" w:name="_Toc5894"/>
      <w:bookmarkStart w:id="179" w:name="_Toc11475"/>
      <w:bookmarkStart w:id="180" w:name="_Toc31598"/>
      <w:bookmarkStart w:id="181" w:name="_Toc30716"/>
      <w:r>
        <w:rPr>
          <w:rFonts w:hint="eastAsia" w:eastAsia="方正小标宋简体"/>
          <w:sz w:val="44"/>
          <w:szCs w:val="44"/>
          <w:highlight w:val="none"/>
        </w:rPr>
        <w:t>成都航天通信设备有限责任公司</w:t>
      </w:r>
      <w:bookmarkEnd w:id="177"/>
      <w:bookmarkEnd w:id="178"/>
      <w:bookmarkEnd w:id="179"/>
      <w:bookmarkEnd w:id="180"/>
      <w:bookmarkEnd w:id="181"/>
    </w:p>
    <w:p w14:paraId="171CFA89">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466"/>
        <w:gridCol w:w="1079"/>
        <w:gridCol w:w="473"/>
        <w:gridCol w:w="1524"/>
      </w:tblGrid>
      <w:tr w14:paraId="4815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3D6A49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02089A8F">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40" w:type="dxa"/>
            <w:gridSpan w:val="2"/>
            <w:shd w:val="clear" w:color="auto" w:fill="E7E6E6" w:themeFill="background2"/>
            <w:noWrap/>
            <w:vAlign w:val="center"/>
          </w:tcPr>
          <w:p w14:paraId="78B6F47E">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3552001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1ACBF63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35E4A2A6">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F50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6E76766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74B158EB">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四川省成都市东三环二段龙潭工业园航天路19号</w:t>
            </w:r>
          </w:p>
        </w:tc>
      </w:tr>
      <w:tr w14:paraId="271F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2" w:hRule="atLeast"/>
          <w:jc w:val="center"/>
        </w:trPr>
        <w:tc>
          <w:tcPr>
            <w:tcW w:w="1344" w:type="dxa"/>
            <w:shd w:val="clear" w:color="auto" w:fill="E7E6E6" w:themeFill="background2"/>
            <w:noWrap/>
            <w:vAlign w:val="center"/>
          </w:tcPr>
          <w:p w14:paraId="53A8906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6A1BD0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航天通信设备有限责任公司隶属于中国航天科工集团有限公司，公司始建于上世纪五十年代，是国家“一五”时期苏联援建的156项重点军工企业之一。公司在航空通信导航、航天通信、地面指挥通信、应急指挥通信、通信线路巡检抢修车及伴随维修保障车集成等具有雄厚设计能力，产品覆盖机载、车载、弹载、星载、单兵及民用航空应急救援等多个领域。公司正式员工600余人，其中大学本科及以上366人，副高级及以上职称67人，享受国务院政府特殊津贴2人，四川省学术技术带头人1人，中国航天基金奖6人。</w:t>
            </w:r>
          </w:p>
        </w:tc>
      </w:tr>
      <w:tr w14:paraId="7BEF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1344" w:type="dxa"/>
            <w:shd w:val="clear" w:color="auto" w:fill="E7E6E6" w:themeFill="background2"/>
            <w:noWrap/>
            <w:vAlign w:val="center"/>
          </w:tcPr>
          <w:p w14:paraId="3B7110A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533BE7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1.博士后研究人员在博士后工作站工作期限一般为两年至三年，兼顾公司和博士后工作站工作。</w:t>
            </w:r>
          </w:p>
          <w:p w14:paraId="408D1E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2.进入公司博士后工作站博士后研究人员日常经费标准每人每年不低于18万元（含省市补贴8万元），用于博士后在公司期间的工资福利待遇开支。</w:t>
            </w:r>
          </w:p>
          <w:p w14:paraId="410692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lang w:val="en-US" w:eastAsia="zh-CN"/>
              </w:rPr>
              <w:t>3.</w:t>
            </w:r>
            <w:r>
              <w:rPr>
                <w:rFonts w:hint="eastAsia" w:eastAsiaTheme="minorEastAsia"/>
                <w:sz w:val="21"/>
                <w:szCs w:val="21"/>
              </w:rPr>
              <w:t>博士后可按成都市或者《中国航天科工集团有限公司职称评审管理办法》具体要求参加职称评审。</w:t>
            </w:r>
          </w:p>
        </w:tc>
      </w:tr>
      <w:tr w14:paraId="06C0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3630C6B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6C35D7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0EA8A3A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auto" w:fill="E7E6E6" w:themeFill="background2"/>
            <w:vAlign w:val="center"/>
          </w:tcPr>
          <w:p w14:paraId="05D0202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0C1306F">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7219A0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F2A75FD">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auto" w:fill="E7E6E6" w:themeFill="background2"/>
            <w:vAlign w:val="center"/>
          </w:tcPr>
          <w:p w14:paraId="6B4FE0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9CD5527">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3812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auto"/>
            <w:noWrap/>
            <w:vAlign w:val="center"/>
          </w:tcPr>
          <w:p w14:paraId="2B53B986">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eastAsia="zh-CN"/>
              </w:rPr>
              <w:t>移动自组网协议栈设计</w:t>
            </w:r>
          </w:p>
        </w:tc>
        <w:tc>
          <w:tcPr>
            <w:tcW w:w="1116" w:type="dxa"/>
            <w:gridSpan w:val="2"/>
            <w:shd w:val="clear" w:color="auto" w:fill="auto"/>
            <w:vAlign w:val="center"/>
          </w:tcPr>
          <w:p w14:paraId="3BF17A5D">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17B25FEC">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BSH001</w:t>
            </w:r>
          </w:p>
        </w:tc>
        <w:tc>
          <w:tcPr>
            <w:tcW w:w="1740" w:type="dxa"/>
            <w:gridSpan w:val="2"/>
            <w:shd w:val="clear" w:color="auto" w:fill="auto"/>
            <w:vAlign w:val="center"/>
          </w:tcPr>
          <w:p w14:paraId="6D135B5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eastAsia="zh-CN"/>
              </w:rPr>
              <w:t>电子与通信技术</w:t>
            </w:r>
          </w:p>
        </w:tc>
        <w:tc>
          <w:tcPr>
            <w:tcW w:w="1536" w:type="dxa"/>
            <w:gridSpan w:val="2"/>
            <w:vMerge w:val="restart"/>
            <w:shd w:val="clear" w:color="auto" w:fill="auto"/>
            <w:vAlign w:val="center"/>
          </w:tcPr>
          <w:p w14:paraId="1126045D">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薪酬待遇</w:t>
            </w:r>
            <w:r>
              <w:rPr>
                <w:rFonts w:hint="default" w:ascii="Times New Roman" w:hAnsi="Times New Roman" w:cs="Times New Roman" w:eastAsiaTheme="minorEastAsia"/>
                <w:sz w:val="21"/>
                <w:szCs w:val="21"/>
                <w:lang w:eastAsia="zh-CN"/>
              </w:rPr>
              <w:t>为</w:t>
            </w:r>
            <w:r>
              <w:rPr>
                <w:rFonts w:hint="default" w:ascii="Times New Roman" w:hAnsi="Times New Roman" w:cs="Times New Roman" w:eastAsiaTheme="minorEastAsia"/>
                <w:sz w:val="21"/>
                <w:szCs w:val="21"/>
                <w:lang w:val="en-US" w:eastAsia="zh-CN"/>
              </w:rPr>
              <w:t>18-35</w:t>
            </w:r>
            <w:r>
              <w:rPr>
                <w:rFonts w:hint="default" w:ascii="Times New Roman" w:hAnsi="Times New Roman" w:cs="Times New Roman" w:eastAsiaTheme="minorEastAsia"/>
                <w:sz w:val="21"/>
                <w:szCs w:val="21"/>
              </w:rPr>
              <w:t>万元/年，日常学术经费、申请专业技术职务任职资格政策等。</w:t>
            </w:r>
          </w:p>
        </w:tc>
        <w:tc>
          <w:tcPr>
            <w:tcW w:w="1509" w:type="dxa"/>
            <w:vMerge w:val="restart"/>
            <w:shd w:val="clear" w:color="auto" w:fill="auto"/>
            <w:vAlign w:val="center"/>
          </w:tcPr>
          <w:p w14:paraId="23E8922A">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211及以上学校</w:t>
            </w:r>
          </w:p>
        </w:tc>
      </w:tr>
      <w:tr w14:paraId="70E1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auto"/>
            <w:noWrap/>
            <w:vAlign w:val="center"/>
          </w:tcPr>
          <w:p w14:paraId="7F736255">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eastAsia="zh-CN"/>
              </w:rPr>
              <w:t>高动态场景宽带抗干扰</w:t>
            </w:r>
            <w:r>
              <w:rPr>
                <w:rFonts w:hint="default" w:ascii="Times New Roman" w:hAnsi="Times New Roman" w:cs="Times New Roman" w:eastAsiaTheme="minorEastAsia"/>
                <w:sz w:val="21"/>
                <w:szCs w:val="21"/>
                <w:lang w:val="en-US" w:eastAsia="zh-CN"/>
              </w:rPr>
              <w:t>无线传输体制设计</w:t>
            </w:r>
          </w:p>
        </w:tc>
        <w:tc>
          <w:tcPr>
            <w:tcW w:w="1116" w:type="dxa"/>
            <w:gridSpan w:val="2"/>
            <w:shd w:val="clear" w:color="auto" w:fill="auto"/>
            <w:vAlign w:val="center"/>
          </w:tcPr>
          <w:p w14:paraId="0D55CA5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4092E05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BSH002</w:t>
            </w:r>
          </w:p>
        </w:tc>
        <w:tc>
          <w:tcPr>
            <w:tcW w:w="1740" w:type="dxa"/>
            <w:gridSpan w:val="2"/>
            <w:shd w:val="clear" w:color="auto" w:fill="auto"/>
            <w:vAlign w:val="center"/>
          </w:tcPr>
          <w:p w14:paraId="6E58D48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eastAsia="zh-CN"/>
              </w:rPr>
              <w:t>电子与通信技术</w:t>
            </w:r>
          </w:p>
        </w:tc>
        <w:tc>
          <w:tcPr>
            <w:tcW w:w="1536" w:type="dxa"/>
            <w:gridSpan w:val="2"/>
            <w:vMerge w:val="continue"/>
            <w:shd w:val="clear" w:color="auto" w:fill="auto"/>
            <w:vAlign w:val="center"/>
          </w:tcPr>
          <w:p w14:paraId="2F4DC4F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c>
          <w:tcPr>
            <w:tcW w:w="1509" w:type="dxa"/>
            <w:vMerge w:val="continue"/>
            <w:shd w:val="clear" w:color="auto" w:fill="auto"/>
            <w:vAlign w:val="center"/>
          </w:tcPr>
          <w:p w14:paraId="337181A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r>
    </w:tbl>
    <w:p w14:paraId="22AB79F0">
      <w:pPr>
        <w:pStyle w:val="5"/>
        <w:adjustRightInd w:val="0"/>
        <w:snapToGrid w:val="0"/>
        <w:spacing w:line="240" w:lineRule="auto"/>
        <w:ind w:firstLine="0"/>
        <w:jc w:val="center"/>
        <w:rPr>
          <w:rFonts w:eastAsia="方正小标宋简体"/>
          <w:sz w:val="44"/>
          <w:szCs w:val="44"/>
        </w:rPr>
      </w:pPr>
    </w:p>
    <w:p w14:paraId="2815A392">
      <w:pPr>
        <w:pStyle w:val="5"/>
        <w:adjustRightInd w:val="0"/>
        <w:snapToGrid w:val="0"/>
        <w:spacing w:line="240" w:lineRule="auto"/>
        <w:ind w:firstLine="0"/>
        <w:jc w:val="center"/>
        <w:rPr>
          <w:rFonts w:eastAsia="方正小标宋简体"/>
          <w:sz w:val="44"/>
          <w:szCs w:val="44"/>
          <w:highlight w:val="yellow"/>
        </w:rPr>
      </w:pPr>
    </w:p>
    <w:p w14:paraId="56530551">
      <w:pPr>
        <w:pStyle w:val="5"/>
        <w:adjustRightInd w:val="0"/>
        <w:snapToGrid w:val="0"/>
        <w:spacing w:line="240" w:lineRule="auto"/>
        <w:ind w:firstLine="0"/>
        <w:jc w:val="center"/>
        <w:rPr>
          <w:rFonts w:hint="eastAsia" w:eastAsia="方正小标宋简体"/>
          <w:sz w:val="44"/>
          <w:szCs w:val="44"/>
          <w:highlight w:val="yellow"/>
        </w:rPr>
      </w:pPr>
    </w:p>
    <w:p w14:paraId="2094E1FD">
      <w:pPr>
        <w:pStyle w:val="5"/>
        <w:adjustRightInd w:val="0"/>
        <w:snapToGrid w:val="0"/>
        <w:spacing w:line="240" w:lineRule="auto"/>
        <w:ind w:firstLine="0"/>
        <w:jc w:val="center"/>
        <w:outlineLvl w:val="0"/>
        <w:rPr>
          <w:rFonts w:eastAsia="方正小标宋简体"/>
          <w:sz w:val="44"/>
          <w:szCs w:val="44"/>
        </w:rPr>
      </w:pPr>
      <w:bookmarkStart w:id="182" w:name="_Toc28532"/>
      <w:bookmarkStart w:id="183" w:name="_Toc32701"/>
      <w:bookmarkStart w:id="184" w:name="_Toc14731"/>
      <w:bookmarkStart w:id="185" w:name="_Toc5168"/>
      <w:bookmarkStart w:id="186" w:name="_Toc30523"/>
      <w:r>
        <w:rPr>
          <w:rFonts w:hint="eastAsia" w:eastAsia="方正小标宋简体"/>
          <w:sz w:val="44"/>
          <w:szCs w:val="44"/>
          <w:highlight w:val="none"/>
        </w:rPr>
        <w:t>成都华西海圻医药科技有限公司</w:t>
      </w:r>
      <w:bookmarkEnd w:id="182"/>
      <w:bookmarkEnd w:id="183"/>
      <w:bookmarkEnd w:id="184"/>
      <w:bookmarkEnd w:id="185"/>
      <w:bookmarkEnd w:id="186"/>
    </w:p>
    <w:p w14:paraId="3779635E">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941"/>
        <w:gridCol w:w="618"/>
        <w:gridCol w:w="524"/>
        <w:gridCol w:w="1154"/>
        <w:gridCol w:w="1626"/>
        <w:gridCol w:w="228"/>
        <w:gridCol w:w="1336"/>
        <w:gridCol w:w="100"/>
        <w:gridCol w:w="1924"/>
      </w:tblGrid>
      <w:tr w14:paraId="4F4E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8BFE7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586BF318">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其他</w:t>
            </w:r>
          </w:p>
        </w:tc>
        <w:tc>
          <w:tcPr>
            <w:tcW w:w="1640" w:type="dxa"/>
            <w:gridSpan w:val="2"/>
            <w:shd w:val="clear" w:color="auto" w:fill="E7E6E6" w:themeFill="background2"/>
            <w:noWrap/>
            <w:vAlign w:val="center"/>
          </w:tcPr>
          <w:p w14:paraId="653AB5D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2E83985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066F732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43B58A9C">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8C7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4BFE6D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16DED441">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四川省成都市高新区高朋大道28号</w:t>
            </w:r>
          </w:p>
        </w:tc>
      </w:tr>
      <w:tr w14:paraId="29FB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1271" w:type="dxa"/>
            <w:shd w:val="clear" w:color="auto" w:fill="E7E6E6" w:themeFill="background2"/>
            <w:noWrap/>
            <w:vAlign w:val="center"/>
          </w:tcPr>
          <w:p w14:paraId="73CE0FA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DDA8E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华西海圻医药科技有限公司（国家成都新药安全性评价中心）是国家批准的国家级GLP中心之一，成立于2000年2月，由四川大学华西医院牵头投资建设，系国有控股企业，累计投资超10亿元。公司现有设施规模8.1万平米，是全国单地最大的实验动物设施，是目前为止部署在我国中西部、西南部唯一一个国家级药物安全性评价中心，国家“1035”工程GLP平台建设标志性成果、“863”计划及国家重大新药创制试点示范基地（GLP）平台建设项目。</w:t>
            </w:r>
          </w:p>
        </w:tc>
      </w:tr>
      <w:tr w14:paraId="685D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9" w:hRule="atLeast"/>
          <w:jc w:val="center"/>
        </w:trPr>
        <w:tc>
          <w:tcPr>
            <w:tcW w:w="1271" w:type="dxa"/>
            <w:shd w:val="clear" w:color="auto" w:fill="E7E6E6" w:themeFill="background2"/>
            <w:noWrap/>
            <w:vAlign w:val="center"/>
          </w:tcPr>
          <w:p w14:paraId="6C72D11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10B9DA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面向社会公开招收博士后人员。对申请者的科研能力、学术水平、已取得的科研成果及综合素养等方面进行严格审核，采用考核、考试、答辩等形式择优招收。</w:t>
            </w:r>
          </w:p>
          <w:p w14:paraId="408BAC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博士后人员在本司所从事的研究工作应围绕公司及行业的研究热点、技术难点、新技术新方法建立等范畴开展。</w:t>
            </w:r>
          </w:p>
          <w:p w14:paraId="6C1E76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博士后在站期间，视其研究工作的进展、工作表现等情况支付薪酬与补贴。在考核的基础上将对表现突出的博士后进行表彰和奖励。</w:t>
            </w:r>
          </w:p>
        </w:tc>
      </w:tr>
      <w:tr w14:paraId="7B57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191" w:type="dxa"/>
            <w:gridSpan w:val="2"/>
            <w:shd w:val="clear" w:color="auto" w:fill="E7E6E6" w:themeFill="background2"/>
            <w:noWrap/>
            <w:vAlign w:val="center"/>
          </w:tcPr>
          <w:p w14:paraId="048FCC3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7BEBEF3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28" w:type="dxa"/>
            <w:shd w:val="clear" w:color="auto" w:fill="E7E6E6" w:themeFill="background2"/>
            <w:vAlign w:val="center"/>
          </w:tcPr>
          <w:p w14:paraId="321769D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812" w:type="dxa"/>
            <w:gridSpan w:val="2"/>
            <w:shd w:val="clear" w:color="auto" w:fill="E7E6E6" w:themeFill="background2"/>
            <w:vAlign w:val="center"/>
          </w:tcPr>
          <w:p w14:paraId="03AD111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8378F2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04" w:type="dxa"/>
            <w:gridSpan w:val="2"/>
            <w:shd w:val="clear" w:color="auto" w:fill="E7E6E6" w:themeFill="background2"/>
            <w:vAlign w:val="center"/>
          </w:tcPr>
          <w:p w14:paraId="0905641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814E1E7">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79" w:type="dxa"/>
            <w:shd w:val="clear" w:color="auto" w:fill="E7E6E6" w:themeFill="background2"/>
            <w:vAlign w:val="center"/>
          </w:tcPr>
          <w:p w14:paraId="7E13F29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EE251D3">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2654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1" w:type="dxa"/>
            <w:gridSpan w:val="2"/>
            <w:shd w:val="clear" w:color="000000" w:fill="FFFFFF"/>
            <w:noWrap/>
            <w:vAlign w:val="center"/>
          </w:tcPr>
          <w:p w14:paraId="43C9F13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细胞与免疫学技术及应用创新体系</w:t>
            </w:r>
          </w:p>
        </w:tc>
        <w:tc>
          <w:tcPr>
            <w:tcW w:w="1116" w:type="dxa"/>
            <w:gridSpan w:val="2"/>
            <w:shd w:val="clear" w:color="000000" w:fill="FFFFFF"/>
            <w:vAlign w:val="center"/>
          </w:tcPr>
          <w:p w14:paraId="7D8EF3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8" w:type="dxa"/>
            <w:shd w:val="clear" w:color="000000" w:fill="FFFFFF"/>
            <w:vAlign w:val="center"/>
          </w:tcPr>
          <w:p w14:paraId="6720F68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812" w:type="dxa"/>
            <w:gridSpan w:val="2"/>
            <w:shd w:val="clear" w:color="000000" w:fill="FFFFFF"/>
            <w:vAlign w:val="center"/>
          </w:tcPr>
          <w:p w14:paraId="4C9FD9C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细胞生物学相关</w:t>
            </w:r>
          </w:p>
        </w:tc>
        <w:tc>
          <w:tcPr>
            <w:tcW w:w="1404" w:type="dxa"/>
            <w:gridSpan w:val="2"/>
            <w:shd w:val="clear" w:color="000000" w:fill="FFFFFF"/>
            <w:vAlign w:val="center"/>
          </w:tcPr>
          <w:p w14:paraId="1D13EBD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25-30万元</w:t>
            </w:r>
          </w:p>
        </w:tc>
        <w:tc>
          <w:tcPr>
            <w:tcW w:w="1879" w:type="dxa"/>
            <w:vMerge w:val="restart"/>
            <w:shd w:val="clear" w:color="000000" w:fill="FFFFFF"/>
            <w:vAlign w:val="center"/>
          </w:tcPr>
          <w:p w14:paraId="254DDA8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985、211双一流大学</w:t>
            </w:r>
          </w:p>
        </w:tc>
      </w:tr>
      <w:tr w14:paraId="3A3A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1" w:type="dxa"/>
            <w:gridSpan w:val="2"/>
            <w:shd w:val="clear" w:color="000000" w:fill="FFFFFF"/>
            <w:noWrap/>
            <w:vAlign w:val="center"/>
          </w:tcPr>
          <w:p w14:paraId="2797B0B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病理诊断非临床研究评价创新体系</w:t>
            </w:r>
          </w:p>
        </w:tc>
        <w:tc>
          <w:tcPr>
            <w:tcW w:w="1116" w:type="dxa"/>
            <w:gridSpan w:val="2"/>
            <w:shd w:val="clear" w:color="000000" w:fill="FFFFFF"/>
            <w:vAlign w:val="center"/>
          </w:tcPr>
          <w:p w14:paraId="15CDB18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8" w:type="dxa"/>
            <w:shd w:val="clear" w:color="000000" w:fill="FFFFFF"/>
            <w:vAlign w:val="center"/>
          </w:tcPr>
          <w:p w14:paraId="3DB8E9F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812" w:type="dxa"/>
            <w:gridSpan w:val="2"/>
            <w:shd w:val="clear" w:color="000000" w:fill="FFFFFF"/>
            <w:vAlign w:val="center"/>
          </w:tcPr>
          <w:p w14:paraId="0248AEF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病理学相关</w:t>
            </w:r>
          </w:p>
        </w:tc>
        <w:tc>
          <w:tcPr>
            <w:tcW w:w="1404" w:type="dxa"/>
            <w:gridSpan w:val="2"/>
            <w:shd w:val="clear" w:color="000000" w:fill="FFFFFF"/>
            <w:vAlign w:val="center"/>
          </w:tcPr>
          <w:p w14:paraId="35C6DB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25-30万元</w:t>
            </w:r>
          </w:p>
        </w:tc>
        <w:tc>
          <w:tcPr>
            <w:tcW w:w="1879" w:type="dxa"/>
            <w:vMerge w:val="continue"/>
            <w:shd w:val="clear" w:color="000000" w:fill="FFFFFF"/>
            <w:vAlign w:val="center"/>
          </w:tcPr>
          <w:p w14:paraId="520179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E97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1" w:type="dxa"/>
            <w:gridSpan w:val="2"/>
            <w:shd w:val="clear" w:color="000000" w:fill="FFFFFF"/>
            <w:noWrap/>
            <w:vAlign w:val="center"/>
          </w:tcPr>
          <w:p w14:paraId="7B7A758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毒理非临床研究评价创新体系</w:t>
            </w:r>
          </w:p>
        </w:tc>
        <w:tc>
          <w:tcPr>
            <w:tcW w:w="1116" w:type="dxa"/>
            <w:gridSpan w:val="2"/>
            <w:shd w:val="clear" w:color="000000" w:fill="FFFFFF"/>
            <w:vAlign w:val="center"/>
          </w:tcPr>
          <w:p w14:paraId="46B6524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8" w:type="dxa"/>
            <w:shd w:val="clear" w:color="000000" w:fill="FFFFFF"/>
            <w:vAlign w:val="center"/>
          </w:tcPr>
          <w:p w14:paraId="48E9699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812" w:type="dxa"/>
            <w:gridSpan w:val="2"/>
            <w:shd w:val="clear" w:color="000000" w:fill="FFFFFF"/>
            <w:vAlign w:val="center"/>
          </w:tcPr>
          <w:p w14:paraId="580812B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毒理学相关</w:t>
            </w:r>
          </w:p>
        </w:tc>
        <w:tc>
          <w:tcPr>
            <w:tcW w:w="1404" w:type="dxa"/>
            <w:gridSpan w:val="2"/>
            <w:shd w:val="clear" w:color="000000" w:fill="FFFFFF"/>
            <w:vAlign w:val="center"/>
          </w:tcPr>
          <w:p w14:paraId="3C0079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25-30万元</w:t>
            </w:r>
          </w:p>
        </w:tc>
        <w:tc>
          <w:tcPr>
            <w:tcW w:w="1879" w:type="dxa"/>
            <w:vMerge w:val="continue"/>
            <w:shd w:val="clear" w:color="000000" w:fill="FFFFFF"/>
            <w:vAlign w:val="center"/>
          </w:tcPr>
          <w:p w14:paraId="395BD43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5572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1" w:type="dxa"/>
            <w:gridSpan w:val="2"/>
            <w:shd w:val="clear" w:color="000000" w:fill="FFFFFF"/>
            <w:noWrap/>
            <w:vAlign w:val="center"/>
          </w:tcPr>
          <w:p w14:paraId="71D29EE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药代动力学、生物分析非临床研究评价创新体系</w:t>
            </w:r>
          </w:p>
        </w:tc>
        <w:tc>
          <w:tcPr>
            <w:tcW w:w="1116" w:type="dxa"/>
            <w:gridSpan w:val="2"/>
            <w:shd w:val="clear" w:color="000000" w:fill="FFFFFF"/>
            <w:vAlign w:val="center"/>
          </w:tcPr>
          <w:p w14:paraId="02C25F1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28" w:type="dxa"/>
            <w:shd w:val="clear" w:color="000000" w:fill="FFFFFF"/>
            <w:vAlign w:val="center"/>
          </w:tcPr>
          <w:p w14:paraId="76C632B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BSH004</w:t>
            </w:r>
          </w:p>
        </w:tc>
        <w:tc>
          <w:tcPr>
            <w:tcW w:w="1812" w:type="dxa"/>
            <w:gridSpan w:val="2"/>
            <w:shd w:val="clear" w:color="000000" w:fill="FFFFFF"/>
            <w:vAlign w:val="center"/>
          </w:tcPr>
          <w:p w14:paraId="10A69E4E">
            <w:pPr>
              <w:adjustRightInd w:val="0"/>
              <w:snapToGrid w:val="0"/>
              <w:spacing w:line="240"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药学、生物分析相关</w:t>
            </w:r>
          </w:p>
        </w:tc>
        <w:tc>
          <w:tcPr>
            <w:tcW w:w="1404" w:type="dxa"/>
            <w:gridSpan w:val="2"/>
            <w:shd w:val="clear" w:color="000000" w:fill="FFFFFF"/>
            <w:vAlign w:val="center"/>
          </w:tcPr>
          <w:p w14:paraId="564860F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25-30万元</w:t>
            </w:r>
          </w:p>
        </w:tc>
        <w:tc>
          <w:tcPr>
            <w:tcW w:w="1879" w:type="dxa"/>
            <w:vMerge w:val="continue"/>
            <w:shd w:val="clear" w:color="000000" w:fill="FFFFFF"/>
            <w:vAlign w:val="center"/>
          </w:tcPr>
          <w:p w14:paraId="06A344C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172487AB">
      <w:pPr>
        <w:pStyle w:val="5"/>
        <w:adjustRightInd w:val="0"/>
        <w:snapToGrid w:val="0"/>
        <w:spacing w:line="240" w:lineRule="auto"/>
        <w:ind w:firstLine="0"/>
        <w:jc w:val="center"/>
        <w:rPr>
          <w:rFonts w:eastAsia="方正小标宋简体"/>
          <w:sz w:val="44"/>
          <w:szCs w:val="44"/>
          <w:highlight w:val="yellow"/>
        </w:rPr>
      </w:pPr>
    </w:p>
    <w:p w14:paraId="55D17325">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187" w:name="_Toc21242"/>
      <w:bookmarkStart w:id="188" w:name="_Toc4542"/>
      <w:bookmarkStart w:id="189" w:name="_Toc390"/>
      <w:bookmarkStart w:id="190" w:name="_Toc13088"/>
      <w:bookmarkStart w:id="191" w:name="_Toc21548"/>
      <w:r>
        <w:rPr>
          <w:rFonts w:hint="eastAsia" w:eastAsia="方正小标宋简体"/>
          <w:sz w:val="44"/>
          <w:szCs w:val="44"/>
          <w:highlight w:val="none"/>
        </w:rPr>
        <w:t>成都劳恩普斯科技有限公司</w:t>
      </w:r>
      <w:bookmarkEnd w:id="187"/>
      <w:bookmarkEnd w:id="188"/>
      <w:bookmarkEnd w:id="189"/>
      <w:bookmarkEnd w:id="190"/>
      <w:bookmarkEnd w:id="191"/>
    </w:p>
    <w:p w14:paraId="0B8E2B74">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66"/>
        <w:gridCol w:w="693"/>
        <w:gridCol w:w="560"/>
        <w:gridCol w:w="1120"/>
        <w:gridCol w:w="1627"/>
        <w:gridCol w:w="312"/>
        <w:gridCol w:w="1253"/>
        <w:gridCol w:w="160"/>
        <w:gridCol w:w="1859"/>
      </w:tblGrid>
      <w:tr w14:paraId="4956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F054B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5B6D9BAD">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民营</w:t>
            </w:r>
            <w:r>
              <w:rPr>
                <w:rFonts w:eastAsiaTheme="minorEastAsia"/>
                <w:sz w:val="21"/>
                <w:szCs w:val="21"/>
              </w:rPr>
              <w:t>企业</w:t>
            </w:r>
          </w:p>
        </w:tc>
        <w:tc>
          <w:tcPr>
            <w:tcW w:w="1641" w:type="dxa"/>
            <w:gridSpan w:val="2"/>
            <w:shd w:val="clear" w:color="auto" w:fill="E7E6E6" w:themeFill="background2"/>
            <w:noWrap/>
            <w:vAlign w:val="center"/>
          </w:tcPr>
          <w:p w14:paraId="38BAFA7E">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7440E1E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7097A39">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1EB2EE8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0DA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E1DA80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405F8998">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成都市锦江区永安路666号艺尚锦江7号楼18层</w:t>
            </w:r>
          </w:p>
        </w:tc>
      </w:tr>
      <w:tr w14:paraId="73A0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2" w:hRule="atLeast"/>
          <w:jc w:val="center"/>
        </w:trPr>
        <w:tc>
          <w:tcPr>
            <w:tcW w:w="1271" w:type="dxa"/>
            <w:shd w:val="clear" w:color="auto" w:fill="E7E6E6" w:themeFill="background2"/>
            <w:noWrap/>
            <w:vAlign w:val="center"/>
          </w:tcPr>
          <w:p w14:paraId="6E20AC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04C73AB3">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成都劳恩普斯科技有限公司（以下简称“公司”）由国家科技创业领军人才任山博士于2014年12月创办于成都市高新区，是一家由昆仑工融基金、四川发展集团、成都市产业投资集团等领投的国家级专精特新“小巨人”企业，国家知识产权优势企业、四川省瞪羚企业。公司聚焦“油气增产”赛道，致力于致密油气、页岩油气、煤层气等非常规油气开采关键技术创新研究及工业化应用，专业提供油田化学品和增产解决方案，旨在通过产品和技术创新，推动中国非常规油气资源的有效动用。</w:t>
            </w:r>
          </w:p>
          <w:p w14:paraId="0C44B9B3">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持续的研发投入使公司逐渐形成了以酸化、压裂、腐蚀防护、采油气为核心的四大增产技术系列，近30项特色产品/技术，并广泛应用于中石油、中石化、中海油的各大油气田。通过帮助油气田客户获得商业成功，实现了持续盈利和跨越式成长。</w:t>
            </w:r>
          </w:p>
        </w:tc>
      </w:tr>
      <w:tr w14:paraId="4798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1271" w:type="dxa"/>
            <w:shd w:val="clear" w:color="auto" w:fill="E7E6E6" w:themeFill="background2"/>
            <w:noWrap/>
            <w:vAlign w:val="center"/>
          </w:tcPr>
          <w:p w14:paraId="20EF62A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23DB792F">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为引进博士后提供20万以内的安家补贴，提供独立人才公寓，异地人才每月提供5天探亲假，成立博士工作室，提供专项科研经费，策划博士人才申报省、市、区等各级人才类、科技类政府项目及称号。</w:t>
            </w:r>
          </w:p>
        </w:tc>
      </w:tr>
      <w:tr w14:paraId="113B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17" w:type="dxa"/>
            <w:gridSpan w:val="2"/>
            <w:shd w:val="clear" w:color="auto" w:fill="E7E6E6" w:themeFill="background2"/>
            <w:noWrap/>
            <w:vAlign w:val="center"/>
          </w:tcPr>
          <w:p w14:paraId="01DCF724">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14:paraId="6E57FA8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14:paraId="2E4E53F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14:paraId="16928BA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D4236C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0" w:type="dxa"/>
            <w:gridSpan w:val="2"/>
            <w:shd w:val="clear" w:color="auto" w:fill="E7E6E6" w:themeFill="background2"/>
            <w:vAlign w:val="center"/>
          </w:tcPr>
          <w:p w14:paraId="7B34EE0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55FD66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5" w:type="dxa"/>
            <w:shd w:val="clear" w:color="auto" w:fill="E7E6E6" w:themeFill="background2"/>
            <w:vAlign w:val="center"/>
          </w:tcPr>
          <w:p w14:paraId="4CE5A75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CF04CE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A3A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223AC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支撑剂高效铺置技术研发及应用</w:t>
            </w:r>
          </w:p>
        </w:tc>
        <w:tc>
          <w:tcPr>
            <w:tcW w:w="1224" w:type="dxa"/>
            <w:gridSpan w:val="2"/>
            <w:shd w:val="clear" w:color="000000" w:fill="FFFFFF"/>
            <w:vAlign w:val="center"/>
          </w:tcPr>
          <w:p w14:paraId="2B020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25A9D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894" w:type="dxa"/>
            <w:gridSpan w:val="2"/>
            <w:shd w:val="clear" w:color="000000" w:fill="FFFFFF"/>
            <w:vAlign w:val="center"/>
          </w:tcPr>
          <w:p w14:paraId="359BE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油气田开发工程</w:t>
            </w:r>
          </w:p>
        </w:tc>
        <w:tc>
          <w:tcPr>
            <w:tcW w:w="1380" w:type="dxa"/>
            <w:gridSpan w:val="2"/>
            <w:shd w:val="clear" w:color="000000" w:fill="FFFFFF"/>
            <w:vAlign w:val="center"/>
          </w:tcPr>
          <w:p w14:paraId="1E8C1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lang w:val="en-US" w:eastAsia="zh-CN"/>
              </w:rPr>
              <w:t>W-</w:t>
            </w:r>
            <w:r>
              <w:rPr>
                <w:rFonts w:hint="eastAsia" w:ascii="Times New Roman" w:hAnsi="Times New Roman" w:cs="Times New Roman" w:eastAsiaTheme="minorEastAsia"/>
                <w:sz w:val="21"/>
                <w:szCs w:val="21"/>
                <w:lang w:val="en-US" w:eastAsia="zh-CN"/>
              </w:rPr>
              <w:t>100</w:t>
            </w:r>
            <w:r>
              <w:rPr>
                <w:rFonts w:hint="default" w:ascii="Times New Roman" w:hAnsi="Times New Roman" w:cs="Times New Roman" w:eastAsiaTheme="minorEastAsia"/>
                <w:sz w:val="21"/>
                <w:szCs w:val="21"/>
                <w:lang w:val="en-US" w:eastAsia="zh-CN"/>
              </w:rPr>
              <w:t>W</w:t>
            </w:r>
            <w:r>
              <w:rPr>
                <w:rFonts w:hint="eastAsia" w:ascii="Times New Roman" w:hAnsi="Times New Roman" w:cs="Times New Roman" w:eastAsiaTheme="minorEastAsia"/>
                <w:sz w:val="21"/>
                <w:szCs w:val="21"/>
                <w:lang w:val="en-US" w:eastAsia="zh-CN"/>
              </w:rPr>
              <w:t>+股权激励</w:t>
            </w:r>
          </w:p>
        </w:tc>
        <w:tc>
          <w:tcPr>
            <w:tcW w:w="1815" w:type="dxa"/>
            <w:shd w:val="clear" w:color="000000" w:fill="FFFFFF"/>
            <w:vAlign w:val="center"/>
          </w:tcPr>
          <w:p w14:paraId="247EA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无特殊要求</w:t>
            </w:r>
          </w:p>
        </w:tc>
      </w:tr>
      <w:tr w14:paraId="7C8C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51D15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采油气增产新技术研发及应用项目</w:t>
            </w:r>
          </w:p>
        </w:tc>
        <w:tc>
          <w:tcPr>
            <w:tcW w:w="1224" w:type="dxa"/>
            <w:gridSpan w:val="2"/>
            <w:shd w:val="clear" w:color="000000" w:fill="FFFFFF"/>
            <w:vAlign w:val="center"/>
          </w:tcPr>
          <w:p w14:paraId="1B973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4330A7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894" w:type="dxa"/>
            <w:gridSpan w:val="2"/>
            <w:shd w:val="clear" w:color="000000" w:fill="FFFFFF"/>
            <w:vAlign w:val="center"/>
          </w:tcPr>
          <w:p w14:paraId="1398B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高分子材料</w:t>
            </w:r>
          </w:p>
        </w:tc>
        <w:tc>
          <w:tcPr>
            <w:tcW w:w="1380" w:type="dxa"/>
            <w:gridSpan w:val="2"/>
            <w:shd w:val="clear" w:color="000000" w:fill="FFFFFF"/>
            <w:vAlign w:val="center"/>
          </w:tcPr>
          <w:p w14:paraId="48EC9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lang w:val="en-US" w:eastAsia="zh-CN"/>
              </w:rPr>
              <w:t>W-</w:t>
            </w:r>
            <w:r>
              <w:rPr>
                <w:rFonts w:hint="eastAsia" w:ascii="Times New Roman" w:hAnsi="Times New Roman" w:cs="Times New Roman" w:eastAsiaTheme="minorEastAsia"/>
                <w:sz w:val="21"/>
                <w:szCs w:val="21"/>
                <w:lang w:val="en-US" w:eastAsia="zh-CN"/>
              </w:rPr>
              <w:t>100</w:t>
            </w:r>
            <w:r>
              <w:rPr>
                <w:rFonts w:hint="default" w:ascii="Times New Roman" w:hAnsi="Times New Roman" w:cs="Times New Roman" w:eastAsiaTheme="minorEastAsia"/>
                <w:sz w:val="21"/>
                <w:szCs w:val="21"/>
                <w:lang w:val="en-US" w:eastAsia="zh-CN"/>
              </w:rPr>
              <w:t>W</w:t>
            </w:r>
            <w:r>
              <w:rPr>
                <w:rFonts w:hint="eastAsia" w:ascii="Times New Roman" w:hAnsi="Times New Roman" w:cs="Times New Roman" w:eastAsiaTheme="minorEastAsia"/>
                <w:sz w:val="21"/>
                <w:szCs w:val="21"/>
                <w:lang w:val="en-US" w:eastAsia="zh-CN"/>
              </w:rPr>
              <w:t>+股权激励</w:t>
            </w:r>
          </w:p>
        </w:tc>
        <w:tc>
          <w:tcPr>
            <w:tcW w:w="1815" w:type="dxa"/>
            <w:shd w:val="clear" w:color="000000" w:fill="FFFFFF"/>
            <w:vAlign w:val="center"/>
          </w:tcPr>
          <w:p w14:paraId="31A22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无特殊要求</w:t>
            </w:r>
          </w:p>
        </w:tc>
      </w:tr>
    </w:tbl>
    <w:p w14:paraId="152E924A">
      <w:pPr>
        <w:pStyle w:val="5"/>
        <w:adjustRightInd w:val="0"/>
        <w:snapToGrid w:val="0"/>
        <w:spacing w:line="240" w:lineRule="auto"/>
        <w:ind w:firstLine="0"/>
        <w:jc w:val="both"/>
        <w:rPr>
          <w:rFonts w:eastAsia="方正小标宋简体"/>
          <w:sz w:val="44"/>
          <w:szCs w:val="44"/>
        </w:rPr>
      </w:pPr>
    </w:p>
    <w:p w14:paraId="2D22A3E4">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6E83585A">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4DCF5715">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192" w:name="_Toc9149"/>
      <w:bookmarkStart w:id="193" w:name="_Toc12238"/>
      <w:bookmarkStart w:id="194" w:name="_Toc21874"/>
      <w:bookmarkStart w:id="195" w:name="_Toc776"/>
      <w:bookmarkStart w:id="196" w:name="_Toc18788"/>
      <w:r>
        <w:rPr>
          <w:rFonts w:hint="eastAsia" w:ascii="Times New Roman" w:hAnsi="Times New Roman" w:eastAsia="方正小标宋简体" w:cs="Times New Roman"/>
          <w:sz w:val="44"/>
          <w:szCs w:val="44"/>
          <w:highlight w:val="none"/>
        </w:rPr>
        <w:t>成都千嘉科技股份有限公司</w:t>
      </w:r>
      <w:bookmarkEnd w:id="192"/>
      <w:bookmarkEnd w:id="193"/>
      <w:bookmarkEnd w:id="194"/>
      <w:bookmarkEnd w:id="195"/>
      <w:bookmarkEnd w:id="196"/>
    </w:p>
    <w:p w14:paraId="5C19D375">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7269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4120C5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121DFDC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股份制企业</w:t>
            </w:r>
          </w:p>
        </w:tc>
        <w:tc>
          <w:tcPr>
            <w:tcW w:w="1513" w:type="dxa"/>
            <w:gridSpan w:val="2"/>
            <w:shd w:val="clear" w:color="auto" w:fill="E7E6E6" w:themeFill="background2"/>
            <w:noWrap/>
            <w:vAlign w:val="center"/>
          </w:tcPr>
          <w:p w14:paraId="7E696F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4F2CF7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776" w:type="dxa"/>
            <w:gridSpan w:val="2"/>
            <w:shd w:val="clear" w:color="auto" w:fill="E7E6E6" w:themeFill="background2"/>
            <w:noWrap/>
            <w:vAlign w:val="center"/>
          </w:tcPr>
          <w:p w14:paraId="4FAF48B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65B51DE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18B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061BE3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092BE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四川省成都市双流区西南航空港空港一路一段536号</w:t>
            </w:r>
          </w:p>
        </w:tc>
      </w:tr>
      <w:tr w14:paraId="0D76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269F44D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66C8849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千嘉科技股份有限公司成立于2001年，是国内领先的智慧燃气及水务解决方案提供商，系首批国家级专精特新“小巨人”企业、国家知识产权示范企业及国家服务型制造示范企业，建有国家企业技术中心、国家博士后科研工作站、国（地）联合工程实验室等国家级科研平台；承担了多项国家级科研项目；主持或参与20余项国家、行业等标准（规范）制定；取得近400项自主知识产权，荣获国家专利优秀奖。</w:t>
            </w:r>
          </w:p>
          <w:p w14:paraId="0FF27D1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将加快发展新质生产力，融合新基建、新经济理念，聚焦城市物联网领域，构筑智慧计量与安全产品、物联网应用解决方案及智慧服务的行业全生态体系，打造智慧燃气、智慧水务、智慧校园、智慧园区、城市安全、新能源及数字服务等数字经济新场景，致力于成为领先的城市物联综合解决方案服务商，赋能智慧城市建设。</w:t>
            </w:r>
          </w:p>
        </w:tc>
      </w:tr>
      <w:tr w14:paraId="092F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1" w:type="dxa"/>
            <w:shd w:val="clear" w:color="auto" w:fill="E7E6E6" w:themeFill="background2"/>
            <w:noWrap/>
            <w:vAlign w:val="center"/>
          </w:tcPr>
          <w:p w14:paraId="774269E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7A52A57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1、年薪30万（根据年度考核浮动）；</w:t>
            </w:r>
          </w:p>
          <w:p w14:paraId="0F0A8C7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2、其它奖励：根据公司《薪酬制度》关于研发激励机制的相关规定的项目、产品等提成奖励；专利、论文、资格证书、职称奖金等；</w:t>
            </w:r>
          </w:p>
          <w:p w14:paraId="6608E5A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公司属于地方重点高新技术企业，依托成熟的科研平台、产品的市场大规模运用，申报专家职称，享受当地政府一系列专家优惠政策，具有成熟的通道。例如市创新人才、省创新人才、国家千人计划、顶尖创新团队等；</w:t>
            </w:r>
          </w:p>
          <w:p w14:paraId="36B597F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4、政府优惠政策如子女择校优先、配偶特批落户购房放宽、个税减免、住房补贴、人才津贴、游泳健身卡、专家俱乐部特权、原生态菜品特供等；</w:t>
            </w:r>
          </w:p>
          <w:p w14:paraId="7E1322D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5、公司协助申报高级工程师、合作院校名誉教授、产业协会联盟资格等荣誉；</w:t>
            </w:r>
          </w:p>
          <w:p w14:paraId="66E6BCD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6、公司博士后工作站，利用校企双方的研发资源，申请国家级科研项目以及科研经费；</w:t>
            </w:r>
          </w:p>
          <w:p w14:paraId="6D2CFED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7、打造为企业和地方专家，安排年度国内外参展、学术交流、技术合作参观等福利。</w:t>
            </w:r>
          </w:p>
        </w:tc>
      </w:tr>
      <w:tr w14:paraId="1E6F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4EE2103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7EC62FD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EE1109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AFD191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D89C13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2DBD59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170550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2C3C21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2FA692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804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4BBA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博士后招聘</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B24D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3955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A922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流体计量方向</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054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c>
          <w:tcPr>
            <w:tcW w:w="1911" w:type="dxa"/>
            <w:tcBorders>
              <w:top w:val="single" w:color="auto" w:sz="4" w:space="0"/>
              <w:left w:val="single" w:color="auto" w:sz="4" w:space="0"/>
              <w:right w:val="single" w:color="auto" w:sz="4" w:space="0"/>
              <w:tl2br w:val="nil"/>
              <w:tr2bl w:val="nil"/>
            </w:tcBorders>
            <w:shd w:val="clear" w:color="auto" w:fill="FFFFFF"/>
            <w:vAlign w:val="center"/>
          </w:tcPr>
          <w:p w14:paraId="2B0DAB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具有流体计量相关博士专业的高校（北航等）</w:t>
            </w:r>
          </w:p>
        </w:tc>
      </w:tr>
    </w:tbl>
    <w:p w14:paraId="51F1EB3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06AFE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eastAsia" w:eastAsia="方正小标宋简体"/>
          <w:sz w:val="44"/>
          <w:szCs w:val="44"/>
          <w:highlight w:val="none"/>
        </w:rPr>
      </w:pPr>
      <w:bookmarkStart w:id="197" w:name="_Toc15035"/>
    </w:p>
    <w:p w14:paraId="4C35887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198" w:name="_Toc25506"/>
      <w:bookmarkStart w:id="199" w:name="_Toc19879"/>
      <w:bookmarkStart w:id="200" w:name="_Toc20774"/>
      <w:bookmarkStart w:id="201" w:name="_Toc23489"/>
      <w:r>
        <w:rPr>
          <w:rFonts w:hint="eastAsia" w:eastAsia="方正小标宋简体"/>
          <w:sz w:val="44"/>
          <w:szCs w:val="44"/>
          <w:highlight w:val="none"/>
        </w:rPr>
        <w:t>成都市第三人民医院</w:t>
      </w:r>
      <w:bookmarkEnd w:id="197"/>
      <w:bookmarkEnd w:id="198"/>
      <w:bookmarkEnd w:id="199"/>
      <w:bookmarkEnd w:id="200"/>
      <w:bookmarkEnd w:id="201"/>
    </w:p>
    <w:p w14:paraId="7A5F43F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640"/>
        <w:gridCol w:w="918"/>
        <w:gridCol w:w="223"/>
        <w:gridCol w:w="1153"/>
        <w:gridCol w:w="311"/>
        <w:gridCol w:w="1382"/>
        <w:gridCol w:w="242"/>
        <w:gridCol w:w="1563"/>
        <w:gridCol w:w="427"/>
        <w:gridCol w:w="1593"/>
      </w:tblGrid>
      <w:tr w14:paraId="1A65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AB54CA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8C83F0D">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50" w:type="dxa"/>
            <w:gridSpan w:val="3"/>
            <w:shd w:val="clear" w:color="auto" w:fill="E7E6E6" w:themeFill="background2"/>
            <w:noWrap/>
            <w:vAlign w:val="center"/>
          </w:tcPr>
          <w:p w14:paraId="3175EDA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762942D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shd w:val="clear" w:color="auto" w:fill="E7E6E6" w:themeFill="background2"/>
            <w:noWrap/>
            <w:vAlign w:val="center"/>
          </w:tcPr>
          <w:p w14:paraId="0C215AA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1F72FEA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57A0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0FB92E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386A8586">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四川省成都市青羊区青龙街82号</w:t>
            </w:r>
          </w:p>
        </w:tc>
      </w:tr>
      <w:tr w14:paraId="3B7F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8" w:hRule="atLeast"/>
          <w:jc w:val="center"/>
        </w:trPr>
        <w:tc>
          <w:tcPr>
            <w:tcW w:w="1271" w:type="dxa"/>
            <w:shd w:val="clear" w:color="auto" w:fill="E7E6E6" w:themeFill="background2"/>
            <w:noWrap/>
            <w:vAlign w:val="center"/>
          </w:tcPr>
          <w:p w14:paraId="6C566D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0A6A80CE">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成都市第三人民医院始建于1941年7月，是集医疗、科研、教学、预防、保健和康复为一体的国家三级甲等综合性医院，是四川省首批现代医院管理制度试点单位，承担成都中心城区医疗保障的核心功能，现为西南交通大学临床医学院和附属医院、重庆医科大学附属成都第二临床学院。现有职工3958人，有博士、硕士等各类高级人才1169人，柔性引进钟南山院士等专家51人。现享受国务院和市政府特殊津贴3人，四川省“峨眉计划”青年人才1人，四川省“青城计划”天府名医1人，四川省学术和技术带头人6人，“蓉城英才计划”医疗卫生领军人才2名，四川省有突出贡献的优秀专家2人，四川省学术和技术带头人后备人选5人，四川省“卫生健康英才计划”首席专家2人、领军人才1人、中青年骨干人才3人、临床技能名师3人，事业单位专业技术二级岗6人。</w:t>
            </w:r>
          </w:p>
          <w:p w14:paraId="1BA81D3D">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eastAsiaTheme="minorEastAsia"/>
                <w:sz w:val="21"/>
                <w:szCs w:val="21"/>
              </w:rPr>
            </w:pPr>
            <w:r>
              <w:rPr>
                <w:rFonts w:hint="eastAsia" w:eastAsiaTheme="minorEastAsia"/>
                <w:sz w:val="21"/>
                <w:szCs w:val="21"/>
              </w:rPr>
              <w:t>医院现为国家呼吸系统疾病临床医学研究中心分中心、国家消化系统疾病临床医学研究中心四川省分中心、国家老年疾病临床医学研究中心协同网络核心单位。有国家临床重点专科建设项目2个，省级重点专科/学科18个，市高水平临床重点专科建设项目3个，市级重点专科/学科32个，市医疗质量控制中心24个（居市级医院之首）。设有四川省消化系统疾病临床医学研究中心和实验医学科（四川省甲级重点实验室）2个省级科研创新平台、成都市院士（专家）创新工作站，拥有成都市心血管病、神经疾病、呼吸健康、肿瘤和消化系统疾病5个研究所。</w:t>
            </w:r>
          </w:p>
        </w:tc>
      </w:tr>
      <w:tr w14:paraId="2BDB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1271" w:type="dxa"/>
            <w:shd w:val="clear" w:color="auto" w:fill="E7E6E6" w:themeFill="background2"/>
            <w:noWrap/>
            <w:vAlign w:val="center"/>
          </w:tcPr>
          <w:p w14:paraId="41585BB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56257FF3">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一、主要政策文件</w:t>
            </w:r>
          </w:p>
          <w:p w14:paraId="3D6BC7C7">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本单位博士后主要政策文件为《成都市第三人民医院博士后管理办法》。现与深圳大学、广州医科大学、西南交通大学、南京大学联合培养博士后。</w:t>
            </w:r>
          </w:p>
          <w:p w14:paraId="6AE939FD">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二、博士后待遇</w:t>
            </w:r>
          </w:p>
          <w:p w14:paraId="3B9A4622">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1．年薪标准：提供年薪（35万元起，税前，含四川省日常经费，成都市、青羊区生活资助，含五险一金）及奖励性绩效，获得省博士后创新人才支持计划及以上资助项目待遇更优；</w:t>
            </w:r>
          </w:p>
          <w:p w14:paraId="07E97395">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2．提供科研启动经费20万元、科研项目配套经费及租房补贴；</w:t>
            </w:r>
          </w:p>
          <w:p w14:paraId="5C1D2D9A">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3．享受医院各类科研奖励及人才激励，项目资助叠加发放；</w:t>
            </w:r>
          </w:p>
          <w:p w14:paraId="44999657">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4．在站期间可根据医院相关规定申报专业技术职务；</w:t>
            </w:r>
          </w:p>
          <w:p w14:paraId="2E0FC414">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eastAsiaTheme="minorEastAsia"/>
                <w:sz w:val="21"/>
                <w:szCs w:val="21"/>
              </w:rPr>
            </w:pPr>
            <w:r>
              <w:rPr>
                <w:rFonts w:hint="eastAsia" w:eastAsiaTheme="minorEastAsia"/>
                <w:sz w:val="21"/>
                <w:szCs w:val="21"/>
              </w:rPr>
              <w:t>5．优秀者出站后，按医院相关规定，可优先申请留院，享受人才引进相关待遇；</w:t>
            </w:r>
          </w:p>
          <w:p w14:paraId="64C89BFE">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eastAsiaTheme="minorEastAsia"/>
                <w:sz w:val="21"/>
                <w:szCs w:val="21"/>
              </w:rPr>
            </w:pPr>
            <w:r>
              <w:rPr>
                <w:rFonts w:hint="eastAsia" w:eastAsiaTheme="minorEastAsia"/>
                <w:sz w:val="21"/>
                <w:szCs w:val="21"/>
              </w:rPr>
              <w:t>6．协助办理医疗保险、户口迁移等手续，按相关规定，享受子女入托、入学等福利。</w:t>
            </w:r>
          </w:p>
        </w:tc>
      </w:tr>
      <w:tr w14:paraId="72F1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897" w:type="dxa"/>
            <w:gridSpan w:val="2"/>
            <w:shd w:val="clear" w:color="auto" w:fill="E7E6E6" w:themeFill="background2"/>
            <w:noWrap/>
            <w:vAlign w:val="center"/>
          </w:tcPr>
          <w:p w14:paraId="0BED3AD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485DD3D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shd w:val="clear" w:color="auto" w:fill="E7E6E6" w:themeFill="background2"/>
            <w:vAlign w:val="center"/>
          </w:tcPr>
          <w:p w14:paraId="2574DCE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139BCAE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B3E86D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2184" w:type="dxa"/>
            <w:gridSpan w:val="3"/>
            <w:shd w:val="clear" w:color="auto" w:fill="E7E6E6" w:themeFill="background2"/>
            <w:vAlign w:val="center"/>
          </w:tcPr>
          <w:p w14:paraId="19E5B5C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CB901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59" w:type="dxa"/>
            <w:shd w:val="clear" w:color="auto" w:fill="E7E6E6" w:themeFill="background2"/>
            <w:vAlign w:val="center"/>
          </w:tcPr>
          <w:p w14:paraId="25972FD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D24BD9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F18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897" w:type="dxa"/>
            <w:gridSpan w:val="2"/>
            <w:shd w:val="clear" w:color="000000" w:fill="FFFFFF"/>
            <w:noWrap/>
            <w:vAlign w:val="center"/>
          </w:tcPr>
          <w:p w14:paraId="6FF3802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呼吸系统疾病精准医学研究与转化研究、环境污染和表观遗传学研究、肿瘤微环境研究</w:t>
            </w:r>
          </w:p>
        </w:tc>
        <w:tc>
          <w:tcPr>
            <w:tcW w:w="1116" w:type="dxa"/>
            <w:gridSpan w:val="2"/>
            <w:shd w:val="clear" w:color="000000" w:fill="FFFFFF"/>
            <w:vAlign w:val="center"/>
          </w:tcPr>
          <w:p w14:paraId="3723DC6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128" w:type="dxa"/>
            <w:shd w:val="clear" w:color="000000" w:fill="FFFFFF"/>
            <w:vAlign w:val="center"/>
          </w:tcPr>
          <w:p w14:paraId="10F2921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56" w:type="dxa"/>
            <w:gridSpan w:val="2"/>
            <w:shd w:val="clear" w:color="000000" w:fill="FFFFFF"/>
            <w:vAlign w:val="center"/>
          </w:tcPr>
          <w:p w14:paraId="56A6EDC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临床医学、基础医学</w:t>
            </w:r>
          </w:p>
        </w:tc>
        <w:tc>
          <w:tcPr>
            <w:tcW w:w="2184" w:type="dxa"/>
            <w:gridSpan w:val="3"/>
            <w:shd w:val="clear" w:color="000000" w:fill="FFFFFF"/>
            <w:vAlign w:val="center"/>
          </w:tcPr>
          <w:p w14:paraId="43A53196">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1.年薪35万起；</w:t>
            </w:r>
          </w:p>
          <w:p w14:paraId="503FF3CC">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2.科研启动经费20万/人；</w:t>
            </w:r>
          </w:p>
          <w:p w14:paraId="3CE6F154">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3.租房补贴1000元/月；</w:t>
            </w:r>
          </w:p>
          <w:p w14:paraId="193A549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4.科室根据工作完成情况给予2000-10000元/月补助。</w:t>
            </w:r>
          </w:p>
        </w:tc>
        <w:tc>
          <w:tcPr>
            <w:tcW w:w="1559" w:type="dxa"/>
            <w:shd w:val="clear" w:color="000000" w:fill="FFFFFF"/>
            <w:vAlign w:val="center"/>
          </w:tcPr>
          <w:p w14:paraId="0649E799">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目前已取得显著科研成果的申请者，与博士后合作导师研究方向相近者将予以优先考虑</w:t>
            </w:r>
          </w:p>
        </w:tc>
      </w:tr>
      <w:tr w14:paraId="30F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897" w:type="dxa"/>
            <w:gridSpan w:val="2"/>
            <w:shd w:val="clear" w:color="000000" w:fill="FFFFFF"/>
            <w:noWrap/>
            <w:vAlign w:val="center"/>
          </w:tcPr>
          <w:p w14:paraId="285564D3">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肥胖症精准诊断研究、肥胖治疗新材料和新技术研究以及临床和生物样本大数据研究</w:t>
            </w:r>
          </w:p>
        </w:tc>
        <w:tc>
          <w:tcPr>
            <w:tcW w:w="1116" w:type="dxa"/>
            <w:gridSpan w:val="2"/>
            <w:shd w:val="clear" w:color="000000" w:fill="FFFFFF"/>
            <w:vAlign w:val="center"/>
          </w:tcPr>
          <w:p w14:paraId="2C0B5289">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w:t>
            </w:r>
          </w:p>
        </w:tc>
        <w:tc>
          <w:tcPr>
            <w:tcW w:w="1128" w:type="dxa"/>
            <w:shd w:val="clear" w:color="000000" w:fill="FFFFFF"/>
            <w:vAlign w:val="center"/>
          </w:tcPr>
          <w:p w14:paraId="5EE988C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656" w:type="dxa"/>
            <w:gridSpan w:val="2"/>
            <w:shd w:val="clear" w:color="000000" w:fill="FFFFFF"/>
            <w:vAlign w:val="center"/>
          </w:tcPr>
          <w:p w14:paraId="788A71C0">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临床医学、基础医学、生物学、材料科学与工程等相关专业</w:t>
            </w:r>
          </w:p>
        </w:tc>
        <w:tc>
          <w:tcPr>
            <w:tcW w:w="2184" w:type="dxa"/>
            <w:gridSpan w:val="3"/>
            <w:shd w:val="clear" w:color="000000" w:fill="FFFFFF"/>
            <w:vAlign w:val="center"/>
          </w:tcPr>
          <w:p w14:paraId="31A8F4AF">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1.年薪35万起；</w:t>
            </w:r>
          </w:p>
          <w:p w14:paraId="59E810F1">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2.科研启动经费20万/人；</w:t>
            </w:r>
          </w:p>
          <w:p w14:paraId="68C56EC8">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3.租房补贴1000元/月；</w:t>
            </w:r>
          </w:p>
          <w:p w14:paraId="2F013317">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4.科室根据工作完成情况给予3000-5000元/月补助。</w:t>
            </w:r>
          </w:p>
        </w:tc>
        <w:tc>
          <w:tcPr>
            <w:tcW w:w="1559" w:type="dxa"/>
            <w:shd w:val="clear" w:color="000000" w:fill="FFFFFF"/>
            <w:vAlign w:val="center"/>
          </w:tcPr>
          <w:p w14:paraId="2126F372">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以第一作者发表JCR2区及以上SCI论著≥1篇</w:t>
            </w:r>
          </w:p>
        </w:tc>
      </w:tr>
      <w:tr w14:paraId="4758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897" w:type="dxa"/>
            <w:gridSpan w:val="2"/>
            <w:shd w:val="clear" w:color="000000" w:fill="FFFFFF"/>
            <w:noWrap/>
            <w:vAlign w:val="center"/>
          </w:tcPr>
          <w:p w14:paraId="087C5CB9">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心律失常基础与临床研究、冠心病基础与临床研究、心血管生物医用材料研究</w:t>
            </w:r>
          </w:p>
        </w:tc>
        <w:tc>
          <w:tcPr>
            <w:tcW w:w="1116" w:type="dxa"/>
            <w:gridSpan w:val="2"/>
            <w:shd w:val="clear" w:color="000000" w:fill="FFFFFF"/>
            <w:vAlign w:val="center"/>
          </w:tcPr>
          <w:p w14:paraId="02471CA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w:t>
            </w:r>
          </w:p>
        </w:tc>
        <w:tc>
          <w:tcPr>
            <w:tcW w:w="1128" w:type="dxa"/>
            <w:shd w:val="clear" w:color="000000" w:fill="FFFFFF"/>
            <w:vAlign w:val="center"/>
          </w:tcPr>
          <w:p w14:paraId="3077222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656" w:type="dxa"/>
            <w:gridSpan w:val="2"/>
            <w:shd w:val="clear" w:color="000000" w:fill="FFFFFF"/>
            <w:vAlign w:val="center"/>
          </w:tcPr>
          <w:p w14:paraId="61DDC940">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临床医学、基础医学、生物学、材料科学与工程等相关专业</w:t>
            </w:r>
          </w:p>
        </w:tc>
        <w:tc>
          <w:tcPr>
            <w:tcW w:w="2184" w:type="dxa"/>
            <w:gridSpan w:val="3"/>
            <w:shd w:val="clear" w:color="000000" w:fill="FFFFFF"/>
            <w:vAlign w:val="center"/>
          </w:tcPr>
          <w:p w14:paraId="2D38559C">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1.年薪35万起；</w:t>
            </w:r>
          </w:p>
          <w:p w14:paraId="75819D09">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2.科研启动经费20万/人；</w:t>
            </w:r>
          </w:p>
          <w:p w14:paraId="08E32A6D">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3.租房补贴1000元/月；</w:t>
            </w:r>
          </w:p>
          <w:p w14:paraId="16E4C476">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4.科室根据工作完成情况给予3000-10000元/月补助。</w:t>
            </w:r>
          </w:p>
        </w:tc>
        <w:tc>
          <w:tcPr>
            <w:tcW w:w="1559" w:type="dxa"/>
            <w:shd w:val="clear" w:color="000000" w:fill="FFFFFF"/>
            <w:vAlign w:val="center"/>
          </w:tcPr>
          <w:p w14:paraId="122DCB46">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与博士后合作导师研究方向相近者将予以优先考虑</w:t>
            </w:r>
          </w:p>
        </w:tc>
      </w:tr>
      <w:tr w14:paraId="1BD7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897" w:type="dxa"/>
            <w:gridSpan w:val="2"/>
            <w:shd w:val="clear" w:color="000000" w:fill="FFFFFF"/>
            <w:noWrap/>
            <w:vAlign w:val="center"/>
          </w:tcPr>
          <w:p w14:paraId="119DE06A">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超声分子影像学研究、肿瘤微环境调控研究</w:t>
            </w:r>
          </w:p>
        </w:tc>
        <w:tc>
          <w:tcPr>
            <w:tcW w:w="1116" w:type="dxa"/>
            <w:gridSpan w:val="2"/>
            <w:shd w:val="clear" w:color="000000" w:fill="FFFFFF"/>
            <w:vAlign w:val="center"/>
          </w:tcPr>
          <w:p w14:paraId="5A0CC57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w:t>
            </w:r>
          </w:p>
        </w:tc>
        <w:tc>
          <w:tcPr>
            <w:tcW w:w="1128" w:type="dxa"/>
            <w:shd w:val="clear" w:color="000000" w:fill="FFFFFF"/>
            <w:vAlign w:val="center"/>
          </w:tcPr>
          <w:p w14:paraId="4FE12ED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BSH004</w:t>
            </w:r>
          </w:p>
        </w:tc>
        <w:tc>
          <w:tcPr>
            <w:tcW w:w="1656" w:type="dxa"/>
            <w:gridSpan w:val="2"/>
            <w:shd w:val="clear" w:color="000000" w:fill="FFFFFF"/>
            <w:vAlign w:val="center"/>
          </w:tcPr>
          <w:p w14:paraId="4349CE60">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临床医学、材料科学与工程、生物医学工程等相关专业</w:t>
            </w:r>
          </w:p>
        </w:tc>
        <w:tc>
          <w:tcPr>
            <w:tcW w:w="2184" w:type="dxa"/>
            <w:gridSpan w:val="3"/>
            <w:shd w:val="clear" w:color="000000" w:fill="FFFFFF"/>
            <w:vAlign w:val="center"/>
          </w:tcPr>
          <w:p w14:paraId="122463BB">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1.年薪35万起；</w:t>
            </w:r>
          </w:p>
          <w:p w14:paraId="2CDFDAC7">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2.科研启动经费20万/人；</w:t>
            </w:r>
          </w:p>
          <w:p w14:paraId="17207957">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3.租房补贴1000元/月；</w:t>
            </w:r>
          </w:p>
          <w:p w14:paraId="6D6E4BA2">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4.科室根据工作完成情况给予3000-10000元/月补助。</w:t>
            </w:r>
          </w:p>
        </w:tc>
        <w:tc>
          <w:tcPr>
            <w:tcW w:w="1559" w:type="dxa"/>
            <w:shd w:val="clear" w:color="000000" w:fill="FFFFFF"/>
            <w:vAlign w:val="center"/>
          </w:tcPr>
          <w:p w14:paraId="0B3534DE">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以第一作者发表SCI论文≥1（IF≥5）</w:t>
            </w:r>
          </w:p>
        </w:tc>
      </w:tr>
      <w:tr w14:paraId="11D9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897" w:type="dxa"/>
            <w:gridSpan w:val="2"/>
            <w:shd w:val="clear" w:color="000000" w:fill="FFFFFF"/>
            <w:noWrap/>
            <w:vAlign w:val="center"/>
          </w:tcPr>
          <w:p w14:paraId="2905DE5A">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消化道疾病机制及标志物研究</w:t>
            </w:r>
          </w:p>
        </w:tc>
        <w:tc>
          <w:tcPr>
            <w:tcW w:w="1116" w:type="dxa"/>
            <w:gridSpan w:val="2"/>
            <w:shd w:val="clear" w:color="000000" w:fill="FFFFFF"/>
            <w:vAlign w:val="center"/>
          </w:tcPr>
          <w:p w14:paraId="48AFE15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w:t>
            </w:r>
          </w:p>
        </w:tc>
        <w:tc>
          <w:tcPr>
            <w:tcW w:w="1128" w:type="dxa"/>
            <w:shd w:val="clear" w:color="000000" w:fill="FFFFFF"/>
            <w:vAlign w:val="center"/>
          </w:tcPr>
          <w:p w14:paraId="5A24DAA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BSH005</w:t>
            </w:r>
          </w:p>
        </w:tc>
        <w:tc>
          <w:tcPr>
            <w:tcW w:w="1656" w:type="dxa"/>
            <w:gridSpan w:val="2"/>
            <w:shd w:val="clear" w:color="000000" w:fill="FFFFFF"/>
            <w:vAlign w:val="center"/>
          </w:tcPr>
          <w:p w14:paraId="7A8C8239">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临床医学、基础医学、生物学、材料科学与工程等相关专业</w:t>
            </w:r>
          </w:p>
        </w:tc>
        <w:tc>
          <w:tcPr>
            <w:tcW w:w="2184" w:type="dxa"/>
            <w:gridSpan w:val="3"/>
            <w:shd w:val="clear" w:color="000000" w:fill="FFFFFF"/>
            <w:vAlign w:val="center"/>
          </w:tcPr>
          <w:p w14:paraId="3ED6E38C">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1.年薪35万起；</w:t>
            </w:r>
          </w:p>
          <w:p w14:paraId="238CA27F">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2.科研启动经费20万/人；</w:t>
            </w:r>
          </w:p>
          <w:p w14:paraId="1A847688">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3.租房补贴1000元/月；</w:t>
            </w:r>
          </w:p>
          <w:p w14:paraId="37D40473">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4.科室根据工作完成情况给予1600元/月补助</w:t>
            </w:r>
          </w:p>
        </w:tc>
        <w:tc>
          <w:tcPr>
            <w:tcW w:w="1559" w:type="dxa"/>
            <w:shd w:val="clear" w:color="000000" w:fill="FFFFFF"/>
            <w:vAlign w:val="center"/>
          </w:tcPr>
          <w:p w14:paraId="07D35B67">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以第一作者发表中科院2区及以上SCI论文≥1篇，具有独立开展科研工作的能力</w:t>
            </w:r>
          </w:p>
        </w:tc>
      </w:tr>
    </w:tbl>
    <w:p w14:paraId="7FC0A43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77E306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02" w:name="_Toc16889"/>
      <w:bookmarkStart w:id="203" w:name="_Toc14202"/>
      <w:bookmarkStart w:id="204" w:name="_Toc13319"/>
      <w:bookmarkStart w:id="205" w:name="_Toc19099"/>
      <w:bookmarkStart w:id="206" w:name="_Toc18114"/>
      <w:r>
        <w:rPr>
          <w:rFonts w:hint="eastAsia" w:eastAsia="方正小标宋简体"/>
          <w:sz w:val="44"/>
          <w:szCs w:val="44"/>
          <w:highlight w:val="none"/>
        </w:rPr>
        <w:t>成都市龙泉驿区果技推广站</w:t>
      </w:r>
      <w:bookmarkEnd w:id="202"/>
      <w:bookmarkEnd w:id="203"/>
      <w:bookmarkEnd w:id="204"/>
      <w:bookmarkEnd w:id="205"/>
      <w:bookmarkEnd w:id="206"/>
    </w:p>
    <w:p w14:paraId="3D0E068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612"/>
        <w:gridCol w:w="1134"/>
        <w:gridCol w:w="1374"/>
        <w:gridCol w:w="261"/>
        <w:gridCol w:w="1453"/>
        <w:gridCol w:w="191"/>
        <w:gridCol w:w="1373"/>
        <w:gridCol w:w="209"/>
        <w:gridCol w:w="1667"/>
      </w:tblGrid>
      <w:tr w14:paraId="0880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711A8FB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14:paraId="47CE15B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其他</w:t>
            </w:r>
          </w:p>
        </w:tc>
        <w:tc>
          <w:tcPr>
            <w:tcW w:w="1580" w:type="dxa"/>
            <w:gridSpan w:val="2"/>
            <w:shd w:val="clear" w:color="auto" w:fill="E7E6E6" w:themeFill="background2"/>
            <w:noWrap/>
            <w:vAlign w:val="center"/>
          </w:tcPr>
          <w:p w14:paraId="53931C3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9763CE1">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68FC20C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14:paraId="704DAC6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650C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7D01643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14:paraId="17CE220E">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四川省成都市龙泉驿区建材路660号</w:t>
            </w:r>
          </w:p>
        </w:tc>
      </w:tr>
      <w:tr w14:paraId="1A61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9" w:hRule="atLeast"/>
          <w:jc w:val="center"/>
        </w:trPr>
        <w:tc>
          <w:tcPr>
            <w:tcW w:w="1427" w:type="dxa"/>
            <w:shd w:val="clear" w:color="auto" w:fill="E7E6E6" w:themeFill="background2"/>
            <w:noWrap/>
            <w:vAlign w:val="center"/>
          </w:tcPr>
          <w:p w14:paraId="284C8AA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14:paraId="448C48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龙泉驿区果技推广站为成都经开区（龙泉驿区）农业农村局所属公益一类事业单位，主要从事果树、花卉新品种引进、试验、示范、推广等工作；开展果树、花卉生产、管理技术指导、培训，栽培技术专业培训；指导各果树、花卉协会和农民技术人员的果树栽培技术活动；负责相关产业结构调整的布局、规划、论证。经批准站点于2006年设立省级博士后科研工作站，2017年升级成为成都经济技术开发区博士后科研工作站分站。建站以来，科研创新成效显著，先后引进4名博士人才进站从事博士后研究，其中3名已出站，1名在站。完成科研项目4项，其中，获成都市科技进步三等奖一项，申请桃抗性砧木GF677扦插方法技术专利一项、核果类水果的可食性复核涂膜保鲜剂专利一项。</w:t>
            </w:r>
          </w:p>
        </w:tc>
      </w:tr>
      <w:tr w14:paraId="7647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427" w:type="dxa"/>
            <w:shd w:val="clear" w:color="auto" w:fill="E7E6E6" w:themeFill="background2"/>
            <w:noWrap/>
            <w:vAlign w:val="center"/>
          </w:tcPr>
          <w:p w14:paraId="3FEDC8E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14:paraId="2F548F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一是项目资助，博士后研究人员进站后给予15万元一次性科研项目启动经费资助。 二是生活津贴，博士后研究人员在站期间给予每年8万元生活津贴，资助期为2年。 三是积极向省、市争取日常经费、生活补贴等相关经费。</w:t>
            </w:r>
          </w:p>
        </w:tc>
      </w:tr>
      <w:tr w14:paraId="62D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18" w:type="dxa"/>
            <w:gridSpan w:val="2"/>
            <w:shd w:val="clear" w:color="auto" w:fill="E7E6E6" w:themeFill="background2"/>
            <w:noWrap/>
            <w:vAlign w:val="center"/>
          </w:tcPr>
          <w:p w14:paraId="6A720C9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14:paraId="076F2E3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14:paraId="198C0F7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4B67E14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BF737B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12" w:type="dxa"/>
            <w:gridSpan w:val="2"/>
            <w:shd w:val="clear" w:color="auto" w:fill="E7E6E6" w:themeFill="background2"/>
            <w:vAlign w:val="center"/>
          </w:tcPr>
          <w:p w14:paraId="3C0DEF5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4AEB53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2" w:type="dxa"/>
            <w:gridSpan w:val="2"/>
            <w:shd w:val="clear" w:color="auto" w:fill="E7E6E6" w:themeFill="background2"/>
            <w:vAlign w:val="center"/>
          </w:tcPr>
          <w:p w14:paraId="274182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D5DDE5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F58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18" w:type="dxa"/>
            <w:gridSpan w:val="2"/>
            <w:shd w:val="clear" w:color="000000" w:fill="FFFFFF"/>
            <w:noWrap/>
            <w:vAlign w:val="center"/>
          </w:tcPr>
          <w:p w14:paraId="3DC79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水蜜桃技术研究</w:t>
            </w:r>
          </w:p>
        </w:tc>
        <w:tc>
          <w:tcPr>
            <w:tcW w:w="1096" w:type="dxa"/>
            <w:shd w:val="clear" w:color="000000" w:fill="FFFFFF"/>
            <w:vAlign w:val="center"/>
          </w:tcPr>
          <w:p w14:paraId="63B66F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1</w:t>
            </w:r>
          </w:p>
        </w:tc>
        <w:tc>
          <w:tcPr>
            <w:tcW w:w="1328" w:type="dxa"/>
            <w:shd w:val="clear" w:color="000000" w:fill="FFFFFF"/>
            <w:vAlign w:val="center"/>
          </w:tcPr>
          <w:p w14:paraId="107CE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BSH001</w:t>
            </w:r>
          </w:p>
        </w:tc>
        <w:tc>
          <w:tcPr>
            <w:tcW w:w="1656" w:type="dxa"/>
            <w:gridSpan w:val="2"/>
            <w:shd w:val="clear" w:color="000000" w:fill="FFFFFF"/>
            <w:vAlign w:val="center"/>
          </w:tcPr>
          <w:p w14:paraId="4544B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0901 作物学</w:t>
            </w:r>
          </w:p>
          <w:p w14:paraId="2A9F4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0902 园艺学</w:t>
            </w:r>
          </w:p>
          <w:p w14:paraId="2B822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0904 植物保护</w:t>
            </w:r>
          </w:p>
          <w:p w14:paraId="085B9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0951 农业</w:t>
            </w:r>
          </w:p>
        </w:tc>
        <w:tc>
          <w:tcPr>
            <w:tcW w:w="1512" w:type="dxa"/>
            <w:gridSpan w:val="2"/>
            <w:shd w:val="clear" w:color="000000" w:fill="FFFFFF"/>
            <w:vAlign w:val="center"/>
          </w:tcPr>
          <w:p w14:paraId="26AF5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28.5万元</w:t>
            </w:r>
          </w:p>
        </w:tc>
        <w:tc>
          <w:tcPr>
            <w:tcW w:w="1812" w:type="dxa"/>
            <w:gridSpan w:val="2"/>
            <w:vMerge w:val="restart"/>
            <w:shd w:val="clear" w:color="000000" w:fill="FFFFFF"/>
            <w:vAlign w:val="center"/>
          </w:tcPr>
          <w:p w14:paraId="5577ABE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品学兼优、身体健康，年龄一般在40岁以下，能够从事博士后研究工作。</w:t>
            </w:r>
          </w:p>
        </w:tc>
      </w:tr>
      <w:tr w14:paraId="508E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18" w:type="dxa"/>
            <w:gridSpan w:val="2"/>
            <w:shd w:val="clear" w:color="000000" w:fill="FFFFFF"/>
            <w:noWrap/>
            <w:vAlign w:val="center"/>
          </w:tcPr>
          <w:p w14:paraId="58FBC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枇杷技术研究</w:t>
            </w:r>
          </w:p>
        </w:tc>
        <w:tc>
          <w:tcPr>
            <w:tcW w:w="1096" w:type="dxa"/>
            <w:shd w:val="clear" w:color="000000" w:fill="FFFFFF"/>
            <w:vAlign w:val="center"/>
          </w:tcPr>
          <w:p w14:paraId="086E5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1</w:t>
            </w:r>
          </w:p>
        </w:tc>
        <w:tc>
          <w:tcPr>
            <w:tcW w:w="1328" w:type="dxa"/>
            <w:shd w:val="clear" w:color="000000" w:fill="FFFFFF"/>
            <w:vAlign w:val="center"/>
          </w:tcPr>
          <w:p w14:paraId="7DDAB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BSH002</w:t>
            </w:r>
          </w:p>
        </w:tc>
        <w:tc>
          <w:tcPr>
            <w:tcW w:w="1656" w:type="dxa"/>
            <w:gridSpan w:val="2"/>
            <w:shd w:val="clear" w:color="000000" w:fill="FFFFFF"/>
            <w:vAlign w:val="center"/>
          </w:tcPr>
          <w:p w14:paraId="44F18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0901 作物学</w:t>
            </w:r>
          </w:p>
          <w:p w14:paraId="4BCED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0902 园艺学</w:t>
            </w:r>
          </w:p>
          <w:p w14:paraId="253A5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0903 农业资源利用</w:t>
            </w:r>
          </w:p>
          <w:p w14:paraId="6388A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0904 植物保护</w:t>
            </w:r>
          </w:p>
          <w:p w14:paraId="3A4C7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0951 农业</w:t>
            </w:r>
          </w:p>
        </w:tc>
        <w:tc>
          <w:tcPr>
            <w:tcW w:w="1512" w:type="dxa"/>
            <w:gridSpan w:val="2"/>
            <w:shd w:val="clear" w:color="000000" w:fill="FFFFFF"/>
            <w:vAlign w:val="center"/>
          </w:tcPr>
          <w:p w14:paraId="5E7BA1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vertAlign w:val="baseline"/>
                <w:lang w:val="en-US" w:eastAsia="zh-CN"/>
              </w:rPr>
              <w:t>28.5万元</w:t>
            </w:r>
          </w:p>
        </w:tc>
        <w:tc>
          <w:tcPr>
            <w:tcW w:w="1812" w:type="dxa"/>
            <w:gridSpan w:val="2"/>
            <w:vMerge w:val="continue"/>
            <w:shd w:val="clear" w:color="000000" w:fill="FFFFFF"/>
            <w:vAlign w:val="center"/>
          </w:tcPr>
          <w:p w14:paraId="0DD3A00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bl>
    <w:p w14:paraId="52952B0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01A3CBA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07" w:name="_Toc23531"/>
      <w:bookmarkStart w:id="208" w:name="_Toc3951"/>
      <w:bookmarkStart w:id="209" w:name="_Toc12993"/>
      <w:bookmarkStart w:id="210" w:name="_Toc14231"/>
      <w:bookmarkStart w:id="211" w:name="_Toc5525"/>
      <w:r>
        <w:rPr>
          <w:rFonts w:hint="eastAsia" w:eastAsia="方正小标宋简体"/>
          <w:sz w:val="44"/>
          <w:szCs w:val="44"/>
          <w:highlight w:val="none"/>
        </w:rPr>
        <w:t>成都市食品检验研究院</w:t>
      </w:r>
      <w:bookmarkEnd w:id="207"/>
      <w:bookmarkEnd w:id="208"/>
      <w:bookmarkEnd w:id="209"/>
      <w:bookmarkEnd w:id="210"/>
      <w:bookmarkEnd w:id="211"/>
    </w:p>
    <w:p w14:paraId="7FD779E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612"/>
        <w:gridCol w:w="1134"/>
        <w:gridCol w:w="1374"/>
        <w:gridCol w:w="261"/>
        <w:gridCol w:w="1453"/>
        <w:gridCol w:w="191"/>
        <w:gridCol w:w="1373"/>
        <w:gridCol w:w="209"/>
        <w:gridCol w:w="1667"/>
      </w:tblGrid>
      <w:tr w14:paraId="77D6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6AAE62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14:paraId="553BF77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其他</w:t>
            </w:r>
          </w:p>
        </w:tc>
        <w:tc>
          <w:tcPr>
            <w:tcW w:w="1580" w:type="dxa"/>
            <w:gridSpan w:val="2"/>
            <w:shd w:val="clear" w:color="auto" w:fill="E7E6E6" w:themeFill="background2"/>
            <w:noWrap/>
            <w:vAlign w:val="center"/>
          </w:tcPr>
          <w:p w14:paraId="4AEEC3C4">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7A3C2FB3">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1562AC4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14:paraId="1063C657">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6711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1DD11BD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14:paraId="0C5F6309">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四川省成都市温江区芙蓉大道二段10号</w:t>
            </w:r>
          </w:p>
        </w:tc>
      </w:tr>
      <w:tr w14:paraId="58D5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9" w:hRule="atLeast"/>
          <w:jc w:val="center"/>
        </w:trPr>
        <w:tc>
          <w:tcPr>
            <w:tcW w:w="1427" w:type="dxa"/>
            <w:shd w:val="clear" w:color="auto" w:fill="E7E6E6" w:themeFill="background2"/>
            <w:noWrap/>
            <w:vAlign w:val="center"/>
          </w:tcPr>
          <w:p w14:paraId="0DBC008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14:paraId="6509D94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市食品检验研究院为成都市市场监管局管理的正处级公益二类事业单位，依法承担食品及政策性保障粮食检验检测、风险监测、标准制修订及相关技术研究工作；负责食品安全相关数据归集、分析、预警及推送建设工作；承担全市食品安全抽检监测秘书处工作；承担各种应急和重大活动的食品安全技术保障工作。为市场监管总局食用农产品（总牵头）及鲜蛋、蛋制品安全抽检监测工作组牵头单位、国家本级食品安全抽检监测承检机构，国家食品复检机构；食品安全国家标准跟踪评价副组长单位；为国家市场监督管理总局重点实验室（新食品原料监测与评价）、国家市场监督管理总局重点实验室（营养与健康化学计量及应用）、辐照保藏四川省重点实验室。</w:t>
            </w:r>
          </w:p>
        </w:tc>
      </w:tr>
      <w:tr w14:paraId="5BB5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4" w:hRule="atLeast"/>
          <w:jc w:val="center"/>
        </w:trPr>
        <w:tc>
          <w:tcPr>
            <w:tcW w:w="1427" w:type="dxa"/>
            <w:shd w:val="clear" w:color="auto" w:fill="E7E6E6" w:themeFill="background2"/>
            <w:noWrap/>
            <w:vAlign w:val="center"/>
          </w:tcPr>
          <w:p w14:paraId="4180F91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14:paraId="15987B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工作方面：</w:t>
            </w:r>
          </w:p>
          <w:p w14:paraId="6F7254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1.配备专有实验场所及科研助手；</w:t>
            </w:r>
          </w:p>
          <w:p w14:paraId="649C93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2.在站期间提供不少于30万元的科研经费；</w:t>
            </w:r>
          </w:p>
          <w:p w14:paraId="77A364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优先使用高分辨率质谱仪、三重四级杆串联液/气质联用仪、基质辅助激光解析电离-飞行时间质谱仪、稳定气体同位素比质谱仪、电感耦合等离子体质谱仪、离子色谱-串联质谱仪、基质辅助激光解吸飞行时间质谱仪等高端设备；</w:t>
            </w:r>
          </w:p>
          <w:p w14:paraId="1A70D1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4.单位支付联合科研流动站管理费及专家指导费；</w:t>
            </w:r>
          </w:p>
          <w:p w14:paraId="739509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5.提供国际合作与交流机会，并协助办理因公出国（境）相关手续等。</w:t>
            </w:r>
          </w:p>
          <w:p w14:paraId="7671F8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生活方面：</w:t>
            </w:r>
          </w:p>
          <w:p w14:paraId="5B09A4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1.提供在站期间的日常经费，包括日常工资、生活补贴及参照在职员工待遇购买五险一金等，享受国家法定假期、工会福利、带薪休假等福利；</w:t>
            </w:r>
          </w:p>
          <w:p w14:paraId="6FDFBE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2.提供租赁住房。</w:t>
            </w:r>
          </w:p>
        </w:tc>
      </w:tr>
      <w:tr w14:paraId="1894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18" w:type="dxa"/>
            <w:gridSpan w:val="2"/>
            <w:shd w:val="clear" w:color="auto" w:fill="E7E6E6" w:themeFill="background2"/>
            <w:noWrap/>
            <w:vAlign w:val="center"/>
          </w:tcPr>
          <w:p w14:paraId="0DA9CE6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14:paraId="5DADF2F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14:paraId="4264EA8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02ADC0E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0FD0AF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12" w:type="dxa"/>
            <w:gridSpan w:val="2"/>
            <w:shd w:val="clear" w:color="auto" w:fill="E7E6E6" w:themeFill="background2"/>
            <w:vAlign w:val="center"/>
          </w:tcPr>
          <w:p w14:paraId="3EBA803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844063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2" w:type="dxa"/>
            <w:gridSpan w:val="2"/>
            <w:shd w:val="clear" w:color="auto" w:fill="E7E6E6" w:themeFill="background2"/>
            <w:vAlign w:val="center"/>
          </w:tcPr>
          <w:p w14:paraId="2F12178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3F4901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7D3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18" w:type="dxa"/>
            <w:gridSpan w:val="2"/>
            <w:shd w:val="clear" w:color="000000" w:fill="FFFFFF"/>
            <w:noWrap/>
            <w:vAlign w:val="center"/>
          </w:tcPr>
          <w:p w14:paraId="1A481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新食品原料/食药物质中风险因子识别与绿色化消减技术的研发</w:t>
            </w:r>
          </w:p>
        </w:tc>
        <w:tc>
          <w:tcPr>
            <w:tcW w:w="1096" w:type="dxa"/>
            <w:shd w:val="clear" w:color="000000" w:fill="FFFFFF"/>
            <w:vAlign w:val="center"/>
          </w:tcPr>
          <w:p w14:paraId="1586D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328" w:type="dxa"/>
            <w:shd w:val="clear" w:color="000000" w:fill="FFFFFF"/>
            <w:vAlign w:val="center"/>
          </w:tcPr>
          <w:p w14:paraId="06396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bidi="ar"/>
              </w:rPr>
              <w:t>BSH00</w:t>
            </w:r>
            <w:r>
              <w:rPr>
                <w:rFonts w:hint="eastAsia" w:ascii="Times New Roman" w:hAnsi="Times New Roman" w:cs="Times New Roman" w:eastAsiaTheme="minorEastAsia"/>
                <w:sz w:val="21"/>
                <w:szCs w:val="21"/>
                <w:lang w:val="en-US" w:eastAsia="zh-CN" w:bidi="ar"/>
              </w:rPr>
              <w:t>1</w:t>
            </w:r>
          </w:p>
        </w:tc>
        <w:tc>
          <w:tcPr>
            <w:tcW w:w="1656" w:type="dxa"/>
            <w:gridSpan w:val="2"/>
            <w:shd w:val="clear" w:color="000000" w:fill="FFFFFF"/>
            <w:vAlign w:val="center"/>
          </w:tcPr>
          <w:p w14:paraId="40A71E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理学、工学、医学、农学</w:t>
            </w:r>
          </w:p>
        </w:tc>
        <w:tc>
          <w:tcPr>
            <w:tcW w:w="1512" w:type="dxa"/>
            <w:gridSpan w:val="2"/>
            <w:shd w:val="clear" w:color="000000" w:fill="FFFFFF"/>
            <w:vAlign w:val="center"/>
          </w:tcPr>
          <w:p w14:paraId="74662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16</w:t>
            </w:r>
          </w:p>
        </w:tc>
        <w:tc>
          <w:tcPr>
            <w:tcW w:w="1812" w:type="dxa"/>
            <w:gridSpan w:val="2"/>
            <w:vMerge w:val="restart"/>
            <w:shd w:val="clear" w:color="000000" w:fill="FFFFFF"/>
            <w:vAlign w:val="center"/>
          </w:tcPr>
          <w:p w14:paraId="49F3DAF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双一流院校及以上全日制博士优先</w:t>
            </w:r>
          </w:p>
        </w:tc>
      </w:tr>
      <w:tr w14:paraId="6EE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18" w:type="dxa"/>
            <w:gridSpan w:val="2"/>
            <w:shd w:val="clear" w:color="000000" w:fill="FFFFFF"/>
            <w:noWrap/>
            <w:vAlign w:val="center"/>
          </w:tcPr>
          <w:p w14:paraId="7879A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功能性食品原料真实性溯源及危害风险因子预警技术</w:t>
            </w:r>
          </w:p>
        </w:tc>
        <w:tc>
          <w:tcPr>
            <w:tcW w:w="1096" w:type="dxa"/>
            <w:shd w:val="clear" w:color="000000" w:fill="FFFFFF"/>
            <w:vAlign w:val="center"/>
          </w:tcPr>
          <w:p w14:paraId="51A7E0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328" w:type="dxa"/>
            <w:shd w:val="clear" w:color="000000" w:fill="FFFFFF"/>
            <w:vAlign w:val="center"/>
          </w:tcPr>
          <w:p w14:paraId="22306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bidi="ar"/>
              </w:rPr>
              <w:t>BSH00</w:t>
            </w:r>
            <w:r>
              <w:rPr>
                <w:rFonts w:hint="eastAsia" w:ascii="Times New Roman" w:hAnsi="Times New Roman" w:cs="Times New Roman" w:eastAsiaTheme="minorEastAsia"/>
                <w:sz w:val="21"/>
                <w:szCs w:val="21"/>
                <w:lang w:val="en-US" w:eastAsia="zh-CN" w:bidi="ar"/>
              </w:rPr>
              <w:t>2</w:t>
            </w:r>
          </w:p>
        </w:tc>
        <w:tc>
          <w:tcPr>
            <w:tcW w:w="1656" w:type="dxa"/>
            <w:gridSpan w:val="2"/>
            <w:shd w:val="clear" w:color="000000" w:fill="FFFFFF"/>
            <w:vAlign w:val="center"/>
          </w:tcPr>
          <w:p w14:paraId="07673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理学、工学、医学、农学</w:t>
            </w:r>
          </w:p>
        </w:tc>
        <w:tc>
          <w:tcPr>
            <w:tcW w:w="1512" w:type="dxa"/>
            <w:gridSpan w:val="2"/>
            <w:shd w:val="clear" w:color="000000" w:fill="FFFFFF"/>
            <w:vAlign w:val="center"/>
          </w:tcPr>
          <w:p w14:paraId="1988AC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16</w:t>
            </w:r>
          </w:p>
        </w:tc>
        <w:tc>
          <w:tcPr>
            <w:tcW w:w="1812" w:type="dxa"/>
            <w:gridSpan w:val="2"/>
            <w:vMerge w:val="continue"/>
            <w:shd w:val="clear" w:color="000000" w:fill="FFFFFF"/>
            <w:vAlign w:val="center"/>
          </w:tcPr>
          <w:p w14:paraId="354B0C28">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bl>
    <w:p w14:paraId="276F647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6E6FF3E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2230F1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48926D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4C8F2D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60756B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8C973D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698DE2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5145A2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4E1F09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2A3F01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07EACDA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34AEBA7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53F1F15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1C52F4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4A28F5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9624ED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977E42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2CBFDE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7B52635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12" w:name="_Toc9227"/>
      <w:bookmarkStart w:id="213" w:name="_Toc24216"/>
      <w:bookmarkStart w:id="214" w:name="_Toc10097"/>
      <w:bookmarkStart w:id="215" w:name="_Toc24398"/>
      <w:bookmarkStart w:id="216" w:name="_Toc25739"/>
      <w:r>
        <w:rPr>
          <w:rFonts w:eastAsia="方正小标宋简体"/>
          <w:sz w:val="44"/>
          <w:szCs w:val="44"/>
          <w:highlight w:val="none"/>
        </w:rPr>
        <w:t>成都索贝数码科技股份有限公司</w:t>
      </w:r>
      <w:bookmarkEnd w:id="212"/>
      <w:bookmarkEnd w:id="213"/>
      <w:bookmarkEnd w:id="214"/>
      <w:bookmarkEnd w:id="215"/>
      <w:bookmarkEnd w:id="216"/>
    </w:p>
    <w:tbl>
      <w:tblPr>
        <w:tblStyle w:val="25"/>
        <w:tblpPr w:leftFromText="180" w:rightFromText="180" w:vertAnchor="text" w:horzAnchor="page" w:tblpXSpec="center" w:tblpY="242"/>
        <w:tblOverlap w:val="never"/>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782"/>
        <w:gridCol w:w="750"/>
        <w:gridCol w:w="430"/>
        <w:gridCol w:w="1276"/>
        <w:gridCol w:w="1626"/>
        <w:gridCol w:w="425"/>
        <w:gridCol w:w="1140"/>
        <w:gridCol w:w="174"/>
        <w:gridCol w:w="1849"/>
      </w:tblGrid>
      <w:tr w14:paraId="5F4C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6CC22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97" w:type="dxa"/>
            <w:gridSpan w:val="2"/>
            <w:shd w:val="clear" w:color="000000" w:fill="FFFFFF"/>
            <w:noWrap/>
            <w:vAlign w:val="center"/>
          </w:tcPr>
          <w:p w14:paraId="0968D55B">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其他</w:t>
            </w:r>
          </w:p>
        </w:tc>
        <w:tc>
          <w:tcPr>
            <w:tcW w:w="1667" w:type="dxa"/>
            <w:gridSpan w:val="2"/>
            <w:shd w:val="clear" w:color="auto" w:fill="E7E6E6" w:themeFill="background2"/>
            <w:noWrap/>
            <w:vAlign w:val="center"/>
          </w:tcPr>
          <w:p w14:paraId="0AFDAE9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7890628A">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4BFC31D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45E1575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352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BF0C7E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26849FB6">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四川省成都市高新区新园南二路2号</w:t>
            </w:r>
          </w:p>
        </w:tc>
      </w:tr>
      <w:tr w14:paraId="575D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271" w:type="dxa"/>
            <w:shd w:val="clear" w:color="auto" w:fill="E7E6E6" w:themeFill="background2"/>
            <w:noWrap/>
            <w:vAlign w:val="center"/>
          </w:tcPr>
          <w:p w14:paraId="1B82931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1600D343">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成都索贝数码科技股份有限公司，成立于 1997 年，20 余年来始终坚持自主创新，核心突破 AI、大数据、云计算、区块链等高新技术，在超高清、融合媒体、智慧媒体、媒体云等市场持续领跑，拥有 74 件专利，436 件软件著作权，先后荣获国家科技进步一等奖、多项省部级科技进步一等奖、IABM Peter Wayne 年度大奖等国内外重要荣誉，是国家高新技术企业、国家规划布局内重点软件企业、国家文化出口重点企业、国家科技与文化融合示范基地、国家级企业技术中心，已成为名副其实的世界级专业视频技术解决方案提供商及视频技术创新工场。</w:t>
            </w:r>
          </w:p>
        </w:tc>
      </w:tr>
      <w:tr w14:paraId="0446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1271" w:type="dxa"/>
            <w:shd w:val="clear" w:color="auto" w:fill="E7E6E6" w:themeFill="background2"/>
            <w:noWrap/>
            <w:vAlign w:val="center"/>
          </w:tcPr>
          <w:p w14:paraId="27F7568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7CF35EA2">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lang w:val="en-US" w:eastAsia="zh-CN"/>
              </w:rPr>
              <w:t>1、</w:t>
            </w:r>
            <w:r>
              <w:rPr>
                <w:rFonts w:hint="eastAsia" w:eastAsiaTheme="minorEastAsia"/>
                <w:sz w:val="21"/>
                <w:szCs w:val="21"/>
              </w:rPr>
              <w:t>可为博士后研究人员提供主要仪器设备、专业实验室及其他科研后勤条件；</w:t>
            </w:r>
          </w:p>
          <w:p w14:paraId="1B4F46A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eastAsiaTheme="minorEastAsia"/>
                <w:sz w:val="21"/>
                <w:szCs w:val="21"/>
              </w:rPr>
            </w:pPr>
            <w:r>
              <w:rPr>
                <w:rFonts w:hint="eastAsia" w:eastAsiaTheme="minorEastAsia"/>
                <w:sz w:val="21"/>
                <w:szCs w:val="21"/>
                <w:lang w:val="en-US" w:eastAsia="zh-CN"/>
              </w:rPr>
              <w:t>2、</w:t>
            </w:r>
            <w:r>
              <w:rPr>
                <w:rFonts w:hint="eastAsia" w:eastAsiaTheme="minorEastAsia"/>
                <w:sz w:val="21"/>
                <w:szCs w:val="21"/>
              </w:rPr>
              <w:t>可为博士后研究人员提供住房、博士后日常经费及其他后勤保障情况；</w:t>
            </w:r>
          </w:p>
          <w:p w14:paraId="1BA3744D">
            <w:pPr>
              <w:adjustRightInd w:val="0"/>
              <w:snapToGrid w:val="0"/>
              <w:spacing w:line="360" w:lineRule="auto"/>
              <w:ind w:firstLine="420" w:firstLineChars="200"/>
              <w:rPr>
                <w:rFonts w:eastAsiaTheme="minorEastAsia"/>
                <w:sz w:val="21"/>
                <w:szCs w:val="21"/>
              </w:rPr>
            </w:pPr>
            <w:r>
              <w:rPr>
                <w:rFonts w:hint="eastAsia" w:eastAsiaTheme="minorEastAsia"/>
                <w:sz w:val="21"/>
                <w:szCs w:val="21"/>
                <w:lang w:val="en-US" w:eastAsia="zh-CN"/>
              </w:rPr>
              <w:t>3、</w:t>
            </w:r>
            <w:r>
              <w:rPr>
                <w:rFonts w:hint="eastAsia" w:eastAsiaTheme="minorEastAsia"/>
                <w:sz w:val="21"/>
                <w:szCs w:val="21"/>
              </w:rPr>
              <w:t>可为博士后研究人员提供科研经费和工资福利。</w:t>
            </w:r>
          </w:p>
        </w:tc>
      </w:tr>
      <w:tr w14:paraId="28B8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35" w:type="dxa"/>
            <w:gridSpan w:val="2"/>
            <w:shd w:val="clear" w:color="auto" w:fill="E7E6E6" w:themeFill="background2"/>
            <w:noWrap/>
            <w:vAlign w:val="center"/>
          </w:tcPr>
          <w:p w14:paraId="583438E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53" w:type="dxa"/>
            <w:gridSpan w:val="2"/>
            <w:shd w:val="clear" w:color="auto" w:fill="E7E6E6" w:themeFill="background2"/>
            <w:vAlign w:val="center"/>
          </w:tcPr>
          <w:p w14:paraId="5C186E0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47" w:type="dxa"/>
            <w:shd w:val="clear" w:color="auto" w:fill="E7E6E6" w:themeFill="background2"/>
            <w:vAlign w:val="center"/>
          </w:tcPr>
          <w:p w14:paraId="52736CE4">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04" w:type="dxa"/>
            <w:gridSpan w:val="2"/>
            <w:shd w:val="clear" w:color="auto" w:fill="E7E6E6" w:themeFill="background2"/>
            <w:vAlign w:val="center"/>
          </w:tcPr>
          <w:p w14:paraId="18C26DF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B097FF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vAlign w:val="center"/>
          </w:tcPr>
          <w:p w14:paraId="4134DD1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62CFCF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07" w:type="dxa"/>
            <w:shd w:val="clear" w:color="auto" w:fill="E7E6E6" w:themeFill="background2"/>
            <w:vAlign w:val="center"/>
          </w:tcPr>
          <w:p w14:paraId="3D204BE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51D620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A60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35" w:type="dxa"/>
            <w:gridSpan w:val="2"/>
            <w:shd w:val="clear" w:color="000000" w:fill="FFFFFF"/>
            <w:noWrap/>
            <w:vAlign w:val="center"/>
          </w:tcPr>
          <w:p w14:paraId="16A4E2B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基于大模型的跨模态内容语义理解与可控生成技术研究及应用</w:t>
            </w:r>
          </w:p>
        </w:tc>
        <w:tc>
          <w:tcPr>
            <w:tcW w:w="1153" w:type="dxa"/>
            <w:gridSpan w:val="2"/>
            <w:shd w:val="clear" w:color="000000" w:fill="FFFFFF"/>
            <w:vAlign w:val="center"/>
          </w:tcPr>
          <w:p w14:paraId="7FE1073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47" w:type="dxa"/>
            <w:shd w:val="clear" w:color="000000" w:fill="FFFFFF"/>
            <w:vAlign w:val="center"/>
          </w:tcPr>
          <w:p w14:paraId="627E322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2004" w:type="dxa"/>
            <w:gridSpan w:val="2"/>
            <w:shd w:val="clear" w:color="000000" w:fill="FFFFFF"/>
            <w:vAlign w:val="center"/>
          </w:tcPr>
          <w:p w14:paraId="786A782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计算机科学与技术</w:t>
            </w:r>
          </w:p>
        </w:tc>
        <w:tc>
          <w:tcPr>
            <w:tcW w:w="1284" w:type="dxa"/>
            <w:gridSpan w:val="2"/>
            <w:shd w:val="clear" w:color="000000" w:fill="FFFFFF"/>
            <w:vAlign w:val="center"/>
          </w:tcPr>
          <w:p w14:paraId="6B05895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30-40万/年</w:t>
            </w:r>
          </w:p>
        </w:tc>
        <w:tc>
          <w:tcPr>
            <w:tcW w:w="1807" w:type="dxa"/>
            <w:shd w:val="clear" w:color="000000" w:fill="FFFFFF"/>
            <w:vAlign w:val="center"/>
          </w:tcPr>
          <w:p w14:paraId="40FB185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不限</w:t>
            </w:r>
          </w:p>
        </w:tc>
      </w:tr>
      <w:tr w14:paraId="623A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35" w:type="dxa"/>
            <w:gridSpan w:val="2"/>
            <w:shd w:val="clear" w:color="000000" w:fill="FFFFFF"/>
            <w:noWrap/>
            <w:vAlign w:val="center"/>
          </w:tcPr>
          <w:p w14:paraId="406B99F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基于生成式的媒体内容可控编辑方法研究</w:t>
            </w:r>
          </w:p>
        </w:tc>
        <w:tc>
          <w:tcPr>
            <w:tcW w:w="1153" w:type="dxa"/>
            <w:gridSpan w:val="2"/>
            <w:shd w:val="clear" w:color="000000" w:fill="FFFFFF"/>
            <w:vAlign w:val="center"/>
          </w:tcPr>
          <w:p w14:paraId="1DCFAE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47" w:type="dxa"/>
            <w:shd w:val="clear" w:color="000000" w:fill="FFFFFF"/>
            <w:vAlign w:val="center"/>
          </w:tcPr>
          <w:p w14:paraId="721B83C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2004" w:type="dxa"/>
            <w:gridSpan w:val="2"/>
            <w:shd w:val="clear" w:color="000000" w:fill="FFFFFF"/>
            <w:vAlign w:val="center"/>
          </w:tcPr>
          <w:p w14:paraId="36ED4F5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计算机科学与技术</w:t>
            </w:r>
          </w:p>
        </w:tc>
        <w:tc>
          <w:tcPr>
            <w:tcW w:w="1284" w:type="dxa"/>
            <w:gridSpan w:val="2"/>
            <w:shd w:val="clear" w:color="000000" w:fill="FFFFFF"/>
            <w:vAlign w:val="center"/>
          </w:tcPr>
          <w:p w14:paraId="09B14F7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30-40万/年</w:t>
            </w:r>
          </w:p>
        </w:tc>
        <w:tc>
          <w:tcPr>
            <w:tcW w:w="1807" w:type="dxa"/>
            <w:shd w:val="clear" w:color="000000" w:fill="FFFFFF"/>
            <w:vAlign w:val="center"/>
          </w:tcPr>
          <w:p w14:paraId="7D5D22D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不限</w:t>
            </w:r>
          </w:p>
        </w:tc>
      </w:tr>
    </w:tbl>
    <w:p w14:paraId="7F963410">
      <w:pPr>
        <w:pStyle w:val="33"/>
        <w:keepNext w:val="0"/>
        <w:keepLines w:val="0"/>
        <w:pageBreakBefore w:val="0"/>
        <w:widowControl w:val="0"/>
        <w:kinsoku/>
        <w:wordWrap/>
        <w:overflowPunct/>
        <w:topLinePunct w:val="0"/>
        <w:autoSpaceDE/>
        <w:autoSpaceDN/>
        <w:bidi w:val="0"/>
        <w:spacing w:line="240" w:lineRule="auto"/>
        <w:textAlignment w:val="auto"/>
        <w:rPr>
          <w:sz w:val="21"/>
          <w:szCs w:val="21"/>
        </w:rPr>
      </w:pPr>
    </w:p>
    <w:p w14:paraId="4371B6A3">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64A19462">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方正小标宋简体"/>
          <w:sz w:val="44"/>
          <w:szCs w:val="44"/>
        </w:rPr>
      </w:pPr>
    </w:p>
    <w:p w14:paraId="0AD15AAA">
      <w:pPr>
        <w:adjustRightInd w:val="0"/>
        <w:snapToGrid w:val="0"/>
        <w:spacing w:line="240" w:lineRule="auto"/>
        <w:ind w:firstLine="0"/>
        <w:jc w:val="center"/>
        <w:outlineLvl w:val="0"/>
        <w:rPr>
          <w:rFonts w:eastAsia="方正小标宋简体"/>
          <w:sz w:val="44"/>
          <w:szCs w:val="44"/>
          <w:highlight w:val="yellow"/>
        </w:rPr>
      </w:pPr>
      <w:bookmarkStart w:id="217" w:name="_Toc21962"/>
      <w:bookmarkStart w:id="218" w:name="_Toc3049"/>
      <w:bookmarkStart w:id="219" w:name="_Toc19587"/>
      <w:bookmarkStart w:id="220" w:name="_Toc31841"/>
      <w:bookmarkStart w:id="221" w:name="_Toc24811"/>
      <w:r>
        <w:rPr>
          <w:rFonts w:eastAsia="方正小标宋简体"/>
          <w:sz w:val="44"/>
          <w:szCs w:val="44"/>
          <w:highlight w:val="none"/>
        </w:rPr>
        <w:t>成都体育学院附属体育医院</w:t>
      </w:r>
      <w:bookmarkEnd w:id="217"/>
      <w:bookmarkEnd w:id="218"/>
      <w:bookmarkEnd w:id="219"/>
      <w:bookmarkEnd w:id="220"/>
      <w:bookmarkEnd w:id="221"/>
    </w:p>
    <w:p w14:paraId="17135A4E">
      <w:pPr>
        <w:adjustRightInd w:val="0"/>
        <w:snapToGrid w:val="0"/>
        <w:spacing w:line="240" w:lineRule="auto"/>
        <w:ind w:firstLine="0"/>
        <w:jc w:val="left"/>
        <w:rPr>
          <w:rFonts w:eastAsia="宋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230"/>
        <w:gridCol w:w="151"/>
        <w:gridCol w:w="918"/>
        <w:gridCol w:w="866"/>
        <w:gridCol w:w="995"/>
        <w:gridCol w:w="1581"/>
        <w:gridCol w:w="323"/>
        <w:gridCol w:w="2403"/>
      </w:tblGrid>
      <w:tr w14:paraId="03B8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9" w:type="dxa"/>
            <w:shd w:val="clear" w:color="auto" w:fill="E7E6E6" w:themeFill="background2"/>
            <w:noWrap/>
            <w:vAlign w:val="center"/>
          </w:tcPr>
          <w:p w14:paraId="2EB63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bCs/>
                <w:sz w:val="21"/>
                <w:szCs w:val="21"/>
              </w:rPr>
            </w:pPr>
            <w:r>
              <w:rPr>
                <w:rFonts w:eastAsiaTheme="minorEastAsia"/>
                <w:b/>
                <w:bCs/>
                <w:sz w:val="21"/>
                <w:szCs w:val="21"/>
              </w:rPr>
              <w:t>单位性质</w:t>
            </w:r>
          </w:p>
        </w:tc>
        <w:tc>
          <w:tcPr>
            <w:tcW w:w="1364" w:type="dxa"/>
            <w:gridSpan w:val="2"/>
            <w:shd w:val="clear" w:color="000000" w:fill="FFFFFF"/>
            <w:noWrap/>
            <w:vAlign w:val="center"/>
          </w:tcPr>
          <w:p w14:paraId="0674F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rFonts w:eastAsiaTheme="minorEastAsia"/>
                <w:sz w:val="21"/>
                <w:szCs w:val="21"/>
              </w:rPr>
              <w:t>医疗机构</w:t>
            </w:r>
          </w:p>
        </w:tc>
        <w:tc>
          <w:tcPr>
            <w:tcW w:w="1763" w:type="dxa"/>
            <w:gridSpan w:val="2"/>
            <w:shd w:val="clear" w:color="auto" w:fill="E7E6E6" w:themeFill="background2"/>
            <w:noWrap/>
            <w:vAlign w:val="center"/>
          </w:tcPr>
          <w:p w14:paraId="53847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bCs/>
                <w:sz w:val="21"/>
                <w:szCs w:val="21"/>
              </w:rPr>
            </w:pPr>
            <w:r>
              <w:rPr>
                <w:rFonts w:eastAsiaTheme="minorEastAsia"/>
                <w:b/>
                <w:bCs/>
                <w:sz w:val="21"/>
                <w:szCs w:val="21"/>
              </w:rPr>
              <w:t>设站单位类型</w:t>
            </w:r>
          </w:p>
        </w:tc>
        <w:tc>
          <w:tcPr>
            <w:tcW w:w="983" w:type="dxa"/>
            <w:shd w:val="clear" w:color="000000" w:fill="FFFFFF"/>
            <w:noWrap/>
            <w:vAlign w:val="center"/>
          </w:tcPr>
          <w:p w14:paraId="56B13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rFonts w:eastAsiaTheme="minorEastAsia"/>
                <w:sz w:val="21"/>
                <w:szCs w:val="21"/>
              </w:rPr>
              <w:t>工作站</w:t>
            </w:r>
          </w:p>
        </w:tc>
        <w:tc>
          <w:tcPr>
            <w:tcW w:w="1562" w:type="dxa"/>
            <w:shd w:val="clear" w:color="auto" w:fill="E7E6E6" w:themeFill="background2"/>
            <w:noWrap/>
            <w:vAlign w:val="center"/>
          </w:tcPr>
          <w:p w14:paraId="16F28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bCs/>
                <w:sz w:val="21"/>
                <w:szCs w:val="21"/>
              </w:rPr>
            </w:pPr>
            <w:r>
              <w:rPr>
                <w:rFonts w:eastAsiaTheme="minorEastAsia"/>
                <w:b/>
                <w:bCs/>
                <w:sz w:val="21"/>
                <w:szCs w:val="21"/>
              </w:rPr>
              <w:t>单位所在城市</w:t>
            </w:r>
          </w:p>
        </w:tc>
        <w:tc>
          <w:tcPr>
            <w:tcW w:w="2693" w:type="dxa"/>
            <w:gridSpan w:val="2"/>
            <w:shd w:val="clear" w:color="000000" w:fill="FFFFFF"/>
            <w:noWrap/>
            <w:vAlign w:val="center"/>
          </w:tcPr>
          <w:p w14:paraId="59341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rFonts w:eastAsiaTheme="minorEastAsia"/>
                <w:sz w:val="21"/>
                <w:szCs w:val="21"/>
              </w:rPr>
              <w:t>成都</w:t>
            </w:r>
          </w:p>
        </w:tc>
      </w:tr>
      <w:tr w14:paraId="64A7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9" w:type="dxa"/>
            <w:shd w:val="clear" w:color="auto" w:fill="E7E6E6" w:themeFill="background2"/>
            <w:noWrap/>
            <w:vAlign w:val="center"/>
          </w:tcPr>
          <w:p w14:paraId="3923E6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bCs/>
                <w:sz w:val="21"/>
                <w:szCs w:val="21"/>
              </w:rPr>
            </w:pPr>
            <w:r>
              <w:rPr>
                <w:rFonts w:eastAsiaTheme="minorEastAsia"/>
                <w:b/>
                <w:bCs/>
                <w:sz w:val="21"/>
                <w:szCs w:val="21"/>
              </w:rPr>
              <w:t>通讯地址</w:t>
            </w:r>
          </w:p>
        </w:tc>
        <w:tc>
          <w:tcPr>
            <w:tcW w:w="8365" w:type="dxa"/>
            <w:gridSpan w:val="8"/>
            <w:shd w:val="clear" w:color="000000" w:fill="FFFFFF"/>
            <w:noWrap/>
            <w:vAlign w:val="center"/>
          </w:tcPr>
          <w:p w14:paraId="75BB46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成都市武侯区武侯祠大街251号</w:t>
            </w:r>
          </w:p>
        </w:tc>
      </w:tr>
      <w:tr w14:paraId="2A92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0" w:hRule="atLeast"/>
          <w:jc w:val="center"/>
        </w:trPr>
        <w:tc>
          <w:tcPr>
            <w:tcW w:w="1269" w:type="dxa"/>
            <w:shd w:val="clear" w:color="auto" w:fill="E7E6E6" w:themeFill="background2"/>
            <w:noWrap/>
            <w:vAlign w:val="center"/>
          </w:tcPr>
          <w:p w14:paraId="0A669E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5" w:type="dxa"/>
            <w:gridSpan w:val="8"/>
            <w:shd w:val="clear" w:color="000000" w:fill="FFFFFF"/>
            <w:vAlign w:val="center"/>
          </w:tcPr>
          <w:p w14:paraId="559C5F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体育学院附属体育医院隶属于成都体育学院，注册于四川省中医药管理局，是一所三级甲等中医骨伤专科医院。医院以中医骨伤、运动医学、康复医学为主要诊疗领域，集“临床、教学、科研与高水平运动队科技服务”为一体，是成都体育学院创建运动医学世界一流学科的重要支撑单位，依托四川省运动医学重点实验室、全国博士后科研工作站、四川省博士后创新实践基地、郑怀贤骨伤研究所、中医骨伤教研室、标准化制剂室等教学、科研及成果转化平台，开展中医诊疗在运动领域的传承创新。医院坚持“体医融合”，常年为国家运动队提供医疗保障和奥运科技攻关服务，为国家、社会、行业和地方经济建设做出了积极贡献，被业界誉为“队医的摇篮”。</w:t>
            </w:r>
          </w:p>
        </w:tc>
      </w:tr>
      <w:tr w14:paraId="1464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1269" w:type="dxa"/>
            <w:shd w:val="clear" w:color="auto" w:fill="E7E6E6" w:themeFill="background2"/>
            <w:noWrap/>
            <w:vAlign w:val="center"/>
          </w:tcPr>
          <w:p w14:paraId="214DBD3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5" w:type="dxa"/>
            <w:gridSpan w:val="8"/>
            <w:shd w:val="clear" w:color="000000" w:fill="FFFFFF"/>
            <w:vAlign w:val="center"/>
          </w:tcPr>
          <w:p w14:paraId="10340A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研究人员在站时间一般为3年，最短不低于21个月，从事博士后研究工作总时长不超过6年。博士后资助经费分为2个类别，根据申请者近五年科研成果进行确定，第一类资助标准为21-66万元/人，第二类资助标准约为21-58万元/人；根据在站完成的科研业绩及出站考核结果再予以一类6-15万元/人、二类5-12万元/人的按期出站奖励。博士后在站期间，我院按规定为其参加五险一金。</w:t>
            </w:r>
          </w:p>
        </w:tc>
      </w:tr>
      <w:tr w14:paraId="2ECC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269" w:type="dxa"/>
            <w:shd w:val="clear" w:color="auto" w:fill="E7E6E6" w:themeFill="background2"/>
            <w:noWrap/>
            <w:vAlign w:val="center"/>
          </w:tcPr>
          <w:p w14:paraId="06EDB0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项目名称</w:t>
            </w:r>
          </w:p>
        </w:tc>
        <w:tc>
          <w:tcPr>
            <w:tcW w:w="1215" w:type="dxa"/>
            <w:shd w:val="clear" w:color="auto" w:fill="E7E6E6" w:themeFill="background2"/>
            <w:vAlign w:val="center"/>
          </w:tcPr>
          <w:p w14:paraId="3B6E05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需求人数</w:t>
            </w:r>
          </w:p>
        </w:tc>
        <w:tc>
          <w:tcPr>
            <w:tcW w:w="1056" w:type="dxa"/>
            <w:gridSpan w:val="2"/>
            <w:shd w:val="clear" w:color="auto" w:fill="E7E6E6" w:themeFill="background2"/>
            <w:vAlign w:val="center"/>
          </w:tcPr>
          <w:p w14:paraId="6ACCD9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eastAsiaTheme="minorEastAsia"/>
                <w:b/>
                <w:bCs/>
                <w:sz w:val="21"/>
                <w:szCs w:val="21"/>
              </w:rPr>
            </w:pPr>
            <w:r>
              <w:rPr>
                <w:rFonts w:eastAsiaTheme="minorEastAsia"/>
                <w:b/>
                <w:bCs/>
                <w:sz w:val="21"/>
                <w:szCs w:val="21"/>
              </w:rPr>
              <w:t>岗位编号</w:t>
            </w:r>
          </w:p>
        </w:tc>
        <w:tc>
          <w:tcPr>
            <w:tcW w:w="1839" w:type="dxa"/>
            <w:gridSpan w:val="2"/>
            <w:shd w:val="clear" w:color="auto" w:fill="E7E6E6" w:themeFill="background2"/>
            <w:vAlign w:val="center"/>
          </w:tcPr>
          <w:p w14:paraId="2FA536A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7DC056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881" w:type="dxa"/>
            <w:gridSpan w:val="2"/>
            <w:shd w:val="clear" w:color="auto" w:fill="E7E6E6" w:themeFill="background2"/>
            <w:vAlign w:val="center"/>
          </w:tcPr>
          <w:p w14:paraId="497FFCB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ED06CE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74" w:type="dxa"/>
            <w:shd w:val="clear" w:color="auto" w:fill="E7E6E6" w:themeFill="background2"/>
            <w:vAlign w:val="center"/>
          </w:tcPr>
          <w:p w14:paraId="408153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D7A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1269" w:type="dxa"/>
            <w:shd w:val="clear" w:color="000000" w:fill="FFFFFF"/>
            <w:noWrap/>
            <w:vAlign w:val="center"/>
          </w:tcPr>
          <w:p w14:paraId="4C51D77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运动康复与伤病防治技术研究</w:t>
            </w:r>
          </w:p>
        </w:tc>
        <w:tc>
          <w:tcPr>
            <w:tcW w:w="1215" w:type="dxa"/>
            <w:shd w:val="clear" w:color="000000" w:fill="FFFFFF"/>
            <w:vAlign w:val="center"/>
          </w:tcPr>
          <w:p w14:paraId="2980224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56" w:type="dxa"/>
            <w:gridSpan w:val="2"/>
            <w:shd w:val="clear" w:color="000000" w:fill="FFFFFF"/>
            <w:vAlign w:val="center"/>
          </w:tcPr>
          <w:p w14:paraId="543AB2E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01</w:t>
            </w:r>
          </w:p>
        </w:tc>
        <w:tc>
          <w:tcPr>
            <w:tcW w:w="1839" w:type="dxa"/>
            <w:gridSpan w:val="2"/>
            <w:shd w:val="clear" w:color="000000" w:fill="FFFFFF"/>
            <w:vAlign w:val="center"/>
          </w:tcPr>
          <w:p w14:paraId="0E1808E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中医学/运动医学/体育学/运动人体科学</w:t>
            </w:r>
          </w:p>
        </w:tc>
        <w:tc>
          <w:tcPr>
            <w:tcW w:w="1881" w:type="dxa"/>
            <w:gridSpan w:val="2"/>
            <w:vMerge w:val="restart"/>
            <w:shd w:val="clear" w:color="000000" w:fill="FFFFFF"/>
            <w:vAlign w:val="center"/>
          </w:tcPr>
          <w:p w14:paraId="48CF1BA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全职不低于25万元；在职</w:t>
            </w:r>
            <w:r>
              <w:rPr>
                <w:rFonts w:hint="default" w:ascii="Times New Roman" w:hAnsi="Times New Roman" w:cs="Times New Roman" w:eastAsiaTheme="minorEastAsia"/>
                <w:sz w:val="21"/>
                <w:szCs w:val="21"/>
              </w:rPr>
              <w:t>不低于</w:t>
            </w: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万元</w:t>
            </w:r>
          </w:p>
        </w:tc>
        <w:tc>
          <w:tcPr>
            <w:tcW w:w="2374" w:type="dxa"/>
            <w:vMerge w:val="restart"/>
            <w:shd w:val="clear" w:color="000000" w:fill="FFFFFF"/>
            <w:vAlign w:val="center"/>
          </w:tcPr>
          <w:p w14:paraId="4E87946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科研院所、医院、高校教师、近三年毕业博士（年龄35岁以下）</w:t>
            </w:r>
          </w:p>
        </w:tc>
      </w:tr>
      <w:tr w14:paraId="3968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269" w:type="dxa"/>
            <w:shd w:val="clear" w:color="000000" w:fill="FFFFFF"/>
            <w:noWrap/>
            <w:vAlign w:val="center"/>
          </w:tcPr>
          <w:p w14:paraId="33E3AF0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伤科方药/制剂研发</w:t>
            </w:r>
          </w:p>
        </w:tc>
        <w:tc>
          <w:tcPr>
            <w:tcW w:w="1215" w:type="dxa"/>
            <w:shd w:val="clear" w:color="000000" w:fill="FFFFFF"/>
            <w:vAlign w:val="center"/>
          </w:tcPr>
          <w:p w14:paraId="3CC5613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56" w:type="dxa"/>
            <w:gridSpan w:val="2"/>
            <w:shd w:val="clear" w:color="000000" w:fill="FFFFFF"/>
            <w:vAlign w:val="center"/>
          </w:tcPr>
          <w:p w14:paraId="6AD3DFF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02</w:t>
            </w:r>
          </w:p>
        </w:tc>
        <w:tc>
          <w:tcPr>
            <w:tcW w:w="1839" w:type="dxa"/>
            <w:gridSpan w:val="2"/>
            <w:shd w:val="clear" w:color="000000" w:fill="FFFFFF"/>
            <w:vAlign w:val="center"/>
          </w:tcPr>
          <w:p w14:paraId="4651928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中医学/药学</w:t>
            </w:r>
          </w:p>
        </w:tc>
        <w:tc>
          <w:tcPr>
            <w:tcW w:w="1881" w:type="dxa"/>
            <w:gridSpan w:val="2"/>
            <w:vMerge w:val="continue"/>
            <w:shd w:val="clear" w:color="000000" w:fill="FFFFFF"/>
            <w:vAlign w:val="center"/>
          </w:tcPr>
          <w:p w14:paraId="782C467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2374" w:type="dxa"/>
            <w:vMerge w:val="continue"/>
            <w:shd w:val="clear" w:color="000000" w:fill="FFFFFF"/>
            <w:vAlign w:val="center"/>
          </w:tcPr>
          <w:p w14:paraId="1BA195A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7CCC0EF0">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3EF99166">
      <w:pPr>
        <w:pStyle w:val="5"/>
        <w:adjustRightInd w:val="0"/>
        <w:snapToGrid w:val="0"/>
        <w:spacing w:line="240" w:lineRule="auto"/>
        <w:ind w:firstLine="0"/>
        <w:jc w:val="center"/>
        <w:rPr>
          <w:rFonts w:eastAsia="方正小标宋简体"/>
          <w:sz w:val="44"/>
          <w:szCs w:val="44"/>
        </w:rPr>
      </w:pPr>
    </w:p>
    <w:p w14:paraId="31F8DFA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22" w:name="_Toc28634"/>
      <w:bookmarkStart w:id="223" w:name="_Toc2020"/>
      <w:bookmarkStart w:id="224" w:name="_Toc24952"/>
      <w:bookmarkStart w:id="225" w:name="_Toc19754"/>
      <w:bookmarkStart w:id="226" w:name="_Toc740"/>
      <w:r>
        <w:rPr>
          <w:rFonts w:hint="eastAsia" w:eastAsia="方正小标宋简体"/>
          <w:sz w:val="44"/>
          <w:szCs w:val="44"/>
          <w:highlight w:val="none"/>
        </w:rPr>
        <w:t>成都天奥集团有限公司</w:t>
      </w:r>
      <w:bookmarkEnd w:id="222"/>
      <w:bookmarkEnd w:id="223"/>
      <w:bookmarkEnd w:id="224"/>
      <w:bookmarkEnd w:id="225"/>
      <w:bookmarkEnd w:id="226"/>
    </w:p>
    <w:p w14:paraId="6290A65C">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3C58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982357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FABFBE0">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640" w:type="dxa"/>
            <w:gridSpan w:val="2"/>
            <w:shd w:val="clear" w:color="auto" w:fill="E7E6E6" w:themeFill="background2"/>
            <w:noWrap/>
            <w:vAlign w:val="center"/>
          </w:tcPr>
          <w:p w14:paraId="133896C3">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E76C620">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5944CF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6AEA9D4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0E2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7715C0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2F247A9B">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成都市金牛区营康西路85号</w:t>
            </w:r>
          </w:p>
        </w:tc>
      </w:tr>
      <w:tr w14:paraId="06B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271" w:type="dxa"/>
            <w:shd w:val="clear" w:color="auto" w:fill="E7E6E6" w:themeFill="background2"/>
            <w:noWrap/>
            <w:vAlign w:val="center"/>
          </w:tcPr>
          <w:p w14:paraId="2EA9A84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5011C9A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天奥集团有限公司博士后工作站成立于2000年，设有信号处理、蒙皮天线、太赫兹技术等研究方向。工作站与电子科技大学博士后流动站合作，联合招收博士后，由中国电子科技集团公司第十研究所进行管理，十所建所至今，先后荣获了200多项省部级以上科技成果奖，其中10项获国家科技进步特等奖、8项获国家科技进步一等奖、18项获国家科技进步二等奖，已经成为国防军事电子信息装备的创造者，国家高端电子信息产业的引领者。</w:t>
            </w:r>
          </w:p>
        </w:tc>
      </w:tr>
      <w:tr w14:paraId="5C3A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271" w:type="dxa"/>
            <w:shd w:val="clear" w:color="auto" w:fill="E7E6E6" w:themeFill="background2"/>
            <w:noWrap/>
            <w:vAlign w:val="center"/>
          </w:tcPr>
          <w:p w14:paraId="222449E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0C2C5B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一、博士后在站期限为两年，期满后出站。由于科研项目或课题进展等原因，要求延长期限的，由本人申请，专家确认，经工作站和联合培养流动站单位同意，可适当延长。</w:t>
            </w:r>
          </w:p>
          <w:p w14:paraId="4691890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二、博士后根据工作站提供的科研项目通过调研，在三个月内完成科研项目立项可行性研究报告。</w:t>
            </w:r>
          </w:p>
          <w:p w14:paraId="2508A0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三、博士后入站一年及工作期满，由管理办公室组织所内外专家对博士后开展中期考核及结题考核。</w:t>
            </w:r>
          </w:p>
          <w:p w14:paraId="29CE7C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四、博士后在站期间，不能申请到国外（境外）做博士后或进修。</w:t>
            </w:r>
          </w:p>
          <w:p w14:paraId="2A3ED7D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五、由工作站办公室从博士后报到进站的当月起，按每年6~8万元的年薪标准，按月度发放。根据中期考核和结题考核的结论发放2~4万元的绩效工资。</w:t>
            </w:r>
          </w:p>
        </w:tc>
      </w:tr>
      <w:tr w14:paraId="511A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6F78C36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2412121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625738C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0EFB572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8F4B0D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041E2F5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B1F48B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5100C87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4B9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337A376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特征向量矩阵病态分析</w:t>
            </w:r>
          </w:p>
        </w:tc>
        <w:tc>
          <w:tcPr>
            <w:tcW w:w="1176" w:type="dxa"/>
            <w:shd w:val="clear" w:color="000000" w:fill="FFFFFF"/>
            <w:vAlign w:val="center"/>
          </w:tcPr>
          <w:p w14:paraId="379BC5F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2E33013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22" w:type="dxa"/>
            <w:gridSpan w:val="2"/>
            <w:shd w:val="clear" w:color="000000" w:fill="FFFFFF"/>
            <w:vAlign w:val="center"/>
          </w:tcPr>
          <w:p w14:paraId="115DA20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信息与通信工程</w:t>
            </w:r>
          </w:p>
        </w:tc>
        <w:tc>
          <w:tcPr>
            <w:tcW w:w="1399" w:type="dxa"/>
            <w:gridSpan w:val="2"/>
            <w:shd w:val="clear" w:color="000000" w:fill="FFFFFF"/>
            <w:vAlign w:val="center"/>
          </w:tcPr>
          <w:p w14:paraId="24D82B5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2550" w:type="dxa"/>
            <w:gridSpan w:val="2"/>
            <w:vMerge w:val="restart"/>
            <w:shd w:val="clear" w:color="000000" w:fill="FFFFFF"/>
            <w:vAlign w:val="center"/>
          </w:tcPr>
          <w:p w14:paraId="4591F4F9">
            <w:pPr>
              <w:adjustRightInd w:val="0"/>
              <w:snapToGrid w:val="0"/>
              <w:spacing w:line="240" w:lineRule="auto"/>
              <w:ind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无</w:t>
            </w:r>
          </w:p>
        </w:tc>
      </w:tr>
      <w:tr w14:paraId="7A96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4E28770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太赫兹技术研究</w:t>
            </w:r>
          </w:p>
        </w:tc>
        <w:tc>
          <w:tcPr>
            <w:tcW w:w="1176" w:type="dxa"/>
            <w:shd w:val="clear" w:color="000000" w:fill="FFFFFF"/>
            <w:vAlign w:val="center"/>
          </w:tcPr>
          <w:p w14:paraId="317F152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57100CF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22" w:type="dxa"/>
            <w:gridSpan w:val="2"/>
            <w:shd w:val="clear" w:color="000000" w:fill="FFFFFF"/>
            <w:vAlign w:val="center"/>
          </w:tcPr>
          <w:p w14:paraId="5620CBC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电子科学与技术</w:t>
            </w:r>
          </w:p>
        </w:tc>
        <w:tc>
          <w:tcPr>
            <w:tcW w:w="1399" w:type="dxa"/>
            <w:gridSpan w:val="2"/>
            <w:shd w:val="clear" w:color="000000" w:fill="FFFFFF"/>
            <w:vAlign w:val="center"/>
          </w:tcPr>
          <w:p w14:paraId="59D0EAE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2550" w:type="dxa"/>
            <w:gridSpan w:val="2"/>
            <w:vMerge w:val="continue"/>
            <w:shd w:val="clear" w:color="000000" w:fill="FFFFFF"/>
            <w:vAlign w:val="center"/>
          </w:tcPr>
          <w:p w14:paraId="205153A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15FEC1C4">
      <w:pPr>
        <w:pStyle w:val="5"/>
        <w:adjustRightInd w:val="0"/>
        <w:snapToGrid w:val="0"/>
        <w:spacing w:line="240" w:lineRule="auto"/>
        <w:ind w:firstLine="0"/>
        <w:jc w:val="center"/>
        <w:rPr>
          <w:rFonts w:eastAsia="方正小标宋简体"/>
          <w:sz w:val="44"/>
          <w:szCs w:val="44"/>
        </w:rPr>
      </w:pPr>
    </w:p>
    <w:p w14:paraId="71657B02">
      <w:pPr>
        <w:pStyle w:val="5"/>
        <w:adjustRightInd w:val="0"/>
        <w:snapToGrid w:val="0"/>
        <w:spacing w:line="240" w:lineRule="auto"/>
        <w:ind w:firstLine="0"/>
        <w:jc w:val="center"/>
        <w:outlineLvl w:val="0"/>
        <w:rPr>
          <w:rFonts w:eastAsia="方正小标宋简体"/>
          <w:sz w:val="44"/>
          <w:szCs w:val="44"/>
          <w:highlight w:val="yellow"/>
        </w:rPr>
      </w:pPr>
      <w:bookmarkStart w:id="227" w:name="_Toc18701"/>
      <w:bookmarkStart w:id="228" w:name="_Toc1756"/>
      <w:bookmarkStart w:id="229" w:name="_Toc15584"/>
      <w:bookmarkStart w:id="230" w:name="_Toc8455"/>
      <w:bookmarkStart w:id="231" w:name="_Toc29651"/>
      <w:r>
        <w:rPr>
          <w:rFonts w:hint="eastAsia" w:eastAsia="方正小标宋简体"/>
          <w:sz w:val="44"/>
          <w:szCs w:val="44"/>
          <w:highlight w:val="none"/>
        </w:rPr>
        <w:t>成都先导药物开发股份有限公司</w:t>
      </w:r>
      <w:bookmarkEnd w:id="227"/>
      <w:bookmarkEnd w:id="228"/>
      <w:bookmarkEnd w:id="229"/>
      <w:bookmarkEnd w:id="230"/>
      <w:bookmarkEnd w:id="231"/>
    </w:p>
    <w:p w14:paraId="664B4510">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4"/>
        <w:gridCol w:w="300"/>
        <w:gridCol w:w="412"/>
        <w:gridCol w:w="1216"/>
        <w:gridCol w:w="1621"/>
        <w:gridCol w:w="1622"/>
        <w:gridCol w:w="1786"/>
      </w:tblGrid>
      <w:tr w14:paraId="6381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19890B2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794" w:type="dxa"/>
            <w:gridSpan w:val="2"/>
            <w:shd w:val="clear" w:color="000000" w:fill="FFFFFF"/>
            <w:noWrap/>
            <w:vAlign w:val="center"/>
          </w:tcPr>
          <w:p w14:paraId="2A0F15A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外/合资企业</w:t>
            </w:r>
          </w:p>
        </w:tc>
        <w:tc>
          <w:tcPr>
            <w:tcW w:w="1628" w:type="dxa"/>
            <w:gridSpan w:val="2"/>
            <w:shd w:val="clear" w:color="auto" w:fill="E7E6E6" w:themeFill="background2"/>
            <w:noWrap/>
            <w:vAlign w:val="center"/>
          </w:tcPr>
          <w:p w14:paraId="5437CB2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621" w:type="dxa"/>
            <w:shd w:val="clear" w:color="000000" w:fill="FFFFFF"/>
            <w:noWrap/>
            <w:vAlign w:val="center"/>
          </w:tcPr>
          <w:p w14:paraId="137AE2E8">
            <w:pPr>
              <w:adjustRightInd w:val="0"/>
              <w:snapToGrid w:val="0"/>
              <w:spacing w:line="240" w:lineRule="auto"/>
              <w:ind w:firstLine="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工作站</w:t>
            </w:r>
          </w:p>
        </w:tc>
        <w:tc>
          <w:tcPr>
            <w:tcW w:w="1622" w:type="dxa"/>
            <w:shd w:val="clear" w:color="auto" w:fill="E7E6E6" w:themeFill="background2"/>
            <w:noWrap/>
            <w:vAlign w:val="center"/>
          </w:tcPr>
          <w:p w14:paraId="632A907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1786" w:type="dxa"/>
            <w:shd w:val="clear" w:color="000000" w:fill="FFFFFF"/>
            <w:noWrap/>
            <w:vAlign w:val="center"/>
          </w:tcPr>
          <w:p w14:paraId="70BB5E3E">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23E7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098660F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1" w:type="dxa"/>
            <w:gridSpan w:val="7"/>
            <w:shd w:val="clear" w:color="000000" w:fill="FFFFFF"/>
            <w:noWrap/>
            <w:vAlign w:val="center"/>
          </w:tcPr>
          <w:p w14:paraId="1324D323">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四川省</w:t>
            </w:r>
            <w:r>
              <w:rPr>
                <w:rFonts w:hint="default" w:ascii="Times New Roman" w:hAnsi="Times New Roman" w:cs="Times New Roman" w:eastAsiaTheme="minorEastAsia"/>
                <w:sz w:val="21"/>
                <w:szCs w:val="21"/>
              </w:rPr>
              <w:t>成都市双流区（天府国际生物城）慧谷东一路8号6栋</w:t>
            </w:r>
          </w:p>
        </w:tc>
      </w:tr>
      <w:tr w14:paraId="161B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4" w:hRule="atLeast"/>
          <w:jc w:val="center"/>
        </w:trPr>
        <w:tc>
          <w:tcPr>
            <w:tcW w:w="1300" w:type="dxa"/>
            <w:shd w:val="clear" w:color="auto" w:fill="E7E6E6" w:themeFill="background2"/>
            <w:noWrap/>
            <w:vAlign w:val="center"/>
          </w:tcPr>
          <w:p w14:paraId="591A7B0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7"/>
            <w:shd w:val="clear" w:color="000000" w:fill="FFFFFF"/>
            <w:vAlign w:val="center"/>
          </w:tcPr>
          <w:p w14:paraId="5C5DD89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先导药物开发股份有限公司（上海证券交易所股票代码：688222.SH，股票名称：成都先导）致力于打造全球一流的创新型生物医药企业，总部位于中国成都，在英国剑桥、美国休斯顿设有子公司。公司聚焦小分子及核酸新药的发现与优化，着力打造了国际领先的DNA编码化合物库技术（包括DEL库的设计、合成和筛选及拓展应用）平台，并拓展了基于分子片段和三维结构信息的药物设计技术（FBDD/SBDD）、寡聚核酸新药研发相关技术（STO）和靶向蛋白降解相关技术（TPD）的核心技术平台。通过新药研发服务、不同阶段在研项目转让以及远期的药物上市等多元化的商业模式，成都先导与全球数百家制药公司、生物技术公司、化学公司、基金会以及科研机构建立了合作。目前，公司有多个内部新药项目处于临床及临床前不同阶段。</w:t>
            </w:r>
          </w:p>
        </w:tc>
      </w:tr>
      <w:tr w14:paraId="2CB2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5" w:hRule="atLeast"/>
          <w:jc w:val="center"/>
        </w:trPr>
        <w:tc>
          <w:tcPr>
            <w:tcW w:w="1300" w:type="dxa"/>
            <w:shd w:val="clear" w:color="auto" w:fill="E7E6E6" w:themeFill="background2"/>
            <w:noWrap/>
            <w:vAlign w:val="center"/>
          </w:tcPr>
          <w:p w14:paraId="51885F1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7"/>
            <w:shd w:val="clear" w:color="000000" w:fill="FFFFFF"/>
            <w:vAlign w:val="center"/>
          </w:tcPr>
          <w:p w14:paraId="41A65D9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成都先导拥有国际一流的研发设施和完善的科研管理体系，为博士后研究人员提供了优越的工作环境和广阔的发展空间。不仅配备了高通量筛选平台、分子模拟中心、生物分析实验室等先进设备，还汇聚了一支由国内外知名药物化学家、生物学家及临床前研究专家组成的导师团队，为博士后提供个性化、专业化的学术指导。</w:t>
            </w:r>
          </w:p>
          <w:p w14:paraId="2FA83A0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此外，工作站还注重与国内外高校（如四川大学、清华大学、武汉大学、中国科院、电科大等）、科研院所及制药企业的交流与合作，通过共建联合实验室、开展合作项目等方式，实现了资源共享、优势互补，推动产学研深度融合。</w:t>
            </w:r>
          </w:p>
        </w:tc>
      </w:tr>
      <w:tr w14:paraId="2160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94" w:type="dxa"/>
            <w:gridSpan w:val="2"/>
            <w:shd w:val="clear" w:color="auto" w:fill="E7E6E6" w:themeFill="background2"/>
            <w:noWrap/>
            <w:vAlign w:val="center"/>
          </w:tcPr>
          <w:p w14:paraId="347ECFF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14:paraId="09C0DFB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14:paraId="38EA518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14:paraId="413BC6A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2996D3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22" w:type="dxa"/>
            <w:shd w:val="clear" w:color="auto" w:fill="E7E6E6" w:themeFill="background2"/>
            <w:vAlign w:val="center"/>
          </w:tcPr>
          <w:p w14:paraId="5873004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33CB1C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86" w:type="dxa"/>
            <w:shd w:val="clear" w:color="auto" w:fill="E7E6E6" w:themeFill="background2"/>
            <w:vAlign w:val="center"/>
          </w:tcPr>
          <w:p w14:paraId="79893DC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0B98FE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351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94" w:type="dxa"/>
            <w:gridSpan w:val="2"/>
            <w:shd w:val="clear" w:color="000000" w:fill="FFFFFF"/>
            <w:noWrap/>
            <w:vAlign w:val="center"/>
          </w:tcPr>
          <w:p w14:paraId="3D361A46">
            <w:pPr>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创新药核心研发技术开发</w:t>
            </w:r>
          </w:p>
        </w:tc>
        <w:tc>
          <w:tcPr>
            <w:tcW w:w="712" w:type="dxa"/>
            <w:gridSpan w:val="2"/>
            <w:shd w:val="clear" w:color="000000" w:fill="FFFFFF"/>
            <w:vAlign w:val="center"/>
          </w:tcPr>
          <w:p w14:paraId="25DA4ECE">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216" w:type="dxa"/>
            <w:shd w:val="clear" w:color="000000" w:fill="FFFFFF"/>
            <w:vAlign w:val="center"/>
          </w:tcPr>
          <w:p w14:paraId="6E5DC90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621" w:type="dxa"/>
            <w:shd w:val="clear" w:color="000000" w:fill="FFFFFF"/>
            <w:vAlign w:val="center"/>
          </w:tcPr>
          <w:p w14:paraId="011EE165">
            <w:pPr>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化学、生物等医药研发相关专业</w:t>
            </w:r>
          </w:p>
        </w:tc>
        <w:tc>
          <w:tcPr>
            <w:tcW w:w="1622" w:type="dxa"/>
            <w:shd w:val="clear" w:color="000000" w:fill="FFFFFF"/>
            <w:vAlign w:val="center"/>
          </w:tcPr>
          <w:p w14:paraId="63F4BF28">
            <w:pPr>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30~60</w:t>
            </w:r>
          </w:p>
        </w:tc>
        <w:tc>
          <w:tcPr>
            <w:tcW w:w="1786" w:type="dxa"/>
            <w:vMerge w:val="restart"/>
            <w:shd w:val="clear" w:color="000000" w:fill="FFFFFF"/>
            <w:vAlign w:val="center"/>
          </w:tcPr>
          <w:p w14:paraId="4EA04A0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211、985高校及相关科研院所</w:t>
            </w:r>
          </w:p>
        </w:tc>
      </w:tr>
      <w:tr w14:paraId="201E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94" w:type="dxa"/>
            <w:gridSpan w:val="2"/>
            <w:shd w:val="clear" w:color="000000" w:fill="FFFFFF"/>
            <w:noWrap/>
            <w:vAlign w:val="center"/>
          </w:tcPr>
          <w:p w14:paraId="3E217E3B">
            <w:pPr>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人工智能辅助药物设计（AIDD）</w:t>
            </w:r>
          </w:p>
        </w:tc>
        <w:tc>
          <w:tcPr>
            <w:tcW w:w="712" w:type="dxa"/>
            <w:gridSpan w:val="2"/>
            <w:shd w:val="clear" w:color="000000" w:fill="FFFFFF"/>
            <w:vAlign w:val="center"/>
          </w:tcPr>
          <w:p w14:paraId="7C9D17ED">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216" w:type="dxa"/>
            <w:shd w:val="clear" w:color="000000" w:fill="FFFFFF"/>
            <w:vAlign w:val="center"/>
          </w:tcPr>
          <w:p w14:paraId="51D95D2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BSH002</w:t>
            </w:r>
          </w:p>
        </w:tc>
        <w:tc>
          <w:tcPr>
            <w:tcW w:w="1621" w:type="dxa"/>
            <w:shd w:val="clear" w:color="000000" w:fill="FFFFFF"/>
            <w:vAlign w:val="center"/>
          </w:tcPr>
          <w:p w14:paraId="0676A05A">
            <w:pPr>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计算科学、生信、药化</w:t>
            </w:r>
          </w:p>
        </w:tc>
        <w:tc>
          <w:tcPr>
            <w:tcW w:w="1622" w:type="dxa"/>
            <w:shd w:val="clear" w:color="000000" w:fill="FFFFFF"/>
            <w:vAlign w:val="center"/>
          </w:tcPr>
          <w:p w14:paraId="4E567FFD">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30~60</w:t>
            </w:r>
          </w:p>
        </w:tc>
        <w:tc>
          <w:tcPr>
            <w:tcW w:w="1786" w:type="dxa"/>
            <w:vMerge w:val="continue"/>
            <w:shd w:val="clear" w:color="000000" w:fill="FFFFFF"/>
            <w:vAlign w:val="center"/>
          </w:tcPr>
          <w:p w14:paraId="39E1C6A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41B1F8AD">
      <w:pPr>
        <w:pStyle w:val="5"/>
        <w:adjustRightInd w:val="0"/>
        <w:snapToGrid w:val="0"/>
        <w:spacing w:line="240" w:lineRule="auto"/>
        <w:ind w:firstLine="0"/>
        <w:jc w:val="center"/>
        <w:rPr>
          <w:rFonts w:hint="eastAsia" w:eastAsia="方正小标宋简体"/>
          <w:sz w:val="44"/>
          <w:szCs w:val="44"/>
          <w:highlight w:val="yellow"/>
        </w:rPr>
      </w:pPr>
    </w:p>
    <w:p w14:paraId="389606A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232" w:name="_Toc8339"/>
      <w:bookmarkStart w:id="233" w:name="_Toc28979"/>
      <w:bookmarkStart w:id="234" w:name="_Toc4971"/>
      <w:bookmarkStart w:id="235" w:name="_Toc9370"/>
      <w:bookmarkStart w:id="236" w:name="_Toc6145"/>
      <w:r>
        <w:rPr>
          <w:rFonts w:eastAsia="方正小标宋简体"/>
          <w:sz w:val="44"/>
          <w:szCs w:val="44"/>
          <w:highlight w:val="none"/>
        </w:rPr>
        <w:t>成都信息工程大学</w:t>
      </w:r>
      <w:bookmarkEnd w:id="232"/>
      <w:bookmarkEnd w:id="233"/>
      <w:bookmarkEnd w:id="234"/>
      <w:bookmarkEnd w:id="235"/>
      <w:bookmarkEnd w:id="236"/>
    </w:p>
    <w:p w14:paraId="5E65C33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595"/>
        <w:gridCol w:w="1171"/>
        <w:gridCol w:w="1569"/>
        <w:gridCol w:w="1581"/>
        <w:gridCol w:w="166"/>
        <w:gridCol w:w="1404"/>
        <w:gridCol w:w="52"/>
        <w:gridCol w:w="1747"/>
      </w:tblGrid>
      <w:tr w14:paraId="12E9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533EFC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9" w:type="dxa"/>
            <w:gridSpan w:val="2"/>
            <w:shd w:val="clear" w:color="000000" w:fill="FFFFFF"/>
            <w:noWrap/>
            <w:vAlign w:val="center"/>
          </w:tcPr>
          <w:p w14:paraId="07DE245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27" w:type="dxa"/>
            <w:shd w:val="clear" w:color="auto" w:fill="E7E6E6" w:themeFill="background2"/>
            <w:noWrap/>
            <w:vAlign w:val="center"/>
          </w:tcPr>
          <w:p w14:paraId="6647A8A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39" w:type="dxa"/>
            <w:shd w:val="clear" w:color="000000" w:fill="FFFFFF"/>
            <w:noWrap/>
            <w:vAlign w:val="center"/>
          </w:tcPr>
          <w:p w14:paraId="0CA1A7E7">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3DCDE8A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2" w:type="dxa"/>
            <w:gridSpan w:val="2"/>
            <w:shd w:val="clear" w:color="000000" w:fill="FFFFFF"/>
            <w:noWrap/>
            <w:vAlign w:val="center"/>
          </w:tcPr>
          <w:p w14:paraId="27C17A1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EB0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3D44825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66" w:type="dxa"/>
            <w:gridSpan w:val="8"/>
            <w:shd w:val="clear" w:color="000000" w:fill="FFFFFF"/>
            <w:noWrap/>
            <w:vAlign w:val="center"/>
          </w:tcPr>
          <w:p w14:paraId="6F40F37B">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四川省成都市西南航空港经济开发区学府路一段24号</w:t>
            </w:r>
          </w:p>
        </w:tc>
      </w:tr>
      <w:tr w14:paraId="43D4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6" w:hRule="atLeast"/>
          <w:jc w:val="center"/>
        </w:trPr>
        <w:tc>
          <w:tcPr>
            <w:tcW w:w="1427" w:type="dxa"/>
            <w:shd w:val="clear" w:color="auto" w:fill="E7E6E6" w:themeFill="background2"/>
            <w:noWrap/>
            <w:vAlign w:val="center"/>
          </w:tcPr>
          <w:p w14:paraId="4584AFC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66" w:type="dxa"/>
            <w:gridSpan w:val="8"/>
            <w:shd w:val="clear" w:color="000000" w:fill="FFFFFF"/>
            <w:vAlign w:val="center"/>
          </w:tcPr>
          <w:p w14:paraId="2171A5E4">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成都信息工程大学大气探测重点开放实验室是中国气象局于2006年授牌组建，是中国气象局在部门外唯一一个大气探测开放实验室，聘请中国科学院院士吕达仁研究员为学术委员会名誉主任，中国气象局综合气象观测首席科学家曹晓钟研究员为学术委员会主任。自成立以来，重点开放实验室始终围绕国家气象事业发展目标和学科发展需求，针对制约现代气象业务发展的重大关键科技问题开展研究，目前已在国内外大气探测领域形成具有一定影响力和代表性的大气探测技术优势科技创新团队。近年来，承担各类科研项目370余项，其中国家重点研发计划、国家“863”项目、国家自然科学基金、国家公益性（气象）行业专项等国家级项目40余项，科研总经费8000余万元。</w:t>
            </w:r>
          </w:p>
        </w:tc>
      </w:tr>
      <w:tr w14:paraId="383B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jc w:val="center"/>
        </w:trPr>
        <w:tc>
          <w:tcPr>
            <w:tcW w:w="1427" w:type="dxa"/>
            <w:shd w:val="clear" w:color="auto" w:fill="E7E6E6" w:themeFill="background2"/>
            <w:noWrap/>
            <w:vAlign w:val="center"/>
          </w:tcPr>
          <w:p w14:paraId="6C4CCD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66" w:type="dxa"/>
            <w:gridSpan w:val="8"/>
            <w:shd w:val="clear" w:color="000000" w:fill="FFFFFF"/>
            <w:vAlign w:val="center"/>
          </w:tcPr>
          <w:p w14:paraId="292EA0C8">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博士后研究人员在站期间，按职级（称）和国家规定确定工资，享受与同岗位职工相同的福利待遇，其费用由工作站承担。学校参照校内引进人才标准向博士后研究人员提供租房补贴和可租住房源。博士后进站后可根据《中国博士后科学基金资助条例》，通过学校工作站向全国博士后科学基金会申请博士后科学基金。学校为博士后研究人员提供良好的办公环境，依托大气探测重点开放实验室相关科研平台开展研究工作。</w:t>
            </w:r>
          </w:p>
        </w:tc>
      </w:tr>
      <w:tr w14:paraId="14C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006" w:type="dxa"/>
            <w:gridSpan w:val="2"/>
            <w:shd w:val="clear" w:color="auto" w:fill="E7E6E6" w:themeFill="background2"/>
            <w:noWrap/>
            <w:vAlign w:val="center"/>
          </w:tcPr>
          <w:p w14:paraId="4F96D65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14:paraId="75BFBBF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527" w:type="dxa"/>
            <w:shd w:val="clear" w:color="auto" w:fill="E7E6E6" w:themeFill="background2"/>
            <w:vAlign w:val="center"/>
          </w:tcPr>
          <w:p w14:paraId="427641E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2"/>
            <w:shd w:val="clear" w:color="auto" w:fill="E7E6E6" w:themeFill="background2"/>
            <w:vAlign w:val="center"/>
          </w:tcPr>
          <w:p w14:paraId="43B68FA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7A511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8" w:type="dxa"/>
            <w:gridSpan w:val="2"/>
            <w:shd w:val="clear" w:color="auto" w:fill="E7E6E6" w:themeFill="background2"/>
            <w:vAlign w:val="center"/>
          </w:tcPr>
          <w:p w14:paraId="08F24F6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7B84F7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01" w:type="dxa"/>
            <w:shd w:val="clear" w:color="auto" w:fill="E7E6E6" w:themeFill="background2"/>
            <w:vAlign w:val="center"/>
          </w:tcPr>
          <w:p w14:paraId="53A0B0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2AB61C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3AC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2006"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E6934B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大气探测技术</w:t>
            </w:r>
          </w:p>
        </w:tc>
        <w:tc>
          <w:tcPr>
            <w:tcW w:w="1140" w:type="dxa"/>
            <w:tcBorders>
              <w:top w:val="single" w:color="auto" w:sz="4" w:space="0"/>
              <w:left w:val="single" w:color="auto" w:sz="4" w:space="0"/>
              <w:bottom w:val="single" w:color="auto" w:sz="4" w:space="0"/>
              <w:right w:val="single" w:color="auto" w:sz="4" w:space="0"/>
            </w:tcBorders>
            <w:shd w:val="clear" w:color="auto" w:fill="FFFFFF"/>
            <w:vAlign w:val="center"/>
          </w:tcPr>
          <w:p w14:paraId="4E8B1EA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527" w:type="dxa"/>
            <w:tcBorders>
              <w:top w:val="single" w:color="auto" w:sz="4" w:space="0"/>
              <w:left w:val="single" w:color="auto" w:sz="4" w:space="0"/>
              <w:bottom w:val="single" w:color="auto" w:sz="4" w:space="0"/>
              <w:right w:val="single" w:color="auto" w:sz="4" w:space="0"/>
            </w:tcBorders>
            <w:shd w:val="clear" w:color="auto" w:fill="FFFFFF"/>
            <w:vAlign w:val="center"/>
          </w:tcPr>
          <w:p w14:paraId="7F96277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0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4C28A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信息与通信工程、大气科学</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6E8F32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14:paraId="074972A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南京信息工程大学、中国气象科学研究院、中国科学院大气物理研究所</w:t>
            </w:r>
          </w:p>
        </w:tc>
      </w:tr>
    </w:tbl>
    <w:p w14:paraId="3FEAA436">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7F4461F8">
      <w:pPr>
        <w:pStyle w:val="5"/>
        <w:adjustRightInd w:val="0"/>
        <w:snapToGrid w:val="0"/>
        <w:spacing w:line="240" w:lineRule="auto"/>
        <w:jc w:val="center"/>
        <w:rPr>
          <w:sz w:val="44"/>
          <w:szCs w:val="44"/>
        </w:rPr>
      </w:pPr>
    </w:p>
    <w:p w14:paraId="24D38E78">
      <w:pPr>
        <w:pStyle w:val="5"/>
        <w:adjustRightInd w:val="0"/>
        <w:snapToGrid w:val="0"/>
        <w:spacing w:line="240" w:lineRule="auto"/>
        <w:ind w:firstLine="0"/>
        <w:jc w:val="center"/>
        <w:outlineLvl w:val="0"/>
        <w:rPr>
          <w:rFonts w:eastAsia="方正小标宋简体"/>
          <w:sz w:val="44"/>
          <w:szCs w:val="44"/>
          <w:highlight w:val="yellow"/>
        </w:rPr>
      </w:pPr>
      <w:bookmarkStart w:id="237" w:name="_Toc28433"/>
      <w:bookmarkStart w:id="238" w:name="_Toc23325"/>
      <w:bookmarkStart w:id="239" w:name="_Toc30446"/>
      <w:bookmarkStart w:id="240" w:name="_Toc13532"/>
      <w:bookmarkStart w:id="241" w:name="_Toc25914"/>
      <w:r>
        <w:rPr>
          <w:rFonts w:hint="eastAsia" w:eastAsia="方正小标宋简体"/>
          <w:sz w:val="44"/>
          <w:szCs w:val="44"/>
          <w:highlight w:val="none"/>
        </w:rPr>
        <w:t>成都振芯科技股份有限公司</w:t>
      </w:r>
      <w:bookmarkEnd w:id="237"/>
      <w:bookmarkEnd w:id="238"/>
      <w:bookmarkEnd w:id="239"/>
      <w:bookmarkEnd w:id="240"/>
      <w:bookmarkEnd w:id="241"/>
    </w:p>
    <w:p w14:paraId="395180E6">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004"/>
        <w:gridCol w:w="658"/>
        <w:gridCol w:w="544"/>
        <w:gridCol w:w="980"/>
        <w:gridCol w:w="236"/>
        <w:gridCol w:w="1621"/>
        <w:gridCol w:w="1473"/>
        <w:gridCol w:w="150"/>
        <w:gridCol w:w="1785"/>
      </w:tblGrid>
      <w:tr w14:paraId="5FF1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4819ECB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62" w:type="dxa"/>
            <w:gridSpan w:val="2"/>
            <w:shd w:val="clear" w:color="000000" w:fill="FFFFFF"/>
            <w:noWrap/>
            <w:vAlign w:val="center"/>
          </w:tcPr>
          <w:p w14:paraId="0AB3AE2D">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民营</w:t>
            </w:r>
            <w:r>
              <w:rPr>
                <w:rFonts w:hint="eastAsia" w:eastAsiaTheme="minorEastAsia"/>
                <w:sz w:val="21"/>
                <w:szCs w:val="21"/>
              </w:rPr>
              <w:t>企业</w:t>
            </w:r>
          </w:p>
        </w:tc>
        <w:tc>
          <w:tcPr>
            <w:tcW w:w="1524" w:type="dxa"/>
            <w:gridSpan w:val="2"/>
            <w:shd w:val="clear" w:color="auto" w:fill="E7E6E6" w:themeFill="background2"/>
            <w:noWrap/>
            <w:vAlign w:val="center"/>
          </w:tcPr>
          <w:p w14:paraId="5F997B1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57" w:type="dxa"/>
            <w:gridSpan w:val="2"/>
            <w:shd w:val="clear" w:color="000000" w:fill="FFFFFF"/>
            <w:noWrap/>
            <w:vAlign w:val="center"/>
          </w:tcPr>
          <w:p w14:paraId="1C0DD2E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623" w:type="dxa"/>
            <w:gridSpan w:val="2"/>
            <w:shd w:val="clear" w:color="auto" w:fill="E7E6E6" w:themeFill="background2"/>
            <w:noWrap/>
            <w:vAlign w:val="center"/>
          </w:tcPr>
          <w:p w14:paraId="1FDF732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5" w:type="dxa"/>
            <w:shd w:val="clear" w:color="000000" w:fill="FFFFFF"/>
            <w:noWrap/>
            <w:vAlign w:val="center"/>
          </w:tcPr>
          <w:p w14:paraId="64506E5C">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5466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7F8ABC5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14:paraId="4CBF52CE">
            <w:pPr>
              <w:adjustRightInd w:val="0"/>
              <w:snapToGrid w:val="0"/>
              <w:spacing w:line="240" w:lineRule="auto"/>
              <w:ind w:firstLine="0"/>
              <w:jc w:val="center"/>
              <w:rPr>
                <w:rFonts w:eastAsiaTheme="minorEastAsia"/>
                <w:sz w:val="21"/>
                <w:szCs w:val="21"/>
              </w:rPr>
            </w:pPr>
            <w:r>
              <w:rPr>
                <w:rFonts w:hint="eastAsia" w:cs="Times New Roman" w:eastAsiaTheme="minorEastAsia"/>
                <w:sz w:val="21"/>
                <w:szCs w:val="21"/>
                <w:lang w:val="en-US" w:eastAsia="zh-CN"/>
              </w:rPr>
              <w:t>四川省成都市高新区高朋大道1号</w:t>
            </w:r>
          </w:p>
        </w:tc>
      </w:tr>
      <w:tr w14:paraId="35D3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jc w:val="center"/>
        </w:trPr>
        <w:tc>
          <w:tcPr>
            <w:tcW w:w="1300" w:type="dxa"/>
            <w:shd w:val="clear" w:color="auto" w:fill="E7E6E6" w:themeFill="background2"/>
            <w:noWrap/>
            <w:vAlign w:val="center"/>
          </w:tcPr>
          <w:p w14:paraId="3A0DCCC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14:paraId="7DE101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振芯科技成立于2003年6月，注册资本5.6亿元。公司业务体系涵盖高性能集成电路、北斗卫星导航综合应用、智慧城市建设与运营服务、机器感知与智能化产品等四大领域，专注于“芯片-终端-无人平台及系统应用”的一体化产品研发、生产、销售和运营服务，于2010年8月在深圳创业板上市（股票代码300101）。</w:t>
            </w:r>
          </w:p>
          <w:p w14:paraId="034E0A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自成立以来，公司以“铸中华利器、挺民族脊梁”为企业宗旨，所研制的北斗导航关键元器件、通讯类产品芯片、视频SOC芯片、转换器芯片、时钟类芯片均为市场所亟需的高新技术产品，每年在研项目数和投产产品数居行业前列。</w:t>
            </w:r>
          </w:p>
        </w:tc>
      </w:tr>
      <w:tr w14:paraId="3A68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jc w:val="center"/>
        </w:trPr>
        <w:tc>
          <w:tcPr>
            <w:tcW w:w="1300" w:type="dxa"/>
            <w:shd w:val="clear" w:color="auto" w:fill="E7E6E6" w:themeFill="background2"/>
            <w:noWrap/>
            <w:vAlign w:val="center"/>
          </w:tcPr>
          <w:p w14:paraId="1E450C8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14:paraId="11FD51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1.具有竞争力的薪酬福利方案；</w:t>
            </w:r>
          </w:p>
          <w:p w14:paraId="5E8164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2.企业专家一对一指导；</w:t>
            </w:r>
          </w:p>
          <w:p w14:paraId="451916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3.优先纳入公司后备管理干部资源池；</w:t>
            </w:r>
          </w:p>
          <w:p w14:paraId="43AB3D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4.行业知名专家讲座交流；</w:t>
            </w:r>
          </w:p>
          <w:p w14:paraId="6DAC30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5.国内重点院校交流合作和项目合作；</w:t>
            </w:r>
          </w:p>
          <w:p w14:paraId="000322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6.</w:t>
            </w:r>
            <w:r>
              <w:rPr>
                <w:rFonts w:hint="eastAsia" w:eastAsiaTheme="minorEastAsia"/>
                <w:sz w:val="21"/>
                <w:szCs w:val="21"/>
                <w:lang w:eastAsia="zh-CN"/>
              </w:rPr>
              <w:t>优先申报地方政府相关人才政策。</w:t>
            </w:r>
          </w:p>
        </w:tc>
      </w:tr>
      <w:tr w14:paraId="5BCB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04" w:type="dxa"/>
            <w:gridSpan w:val="2"/>
            <w:shd w:val="clear" w:color="auto" w:fill="E7E6E6" w:themeFill="background2"/>
            <w:noWrap/>
            <w:vAlign w:val="center"/>
          </w:tcPr>
          <w:p w14:paraId="1A8D353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2" w:type="dxa"/>
            <w:gridSpan w:val="2"/>
            <w:shd w:val="clear" w:color="auto" w:fill="E7E6E6" w:themeFill="background2"/>
            <w:vAlign w:val="center"/>
          </w:tcPr>
          <w:p w14:paraId="7C1806C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gridSpan w:val="2"/>
            <w:shd w:val="clear" w:color="auto" w:fill="E7E6E6" w:themeFill="background2"/>
            <w:vAlign w:val="center"/>
          </w:tcPr>
          <w:p w14:paraId="29D7206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14:paraId="3736CCA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A57F1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73" w:type="dxa"/>
            <w:shd w:val="clear" w:color="auto" w:fill="E7E6E6" w:themeFill="background2"/>
            <w:vAlign w:val="center"/>
          </w:tcPr>
          <w:p w14:paraId="391EC9A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F96B69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35" w:type="dxa"/>
            <w:gridSpan w:val="2"/>
            <w:shd w:val="clear" w:color="auto" w:fill="E7E6E6" w:themeFill="background2"/>
            <w:vAlign w:val="center"/>
          </w:tcPr>
          <w:p w14:paraId="489EFE7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2B1207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5C4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04" w:type="dxa"/>
            <w:gridSpan w:val="2"/>
            <w:shd w:val="clear" w:color="000000" w:fill="FFFFFF"/>
            <w:noWrap/>
            <w:vAlign w:val="center"/>
          </w:tcPr>
          <w:p w14:paraId="1F55FD70">
            <w:pPr>
              <w:adjustRightInd w:val="0"/>
              <w:snapToGrid w:val="0"/>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频率源方向集成电路设计</w:t>
            </w:r>
          </w:p>
        </w:tc>
        <w:tc>
          <w:tcPr>
            <w:tcW w:w="1202" w:type="dxa"/>
            <w:gridSpan w:val="2"/>
            <w:shd w:val="clear" w:color="000000" w:fill="FFFFFF"/>
            <w:vAlign w:val="center"/>
          </w:tcPr>
          <w:p w14:paraId="4302C8C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216" w:type="dxa"/>
            <w:gridSpan w:val="2"/>
            <w:shd w:val="clear" w:color="000000" w:fill="FFFFFF"/>
            <w:vAlign w:val="center"/>
          </w:tcPr>
          <w:p w14:paraId="408A232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1" w:type="dxa"/>
            <w:shd w:val="clear" w:color="000000" w:fill="FFFFFF"/>
            <w:vAlign w:val="center"/>
          </w:tcPr>
          <w:p w14:paraId="634C496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集成电路科学与工程</w:t>
            </w:r>
          </w:p>
        </w:tc>
        <w:tc>
          <w:tcPr>
            <w:tcW w:w="1473" w:type="dxa"/>
            <w:shd w:val="clear" w:color="000000" w:fill="FFFFFF"/>
            <w:vAlign w:val="center"/>
          </w:tcPr>
          <w:p w14:paraId="6AEB1F4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100</w:t>
            </w:r>
          </w:p>
        </w:tc>
        <w:tc>
          <w:tcPr>
            <w:tcW w:w="1935" w:type="dxa"/>
            <w:gridSpan w:val="2"/>
            <w:vMerge w:val="restart"/>
            <w:shd w:val="clear" w:color="000000" w:fill="FFFFFF"/>
            <w:vAlign w:val="center"/>
          </w:tcPr>
          <w:p w14:paraId="42D6C5F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国内外集成电路知名院校毕业博士</w:t>
            </w:r>
            <w:r>
              <w:rPr>
                <w:rFonts w:hint="default" w:ascii="Times New Roman" w:hAnsi="Times New Roman" w:cs="Times New Roman" w:eastAsiaTheme="minorEastAsia"/>
                <w:sz w:val="21"/>
                <w:szCs w:val="21"/>
              </w:rPr>
              <w:t xml:space="preserve">        </w:t>
            </w:r>
          </w:p>
        </w:tc>
      </w:tr>
      <w:tr w14:paraId="2DA1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04" w:type="dxa"/>
            <w:gridSpan w:val="2"/>
            <w:shd w:val="clear" w:color="000000" w:fill="FFFFFF"/>
            <w:noWrap/>
            <w:vAlign w:val="center"/>
          </w:tcPr>
          <w:p w14:paraId="06CC8E6F">
            <w:pPr>
              <w:adjustRightInd w:val="0"/>
              <w:snapToGrid w:val="0"/>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转换器方向集成电路设计</w:t>
            </w:r>
          </w:p>
        </w:tc>
        <w:tc>
          <w:tcPr>
            <w:tcW w:w="1202" w:type="dxa"/>
            <w:gridSpan w:val="2"/>
            <w:shd w:val="clear" w:color="000000" w:fill="FFFFFF"/>
            <w:vAlign w:val="center"/>
          </w:tcPr>
          <w:p w14:paraId="4EAD201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216" w:type="dxa"/>
            <w:gridSpan w:val="2"/>
            <w:shd w:val="clear" w:color="000000" w:fill="FFFFFF"/>
            <w:vAlign w:val="center"/>
          </w:tcPr>
          <w:p w14:paraId="1A01C82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2</w:t>
            </w:r>
          </w:p>
        </w:tc>
        <w:tc>
          <w:tcPr>
            <w:tcW w:w="1621" w:type="dxa"/>
            <w:shd w:val="clear" w:color="000000" w:fill="FFFFFF"/>
            <w:vAlign w:val="center"/>
          </w:tcPr>
          <w:p w14:paraId="52889DC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集成电路科学与工程</w:t>
            </w:r>
          </w:p>
        </w:tc>
        <w:tc>
          <w:tcPr>
            <w:tcW w:w="1473" w:type="dxa"/>
            <w:shd w:val="clear" w:color="000000" w:fill="FFFFFF"/>
            <w:vAlign w:val="center"/>
          </w:tcPr>
          <w:p w14:paraId="6FF1FD69">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100</w:t>
            </w:r>
          </w:p>
        </w:tc>
        <w:tc>
          <w:tcPr>
            <w:tcW w:w="1935" w:type="dxa"/>
            <w:gridSpan w:val="2"/>
            <w:vMerge w:val="continue"/>
            <w:shd w:val="clear" w:color="000000" w:fill="FFFFFF"/>
            <w:vAlign w:val="center"/>
          </w:tcPr>
          <w:p w14:paraId="543695F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603D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04" w:type="dxa"/>
            <w:gridSpan w:val="2"/>
            <w:shd w:val="clear" w:color="000000" w:fill="FFFFFF"/>
            <w:noWrap/>
            <w:vAlign w:val="center"/>
          </w:tcPr>
          <w:p w14:paraId="67430E5B">
            <w:pPr>
              <w:adjustRightInd w:val="0"/>
              <w:snapToGrid w:val="0"/>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高速接口方向集成电路设计</w:t>
            </w:r>
          </w:p>
        </w:tc>
        <w:tc>
          <w:tcPr>
            <w:tcW w:w="1202" w:type="dxa"/>
            <w:gridSpan w:val="2"/>
            <w:shd w:val="clear" w:color="000000" w:fill="FFFFFF"/>
            <w:vAlign w:val="center"/>
          </w:tcPr>
          <w:p w14:paraId="65DDEBE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216" w:type="dxa"/>
            <w:gridSpan w:val="2"/>
            <w:shd w:val="clear" w:color="000000" w:fill="FFFFFF"/>
            <w:vAlign w:val="center"/>
          </w:tcPr>
          <w:p w14:paraId="268AACD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621" w:type="dxa"/>
            <w:shd w:val="clear" w:color="000000" w:fill="FFFFFF"/>
            <w:vAlign w:val="center"/>
          </w:tcPr>
          <w:p w14:paraId="6A1EC4E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集成电路科学与工程</w:t>
            </w:r>
          </w:p>
        </w:tc>
        <w:tc>
          <w:tcPr>
            <w:tcW w:w="1473" w:type="dxa"/>
            <w:shd w:val="clear" w:color="000000" w:fill="FFFFFF"/>
            <w:vAlign w:val="center"/>
          </w:tcPr>
          <w:p w14:paraId="2A84787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100</w:t>
            </w:r>
          </w:p>
        </w:tc>
        <w:tc>
          <w:tcPr>
            <w:tcW w:w="1935" w:type="dxa"/>
            <w:gridSpan w:val="2"/>
            <w:vMerge w:val="continue"/>
            <w:shd w:val="clear" w:color="000000" w:fill="FFFFFF"/>
            <w:vAlign w:val="center"/>
          </w:tcPr>
          <w:p w14:paraId="548E202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5F641367">
      <w:pPr>
        <w:pStyle w:val="5"/>
        <w:adjustRightInd w:val="0"/>
        <w:snapToGrid w:val="0"/>
        <w:spacing w:line="240" w:lineRule="auto"/>
        <w:ind w:firstLine="0"/>
        <w:jc w:val="center"/>
        <w:rPr>
          <w:rFonts w:hint="eastAsia" w:eastAsia="方正小标宋简体"/>
          <w:sz w:val="44"/>
          <w:szCs w:val="44"/>
          <w:highlight w:val="yellow"/>
        </w:rPr>
      </w:pPr>
    </w:p>
    <w:p w14:paraId="20B95A4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242" w:name="_Toc20320"/>
      <w:bookmarkStart w:id="243" w:name="_Toc4730"/>
      <w:bookmarkStart w:id="244" w:name="_Toc9174"/>
      <w:bookmarkStart w:id="245" w:name="_Toc3451"/>
      <w:bookmarkStart w:id="246" w:name="_Toc15067"/>
      <w:r>
        <w:rPr>
          <w:rFonts w:eastAsia="方正小标宋简体"/>
          <w:sz w:val="44"/>
          <w:szCs w:val="44"/>
          <w:highlight w:val="none"/>
        </w:rPr>
        <w:t>东方电气风电股份有限公司</w:t>
      </w:r>
      <w:bookmarkEnd w:id="242"/>
      <w:bookmarkEnd w:id="243"/>
      <w:bookmarkEnd w:id="244"/>
      <w:bookmarkEnd w:id="245"/>
      <w:bookmarkEnd w:id="246"/>
    </w:p>
    <w:p w14:paraId="7DBD758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23"/>
        <w:gridCol w:w="735"/>
        <w:gridCol w:w="467"/>
        <w:gridCol w:w="1209"/>
        <w:gridCol w:w="103"/>
        <w:gridCol w:w="1521"/>
        <w:gridCol w:w="135"/>
        <w:gridCol w:w="1428"/>
        <w:gridCol w:w="93"/>
        <w:gridCol w:w="1922"/>
        <w:gridCol w:w="16"/>
      </w:tblGrid>
      <w:tr w14:paraId="2B88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7" w:hRule="atLeast"/>
          <w:jc w:val="center"/>
        </w:trPr>
        <w:tc>
          <w:tcPr>
            <w:tcW w:w="1271" w:type="dxa"/>
            <w:shd w:val="clear" w:color="auto" w:fill="E7E6E6" w:themeFill="background2"/>
            <w:noWrap/>
            <w:vAlign w:val="center"/>
          </w:tcPr>
          <w:p w14:paraId="270C53A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6E6FD23C">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6551861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B8DECE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2EEFCA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5C44F3DD">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成都、</w:t>
            </w:r>
            <w:r>
              <w:rPr>
                <w:rFonts w:eastAsiaTheme="minorEastAsia"/>
                <w:sz w:val="21"/>
                <w:szCs w:val="21"/>
              </w:rPr>
              <w:t>德阳</w:t>
            </w:r>
          </w:p>
        </w:tc>
      </w:tr>
      <w:tr w14:paraId="47D3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DF365A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1"/>
            <w:shd w:val="clear" w:color="000000" w:fill="FFFFFF"/>
            <w:noWrap/>
            <w:vAlign w:val="center"/>
          </w:tcPr>
          <w:p w14:paraId="00327452">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成都市蜀汉路333号</w:t>
            </w:r>
          </w:p>
          <w:p w14:paraId="2B9880D0">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德阳市华山南路二段</w:t>
            </w:r>
          </w:p>
        </w:tc>
      </w:tr>
      <w:tr w14:paraId="285F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1271" w:type="dxa"/>
            <w:shd w:val="clear" w:color="auto" w:fill="E7E6E6" w:themeFill="background2"/>
            <w:noWrap/>
            <w:vAlign w:val="center"/>
          </w:tcPr>
          <w:p w14:paraId="70EB74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1"/>
            <w:shd w:val="clear" w:color="000000" w:fill="FFFFFF"/>
            <w:vAlign w:val="center"/>
          </w:tcPr>
          <w:p w14:paraId="55F1C1A0">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东方电气风电股份有限公司是中国东方电气集团有限公司组建的风电产业一体化的专业公司，新能源产业重要的组成部分。主要从事风力发电机组设计、制造、销售、服务及技术引进、开发、应用；风力发电场建设及运营。具备直驱、双馈、半直驱三种主流技术路线风力发电机组及其配套叶片、发电机、电控系统等核心部件研发制造能力，产品涵盖1.5MW—10MW系列陆上5.0MW—18MW系列海上风力发电机组。</w:t>
            </w:r>
          </w:p>
        </w:tc>
      </w:tr>
      <w:tr w14:paraId="1D0D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jc w:val="center"/>
        </w:trPr>
        <w:tc>
          <w:tcPr>
            <w:tcW w:w="1271" w:type="dxa"/>
            <w:shd w:val="clear" w:color="auto" w:fill="E7E6E6" w:themeFill="background2"/>
            <w:noWrap/>
            <w:vAlign w:val="center"/>
          </w:tcPr>
          <w:p w14:paraId="058804E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1"/>
            <w:shd w:val="clear" w:color="000000" w:fill="FFFFFF"/>
            <w:vAlign w:val="center"/>
          </w:tcPr>
          <w:p w14:paraId="42246E3A">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1.提供一套公寓或住房居住、提供博士科研经费；</w:t>
            </w:r>
          </w:p>
          <w:p w14:paraId="61BB720B">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2.博士后既参与现有科研项目的研究，使用现有项目经费，公司还将积极与博士后共同争取国家、省市、公司重点科研项目，为博士后成长提供项目与经费保障；</w:t>
            </w:r>
          </w:p>
          <w:p w14:paraId="310C769A">
            <w:pPr>
              <w:adjustRightInd w:val="0"/>
              <w:snapToGrid w:val="0"/>
              <w:spacing w:line="360" w:lineRule="auto"/>
              <w:ind w:firstLine="420" w:firstLineChars="200"/>
              <w:rPr>
                <w:rFonts w:hint="eastAsia" w:eastAsiaTheme="minorEastAsia"/>
                <w:sz w:val="21"/>
                <w:szCs w:val="21"/>
                <w:lang w:eastAsia="zh-CN"/>
              </w:rPr>
            </w:pPr>
            <w:r>
              <w:rPr>
                <w:rFonts w:hint="eastAsia" w:eastAsiaTheme="minorEastAsia"/>
                <w:sz w:val="21"/>
                <w:szCs w:val="21"/>
              </w:rPr>
              <w:t>3.纳入本单位人事管理，其人事、组织关系、福利待遇等比照本单位同等人员或按协议执行；积极协助解决配偶工作及子女入托入学等</w:t>
            </w:r>
            <w:r>
              <w:rPr>
                <w:rFonts w:hint="eastAsia" w:eastAsiaTheme="minorEastAsia"/>
                <w:sz w:val="21"/>
                <w:szCs w:val="21"/>
                <w:lang w:eastAsia="zh-CN"/>
              </w:rPr>
              <w:t>。</w:t>
            </w:r>
          </w:p>
        </w:tc>
      </w:tr>
      <w:tr w14:paraId="426F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76" w:type="dxa"/>
            <w:gridSpan w:val="2"/>
            <w:shd w:val="clear" w:color="auto" w:fill="E7E6E6" w:themeFill="background2"/>
            <w:noWrap/>
            <w:vAlign w:val="center"/>
          </w:tcPr>
          <w:p w14:paraId="2F23B123">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gridSpan w:val="2"/>
            <w:shd w:val="clear" w:color="auto" w:fill="E7E6E6" w:themeFill="background2"/>
            <w:vAlign w:val="center"/>
          </w:tcPr>
          <w:p w14:paraId="34A07D6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84" w:type="dxa"/>
            <w:gridSpan w:val="2"/>
            <w:shd w:val="clear" w:color="auto" w:fill="E7E6E6" w:themeFill="background2"/>
            <w:vAlign w:val="center"/>
          </w:tcPr>
          <w:p w14:paraId="0B27689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0" w:type="dxa"/>
            <w:gridSpan w:val="2"/>
            <w:shd w:val="clear" w:color="auto" w:fill="E7E6E6" w:themeFill="background2"/>
            <w:vAlign w:val="center"/>
          </w:tcPr>
          <w:p w14:paraId="78365C5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957E2D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2A666D7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501DC1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95" w:type="dxa"/>
            <w:gridSpan w:val="2"/>
            <w:shd w:val="clear" w:color="auto" w:fill="E7E6E6" w:themeFill="background2"/>
            <w:vAlign w:val="center"/>
          </w:tcPr>
          <w:p w14:paraId="4024BB7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74CF48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60A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76" w:type="dxa"/>
            <w:gridSpan w:val="2"/>
            <w:shd w:val="clear" w:color="000000" w:fill="FFFFFF"/>
            <w:noWrap/>
            <w:vAlign w:val="center"/>
          </w:tcPr>
          <w:p w14:paraId="3F28CF1F">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柔性长叶片气动性能高精度评估方法研究</w:t>
            </w:r>
          </w:p>
        </w:tc>
        <w:tc>
          <w:tcPr>
            <w:tcW w:w="1176" w:type="dxa"/>
            <w:gridSpan w:val="2"/>
            <w:shd w:val="clear" w:color="000000" w:fill="FFFFFF"/>
            <w:vAlign w:val="center"/>
          </w:tcPr>
          <w:p w14:paraId="6A44E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84" w:type="dxa"/>
            <w:gridSpan w:val="2"/>
            <w:shd w:val="clear" w:color="000000" w:fill="FFFFFF"/>
            <w:vAlign w:val="center"/>
          </w:tcPr>
          <w:p w14:paraId="3885E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0" w:type="dxa"/>
            <w:gridSpan w:val="2"/>
            <w:tcBorders>
              <w:top w:val="nil"/>
              <w:left w:val="nil"/>
              <w:bottom w:val="single" w:color="auto" w:sz="4" w:space="0"/>
              <w:right w:val="single" w:color="auto" w:sz="4" w:space="0"/>
            </w:tcBorders>
            <w:vAlign w:val="center"/>
          </w:tcPr>
          <w:p w14:paraId="3257E0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流体力学</w:t>
            </w:r>
          </w:p>
        </w:tc>
        <w:tc>
          <w:tcPr>
            <w:tcW w:w="1488" w:type="dxa"/>
            <w:gridSpan w:val="2"/>
            <w:shd w:val="clear" w:color="000000" w:fill="FFFFFF"/>
            <w:vAlign w:val="center"/>
          </w:tcPr>
          <w:p w14:paraId="705C3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1895" w:type="dxa"/>
            <w:gridSpan w:val="2"/>
            <w:vMerge w:val="restart"/>
            <w:shd w:val="clear" w:color="000000" w:fill="FFFFFF"/>
            <w:vAlign w:val="center"/>
          </w:tcPr>
          <w:p w14:paraId="769FCA59">
            <w:pPr>
              <w:widowControl/>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14:paraId="3A0A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76" w:type="dxa"/>
            <w:gridSpan w:val="2"/>
            <w:shd w:val="clear" w:color="000000" w:fill="FFFFFF"/>
            <w:noWrap/>
            <w:vAlign w:val="center"/>
          </w:tcPr>
          <w:p w14:paraId="06834DC3">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大型风电机组高塔筒和长叶片耦合涡激振动抑制研究</w:t>
            </w:r>
          </w:p>
        </w:tc>
        <w:tc>
          <w:tcPr>
            <w:tcW w:w="1176" w:type="dxa"/>
            <w:gridSpan w:val="2"/>
            <w:shd w:val="clear" w:color="000000" w:fill="FFFFFF"/>
            <w:vAlign w:val="center"/>
          </w:tcPr>
          <w:p w14:paraId="592959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84" w:type="dxa"/>
            <w:gridSpan w:val="2"/>
            <w:tcBorders>
              <w:right w:val="single" w:color="auto" w:sz="4" w:space="0"/>
            </w:tcBorders>
            <w:shd w:val="clear" w:color="000000" w:fill="FFFFFF"/>
            <w:vAlign w:val="center"/>
          </w:tcPr>
          <w:p w14:paraId="639D2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105849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力学</w:t>
            </w:r>
          </w:p>
        </w:tc>
        <w:tc>
          <w:tcPr>
            <w:tcW w:w="1488" w:type="dxa"/>
            <w:gridSpan w:val="2"/>
            <w:shd w:val="clear" w:color="000000" w:fill="FFFFFF"/>
            <w:vAlign w:val="center"/>
          </w:tcPr>
          <w:p w14:paraId="2875B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1895" w:type="dxa"/>
            <w:gridSpan w:val="2"/>
            <w:vMerge w:val="continue"/>
            <w:shd w:val="clear" w:color="000000" w:fill="FFFFFF"/>
            <w:vAlign w:val="center"/>
          </w:tcPr>
          <w:p w14:paraId="29A6A797">
            <w:pPr>
              <w:widowControl/>
              <w:adjustRightInd w:val="0"/>
              <w:snapToGrid w:val="0"/>
              <w:spacing w:line="240" w:lineRule="auto"/>
              <w:ind w:firstLine="0"/>
              <w:rPr>
                <w:rFonts w:eastAsiaTheme="minorEastAsia"/>
                <w:sz w:val="21"/>
                <w:szCs w:val="21"/>
              </w:rPr>
            </w:pPr>
          </w:p>
        </w:tc>
      </w:tr>
      <w:tr w14:paraId="3CAC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76" w:type="dxa"/>
            <w:gridSpan w:val="2"/>
            <w:shd w:val="clear" w:color="000000" w:fill="FFFFFF"/>
            <w:noWrap/>
            <w:vAlign w:val="center"/>
          </w:tcPr>
          <w:p w14:paraId="5E0D04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风电机组传动系统及动力学研究</w:t>
            </w:r>
          </w:p>
        </w:tc>
        <w:tc>
          <w:tcPr>
            <w:tcW w:w="1176" w:type="dxa"/>
            <w:gridSpan w:val="2"/>
            <w:shd w:val="clear" w:color="000000" w:fill="FFFFFF"/>
            <w:vAlign w:val="center"/>
          </w:tcPr>
          <w:p w14:paraId="070FD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84" w:type="dxa"/>
            <w:gridSpan w:val="2"/>
            <w:tcBorders>
              <w:right w:val="single" w:color="auto" w:sz="4" w:space="0"/>
            </w:tcBorders>
            <w:shd w:val="clear" w:color="000000" w:fill="FFFFFF"/>
            <w:vAlign w:val="center"/>
          </w:tcPr>
          <w:p w14:paraId="524D5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1939B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机械工程</w:t>
            </w:r>
          </w:p>
        </w:tc>
        <w:tc>
          <w:tcPr>
            <w:tcW w:w="1488" w:type="dxa"/>
            <w:gridSpan w:val="2"/>
            <w:shd w:val="clear" w:color="000000" w:fill="FFFFFF"/>
            <w:vAlign w:val="center"/>
          </w:tcPr>
          <w:p w14:paraId="7487F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1895" w:type="dxa"/>
            <w:gridSpan w:val="2"/>
            <w:vMerge w:val="continue"/>
            <w:shd w:val="clear" w:color="000000" w:fill="FFFFFF"/>
            <w:vAlign w:val="center"/>
          </w:tcPr>
          <w:p w14:paraId="445FC113">
            <w:pPr>
              <w:widowControl/>
              <w:adjustRightInd w:val="0"/>
              <w:snapToGrid w:val="0"/>
              <w:spacing w:line="240" w:lineRule="auto"/>
              <w:ind w:firstLine="0"/>
              <w:rPr>
                <w:rFonts w:eastAsiaTheme="minorEastAsia"/>
                <w:sz w:val="21"/>
                <w:szCs w:val="21"/>
              </w:rPr>
            </w:pPr>
          </w:p>
        </w:tc>
      </w:tr>
    </w:tbl>
    <w:p w14:paraId="3C6A0A3C">
      <w:pPr>
        <w:pStyle w:val="3"/>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3650621A">
      <w:pPr>
        <w:pStyle w:val="5"/>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sz w:val="44"/>
          <w:szCs w:val="44"/>
        </w:rPr>
      </w:pPr>
    </w:p>
    <w:p w14:paraId="09D71D4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247" w:name="_Toc4750"/>
      <w:bookmarkStart w:id="248" w:name="_Toc16054"/>
      <w:bookmarkStart w:id="249" w:name="_Toc5564"/>
      <w:bookmarkStart w:id="250" w:name="_Toc8465"/>
      <w:bookmarkStart w:id="251" w:name="_Toc8320"/>
      <w:r>
        <w:rPr>
          <w:rFonts w:eastAsia="方正小标宋简体"/>
          <w:sz w:val="44"/>
          <w:szCs w:val="44"/>
          <w:highlight w:val="none"/>
        </w:rPr>
        <w:t>东方电气集团东方电机有限公司</w:t>
      </w:r>
      <w:bookmarkEnd w:id="247"/>
      <w:bookmarkEnd w:id="248"/>
      <w:bookmarkEnd w:id="249"/>
      <w:bookmarkEnd w:id="250"/>
      <w:bookmarkEnd w:id="251"/>
    </w:p>
    <w:p w14:paraId="76879FB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47"/>
        <w:gridCol w:w="710"/>
        <w:gridCol w:w="418"/>
        <w:gridCol w:w="1258"/>
        <w:gridCol w:w="1624"/>
        <w:gridCol w:w="209"/>
        <w:gridCol w:w="1354"/>
        <w:gridCol w:w="105"/>
        <w:gridCol w:w="1911"/>
        <w:gridCol w:w="16"/>
      </w:tblGrid>
      <w:tr w14:paraId="7607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7" w:hRule="atLeast"/>
          <w:jc w:val="center"/>
        </w:trPr>
        <w:tc>
          <w:tcPr>
            <w:tcW w:w="1271" w:type="dxa"/>
            <w:shd w:val="clear" w:color="auto" w:fill="E7E6E6" w:themeFill="background2"/>
            <w:noWrap/>
            <w:vAlign w:val="center"/>
          </w:tcPr>
          <w:p w14:paraId="5B9EED5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245FCC2D">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24E500E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0EDD44FD">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5AE0CF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6CD75F3E">
            <w:pPr>
              <w:adjustRightInd w:val="0"/>
              <w:snapToGrid w:val="0"/>
              <w:spacing w:line="240" w:lineRule="auto"/>
              <w:ind w:firstLine="0"/>
              <w:jc w:val="center"/>
              <w:rPr>
                <w:rFonts w:eastAsiaTheme="minorEastAsia"/>
                <w:sz w:val="21"/>
                <w:szCs w:val="21"/>
              </w:rPr>
            </w:pPr>
            <w:r>
              <w:rPr>
                <w:rFonts w:eastAsiaTheme="minorEastAsia"/>
                <w:sz w:val="21"/>
                <w:szCs w:val="21"/>
              </w:rPr>
              <w:t>德阳</w:t>
            </w:r>
          </w:p>
        </w:tc>
      </w:tr>
      <w:tr w14:paraId="440B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F1BC7F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0"/>
            <w:shd w:val="clear" w:color="000000" w:fill="FFFFFF"/>
            <w:noWrap/>
            <w:vAlign w:val="center"/>
          </w:tcPr>
          <w:p w14:paraId="4F08FA1B">
            <w:pPr>
              <w:adjustRightInd w:val="0"/>
              <w:snapToGrid w:val="0"/>
              <w:spacing w:line="240" w:lineRule="auto"/>
              <w:ind w:firstLine="0"/>
              <w:jc w:val="center"/>
              <w:rPr>
                <w:rFonts w:eastAsiaTheme="minorEastAsia"/>
                <w:sz w:val="21"/>
                <w:szCs w:val="21"/>
              </w:rPr>
            </w:pPr>
            <w:r>
              <w:rPr>
                <w:rFonts w:eastAsiaTheme="minorEastAsia"/>
                <w:sz w:val="21"/>
                <w:szCs w:val="21"/>
              </w:rPr>
              <w:t>四川省德阳市黄河西路188号</w:t>
            </w:r>
          </w:p>
        </w:tc>
      </w:tr>
      <w:tr w14:paraId="2975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3" w:hRule="atLeast"/>
          <w:jc w:val="center"/>
        </w:trPr>
        <w:tc>
          <w:tcPr>
            <w:tcW w:w="1271" w:type="dxa"/>
            <w:shd w:val="clear" w:color="auto" w:fill="E7E6E6" w:themeFill="background2"/>
            <w:noWrap/>
            <w:vAlign w:val="center"/>
          </w:tcPr>
          <w:p w14:paraId="5B723F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0"/>
            <w:shd w:val="clear" w:color="000000" w:fill="FFFFFF"/>
            <w:vAlign w:val="center"/>
          </w:tcPr>
          <w:p w14:paraId="7FBA048C">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东方电气集团东方电机有限公司（简称：东方电机）成立于1958年，是中国研究、设计、制造大型发电设备的重大技术装备制造骨干企业，是全球发电设备、清洁能源产品和服务的主要供应商，主要从事水轮发电机组、热能发电机（燃煤、燃气、核能）、风力发电机、交（直）流电机、军工产品、电站辅机设备的研发、设计、制造和服务。</w:t>
            </w:r>
          </w:p>
        </w:tc>
      </w:tr>
      <w:tr w14:paraId="58A1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1271" w:type="dxa"/>
            <w:shd w:val="clear" w:color="auto" w:fill="E7E6E6" w:themeFill="background2"/>
            <w:noWrap/>
            <w:vAlign w:val="center"/>
          </w:tcPr>
          <w:p w14:paraId="0CB27C2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0"/>
            <w:shd w:val="clear" w:color="000000" w:fill="FFFFFF"/>
            <w:vAlign w:val="center"/>
          </w:tcPr>
          <w:p w14:paraId="1BDDD1B5">
            <w:pPr>
              <w:adjustRightInd w:val="0"/>
              <w:snapToGrid w:val="0"/>
              <w:spacing w:line="480" w:lineRule="auto"/>
              <w:ind w:firstLine="420" w:firstLineChars="200"/>
              <w:jc w:val="left"/>
              <w:rPr>
                <w:rFonts w:eastAsiaTheme="minorEastAsia"/>
                <w:sz w:val="21"/>
                <w:szCs w:val="21"/>
              </w:rPr>
            </w:pPr>
            <w:r>
              <w:rPr>
                <w:rFonts w:hint="eastAsia" w:eastAsiaTheme="minorEastAsia"/>
                <w:sz w:val="21"/>
                <w:szCs w:val="21"/>
              </w:rPr>
              <w:t>公司为博士后研究人员提供科研经费、必要的科研条件和科研助手；提供免费住房一套、生活补贴、必要的福利等；按规定办理配偶安置、子女入学等相关待遇；出站后被公司录用的，按公司录用高层次人才的办法办理。</w:t>
            </w:r>
          </w:p>
        </w:tc>
      </w:tr>
      <w:tr w14:paraId="08C1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100" w:type="dxa"/>
            <w:gridSpan w:val="2"/>
            <w:shd w:val="clear" w:color="auto" w:fill="E7E6E6" w:themeFill="background2"/>
            <w:noWrap/>
            <w:vAlign w:val="center"/>
          </w:tcPr>
          <w:p w14:paraId="5862947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4" w:type="dxa"/>
            <w:gridSpan w:val="2"/>
            <w:shd w:val="clear" w:color="auto" w:fill="E7E6E6" w:themeFill="background2"/>
            <w:vAlign w:val="center"/>
          </w:tcPr>
          <w:p w14:paraId="521B0DF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1" w:type="dxa"/>
            <w:shd w:val="clear" w:color="auto" w:fill="E7E6E6" w:themeFill="background2"/>
            <w:vAlign w:val="center"/>
          </w:tcPr>
          <w:p w14:paraId="4A0697C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93" w:type="dxa"/>
            <w:gridSpan w:val="2"/>
            <w:shd w:val="clear" w:color="auto" w:fill="E7E6E6" w:themeFill="background2"/>
            <w:vAlign w:val="center"/>
          </w:tcPr>
          <w:p w14:paraId="14F4D6E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1299A2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025F73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58B700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3" w:type="dxa"/>
            <w:gridSpan w:val="2"/>
            <w:shd w:val="clear" w:color="auto" w:fill="E7E6E6" w:themeFill="background2"/>
            <w:vAlign w:val="center"/>
          </w:tcPr>
          <w:p w14:paraId="30D5805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1C5C46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AD2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00" w:type="dxa"/>
            <w:gridSpan w:val="2"/>
            <w:shd w:val="clear" w:color="000000" w:fill="FFFFFF"/>
            <w:noWrap/>
            <w:vAlign w:val="center"/>
          </w:tcPr>
          <w:p w14:paraId="78FCBEB8">
            <w:pPr>
              <w:adjustRightInd w:val="0"/>
              <w:snapToGrid w:val="0"/>
              <w:spacing w:line="240" w:lineRule="auto"/>
              <w:ind w:firstLine="0" w:firstLineChars="0"/>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水泵关键技术研究</w:t>
            </w:r>
          </w:p>
        </w:tc>
        <w:tc>
          <w:tcPr>
            <w:tcW w:w="1104" w:type="dxa"/>
            <w:gridSpan w:val="2"/>
            <w:shd w:val="clear" w:color="000000" w:fill="FFFFFF"/>
            <w:vAlign w:val="center"/>
          </w:tcPr>
          <w:p w14:paraId="062E211A">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1</w:t>
            </w:r>
          </w:p>
        </w:tc>
        <w:tc>
          <w:tcPr>
            <w:tcW w:w="1231" w:type="dxa"/>
            <w:shd w:val="clear" w:color="000000" w:fill="FFFFFF"/>
            <w:vAlign w:val="center"/>
          </w:tcPr>
          <w:p w14:paraId="265D7C8A">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BSH001</w:t>
            </w:r>
          </w:p>
        </w:tc>
        <w:tc>
          <w:tcPr>
            <w:tcW w:w="1793" w:type="dxa"/>
            <w:gridSpan w:val="2"/>
            <w:tcBorders>
              <w:top w:val="nil"/>
              <w:left w:val="nil"/>
              <w:bottom w:val="single" w:color="auto" w:sz="4" w:space="0"/>
              <w:right w:val="single" w:color="auto" w:sz="4" w:space="0"/>
            </w:tcBorders>
            <w:vAlign w:val="center"/>
          </w:tcPr>
          <w:p w14:paraId="33F7D1A4">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机械工程（结构）</w:t>
            </w:r>
          </w:p>
        </w:tc>
        <w:tc>
          <w:tcPr>
            <w:tcW w:w="1428" w:type="dxa"/>
            <w:gridSpan w:val="2"/>
            <w:tcBorders>
              <w:top w:val="nil"/>
              <w:left w:val="nil"/>
              <w:bottom w:val="single" w:color="auto" w:sz="4" w:space="0"/>
              <w:right w:val="single" w:color="auto" w:sz="4" w:space="0"/>
            </w:tcBorders>
            <w:vAlign w:val="center"/>
          </w:tcPr>
          <w:p w14:paraId="0D56B884">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30万　</w:t>
            </w:r>
          </w:p>
        </w:tc>
        <w:tc>
          <w:tcPr>
            <w:tcW w:w="1883" w:type="dxa"/>
            <w:gridSpan w:val="2"/>
            <w:tcBorders>
              <w:top w:val="nil"/>
              <w:left w:val="nil"/>
              <w:bottom w:val="single" w:color="auto" w:sz="4" w:space="0"/>
              <w:right w:val="single" w:color="auto" w:sz="4" w:space="0"/>
            </w:tcBorders>
            <w:vAlign w:val="center"/>
          </w:tcPr>
          <w:p w14:paraId="097EC456">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985/211高校/一流学科高校</w:t>
            </w:r>
          </w:p>
        </w:tc>
      </w:tr>
      <w:tr w14:paraId="5464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00" w:type="dxa"/>
            <w:gridSpan w:val="2"/>
            <w:shd w:val="clear" w:color="000000" w:fill="FFFFFF"/>
            <w:noWrap/>
            <w:vAlign w:val="center"/>
          </w:tcPr>
          <w:p w14:paraId="3EC30BF1">
            <w:pPr>
              <w:adjustRightInd w:val="0"/>
              <w:snapToGrid w:val="0"/>
              <w:spacing w:line="240" w:lineRule="auto"/>
              <w:ind w:firstLine="0" w:firstLineChars="0"/>
              <w:jc w:val="both"/>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变转速抽蓄发电电动机关键电磁暂态性能、及水机电网联合运行技术研究</w:t>
            </w:r>
          </w:p>
        </w:tc>
        <w:tc>
          <w:tcPr>
            <w:tcW w:w="1104" w:type="dxa"/>
            <w:gridSpan w:val="2"/>
            <w:shd w:val="clear" w:color="000000" w:fill="FFFFFF"/>
            <w:vAlign w:val="center"/>
          </w:tcPr>
          <w:p w14:paraId="16EE68C0">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1</w:t>
            </w:r>
          </w:p>
        </w:tc>
        <w:tc>
          <w:tcPr>
            <w:tcW w:w="1231" w:type="dxa"/>
            <w:shd w:val="clear" w:color="000000" w:fill="FFFFFF"/>
            <w:vAlign w:val="center"/>
          </w:tcPr>
          <w:p w14:paraId="546A1414">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BSH002</w:t>
            </w:r>
          </w:p>
        </w:tc>
        <w:tc>
          <w:tcPr>
            <w:tcW w:w="1793" w:type="dxa"/>
            <w:gridSpan w:val="2"/>
            <w:tcBorders>
              <w:top w:val="nil"/>
              <w:left w:val="nil"/>
              <w:bottom w:val="single" w:color="auto" w:sz="4" w:space="0"/>
              <w:right w:val="single" w:color="auto" w:sz="4" w:space="0"/>
            </w:tcBorders>
            <w:vAlign w:val="center"/>
          </w:tcPr>
          <w:p w14:paraId="04D9C32A">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电气工程</w:t>
            </w:r>
          </w:p>
        </w:tc>
        <w:tc>
          <w:tcPr>
            <w:tcW w:w="1428" w:type="dxa"/>
            <w:gridSpan w:val="2"/>
            <w:tcBorders>
              <w:top w:val="nil"/>
              <w:left w:val="nil"/>
              <w:bottom w:val="single" w:color="auto" w:sz="4" w:space="0"/>
              <w:right w:val="single" w:color="auto" w:sz="4" w:space="0"/>
            </w:tcBorders>
            <w:vAlign w:val="center"/>
          </w:tcPr>
          <w:p w14:paraId="390F2825">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30万</w:t>
            </w:r>
          </w:p>
        </w:tc>
        <w:tc>
          <w:tcPr>
            <w:tcW w:w="1883" w:type="dxa"/>
            <w:gridSpan w:val="2"/>
            <w:tcBorders>
              <w:top w:val="nil"/>
              <w:left w:val="nil"/>
              <w:bottom w:val="single" w:color="auto" w:sz="4" w:space="0"/>
              <w:right w:val="single" w:color="auto" w:sz="4" w:space="0"/>
            </w:tcBorders>
            <w:vAlign w:val="center"/>
          </w:tcPr>
          <w:p w14:paraId="4340308A">
            <w:pPr>
              <w:adjustRightInd w:val="0"/>
              <w:snapToGrid w:val="0"/>
              <w:spacing w:line="240" w:lineRule="auto"/>
              <w:ind w:firstLine="0" w:firstLineChars="0"/>
              <w:jc w:val="center"/>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kern w:val="0"/>
                <w:sz w:val="21"/>
                <w:szCs w:val="21"/>
              </w:rPr>
              <w:t>985/211高校</w:t>
            </w:r>
          </w:p>
        </w:tc>
      </w:tr>
    </w:tbl>
    <w:p w14:paraId="0E46AA2C">
      <w:pPr>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14:paraId="134F9A0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4EDDB0AA">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Times New Roman" w:hAnsi="Times New Roman" w:eastAsia="方正小标宋简体"/>
          <w:kern w:val="0"/>
          <w:sz w:val="44"/>
          <w:szCs w:val="44"/>
        </w:rPr>
      </w:pPr>
      <w:bookmarkStart w:id="252" w:name="_Toc29462"/>
      <w:bookmarkStart w:id="253" w:name="_Toc10610"/>
      <w:bookmarkStart w:id="254" w:name="_Toc14663"/>
      <w:bookmarkStart w:id="255" w:name="_Toc8662"/>
      <w:bookmarkStart w:id="256" w:name="_Toc14795"/>
      <w:r>
        <w:rPr>
          <w:rFonts w:ascii="Times New Roman" w:hAnsi="Times New Roman" w:eastAsia="方正小标宋简体"/>
          <w:kern w:val="0"/>
          <w:sz w:val="44"/>
          <w:szCs w:val="44"/>
          <w:highlight w:val="none"/>
        </w:rPr>
        <w:t>东方电气集团东方锅炉股份有限公司</w:t>
      </w:r>
      <w:bookmarkEnd w:id="252"/>
      <w:bookmarkEnd w:id="253"/>
      <w:bookmarkEnd w:id="254"/>
      <w:bookmarkEnd w:id="255"/>
      <w:bookmarkEnd w:id="256"/>
    </w:p>
    <w:p w14:paraId="0734FFA0">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225"/>
        <w:gridCol w:w="453"/>
        <w:gridCol w:w="1626"/>
        <w:gridCol w:w="340"/>
        <w:gridCol w:w="1225"/>
        <w:gridCol w:w="224"/>
        <w:gridCol w:w="1799"/>
      </w:tblGrid>
      <w:tr w14:paraId="0E40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42F76A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157542D0">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61874A0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2BBA9405">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71C880E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02BEAEF6">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6AA0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5B7303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100AF2C6">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自贡市自流井区五星街黄桷坪路150号</w:t>
            </w:r>
          </w:p>
        </w:tc>
      </w:tr>
      <w:tr w14:paraId="09AE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7" w:hRule="atLeast"/>
          <w:jc w:val="center"/>
        </w:trPr>
        <w:tc>
          <w:tcPr>
            <w:tcW w:w="1271" w:type="dxa"/>
            <w:shd w:val="clear" w:color="auto" w:fill="E7E6E6" w:themeFill="background2"/>
            <w:noWrap/>
            <w:vAlign w:val="center"/>
          </w:tcPr>
          <w:p w14:paraId="7F19A74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5AF61AC9">
            <w:pPr>
              <w:adjustRightInd w:val="0"/>
              <w:snapToGrid w:val="0"/>
              <w:spacing w:line="312" w:lineRule="auto"/>
              <w:ind w:firstLine="420" w:firstLineChars="200"/>
              <w:jc w:val="both"/>
              <w:rPr>
                <w:rFonts w:eastAsiaTheme="minorEastAsia"/>
                <w:sz w:val="21"/>
                <w:szCs w:val="21"/>
              </w:rPr>
            </w:pPr>
            <w:r>
              <w:rPr>
                <w:rFonts w:hint="eastAsia" w:eastAsiaTheme="minorEastAsia"/>
                <w:sz w:val="21"/>
                <w:szCs w:val="21"/>
              </w:rPr>
              <w:t>东方电气集团东方锅炉股份有限公司（简称“东方锅炉”）是中国东方电气集团有限公司（国有重要骨干企业、国务院国资委监管企业）下属核心企业。东方锅炉成立近60年以来，一直致力于为世界能源及环境保护提供先进装备和一流服务，在岗职工3000余人，2022年营业收入超过120亿元（人民币），主营热能动力、节能环保、电站服务、化工核电、绿色新能源（光热、储能等）、氢能等六大产业板块，设有博士后科研工作站、四川省院士(专家)工作站等高端人才平台，拥有国家级“清洁高效燃烧技术工程试验中心”、“清洁燃烧与烟气净化四川省重点实验室”等国内一流创新平台，具备先进的试验研究能力和数值模拟计算能力，具备燃料清洁燃烧、烟气净化、水处理、固废处理、太阳能光热、生物质利用、先进碳捕集、制氢储氢及分布式能源、材料与焊接等领域强大的新技术、新产品研发能力。</w:t>
            </w:r>
          </w:p>
        </w:tc>
      </w:tr>
      <w:tr w14:paraId="4D3D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1271" w:type="dxa"/>
            <w:shd w:val="clear" w:color="auto" w:fill="E7E6E6" w:themeFill="background2"/>
            <w:noWrap/>
            <w:vAlign w:val="center"/>
          </w:tcPr>
          <w:p w14:paraId="3E82417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684DE2C6">
            <w:pPr>
              <w:adjustRightInd w:val="0"/>
              <w:snapToGrid w:val="0"/>
              <w:spacing w:line="312" w:lineRule="auto"/>
              <w:ind w:firstLine="420" w:firstLineChars="200"/>
              <w:rPr>
                <w:rFonts w:hint="eastAsia" w:eastAsiaTheme="minorEastAsia"/>
                <w:sz w:val="21"/>
                <w:szCs w:val="21"/>
              </w:rPr>
            </w:pPr>
            <w:r>
              <w:rPr>
                <w:rFonts w:hint="eastAsia" w:eastAsiaTheme="minorEastAsia"/>
                <w:sz w:val="21"/>
                <w:szCs w:val="21"/>
              </w:rPr>
              <w:t>1.博士后实行协议工资制度。全职工作的博士后年薪不低于25 万/年，非全职（每季度在站工作时间不少于 1 周，全年不少于1 个月）的博士后年薪不低于 15 万/年。</w:t>
            </w:r>
          </w:p>
          <w:p w14:paraId="599B8CDF">
            <w:pPr>
              <w:adjustRightInd w:val="0"/>
              <w:snapToGrid w:val="0"/>
              <w:spacing w:line="312" w:lineRule="auto"/>
              <w:ind w:firstLine="420" w:firstLineChars="200"/>
              <w:rPr>
                <w:rFonts w:eastAsiaTheme="minorEastAsia"/>
                <w:sz w:val="21"/>
                <w:szCs w:val="21"/>
              </w:rPr>
            </w:pPr>
            <w:r>
              <w:rPr>
                <w:rFonts w:hint="eastAsia" w:eastAsiaTheme="minorEastAsia"/>
                <w:sz w:val="21"/>
                <w:szCs w:val="21"/>
              </w:rPr>
              <w:t>2.博士后科研工作站为博士后提供 2 万元/每人每年的办公经费，主要用于博士后办公用品、办公耗材、图书资料等费用支出；博士后科研工作站为博士后提供 3 万元/每人每年的管理经费（含差旅费），主要用于博士后学术交流、项目研究差旅费等费用支出。</w:t>
            </w:r>
          </w:p>
        </w:tc>
      </w:tr>
      <w:tr w14:paraId="6EC2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793B588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0E978BB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7" w:type="dxa"/>
            <w:shd w:val="clear" w:color="auto" w:fill="E7E6E6" w:themeFill="background2"/>
            <w:vAlign w:val="center"/>
          </w:tcPr>
          <w:p w14:paraId="59FE5AB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364" w:type="dxa"/>
            <w:gridSpan w:val="3"/>
            <w:shd w:val="clear" w:color="auto" w:fill="E7E6E6" w:themeFill="background2"/>
            <w:vAlign w:val="center"/>
          </w:tcPr>
          <w:p w14:paraId="55C95DF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182B11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6" w:type="dxa"/>
            <w:gridSpan w:val="2"/>
            <w:shd w:val="clear" w:color="auto" w:fill="E7E6E6" w:themeFill="background2"/>
            <w:vAlign w:val="center"/>
          </w:tcPr>
          <w:p w14:paraId="060207F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DC9916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58" w:type="dxa"/>
            <w:shd w:val="clear" w:color="auto" w:fill="E7E6E6" w:themeFill="background2"/>
            <w:vAlign w:val="center"/>
          </w:tcPr>
          <w:p w14:paraId="6A3473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17DBB0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CD6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0E53DC3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污染物治理</w:t>
            </w:r>
          </w:p>
        </w:tc>
        <w:tc>
          <w:tcPr>
            <w:tcW w:w="1176" w:type="dxa"/>
            <w:shd w:val="clear" w:color="000000" w:fill="FFFFFF"/>
            <w:vAlign w:val="center"/>
          </w:tcPr>
          <w:p w14:paraId="05E5B28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97" w:type="dxa"/>
            <w:shd w:val="clear" w:color="000000" w:fill="FFFFFF"/>
            <w:vAlign w:val="center"/>
          </w:tcPr>
          <w:p w14:paraId="3E19FD6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w:t>
            </w:r>
            <w:r>
              <w:rPr>
                <w:rFonts w:hint="default" w:ascii="Times New Roman" w:hAnsi="Times New Roman" w:cs="Times New Roman" w:eastAsiaTheme="minorEastAsia"/>
                <w:sz w:val="21"/>
                <w:szCs w:val="21"/>
              </w:rPr>
              <w:t>001</w:t>
            </w:r>
          </w:p>
        </w:tc>
        <w:tc>
          <w:tcPr>
            <w:tcW w:w="2364" w:type="dxa"/>
            <w:gridSpan w:val="3"/>
            <w:shd w:val="clear" w:color="000000" w:fill="FFFFFF"/>
            <w:vAlign w:val="center"/>
          </w:tcPr>
          <w:p w14:paraId="2128CB0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环境工程</w:t>
            </w:r>
          </w:p>
        </w:tc>
        <w:tc>
          <w:tcPr>
            <w:tcW w:w="1416" w:type="dxa"/>
            <w:gridSpan w:val="2"/>
            <w:shd w:val="clear" w:color="000000" w:fill="FFFFFF"/>
            <w:vAlign w:val="center"/>
          </w:tcPr>
          <w:p w14:paraId="6810341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758" w:type="dxa"/>
            <w:vMerge w:val="restart"/>
            <w:shd w:val="clear" w:color="000000" w:fill="FFFFFF"/>
            <w:vAlign w:val="center"/>
          </w:tcPr>
          <w:p w14:paraId="2E35CB7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r w14:paraId="2F8F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3100CD5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数值模拟仿真</w:t>
            </w:r>
          </w:p>
        </w:tc>
        <w:tc>
          <w:tcPr>
            <w:tcW w:w="1176" w:type="dxa"/>
            <w:shd w:val="clear" w:color="000000" w:fill="FFFFFF"/>
            <w:vAlign w:val="center"/>
          </w:tcPr>
          <w:p w14:paraId="594ED53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97" w:type="dxa"/>
            <w:shd w:val="clear" w:color="000000" w:fill="FFFFFF"/>
            <w:vAlign w:val="center"/>
          </w:tcPr>
          <w:p w14:paraId="7B2E8C3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w:t>
            </w:r>
            <w:r>
              <w:rPr>
                <w:rFonts w:hint="default" w:ascii="Times New Roman" w:hAnsi="Times New Roman" w:cs="Times New Roman" w:eastAsiaTheme="minorEastAsia"/>
                <w:sz w:val="21"/>
                <w:szCs w:val="21"/>
              </w:rPr>
              <w:t>002</w:t>
            </w:r>
          </w:p>
        </w:tc>
        <w:tc>
          <w:tcPr>
            <w:tcW w:w="2364" w:type="dxa"/>
            <w:gridSpan w:val="3"/>
            <w:shd w:val="clear" w:color="000000" w:fill="FFFFFF"/>
            <w:vAlign w:val="center"/>
          </w:tcPr>
          <w:p w14:paraId="2CFA5B1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动力工程及工程热物理</w:t>
            </w:r>
          </w:p>
        </w:tc>
        <w:tc>
          <w:tcPr>
            <w:tcW w:w="1416" w:type="dxa"/>
            <w:gridSpan w:val="2"/>
            <w:shd w:val="clear" w:color="000000" w:fill="FFFFFF"/>
            <w:vAlign w:val="center"/>
          </w:tcPr>
          <w:p w14:paraId="7FDA1FE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758" w:type="dxa"/>
            <w:vMerge w:val="continue"/>
            <w:shd w:val="clear" w:color="000000" w:fill="FFFFFF"/>
            <w:vAlign w:val="center"/>
          </w:tcPr>
          <w:p w14:paraId="495F753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z w:val="21"/>
                <w:szCs w:val="21"/>
              </w:rPr>
            </w:pPr>
          </w:p>
        </w:tc>
      </w:tr>
      <w:tr w14:paraId="210C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7C0D59A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光热利用及发电</w:t>
            </w:r>
          </w:p>
        </w:tc>
        <w:tc>
          <w:tcPr>
            <w:tcW w:w="1176" w:type="dxa"/>
            <w:shd w:val="clear" w:color="000000" w:fill="FFFFFF"/>
            <w:vAlign w:val="center"/>
          </w:tcPr>
          <w:p w14:paraId="5CCEF0E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97" w:type="dxa"/>
            <w:shd w:val="clear" w:color="000000" w:fill="FFFFFF"/>
            <w:vAlign w:val="center"/>
          </w:tcPr>
          <w:p w14:paraId="383E583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w:t>
            </w:r>
            <w:r>
              <w:rPr>
                <w:rFonts w:hint="default" w:ascii="Times New Roman" w:hAnsi="Times New Roman" w:cs="Times New Roman" w:eastAsiaTheme="minorEastAsia"/>
                <w:sz w:val="21"/>
                <w:szCs w:val="21"/>
              </w:rPr>
              <w:t>003</w:t>
            </w:r>
          </w:p>
        </w:tc>
        <w:tc>
          <w:tcPr>
            <w:tcW w:w="2364" w:type="dxa"/>
            <w:gridSpan w:val="3"/>
            <w:shd w:val="clear" w:color="000000" w:fill="FFFFFF"/>
            <w:vAlign w:val="center"/>
          </w:tcPr>
          <w:p w14:paraId="171A04E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动力工程及工程热物理</w:t>
            </w:r>
          </w:p>
        </w:tc>
        <w:tc>
          <w:tcPr>
            <w:tcW w:w="1416" w:type="dxa"/>
            <w:gridSpan w:val="2"/>
            <w:shd w:val="clear" w:color="000000" w:fill="FFFFFF"/>
            <w:vAlign w:val="center"/>
          </w:tcPr>
          <w:p w14:paraId="2A643C3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758" w:type="dxa"/>
            <w:vMerge w:val="continue"/>
            <w:shd w:val="clear" w:color="000000" w:fill="FFFFFF"/>
            <w:vAlign w:val="center"/>
          </w:tcPr>
          <w:p w14:paraId="6B1814E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z w:val="21"/>
                <w:szCs w:val="21"/>
              </w:rPr>
            </w:pPr>
          </w:p>
        </w:tc>
      </w:tr>
    </w:tbl>
    <w:p w14:paraId="7FE5E36A">
      <w:pPr>
        <w:pStyle w:val="5"/>
        <w:adjustRightInd w:val="0"/>
        <w:snapToGrid w:val="0"/>
        <w:spacing w:line="240" w:lineRule="auto"/>
        <w:ind w:firstLine="0"/>
        <w:rPr>
          <w:rFonts w:eastAsia="方正小标宋简体"/>
          <w:sz w:val="21"/>
          <w:szCs w:val="21"/>
        </w:rPr>
      </w:pPr>
      <w:r>
        <w:rPr>
          <w:sz w:val="21"/>
          <w:szCs w:val="21"/>
        </w:rPr>
        <w:br w:type="page"/>
      </w:r>
    </w:p>
    <w:p w14:paraId="431E2CEE">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方正小标宋简体"/>
          <w:sz w:val="44"/>
          <w:szCs w:val="44"/>
        </w:rPr>
      </w:pPr>
    </w:p>
    <w:p w14:paraId="3C5A964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57" w:name="_Toc29016"/>
      <w:bookmarkStart w:id="258" w:name="_Toc17608"/>
      <w:bookmarkStart w:id="259" w:name="_Toc20690"/>
      <w:bookmarkStart w:id="260" w:name="_Toc16443"/>
      <w:bookmarkStart w:id="261" w:name="_Toc1654"/>
      <w:r>
        <w:rPr>
          <w:rFonts w:hint="eastAsia" w:eastAsia="方正小标宋简体"/>
          <w:sz w:val="44"/>
          <w:szCs w:val="44"/>
          <w:highlight w:val="none"/>
        </w:rPr>
        <w:t>东方电气集团东方汽轮机有限公司</w:t>
      </w:r>
      <w:bookmarkEnd w:id="257"/>
      <w:bookmarkEnd w:id="258"/>
      <w:bookmarkEnd w:id="259"/>
      <w:bookmarkEnd w:id="260"/>
      <w:bookmarkEnd w:id="261"/>
    </w:p>
    <w:p w14:paraId="286D7381">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5"/>
        <w:gridCol w:w="847"/>
        <w:gridCol w:w="1117"/>
        <w:gridCol w:w="478"/>
        <w:gridCol w:w="1278"/>
        <w:gridCol w:w="348"/>
        <w:gridCol w:w="1248"/>
        <w:gridCol w:w="316"/>
        <w:gridCol w:w="2024"/>
      </w:tblGrid>
      <w:tr w14:paraId="1535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B7583E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14:paraId="3A48FD6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559" w:type="dxa"/>
            <w:gridSpan w:val="2"/>
            <w:shd w:val="clear" w:color="auto" w:fill="E7E6E6" w:themeFill="background2"/>
            <w:noWrap/>
            <w:vAlign w:val="center"/>
          </w:tcPr>
          <w:p w14:paraId="4D52D28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1EC692B">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270C47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5974297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德阳</w:t>
            </w:r>
          </w:p>
        </w:tc>
      </w:tr>
      <w:tr w14:paraId="45D2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4F5D6F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2D3D7F79">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四川省德阳市高新技术产业园区金沙江西路666号</w:t>
            </w:r>
          </w:p>
        </w:tc>
      </w:tr>
      <w:tr w14:paraId="6D49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271" w:type="dxa"/>
            <w:shd w:val="clear" w:color="auto" w:fill="E7E6E6" w:themeFill="background2"/>
            <w:noWrap/>
            <w:vAlign w:val="center"/>
          </w:tcPr>
          <w:p w14:paraId="56CD49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684FAE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东方电气集团东方汽轮机有限公司隶属于中国东方电气集团有限公司，创建于1966年，是我国研究、设计、制造大型发电设备的高新技术国有企业，国家重大技术装备研制和产业化基地，全国机械工业100强企业，我国最大的汽轮机制造基地，世界最先进的汽轮机研制企业之一。产品涵盖气电、清洁高效煤电核电、工业透平、电站服务、新能源工程、储能产业、新兴产业等多个领域。公司拥有清洁高效透平动力装备全国重点实验室、国家能源中小功率燃气轮机产业链关键技术和装备研发中心等三个国家级科技创新平台，建成行业首个5G全连接数字化工厂，也是行业首家通过智能制造能力成熟度四级评审的企业。</w:t>
            </w:r>
          </w:p>
          <w:p w14:paraId="567A50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司高度重视人才培养，设有院士工作站和博士后科研工作站，以全重实验室为基础，建立了集团首个人才特区。拥有国家级技术、技能专家近20人，省部级、集团级技术、技能专家150余人，科技人员1400余人。搭建了以国务院政府津贴专家、省学术带头人等为领军人物的人才团队。</w:t>
            </w:r>
          </w:p>
        </w:tc>
      </w:tr>
      <w:tr w14:paraId="13D9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1271" w:type="dxa"/>
            <w:shd w:val="clear" w:color="auto" w:fill="E7E6E6" w:themeFill="background2"/>
            <w:noWrap/>
            <w:vAlign w:val="center"/>
          </w:tcPr>
          <w:p w14:paraId="6C95973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6B2959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待遇：进站博士后的待遇标准按照国家相关要求和标准执行，原则上按照1万元/月予以支付。针对长期驻扎东汽，或在合作的科研项目研究中发挥重大作用，取得突出成果的进站博士后的待遇标准原则上允许上浮不超过20%。</w:t>
            </w:r>
          </w:p>
          <w:p w14:paraId="594649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2.经费支持：划拨日常运行经费、科研专项经费及上级财政专项补助（奖励）经费支持。</w:t>
            </w:r>
          </w:p>
        </w:tc>
      </w:tr>
      <w:tr w14:paraId="74EE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8" w:type="dxa"/>
            <w:gridSpan w:val="2"/>
            <w:shd w:val="clear" w:color="auto" w:fill="E7E6E6" w:themeFill="background2"/>
            <w:noWrap/>
            <w:vAlign w:val="center"/>
          </w:tcPr>
          <w:p w14:paraId="683DDF3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31951CD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14:paraId="346AFAE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16" w:type="dxa"/>
            <w:gridSpan w:val="2"/>
            <w:shd w:val="clear" w:color="auto" w:fill="E7E6E6" w:themeFill="background2"/>
            <w:vAlign w:val="center"/>
          </w:tcPr>
          <w:p w14:paraId="13BD607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2F99FC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60" w:type="dxa"/>
            <w:gridSpan w:val="2"/>
            <w:shd w:val="clear" w:color="auto" w:fill="E7E6E6" w:themeFill="background2"/>
            <w:vAlign w:val="center"/>
          </w:tcPr>
          <w:p w14:paraId="4536FE5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73709A8">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6" w:type="dxa"/>
            <w:gridSpan w:val="2"/>
            <w:shd w:val="clear" w:color="auto" w:fill="E7E6E6" w:themeFill="background2"/>
            <w:vAlign w:val="center"/>
          </w:tcPr>
          <w:p w14:paraId="6839DC5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1373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8" w:type="dxa"/>
            <w:gridSpan w:val="2"/>
            <w:shd w:val="clear" w:color="000000" w:fill="FFFFFF"/>
            <w:noWrap/>
            <w:vAlign w:val="center"/>
          </w:tcPr>
          <w:p w14:paraId="79CAADFA">
            <w:pPr>
              <w:widowControl/>
              <w:adjustRightInd w:val="0"/>
              <w:snapToGrid w:val="0"/>
              <w:spacing w:line="300" w:lineRule="exact"/>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汽发机组船用环境适应性及减振降噪技术研究</w:t>
            </w:r>
          </w:p>
        </w:tc>
        <w:tc>
          <w:tcPr>
            <w:tcW w:w="828" w:type="dxa"/>
            <w:shd w:val="clear" w:color="000000" w:fill="FFFFFF"/>
            <w:vAlign w:val="center"/>
          </w:tcPr>
          <w:p w14:paraId="3AC93BF2">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092" w:type="dxa"/>
            <w:shd w:val="clear" w:color="000000" w:fill="FFFFFF"/>
            <w:vAlign w:val="center"/>
          </w:tcPr>
          <w:p w14:paraId="2DA9D5F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16" w:type="dxa"/>
            <w:gridSpan w:val="2"/>
            <w:shd w:val="clear" w:color="000000" w:fill="FFFFFF"/>
            <w:vAlign w:val="center"/>
          </w:tcPr>
          <w:p w14:paraId="1AF953A7">
            <w:pPr>
              <w:widowControl/>
              <w:adjustRightInd w:val="0"/>
              <w:snapToGrid w:val="0"/>
              <w:spacing w:line="2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振动噪声</w:t>
            </w:r>
          </w:p>
        </w:tc>
        <w:tc>
          <w:tcPr>
            <w:tcW w:w="1560" w:type="dxa"/>
            <w:gridSpan w:val="2"/>
            <w:shd w:val="clear" w:color="000000" w:fill="FFFFFF"/>
            <w:vAlign w:val="center"/>
          </w:tcPr>
          <w:p w14:paraId="48023C0F">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双方按协议约定</w:t>
            </w:r>
          </w:p>
        </w:tc>
        <w:tc>
          <w:tcPr>
            <w:tcW w:w="2286" w:type="dxa"/>
            <w:gridSpan w:val="2"/>
            <w:vMerge w:val="restart"/>
            <w:shd w:val="clear" w:color="000000" w:fill="FFFFFF"/>
            <w:vAlign w:val="center"/>
          </w:tcPr>
          <w:p w14:paraId="2A749B68">
            <w:pPr>
              <w:widowControl/>
              <w:adjustRightInd w:val="0"/>
              <w:snapToGrid w:val="0"/>
              <w:spacing w:line="30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0"/>
                <w:sz w:val="21"/>
                <w:szCs w:val="21"/>
              </w:rPr>
              <w:t>相关高校</w:t>
            </w:r>
          </w:p>
        </w:tc>
      </w:tr>
      <w:tr w14:paraId="36D8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8" w:type="dxa"/>
            <w:gridSpan w:val="2"/>
            <w:shd w:val="clear" w:color="000000" w:fill="FFFFFF"/>
            <w:noWrap/>
            <w:vAlign w:val="center"/>
          </w:tcPr>
          <w:p w14:paraId="32BBCDCB">
            <w:pPr>
              <w:widowControl/>
              <w:adjustRightInd w:val="0"/>
              <w:snapToGrid w:val="0"/>
              <w:spacing w:line="300" w:lineRule="exact"/>
              <w:ind w:firstLine="0" w:firstLineChars="0"/>
              <w:jc w:val="both"/>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0"/>
                <w:sz w:val="21"/>
                <w:szCs w:val="21"/>
              </w:rPr>
              <w:t>高温合金叶片激光定向能量沉积修复装备与技术研究</w:t>
            </w:r>
          </w:p>
        </w:tc>
        <w:tc>
          <w:tcPr>
            <w:tcW w:w="828" w:type="dxa"/>
            <w:shd w:val="clear" w:color="000000" w:fill="FFFFFF"/>
            <w:vAlign w:val="center"/>
          </w:tcPr>
          <w:p w14:paraId="6A3B1A6E">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092" w:type="dxa"/>
            <w:shd w:val="clear" w:color="000000" w:fill="FFFFFF"/>
            <w:vAlign w:val="center"/>
          </w:tcPr>
          <w:p w14:paraId="6ABFD5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716" w:type="dxa"/>
            <w:gridSpan w:val="2"/>
            <w:shd w:val="clear" w:color="000000" w:fill="FFFFFF"/>
            <w:vAlign w:val="center"/>
          </w:tcPr>
          <w:p w14:paraId="01864C81">
            <w:pPr>
              <w:widowControl/>
              <w:adjustRightInd w:val="0"/>
              <w:snapToGrid w:val="0"/>
              <w:spacing w:line="260" w:lineRule="exact"/>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增材制造、视觉传感、运动控制</w:t>
            </w:r>
          </w:p>
        </w:tc>
        <w:tc>
          <w:tcPr>
            <w:tcW w:w="1560" w:type="dxa"/>
            <w:gridSpan w:val="2"/>
            <w:shd w:val="clear" w:color="000000" w:fill="FFFFFF"/>
            <w:vAlign w:val="center"/>
          </w:tcPr>
          <w:p w14:paraId="1767200C">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双方按协议约定</w:t>
            </w:r>
          </w:p>
        </w:tc>
        <w:tc>
          <w:tcPr>
            <w:tcW w:w="2286" w:type="dxa"/>
            <w:gridSpan w:val="2"/>
            <w:vMerge w:val="continue"/>
            <w:shd w:val="clear" w:color="000000" w:fill="FFFFFF"/>
            <w:vAlign w:val="center"/>
          </w:tcPr>
          <w:p w14:paraId="37EF24AA">
            <w:pPr>
              <w:widowControl/>
              <w:adjustRightInd w:val="0"/>
              <w:snapToGrid w:val="0"/>
              <w:spacing w:line="300" w:lineRule="exact"/>
              <w:ind w:firstLine="0" w:firstLineChars="0"/>
              <w:jc w:val="center"/>
              <w:rPr>
                <w:rFonts w:hint="default" w:ascii="Times New Roman" w:hAnsi="Times New Roman" w:cs="Times New Roman" w:eastAsiaTheme="minorEastAsia"/>
                <w:color w:val="000000"/>
                <w:sz w:val="21"/>
                <w:szCs w:val="21"/>
              </w:rPr>
            </w:pPr>
          </w:p>
        </w:tc>
      </w:tr>
      <w:tr w14:paraId="5B3F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048" w:type="dxa"/>
            <w:gridSpan w:val="2"/>
            <w:shd w:val="clear" w:color="000000" w:fill="E7E6E6" w:themeFill="background2"/>
            <w:noWrap/>
            <w:vAlign w:val="center"/>
          </w:tcPr>
          <w:p w14:paraId="07F686F4">
            <w:pPr>
              <w:adjustRightInd w:val="0"/>
              <w:snapToGrid w:val="0"/>
              <w:spacing w:line="240" w:lineRule="auto"/>
              <w:ind w:firstLine="0" w:firstLineChars="0"/>
              <w:jc w:val="center"/>
              <w:rPr>
                <w:rFonts w:hint="default" w:ascii="Times New Roman" w:hAnsi="Times New Roman" w:cs="Times New Roman" w:eastAsiaTheme="minorEastAsia"/>
                <w:color w:val="000000"/>
                <w:sz w:val="21"/>
                <w:szCs w:val="21"/>
              </w:rPr>
            </w:pPr>
            <w:r>
              <w:rPr>
                <w:rFonts w:eastAsiaTheme="minorEastAsia"/>
                <w:b/>
                <w:bCs/>
                <w:sz w:val="21"/>
                <w:szCs w:val="21"/>
              </w:rPr>
              <w:t>项目名称</w:t>
            </w:r>
          </w:p>
        </w:tc>
        <w:tc>
          <w:tcPr>
            <w:tcW w:w="828" w:type="dxa"/>
            <w:shd w:val="clear" w:color="000000" w:fill="E7E6E6" w:themeFill="background2"/>
            <w:vAlign w:val="center"/>
          </w:tcPr>
          <w:p w14:paraId="1A1904A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092" w:type="dxa"/>
            <w:shd w:val="clear" w:color="000000" w:fill="E7E6E6" w:themeFill="background2"/>
            <w:vAlign w:val="center"/>
          </w:tcPr>
          <w:p w14:paraId="55C15E3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716" w:type="dxa"/>
            <w:gridSpan w:val="2"/>
            <w:shd w:val="clear" w:color="000000" w:fill="E7E6E6" w:themeFill="background2"/>
            <w:vAlign w:val="center"/>
          </w:tcPr>
          <w:p w14:paraId="2B4FBA3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E7A960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60" w:type="dxa"/>
            <w:gridSpan w:val="2"/>
            <w:shd w:val="clear" w:color="000000" w:fill="E7E6E6" w:themeFill="background2"/>
            <w:vAlign w:val="center"/>
          </w:tcPr>
          <w:p w14:paraId="10B5ADC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C7C2F3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6" w:type="dxa"/>
            <w:gridSpan w:val="2"/>
            <w:shd w:val="clear" w:color="000000" w:fill="E7E6E6" w:themeFill="background2"/>
            <w:vAlign w:val="center"/>
          </w:tcPr>
          <w:p w14:paraId="3A73F511">
            <w:pPr>
              <w:adjustRightInd w:val="0"/>
              <w:snapToGrid w:val="0"/>
              <w:spacing w:line="240" w:lineRule="auto"/>
              <w:ind w:firstLine="0"/>
              <w:jc w:val="center"/>
              <w:rPr>
                <w:rFonts w:hint="default" w:ascii="Times New Roman" w:hAnsi="Times New Roman" w:cs="Times New Roman" w:eastAsiaTheme="minorEastAsia"/>
                <w:color w:val="000000"/>
                <w:sz w:val="21"/>
                <w:szCs w:val="21"/>
              </w:rPr>
            </w:pPr>
            <w:r>
              <w:rPr>
                <w:rFonts w:eastAsiaTheme="minorEastAsia"/>
                <w:b/>
                <w:bCs/>
                <w:sz w:val="21"/>
                <w:szCs w:val="21"/>
              </w:rPr>
              <w:t>博士生源单位等要求</w:t>
            </w:r>
          </w:p>
        </w:tc>
      </w:tr>
      <w:tr w14:paraId="5C88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2048" w:type="dxa"/>
            <w:gridSpan w:val="2"/>
            <w:shd w:val="clear" w:color="000000" w:fill="FFFFFF"/>
            <w:noWrap/>
            <w:vAlign w:val="center"/>
          </w:tcPr>
          <w:p w14:paraId="3F68FD6F">
            <w:pPr>
              <w:widowControl/>
              <w:adjustRightInd w:val="0"/>
              <w:snapToGrid w:val="0"/>
              <w:spacing w:line="300" w:lineRule="exact"/>
              <w:ind w:firstLine="0" w:firstLineChars="0"/>
              <w:jc w:val="both"/>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0"/>
                <w:sz w:val="21"/>
                <w:szCs w:val="21"/>
              </w:rPr>
              <w:t>燃气轮机燃烧室燃烧关键技术研究</w:t>
            </w:r>
          </w:p>
        </w:tc>
        <w:tc>
          <w:tcPr>
            <w:tcW w:w="828" w:type="dxa"/>
            <w:shd w:val="clear" w:color="000000" w:fill="FFFFFF"/>
            <w:vAlign w:val="center"/>
          </w:tcPr>
          <w:p w14:paraId="687E7D8F">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092" w:type="dxa"/>
            <w:shd w:val="clear" w:color="000000" w:fill="FFFFFF"/>
            <w:vAlign w:val="center"/>
          </w:tcPr>
          <w:p w14:paraId="6E05EE3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716" w:type="dxa"/>
            <w:gridSpan w:val="2"/>
            <w:shd w:val="clear" w:color="000000" w:fill="FFFFFF"/>
            <w:vAlign w:val="center"/>
          </w:tcPr>
          <w:p w14:paraId="5D99795B">
            <w:pPr>
              <w:widowControl/>
              <w:adjustRightInd w:val="0"/>
              <w:snapToGrid w:val="0"/>
              <w:spacing w:line="260" w:lineRule="exact"/>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燃烧学，声学，流体力学，空气动力学（动力工程及工程热物理，机械工程，力学，物理学）</w:t>
            </w:r>
          </w:p>
        </w:tc>
        <w:tc>
          <w:tcPr>
            <w:tcW w:w="1560" w:type="dxa"/>
            <w:gridSpan w:val="2"/>
            <w:shd w:val="clear" w:color="000000" w:fill="FFFFFF"/>
            <w:vAlign w:val="center"/>
          </w:tcPr>
          <w:p w14:paraId="753D00C2">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双方按协议约定</w:t>
            </w:r>
          </w:p>
        </w:tc>
        <w:tc>
          <w:tcPr>
            <w:tcW w:w="2286" w:type="dxa"/>
            <w:gridSpan w:val="2"/>
            <w:vMerge w:val="restart"/>
            <w:shd w:val="clear" w:color="000000" w:fill="FFFFFF"/>
            <w:vAlign w:val="center"/>
          </w:tcPr>
          <w:p w14:paraId="598269E7">
            <w:pPr>
              <w:widowControl/>
              <w:adjustRightInd w:val="0"/>
              <w:snapToGrid w:val="0"/>
              <w:spacing w:line="300" w:lineRule="exact"/>
              <w:ind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0"/>
                <w:sz w:val="21"/>
                <w:szCs w:val="21"/>
              </w:rPr>
              <w:t>相关高校</w:t>
            </w:r>
          </w:p>
        </w:tc>
      </w:tr>
      <w:tr w14:paraId="0D6A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8" w:type="dxa"/>
            <w:gridSpan w:val="2"/>
            <w:shd w:val="clear" w:color="000000" w:fill="FFFFFF"/>
            <w:noWrap/>
            <w:vAlign w:val="center"/>
          </w:tcPr>
          <w:p w14:paraId="12939F19">
            <w:pPr>
              <w:widowControl/>
              <w:adjustRightInd w:val="0"/>
              <w:snapToGrid w:val="0"/>
              <w:spacing w:line="300" w:lineRule="exact"/>
              <w:ind w:firstLine="0" w:firstLineChars="0"/>
              <w:jc w:val="both"/>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kern w:val="0"/>
                <w:sz w:val="21"/>
                <w:szCs w:val="21"/>
              </w:rPr>
              <w:t>高温合金材料焊接工艺开发及性能评价研究</w:t>
            </w:r>
          </w:p>
        </w:tc>
        <w:tc>
          <w:tcPr>
            <w:tcW w:w="828" w:type="dxa"/>
            <w:shd w:val="clear" w:color="000000" w:fill="FFFFFF"/>
            <w:vAlign w:val="center"/>
          </w:tcPr>
          <w:p w14:paraId="6FCDCE4B">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092" w:type="dxa"/>
            <w:shd w:val="clear" w:color="000000" w:fill="FFFFFF"/>
            <w:vAlign w:val="center"/>
          </w:tcPr>
          <w:p w14:paraId="45F3BA0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716" w:type="dxa"/>
            <w:gridSpan w:val="2"/>
            <w:shd w:val="clear" w:color="000000" w:fill="FFFFFF"/>
            <w:vAlign w:val="center"/>
          </w:tcPr>
          <w:p w14:paraId="0DA85B3B">
            <w:pPr>
              <w:widowControl/>
              <w:adjustRightInd w:val="0"/>
              <w:snapToGrid w:val="0"/>
              <w:spacing w:line="2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材料学</w:t>
            </w:r>
          </w:p>
        </w:tc>
        <w:tc>
          <w:tcPr>
            <w:tcW w:w="1560" w:type="dxa"/>
            <w:gridSpan w:val="2"/>
            <w:shd w:val="clear" w:color="000000" w:fill="FFFFFF"/>
            <w:vAlign w:val="center"/>
          </w:tcPr>
          <w:p w14:paraId="5AB582DE">
            <w:pPr>
              <w:widowControl/>
              <w:adjustRightInd w:val="0"/>
              <w:snapToGrid w:val="0"/>
              <w:spacing w:line="30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双方按协议约定</w:t>
            </w:r>
          </w:p>
        </w:tc>
        <w:tc>
          <w:tcPr>
            <w:tcW w:w="2286" w:type="dxa"/>
            <w:gridSpan w:val="2"/>
            <w:vMerge w:val="continue"/>
            <w:shd w:val="clear" w:color="000000" w:fill="FFFFFF"/>
            <w:vAlign w:val="center"/>
          </w:tcPr>
          <w:p w14:paraId="4A786C07">
            <w:pPr>
              <w:widowControl/>
              <w:adjustRightInd w:val="0"/>
              <w:snapToGrid w:val="0"/>
              <w:spacing w:line="300" w:lineRule="exact"/>
              <w:ind w:firstLine="0" w:firstLineChars="0"/>
              <w:jc w:val="center"/>
              <w:rPr>
                <w:rFonts w:hint="default" w:ascii="Times New Roman" w:hAnsi="Times New Roman" w:cs="Times New Roman" w:eastAsiaTheme="minorEastAsia"/>
                <w:color w:val="000000"/>
                <w:sz w:val="21"/>
                <w:szCs w:val="21"/>
              </w:rPr>
            </w:pPr>
          </w:p>
        </w:tc>
      </w:tr>
    </w:tbl>
    <w:p w14:paraId="7AF85A79">
      <w:pPr>
        <w:pStyle w:val="5"/>
        <w:adjustRightInd w:val="0"/>
        <w:snapToGrid w:val="0"/>
        <w:spacing w:line="240" w:lineRule="auto"/>
        <w:ind w:firstLine="0"/>
        <w:jc w:val="center"/>
        <w:rPr>
          <w:rFonts w:eastAsia="方正小标宋简体"/>
          <w:sz w:val="44"/>
          <w:szCs w:val="44"/>
        </w:rPr>
      </w:pPr>
    </w:p>
    <w:p w14:paraId="0E25D2CF">
      <w:pPr>
        <w:pStyle w:val="5"/>
        <w:adjustRightInd w:val="0"/>
        <w:snapToGrid w:val="0"/>
        <w:spacing w:line="240" w:lineRule="auto"/>
        <w:ind w:firstLine="0"/>
        <w:jc w:val="center"/>
        <w:rPr>
          <w:rFonts w:eastAsia="方正小标宋简体"/>
          <w:sz w:val="44"/>
          <w:szCs w:val="44"/>
        </w:rPr>
      </w:pPr>
    </w:p>
    <w:p w14:paraId="49FA6CB6">
      <w:pPr>
        <w:pStyle w:val="5"/>
        <w:adjustRightInd w:val="0"/>
        <w:snapToGrid w:val="0"/>
        <w:spacing w:line="240" w:lineRule="auto"/>
        <w:ind w:firstLine="0"/>
        <w:jc w:val="center"/>
        <w:rPr>
          <w:rFonts w:eastAsia="方正小标宋简体"/>
          <w:sz w:val="44"/>
          <w:szCs w:val="44"/>
        </w:rPr>
      </w:pPr>
    </w:p>
    <w:p w14:paraId="3CA14049">
      <w:pPr>
        <w:pStyle w:val="5"/>
        <w:adjustRightInd w:val="0"/>
        <w:snapToGrid w:val="0"/>
        <w:spacing w:line="240" w:lineRule="auto"/>
        <w:ind w:firstLine="0"/>
        <w:jc w:val="center"/>
        <w:rPr>
          <w:rFonts w:eastAsia="方正小标宋简体"/>
          <w:sz w:val="44"/>
          <w:szCs w:val="44"/>
        </w:rPr>
      </w:pPr>
    </w:p>
    <w:p w14:paraId="13420BF7">
      <w:pPr>
        <w:pStyle w:val="5"/>
        <w:adjustRightInd w:val="0"/>
        <w:snapToGrid w:val="0"/>
        <w:spacing w:line="240" w:lineRule="auto"/>
        <w:ind w:firstLine="0"/>
        <w:jc w:val="center"/>
        <w:rPr>
          <w:rFonts w:eastAsia="方正小标宋简体"/>
          <w:sz w:val="44"/>
          <w:szCs w:val="44"/>
        </w:rPr>
      </w:pPr>
    </w:p>
    <w:p w14:paraId="1475A3B2">
      <w:pPr>
        <w:pStyle w:val="5"/>
        <w:adjustRightInd w:val="0"/>
        <w:snapToGrid w:val="0"/>
        <w:spacing w:line="240" w:lineRule="auto"/>
        <w:ind w:firstLine="0"/>
        <w:jc w:val="center"/>
        <w:rPr>
          <w:rFonts w:eastAsia="方正小标宋简体"/>
          <w:sz w:val="44"/>
          <w:szCs w:val="44"/>
        </w:rPr>
      </w:pPr>
    </w:p>
    <w:p w14:paraId="02BA3025">
      <w:pPr>
        <w:pStyle w:val="5"/>
        <w:adjustRightInd w:val="0"/>
        <w:snapToGrid w:val="0"/>
        <w:spacing w:line="240" w:lineRule="auto"/>
        <w:ind w:firstLine="0"/>
        <w:jc w:val="center"/>
        <w:rPr>
          <w:rFonts w:eastAsia="方正小标宋简体"/>
          <w:sz w:val="44"/>
          <w:szCs w:val="44"/>
        </w:rPr>
      </w:pPr>
    </w:p>
    <w:p w14:paraId="2B82DA42">
      <w:pPr>
        <w:pStyle w:val="5"/>
        <w:adjustRightInd w:val="0"/>
        <w:snapToGrid w:val="0"/>
        <w:spacing w:line="240" w:lineRule="auto"/>
        <w:ind w:firstLine="0"/>
        <w:jc w:val="center"/>
        <w:rPr>
          <w:rFonts w:eastAsia="方正小标宋简体"/>
          <w:sz w:val="44"/>
          <w:szCs w:val="44"/>
        </w:rPr>
      </w:pPr>
    </w:p>
    <w:p w14:paraId="46DEA98A">
      <w:pPr>
        <w:pStyle w:val="5"/>
        <w:adjustRightInd w:val="0"/>
        <w:snapToGrid w:val="0"/>
        <w:spacing w:line="240" w:lineRule="auto"/>
        <w:ind w:firstLine="0"/>
        <w:jc w:val="center"/>
        <w:rPr>
          <w:rFonts w:eastAsia="方正小标宋简体"/>
          <w:sz w:val="44"/>
          <w:szCs w:val="44"/>
        </w:rPr>
      </w:pPr>
    </w:p>
    <w:p w14:paraId="2D0DA09A">
      <w:pPr>
        <w:pStyle w:val="5"/>
        <w:adjustRightInd w:val="0"/>
        <w:snapToGrid w:val="0"/>
        <w:spacing w:line="240" w:lineRule="auto"/>
        <w:ind w:firstLine="0"/>
        <w:jc w:val="center"/>
        <w:rPr>
          <w:rFonts w:eastAsia="方正小标宋简体"/>
          <w:sz w:val="44"/>
          <w:szCs w:val="44"/>
        </w:rPr>
      </w:pPr>
    </w:p>
    <w:p w14:paraId="7764D97F">
      <w:pPr>
        <w:pStyle w:val="5"/>
        <w:adjustRightInd w:val="0"/>
        <w:snapToGrid w:val="0"/>
        <w:spacing w:line="240" w:lineRule="auto"/>
        <w:ind w:firstLine="0"/>
        <w:jc w:val="center"/>
        <w:rPr>
          <w:rFonts w:eastAsia="方正小标宋简体"/>
          <w:sz w:val="44"/>
          <w:szCs w:val="44"/>
        </w:rPr>
      </w:pPr>
    </w:p>
    <w:p w14:paraId="5EE3A853">
      <w:pPr>
        <w:pStyle w:val="5"/>
        <w:adjustRightInd w:val="0"/>
        <w:snapToGrid w:val="0"/>
        <w:spacing w:line="240" w:lineRule="auto"/>
        <w:ind w:firstLine="0"/>
        <w:jc w:val="center"/>
        <w:rPr>
          <w:rFonts w:eastAsia="方正小标宋简体"/>
          <w:sz w:val="44"/>
          <w:szCs w:val="44"/>
        </w:rPr>
      </w:pPr>
    </w:p>
    <w:p w14:paraId="74A1284F">
      <w:pPr>
        <w:pStyle w:val="5"/>
        <w:adjustRightInd w:val="0"/>
        <w:snapToGrid w:val="0"/>
        <w:spacing w:line="240" w:lineRule="auto"/>
        <w:ind w:firstLine="0"/>
        <w:jc w:val="center"/>
        <w:rPr>
          <w:rFonts w:eastAsia="方正小标宋简体"/>
          <w:sz w:val="44"/>
          <w:szCs w:val="44"/>
        </w:rPr>
      </w:pPr>
    </w:p>
    <w:p w14:paraId="706FB4E6">
      <w:pPr>
        <w:pStyle w:val="5"/>
        <w:adjustRightInd w:val="0"/>
        <w:snapToGrid w:val="0"/>
        <w:spacing w:line="240" w:lineRule="auto"/>
        <w:ind w:firstLine="0"/>
        <w:jc w:val="center"/>
        <w:rPr>
          <w:rFonts w:eastAsia="方正小标宋简体"/>
          <w:sz w:val="44"/>
          <w:szCs w:val="44"/>
        </w:rPr>
      </w:pPr>
    </w:p>
    <w:p w14:paraId="03597946">
      <w:pPr>
        <w:pStyle w:val="5"/>
        <w:adjustRightInd w:val="0"/>
        <w:snapToGrid w:val="0"/>
        <w:spacing w:line="240" w:lineRule="auto"/>
        <w:ind w:firstLine="0"/>
        <w:jc w:val="center"/>
        <w:rPr>
          <w:rFonts w:eastAsia="方正小标宋简体"/>
          <w:sz w:val="44"/>
          <w:szCs w:val="44"/>
        </w:rPr>
      </w:pPr>
    </w:p>
    <w:p w14:paraId="2948C38C">
      <w:pPr>
        <w:pStyle w:val="5"/>
        <w:adjustRightInd w:val="0"/>
        <w:snapToGrid w:val="0"/>
        <w:spacing w:line="240" w:lineRule="auto"/>
        <w:ind w:firstLine="0"/>
        <w:jc w:val="center"/>
        <w:rPr>
          <w:rFonts w:eastAsia="方正小标宋简体"/>
          <w:sz w:val="44"/>
          <w:szCs w:val="44"/>
        </w:rPr>
      </w:pPr>
    </w:p>
    <w:p w14:paraId="7321CF2D">
      <w:pPr>
        <w:pStyle w:val="5"/>
        <w:adjustRightInd w:val="0"/>
        <w:snapToGrid w:val="0"/>
        <w:spacing w:line="240" w:lineRule="auto"/>
        <w:ind w:firstLine="0"/>
        <w:jc w:val="center"/>
        <w:rPr>
          <w:rFonts w:eastAsia="方正小标宋简体"/>
          <w:sz w:val="44"/>
          <w:szCs w:val="44"/>
        </w:rPr>
      </w:pPr>
    </w:p>
    <w:p w14:paraId="4746FC62">
      <w:pPr>
        <w:pStyle w:val="5"/>
        <w:adjustRightInd w:val="0"/>
        <w:snapToGrid w:val="0"/>
        <w:spacing w:line="240" w:lineRule="auto"/>
        <w:ind w:firstLine="0"/>
        <w:jc w:val="center"/>
        <w:rPr>
          <w:rFonts w:eastAsia="方正小标宋简体"/>
          <w:sz w:val="44"/>
          <w:szCs w:val="44"/>
        </w:rPr>
      </w:pPr>
    </w:p>
    <w:p w14:paraId="24B02EAF">
      <w:pPr>
        <w:pStyle w:val="5"/>
        <w:adjustRightInd w:val="0"/>
        <w:snapToGrid w:val="0"/>
        <w:spacing w:line="240" w:lineRule="auto"/>
        <w:ind w:firstLine="0"/>
        <w:jc w:val="center"/>
        <w:rPr>
          <w:rFonts w:eastAsia="方正小标宋简体"/>
          <w:sz w:val="44"/>
          <w:szCs w:val="44"/>
        </w:rPr>
      </w:pPr>
    </w:p>
    <w:p w14:paraId="1B4205F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207F29A1">
      <w:pPr>
        <w:adjustRightInd w:val="0"/>
        <w:snapToGrid w:val="0"/>
        <w:spacing w:line="240" w:lineRule="auto"/>
        <w:ind w:firstLine="0"/>
        <w:jc w:val="center"/>
        <w:outlineLvl w:val="0"/>
        <w:rPr>
          <w:rFonts w:eastAsia="方正小标宋简体"/>
          <w:sz w:val="44"/>
          <w:szCs w:val="44"/>
          <w:highlight w:val="yellow"/>
        </w:rPr>
      </w:pPr>
      <w:bookmarkStart w:id="262" w:name="_Toc11344"/>
      <w:bookmarkStart w:id="263" w:name="_Toc21474"/>
      <w:bookmarkStart w:id="264" w:name="_Toc10527"/>
      <w:bookmarkStart w:id="265" w:name="_Toc7121"/>
      <w:bookmarkStart w:id="266" w:name="_Toc32079"/>
      <w:r>
        <w:rPr>
          <w:rFonts w:eastAsia="方正小标宋简体"/>
          <w:sz w:val="44"/>
          <w:szCs w:val="44"/>
          <w:highlight w:val="none"/>
        </w:rPr>
        <w:t>国网四川省电力公司</w:t>
      </w:r>
      <w:bookmarkEnd w:id="262"/>
      <w:bookmarkEnd w:id="263"/>
      <w:bookmarkEnd w:id="264"/>
      <w:bookmarkEnd w:id="265"/>
      <w:bookmarkEnd w:id="266"/>
    </w:p>
    <w:p w14:paraId="2B3C68AE">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825"/>
        <w:gridCol w:w="511"/>
        <w:gridCol w:w="589"/>
        <w:gridCol w:w="1019"/>
        <w:gridCol w:w="393"/>
        <w:gridCol w:w="1233"/>
        <w:gridCol w:w="349"/>
        <w:gridCol w:w="1268"/>
        <w:gridCol w:w="255"/>
        <w:gridCol w:w="1976"/>
      </w:tblGrid>
      <w:tr w14:paraId="112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3" w:type="dxa"/>
            <w:shd w:val="clear" w:color="auto" w:fill="E7E6E6" w:themeFill="background2"/>
            <w:noWrap/>
            <w:vAlign w:val="center"/>
          </w:tcPr>
          <w:p w14:paraId="64E0DD9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36" w:type="dxa"/>
            <w:gridSpan w:val="2"/>
            <w:shd w:val="clear" w:color="auto" w:fill="auto"/>
            <w:noWrap/>
            <w:vAlign w:val="center"/>
          </w:tcPr>
          <w:p w14:paraId="5034E5F5">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2001" w:type="dxa"/>
            <w:gridSpan w:val="3"/>
            <w:shd w:val="clear" w:color="auto" w:fill="E7E6E6" w:themeFill="background2"/>
            <w:noWrap/>
            <w:vAlign w:val="center"/>
          </w:tcPr>
          <w:p w14:paraId="5611EE0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33" w:type="dxa"/>
            <w:shd w:val="clear" w:color="auto" w:fill="auto"/>
            <w:noWrap/>
            <w:vAlign w:val="center"/>
          </w:tcPr>
          <w:p w14:paraId="67C7A7CB">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17" w:type="dxa"/>
            <w:gridSpan w:val="2"/>
            <w:shd w:val="clear" w:color="auto" w:fill="E7E6E6" w:themeFill="background2"/>
            <w:noWrap/>
            <w:vAlign w:val="center"/>
          </w:tcPr>
          <w:p w14:paraId="29B3F8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31" w:type="dxa"/>
            <w:gridSpan w:val="2"/>
            <w:shd w:val="clear" w:color="auto" w:fill="auto"/>
            <w:noWrap/>
            <w:vAlign w:val="center"/>
          </w:tcPr>
          <w:p w14:paraId="6A078DE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546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3" w:type="dxa"/>
            <w:shd w:val="clear" w:color="auto" w:fill="E7E6E6" w:themeFill="background2"/>
            <w:noWrap/>
            <w:vAlign w:val="center"/>
          </w:tcPr>
          <w:p w14:paraId="0E305AC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18" w:type="dxa"/>
            <w:gridSpan w:val="10"/>
            <w:shd w:val="clear" w:color="auto" w:fill="auto"/>
            <w:noWrap/>
            <w:vAlign w:val="center"/>
          </w:tcPr>
          <w:p w14:paraId="7F1E19C6">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成都市锦晖西二街16号</w:t>
            </w:r>
          </w:p>
        </w:tc>
      </w:tr>
      <w:tr w14:paraId="3F59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1333" w:type="dxa"/>
            <w:shd w:val="clear" w:color="auto" w:fill="E7E6E6" w:themeFill="background2"/>
            <w:noWrap/>
            <w:vAlign w:val="center"/>
          </w:tcPr>
          <w:p w14:paraId="684522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18" w:type="dxa"/>
            <w:gridSpan w:val="10"/>
            <w:shd w:val="clear" w:color="auto" w:fill="auto"/>
            <w:noWrap/>
            <w:vAlign w:val="center"/>
          </w:tcPr>
          <w:p w14:paraId="5461F1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国网四川省电力公司博士后科研工作站依托国网四川省电力公司电力科学研究院建设，国网四川电科院是国网四川省电力公司最主要的技术支撑机构之一，主要负责四川电网技术支撑、科技创新、高端人才培养、成果转化等工作。建有2个国网公司实验室，4个四川省重点实验室，2个四川省工程实验室，3个省公司重点实验室和6个院实验室。</w:t>
            </w:r>
          </w:p>
        </w:tc>
      </w:tr>
      <w:tr w14:paraId="1A83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333" w:type="dxa"/>
            <w:shd w:val="clear" w:color="auto" w:fill="E7E6E6" w:themeFill="background2"/>
            <w:noWrap/>
            <w:vAlign w:val="center"/>
          </w:tcPr>
          <w:p w14:paraId="05EDAE1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18" w:type="dxa"/>
            <w:gridSpan w:val="10"/>
            <w:shd w:val="clear" w:color="auto" w:fill="auto"/>
            <w:noWrap/>
            <w:vAlign w:val="center"/>
          </w:tcPr>
          <w:p w14:paraId="2CF44B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参照全国博士后管理办公室对博士后工作管理要求及国网公司政策执行，已取得显著科研成果的申请者优先；招收公司主营业务所需要的特高压、智能电网、清洁能源等基础性、前瞻性专业。</w:t>
            </w:r>
          </w:p>
        </w:tc>
      </w:tr>
      <w:tr w14:paraId="1278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58" w:type="dxa"/>
            <w:gridSpan w:val="2"/>
            <w:shd w:val="clear" w:color="auto" w:fill="E7E6E6" w:themeFill="background2"/>
            <w:noWrap/>
            <w:vAlign w:val="center"/>
          </w:tcPr>
          <w:p w14:paraId="4F99D17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0" w:type="dxa"/>
            <w:gridSpan w:val="2"/>
            <w:shd w:val="clear" w:color="auto" w:fill="E7E6E6" w:themeFill="background2"/>
            <w:noWrap/>
            <w:vAlign w:val="center"/>
          </w:tcPr>
          <w:p w14:paraId="489746F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19" w:type="dxa"/>
            <w:shd w:val="clear" w:color="auto" w:fill="E7E6E6" w:themeFill="background2"/>
            <w:noWrap/>
            <w:vAlign w:val="center"/>
          </w:tcPr>
          <w:p w14:paraId="6B596E22">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72F493F9">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975" w:type="dxa"/>
            <w:gridSpan w:val="3"/>
            <w:shd w:val="clear" w:color="auto" w:fill="E7E6E6" w:themeFill="background2"/>
            <w:noWrap/>
            <w:vAlign w:val="center"/>
          </w:tcPr>
          <w:p w14:paraId="360E4B0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84E54A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23" w:type="dxa"/>
            <w:gridSpan w:val="2"/>
            <w:shd w:val="clear" w:color="auto" w:fill="E7E6E6" w:themeFill="background2"/>
            <w:noWrap/>
            <w:vAlign w:val="center"/>
          </w:tcPr>
          <w:p w14:paraId="7DDAD9B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22CAAD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76" w:type="dxa"/>
            <w:shd w:val="clear" w:color="auto" w:fill="E7E6E6" w:themeFill="background2"/>
            <w:noWrap/>
            <w:vAlign w:val="center"/>
          </w:tcPr>
          <w:p w14:paraId="10C215E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0D331B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D41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58" w:type="dxa"/>
            <w:gridSpan w:val="2"/>
            <w:shd w:val="clear" w:color="auto" w:fill="auto"/>
            <w:noWrap/>
            <w:vAlign w:val="center"/>
          </w:tcPr>
          <w:p w14:paraId="274C83B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百兆瓦级全功率变速抽水蓄能</w:t>
            </w:r>
            <w:r>
              <w:rPr>
                <w:rFonts w:hint="default" w:ascii="Times New Roman" w:hAnsi="Times New Roman" w:cs="Times New Roman" w:eastAsiaTheme="minorEastAsia"/>
                <w:sz w:val="21"/>
                <w:szCs w:val="21"/>
                <w:lang w:val="en-US" w:eastAsia="zh-CN"/>
              </w:rPr>
              <w:t>运行控制研究</w:t>
            </w:r>
          </w:p>
        </w:tc>
        <w:tc>
          <w:tcPr>
            <w:tcW w:w="1100" w:type="dxa"/>
            <w:gridSpan w:val="2"/>
            <w:shd w:val="clear" w:color="auto" w:fill="auto"/>
            <w:noWrap/>
            <w:vAlign w:val="center"/>
          </w:tcPr>
          <w:p w14:paraId="428DE94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19" w:type="dxa"/>
            <w:shd w:val="clear" w:color="auto" w:fill="auto"/>
            <w:noWrap/>
            <w:vAlign w:val="center"/>
          </w:tcPr>
          <w:p w14:paraId="2792545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75" w:type="dxa"/>
            <w:gridSpan w:val="3"/>
            <w:shd w:val="clear" w:color="auto" w:fill="auto"/>
            <w:noWrap/>
            <w:vAlign w:val="center"/>
          </w:tcPr>
          <w:p w14:paraId="31AB5FE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1523" w:type="dxa"/>
            <w:gridSpan w:val="2"/>
            <w:shd w:val="clear" w:color="auto" w:fill="auto"/>
            <w:noWrap/>
            <w:vAlign w:val="center"/>
          </w:tcPr>
          <w:p w14:paraId="35F1FC7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1976" w:type="dxa"/>
            <w:vMerge w:val="restart"/>
            <w:shd w:val="clear" w:color="auto" w:fill="auto"/>
            <w:noWrap/>
            <w:vAlign w:val="center"/>
          </w:tcPr>
          <w:p w14:paraId="510F80F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本硕博均为985、211高校</w:t>
            </w:r>
          </w:p>
        </w:tc>
      </w:tr>
      <w:tr w14:paraId="2BB0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58" w:type="dxa"/>
            <w:gridSpan w:val="2"/>
            <w:shd w:val="clear" w:color="auto" w:fill="auto"/>
            <w:noWrap/>
            <w:vAlign w:val="center"/>
          </w:tcPr>
          <w:p w14:paraId="1E96212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电力基础设施抗突发性灾害关键技术与装备</w:t>
            </w:r>
            <w:r>
              <w:rPr>
                <w:rFonts w:hint="default" w:ascii="Times New Roman" w:hAnsi="Times New Roman" w:cs="Times New Roman" w:eastAsiaTheme="minorEastAsia"/>
                <w:sz w:val="21"/>
                <w:szCs w:val="21"/>
                <w:lang w:val="en-US" w:eastAsia="zh-CN"/>
              </w:rPr>
              <w:t>研发</w:t>
            </w:r>
          </w:p>
        </w:tc>
        <w:tc>
          <w:tcPr>
            <w:tcW w:w="1100" w:type="dxa"/>
            <w:gridSpan w:val="2"/>
            <w:shd w:val="clear" w:color="auto" w:fill="auto"/>
            <w:noWrap/>
            <w:vAlign w:val="center"/>
          </w:tcPr>
          <w:p w14:paraId="3DF135A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19" w:type="dxa"/>
            <w:shd w:val="clear" w:color="auto" w:fill="auto"/>
            <w:noWrap/>
            <w:vAlign w:val="center"/>
          </w:tcPr>
          <w:p w14:paraId="05FD27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975" w:type="dxa"/>
            <w:gridSpan w:val="3"/>
            <w:shd w:val="clear" w:color="auto" w:fill="auto"/>
            <w:noWrap/>
            <w:vAlign w:val="center"/>
          </w:tcPr>
          <w:p w14:paraId="7114942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1523" w:type="dxa"/>
            <w:gridSpan w:val="2"/>
            <w:shd w:val="clear" w:color="auto" w:fill="auto"/>
            <w:noWrap/>
            <w:vAlign w:val="center"/>
          </w:tcPr>
          <w:p w14:paraId="6FE65FA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1976" w:type="dxa"/>
            <w:vMerge w:val="continue"/>
            <w:shd w:val="clear" w:color="auto" w:fill="auto"/>
            <w:noWrap/>
            <w:vAlign w:val="center"/>
          </w:tcPr>
          <w:p w14:paraId="1CF94EC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3A7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58" w:type="dxa"/>
            <w:gridSpan w:val="2"/>
            <w:shd w:val="clear" w:color="auto" w:fill="auto"/>
            <w:noWrap/>
            <w:vAlign w:val="center"/>
          </w:tcPr>
          <w:p w14:paraId="6B808D3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构网型SVG阻抗特性分析与性能优化技术研究</w:t>
            </w:r>
          </w:p>
        </w:tc>
        <w:tc>
          <w:tcPr>
            <w:tcW w:w="1100" w:type="dxa"/>
            <w:gridSpan w:val="2"/>
            <w:shd w:val="clear" w:color="auto" w:fill="auto"/>
            <w:noWrap/>
            <w:vAlign w:val="center"/>
          </w:tcPr>
          <w:p w14:paraId="22270AD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19" w:type="dxa"/>
            <w:shd w:val="clear" w:color="auto" w:fill="auto"/>
            <w:noWrap/>
            <w:vAlign w:val="center"/>
          </w:tcPr>
          <w:p w14:paraId="30F208A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975" w:type="dxa"/>
            <w:gridSpan w:val="3"/>
            <w:shd w:val="clear" w:color="auto" w:fill="auto"/>
            <w:noWrap/>
            <w:vAlign w:val="center"/>
          </w:tcPr>
          <w:p w14:paraId="2F8860B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1523" w:type="dxa"/>
            <w:gridSpan w:val="2"/>
            <w:shd w:val="clear" w:color="auto" w:fill="auto"/>
            <w:noWrap/>
            <w:vAlign w:val="center"/>
          </w:tcPr>
          <w:p w14:paraId="1147FEF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1976" w:type="dxa"/>
            <w:vMerge w:val="continue"/>
            <w:shd w:val="clear" w:color="auto" w:fill="auto"/>
            <w:noWrap/>
            <w:vAlign w:val="center"/>
          </w:tcPr>
          <w:p w14:paraId="3D00FF2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03CF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58" w:type="dxa"/>
            <w:gridSpan w:val="2"/>
            <w:shd w:val="clear" w:color="auto" w:fill="auto"/>
            <w:noWrap/>
            <w:vAlign w:val="center"/>
          </w:tcPr>
          <w:p w14:paraId="4849717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基于混合多模态大模型的电网设备智能巡视技术研究</w:t>
            </w:r>
          </w:p>
        </w:tc>
        <w:tc>
          <w:tcPr>
            <w:tcW w:w="1100" w:type="dxa"/>
            <w:gridSpan w:val="2"/>
            <w:shd w:val="clear" w:color="auto" w:fill="auto"/>
            <w:noWrap/>
            <w:vAlign w:val="center"/>
          </w:tcPr>
          <w:p w14:paraId="0D45A86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19" w:type="dxa"/>
            <w:shd w:val="clear" w:color="auto" w:fill="auto"/>
            <w:noWrap/>
            <w:vAlign w:val="center"/>
          </w:tcPr>
          <w:p w14:paraId="0AE63D4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975" w:type="dxa"/>
            <w:gridSpan w:val="3"/>
            <w:shd w:val="clear" w:color="auto" w:fill="auto"/>
            <w:noWrap/>
            <w:vAlign w:val="center"/>
          </w:tcPr>
          <w:p w14:paraId="49E0E3A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计算机科学与技术</w:t>
            </w:r>
          </w:p>
        </w:tc>
        <w:tc>
          <w:tcPr>
            <w:tcW w:w="1523" w:type="dxa"/>
            <w:gridSpan w:val="2"/>
            <w:shd w:val="clear" w:color="auto" w:fill="auto"/>
            <w:noWrap/>
            <w:vAlign w:val="center"/>
          </w:tcPr>
          <w:p w14:paraId="1B496C3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1976" w:type="dxa"/>
            <w:vMerge w:val="continue"/>
            <w:shd w:val="clear" w:color="auto" w:fill="auto"/>
            <w:noWrap/>
            <w:vAlign w:val="center"/>
          </w:tcPr>
          <w:p w14:paraId="184CF9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6166E0FB">
      <w:pPr>
        <w:adjustRightInd w:val="0"/>
        <w:snapToGrid w:val="0"/>
        <w:spacing w:line="240" w:lineRule="auto"/>
        <w:ind w:firstLine="420" w:firstLineChars="200"/>
        <w:rPr>
          <w:rFonts w:eastAsia="方正小标宋简体"/>
          <w:sz w:val="44"/>
          <w:szCs w:val="44"/>
        </w:rPr>
      </w:pPr>
      <w:r>
        <w:rPr>
          <w:rFonts w:eastAsiaTheme="minorEastAsia"/>
          <w:sz w:val="21"/>
          <w:szCs w:val="21"/>
        </w:rPr>
        <w:br w:type="page"/>
      </w:r>
    </w:p>
    <w:p w14:paraId="769FE23B">
      <w:pPr>
        <w:adjustRightInd w:val="0"/>
        <w:snapToGrid w:val="0"/>
        <w:spacing w:line="240" w:lineRule="auto"/>
        <w:ind w:firstLine="0"/>
        <w:jc w:val="center"/>
        <w:rPr>
          <w:rFonts w:eastAsia="方正小标宋简体"/>
          <w:sz w:val="44"/>
          <w:szCs w:val="44"/>
        </w:rPr>
      </w:pPr>
    </w:p>
    <w:p w14:paraId="00BA520C">
      <w:pPr>
        <w:adjustRightInd w:val="0"/>
        <w:snapToGrid w:val="0"/>
        <w:spacing w:line="240" w:lineRule="auto"/>
        <w:ind w:firstLine="0"/>
        <w:jc w:val="center"/>
        <w:outlineLvl w:val="0"/>
        <w:rPr>
          <w:rFonts w:eastAsia="方正小标宋简体"/>
          <w:sz w:val="21"/>
          <w:szCs w:val="21"/>
          <w:highlight w:val="yellow"/>
        </w:rPr>
      </w:pPr>
      <w:bookmarkStart w:id="267" w:name="_Toc13565"/>
      <w:bookmarkStart w:id="268" w:name="_Toc26141"/>
      <w:bookmarkStart w:id="269" w:name="_Toc8619"/>
      <w:bookmarkStart w:id="270" w:name="_Toc19207"/>
      <w:bookmarkStart w:id="271" w:name="_Toc11759"/>
      <w:r>
        <w:rPr>
          <w:rFonts w:eastAsia="方正小标宋简体"/>
          <w:sz w:val="44"/>
          <w:szCs w:val="44"/>
          <w:highlight w:val="none"/>
        </w:rPr>
        <w:t>海天水务集团股份公司</w:t>
      </w:r>
      <w:bookmarkEnd w:id="267"/>
      <w:bookmarkEnd w:id="268"/>
      <w:bookmarkEnd w:id="269"/>
      <w:bookmarkEnd w:id="270"/>
      <w:bookmarkEnd w:id="271"/>
    </w:p>
    <w:p w14:paraId="0699727E">
      <w:pPr>
        <w:pStyle w:val="5"/>
        <w:adjustRightInd w:val="0"/>
        <w:snapToGrid w:val="0"/>
        <w:spacing w:line="240" w:lineRule="auto"/>
        <w:ind w:left="1060" w:hanging="420"/>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356"/>
        <w:gridCol w:w="1202"/>
        <w:gridCol w:w="1088"/>
        <w:gridCol w:w="589"/>
        <w:gridCol w:w="1402"/>
        <w:gridCol w:w="222"/>
        <w:gridCol w:w="1262"/>
        <w:gridCol w:w="301"/>
        <w:gridCol w:w="2015"/>
        <w:gridCol w:w="15"/>
      </w:tblGrid>
      <w:tr w14:paraId="787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7" w:hRule="atLeast"/>
          <w:jc w:val="center"/>
        </w:trPr>
        <w:tc>
          <w:tcPr>
            <w:tcW w:w="1271" w:type="dxa"/>
            <w:shd w:val="clear" w:color="auto" w:fill="E7E6E6" w:themeFill="background2"/>
            <w:noWrap/>
            <w:vAlign w:val="center"/>
          </w:tcPr>
          <w:p w14:paraId="339F89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2FF4BEDB">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0" w:type="dxa"/>
            <w:gridSpan w:val="2"/>
            <w:shd w:val="clear" w:color="auto" w:fill="E7E6E6" w:themeFill="background2"/>
            <w:noWrap/>
            <w:vAlign w:val="center"/>
          </w:tcPr>
          <w:p w14:paraId="5256D64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22EF8D9">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2444E98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14:paraId="521B51DE">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7E41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A75D52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0"/>
            <w:shd w:val="clear" w:color="000000" w:fill="FFFFFF"/>
            <w:noWrap/>
            <w:vAlign w:val="center"/>
          </w:tcPr>
          <w:p w14:paraId="00150B2B">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四川省成都市天府新区湖畔路南段506号</w:t>
            </w:r>
          </w:p>
        </w:tc>
      </w:tr>
      <w:tr w14:paraId="035D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1271" w:type="dxa"/>
            <w:shd w:val="clear" w:color="auto" w:fill="E7E6E6" w:themeFill="background2"/>
            <w:noWrap/>
            <w:vAlign w:val="center"/>
          </w:tcPr>
          <w:p w14:paraId="013CEFC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0"/>
            <w:shd w:val="clear" w:color="000000" w:fill="FFFFFF"/>
            <w:vAlign w:val="center"/>
          </w:tcPr>
          <w:p w14:paraId="5658FD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2015年1月，海天集团获四川省人社厅批准建设四川省博士后创新实践基地；2015年11月，海天集团获国家人社部、全国博士后管委会批准建设博士后科研工作站（以下简称“工作站”），博士后招收培养按照博士后科研流动站与工作站联合招收培养方式开展。工作站已招收博士后20人（分别与清华大学、北京大学、南开大学、浙江大学、四川大学、厦门大学、哈尔滨工业大学、西南石油大学、成都理工大学、中科院重庆院等大学院所的博士后流动站联合培养）。</w:t>
            </w:r>
          </w:p>
          <w:p w14:paraId="09C67E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获中国博士后科学基金11项、四川省博士后基金特别资助4项，发表论文58篇，出版专著3部，编制国家标准、团体标准35项，获国际国家专利157项，获四川省科技进步奖一等奖、二等奖、中国环保产业协会一等奖、中国循环经济专利奖一等奖等奖项17项。工作站团队中有享受国务院政府特殊津贴1人，国家万人计划人才2人、四川省学术与技术带头人1人、四川省学术与技术带头人后备人选5人、天府峨眉计划高层次人才3人、成都“蓉漂计划”高层次人才1人等。</w:t>
            </w:r>
          </w:p>
        </w:tc>
      </w:tr>
      <w:tr w14:paraId="39D8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atLeast"/>
          <w:jc w:val="center"/>
        </w:trPr>
        <w:tc>
          <w:tcPr>
            <w:tcW w:w="1271" w:type="dxa"/>
            <w:shd w:val="clear" w:color="auto" w:fill="E7E6E6" w:themeFill="background2"/>
            <w:noWrap/>
            <w:vAlign w:val="center"/>
          </w:tcPr>
          <w:p w14:paraId="5D6BD81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0"/>
            <w:shd w:val="clear" w:color="000000" w:fill="FFFFFF"/>
            <w:vAlign w:val="center"/>
          </w:tcPr>
          <w:p w14:paraId="4B24F9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1.加强博士后服务窗口建设；</w:t>
            </w:r>
          </w:p>
          <w:p w14:paraId="3A865D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2.建设博士后交流服务系统；</w:t>
            </w:r>
          </w:p>
          <w:p w14:paraId="5AC4CA9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3.加快解决博士后社会保障问题；</w:t>
            </w:r>
          </w:p>
          <w:p w14:paraId="4DEFBE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4.完善博士后网上办公系统；</w:t>
            </w:r>
          </w:p>
          <w:p w14:paraId="3544AE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5.营造宽松和谐学术环境。</w:t>
            </w:r>
          </w:p>
        </w:tc>
      </w:tr>
      <w:tr w14:paraId="38E4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19" w:type="dxa"/>
            <w:gridSpan w:val="2"/>
            <w:shd w:val="clear" w:color="auto" w:fill="E7E6E6" w:themeFill="background2"/>
            <w:noWrap/>
            <w:vAlign w:val="center"/>
          </w:tcPr>
          <w:p w14:paraId="384A647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0131DB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78B6F8D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48" w:type="dxa"/>
            <w:gridSpan w:val="2"/>
            <w:shd w:val="clear" w:color="auto" w:fill="E7E6E6" w:themeFill="background2"/>
            <w:vAlign w:val="center"/>
          </w:tcPr>
          <w:p w14:paraId="277081F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66827D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2" w:type="dxa"/>
            <w:gridSpan w:val="2"/>
            <w:shd w:val="clear" w:color="auto" w:fill="E7E6E6" w:themeFill="background2"/>
            <w:vAlign w:val="center"/>
          </w:tcPr>
          <w:p w14:paraId="2FD7935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A70217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0" w:type="dxa"/>
            <w:gridSpan w:val="3"/>
            <w:shd w:val="clear" w:color="auto" w:fill="E7E6E6" w:themeFill="background2"/>
            <w:vAlign w:val="center"/>
          </w:tcPr>
          <w:p w14:paraId="1206C48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404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619" w:type="dxa"/>
            <w:gridSpan w:val="2"/>
            <w:noWrap/>
            <w:vAlign w:val="center"/>
          </w:tcPr>
          <w:p w14:paraId="7A61B32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水污染控制</w:t>
            </w:r>
          </w:p>
        </w:tc>
        <w:tc>
          <w:tcPr>
            <w:tcW w:w="1176" w:type="dxa"/>
            <w:vAlign w:val="center"/>
          </w:tcPr>
          <w:p w14:paraId="3BCAB1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vAlign w:val="center"/>
          </w:tcPr>
          <w:p w14:paraId="247293F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48" w:type="dxa"/>
            <w:gridSpan w:val="2"/>
            <w:vAlign w:val="center"/>
          </w:tcPr>
          <w:p w14:paraId="073DFF9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环境科学与工程</w:t>
            </w:r>
          </w:p>
        </w:tc>
        <w:tc>
          <w:tcPr>
            <w:tcW w:w="1452" w:type="dxa"/>
            <w:gridSpan w:val="2"/>
            <w:vMerge w:val="restart"/>
            <w:vAlign w:val="center"/>
          </w:tcPr>
          <w:p w14:paraId="40839AB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面议</w:t>
            </w:r>
          </w:p>
        </w:tc>
        <w:tc>
          <w:tcPr>
            <w:tcW w:w="2280" w:type="dxa"/>
            <w:gridSpan w:val="3"/>
            <w:vMerge w:val="restart"/>
            <w:vAlign w:val="center"/>
          </w:tcPr>
          <w:p w14:paraId="30EF86D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w:t>
            </w:r>
          </w:p>
        </w:tc>
      </w:tr>
      <w:tr w14:paraId="7B69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619" w:type="dxa"/>
            <w:gridSpan w:val="2"/>
            <w:noWrap/>
            <w:vAlign w:val="center"/>
          </w:tcPr>
          <w:p w14:paraId="6E9B419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固废处理</w:t>
            </w:r>
          </w:p>
        </w:tc>
        <w:tc>
          <w:tcPr>
            <w:tcW w:w="1176" w:type="dxa"/>
            <w:vAlign w:val="center"/>
          </w:tcPr>
          <w:p w14:paraId="3BB6849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vAlign w:val="center"/>
          </w:tcPr>
          <w:p w14:paraId="5986072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948" w:type="dxa"/>
            <w:gridSpan w:val="2"/>
            <w:vAlign w:val="center"/>
          </w:tcPr>
          <w:p w14:paraId="73D9B05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环境科学与工程</w:t>
            </w:r>
          </w:p>
        </w:tc>
        <w:tc>
          <w:tcPr>
            <w:tcW w:w="1452" w:type="dxa"/>
            <w:gridSpan w:val="2"/>
            <w:vMerge w:val="continue"/>
            <w:vAlign w:val="center"/>
          </w:tcPr>
          <w:p w14:paraId="00D04F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2280" w:type="dxa"/>
            <w:gridSpan w:val="3"/>
            <w:vMerge w:val="continue"/>
            <w:vAlign w:val="center"/>
          </w:tcPr>
          <w:p w14:paraId="69A3FEE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770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619" w:type="dxa"/>
            <w:gridSpan w:val="2"/>
            <w:noWrap/>
            <w:vAlign w:val="center"/>
          </w:tcPr>
          <w:p w14:paraId="6BDC0A9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氢能领域</w:t>
            </w:r>
          </w:p>
        </w:tc>
        <w:tc>
          <w:tcPr>
            <w:tcW w:w="1176" w:type="dxa"/>
            <w:vAlign w:val="center"/>
          </w:tcPr>
          <w:p w14:paraId="175A0A3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064" w:type="dxa"/>
            <w:vAlign w:val="center"/>
          </w:tcPr>
          <w:p w14:paraId="35579B8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948" w:type="dxa"/>
            <w:gridSpan w:val="2"/>
            <w:vAlign w:val="center"/>
          </w:tcPr>
          <w:p w14:paraId="6C0B31D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452" w:type="dxa"/>
            <w:gridSpan w:val="2"/>
            <w:vMerge w:val="continue"/>
            <w:vAlign w:val="center"/>
          </w:tcPr>
          <w:p w14:paraId="5D6D946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2280" w:type="dxa"/>
            <w:gridSpan w:val="3"/>
            <w:vMerge w:val="continue"/>
            <w:vAlign w:val="center"/>
          </w:tcPr>
          <w:p w14:paraId="693D93A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5441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619" w:type="dxa"/>
            <w:gridSpan w:val="2"/>
            <w:noWrap/>
            <w:vAlign w:val="center"/>
          </w:tcPr>
          <w:p w14:paraId="6DE45AE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储能领域</w:t>
            </w:r>
          </w:p>
        </w:tc>
        <w:tc>
          <w:tcPr>
            <w:tcW w:w="1176" w:type="dxa"/>
            <w:vAlign w:val="center"/>
          </w:tcPr>
          <w:p w14:paraId="019F38A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vAlign w:val="center"/>
          </w:tcPr>
          <w:p w14:paraId="591EDD5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BSH004</w:t>
            </w:r>
          </w:p>
        </w:tc>
        <w:tc>
          <w:tcPr>
            <w:tcW w:w="1948" w:type="dxa"/>
            <w:gridSpan w:val="2"/>
            <w:vAlign w:val="center"/>
          </w:tcPr>
          <w:p w14:paraId="15401DD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452" w:type="dxa"/>
            <w:gridSpan w:val="2"/>
            <w:vMerge w:val="continue"/>
            <w:vAlign w:val="center"/>
          </w:tcPr>
          <w:p w14:paraId="532041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2280" w:type="dxa"/>
            <w:gridSpan w:val="3"/>
            <w:vMerge w:val="continue"/>
            <w:vAlign w:val="center"/>
          </w:tcPr>
          <w:p w14:paraId="044A54F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62606FD1">
      <w:pPr>
        <w:pStyle w:val="3"/>
        <w:spacing w:before="0" w:after="0" w:line="240" w:lineRule="auto"/>
        <w:ind w:firstLine="0"/>
        <w:outlineLvl w:val="9"/>
        <w:rPr>
          <w:rFonts w:ascii="Times New Roman" w:hAnsi="Times New Roman" w:eastAsia="方正小标宋简体"/>
          <w:sz w:val="21"/>
          <w:szCs w:val="21"/>
        </w:rPr>
      </w:pPr>
      <w:r>
        <w:rPr>
          <w:rFonts w:ascii="Times New Roman" w:hAnsi="Times New Roman"/>
          <w:sz w:val="21"/>
          <w:szCs w:val="21"/>
        </w:rPr>
        <w:br w:type="page"/>
      </w:r>
    </w:p>
    <w:p w14:paraId="029110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105A449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72" w:name="_Toc15238"/>
      <w:bookmarkStart w:id="273" w:name="_Toc28695"/>
      <w:bookmarkStart w:id="274" w:name="_Toc17134"/>
      <w:bookmarkStart w:id="275" w:name="_Toc2932"/>
      <w:bookmarkStart w:id="276" w:name="_Toc11265"/>
      <w:r>
        <w:rPr>
          <w:rFonts w:hint="eastAsia" w:eastAsia="方正小标宋简体"/>
          <w:sz w:val="44"/>
          <w:szCs w:val="44"/>
          <w:highlight w:val="none"/>
        </w:rPr>
        <w:t>嘉华特种水泥股份有限公司</w:t>
      </w:r>
      <w:bookmarkEnd w:id="272"/>
      <w:bookmarkEnd w:id="273"/>
      <w:bookmarkEnd w:id="274"/>
      <w:bookmarkEnd w:id="275"/>
      <w:bookmarkEnd w:id="276"/>
    </w:p>
    <w:p w14:paraId="2F95F3B6">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5"/>
        <w:gridCol w:w="847"/>
        <w:gridCol w:w="1117"/>
        <w:gridCol w:w="478"/>
        <w:gridCol w:w="1535"/>
        <w:gridCol w:w="91"/>
        <w:gridCol w:w="1248"/>
        <w:gridCol w:w="316"/>
        <w:gridCol w:w="2024"/>
      </w:tblGrid>
      <w:tr w14:paraId="2521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EEBDD2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14:paraId="3EBD528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559" w:type="dxa"/>
            <w:gridSpan w:val="2"/>
            <w:shd w:val="clear" w:color="auto" w:fill="E7E6E6" w:themeFill="background2"/>
            <w:noWrap/>
            <w:vAlign w:val="center"/>
          </w:tcPr>
          <w:p w14:paraId="6CE2DF2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068029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2C940D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3C8DE76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乐山</w:t>
            </w:r>
          </w:p>
        </w:tc>
      </w:tr>
      <w:tr w14:paraId="37CE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5975E6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68A2B3A5">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四川省乐山市市中区九峰路马鞍山二号</w:t>
            </w:r>
          </w:p>
        </w:tc>
      </w:tr>
      <w:tr w14:paraId="3BAE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atLeast"/>
          <w:jc w:val="center"/>
        </w:trPr>
        <w:tc>
          <w:tcPr>
            <w:tcW w:w="1271" w:type="dxa"/>
            <w:shd w:val="clear" w:color="auto" w:fill="E7E6E6" w:themeFill="background2"/>
            <w:noWrap/>
            <w:vAlign w:val="center"/>
          </w:tcPr>
          <w:p w14:paraId="0021511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517C81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嘉华特种水泥股份有限公司隶属于中国建材集团（世界500强）天山材料股份有限公司。公司本部毗邻乐山大佛景区，在西南、华北、西北等地有全资、控股子公司6家，特种水泥年产能400万吨，是国内最大的工程领域无机胶凝功能材料生产研发企业。</w:t>
            </w:r>
          </w:p>
          <w:p w14:paraId="0D06FA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司是“国家企业技术中心”“国家技术创新示范企业”“高新技术企业”“国家知识产权优势企业”。成功建成建材行业“固井用油井水泥与材料重点实验室”“四川省特种水泥及应用工程技术研究中心”等省级科技创新平台。独立研发机构特种水泥研究院，拥有水泥基材料、固井材料、混凝土、微观结构分析、特殊混合材料5个专业研发实验室。具有一流的研发设施，优秀的研发团队。</w:t>
            </w:r>
          </w:p>
          <w:p w14:paraId="0762DB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司先后参与国家重点研发计划课题10余项，在研国家重点研发计划、全国建材行业和中国建材集团科技攻关“揭榜挂帅”课题等10余项。累计开发、生产水工、油井、核工、海工、道路等8大类116个品种。油井水泥产品用于全球钻进难度最高的万米深井“深地川科1井”等。水工水泥用于国家重大水电工程乌东德、白鹤滩等水电站建设。特种水泥产品用于川藏铁路建设等。　</w:t>
            </w:r>
          </w:p>
        </w:tc>
      </w:tr>
      <w:tr w14:paraId="59D4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0" w:hRule="atLeast"/>
          <w:jc w:val="center"/>
        </w:trPr>
        <w:tc>
          <w:tcPr>
            <w:tcW w:w="1271" w:type="dxa"/>
            <w:shd w:val="clear" w:color="auto" w:fill="E7E6E6" w:themeFill="background2"/>
            <w:noWrap/>
            <w:vAlign w:val="center"/>
          </w:tcPr>
          <w:p w14:paraId="587D23A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31FCA6D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1、按公司正式职工标准缴纳五险两金。工作日提供一日三餐，提供免费住宿或住房补贴。</w:t>
            </w:r>
          </w:p>
          <w:p w14:paraId="6676CB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2、博士后研究人员可结合自身研究方向和公司实际需求开展科研项目，公司将提供研发经费，支持博士后研发工作。</w:t>
            </w:r>
          </w:p>
          <w:p w14:paraId="759CE5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3、博士后研究人员可参与公司在研国家重点研发计划课题，享受公司科技成果奖励。</w:t>
            </w:r>
          </w:p>
          <w:p w14:paraId="67A579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4、公司可为博士后研究人员组建研发团队，包括硕士以上的专职研发人员及实验人员。</w:t>
            </w:r>
          </w:p>
          <w:p w14:paraId="44764F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5、博士后研究人员可参与中国建材集团专业技术职称申报。</w:t>
            </w:r>
          </w:p>
        </w:tc>
      </w:tr>
      <w:tr w14:paraId="1D6E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8" w:type="dxa"/>
            <w:gridSpan w:val="2"/>
            <w:shd w:val="clear" w:color="auto" w:fill="E7E6E6" w:themeFill="background2"/>
            <w:noWrap/>
            <w:vAlign w:val="center"/>
          </w:tcPr>
          <w:p w14:paraId="2125A8D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7FEE7704">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14:paraId="0C98E746">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67" w:type="dxa"/>
            <w:gridSpan w:val="2"/>
            <w:shd w:val="clear" w:color="auto" w:fill="E7E6E6" w:themeFill="background2"/>
            <w:vAlign w:val="center"/>
          </w:tcPr>
          <w:p w14:paraId="0EFFE02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474531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09" w:type="dxa"/>
            <w:gridSpan w:val="2"/>
            <w:shd w:val="clear" w:color="auto" w:fill="E7E6E6" w:themeFill="background2"/>
            <w:vAlign w:val="center"/>
          </w:tcPr>
          <w:p w14:paraId="4217AAF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9ED7DC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6" w:type="dxa"/>
            <w:gridSpan w:val="2"/>
            <w:shd w:val="clear" w:color="auto" w:fill="E7E6E6" w:themeFill="background2"/>
            <w:vAlign w:val="center"/>
          </w:tcPr>
          <w:p w14:paraId="4C14C95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392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048" w:type="dxa"/>
            <w:gridSpan w:val="2"/>
            <w:shd w:val="clear" w:color="000000" w:fill="FFFFFF"/>
            <w:noWrap/>
            <w:vAlign w:val="center"/>
          </w:tcPr>
          <w:p w14:paraId="2D4EAA10">
            <w:pPr>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新型低钙水泥熟料体系制备与应用关键技术</w:t>
            </w:r>
          </w:p>
        </w:tc>
        <w:tc>
          <w:tcPr>
            <w:tcW w:w="828" w:type="dxa"/>
            <w:shd w:val="clear" w:color="000000" w:fill="FFFFFF"/>
            <w:vAlign w:val="center"/>
          </w:tcPr>
          <w:p w14:paraId="1B7D484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92" w:type="dxa"/>
            <w:shd w:val="clear" w:color="000000" w:fill="FFFFFF"/>
            <w:vAlign w:val="center"/>
          </w:tcPr>
          <w:p w14:paraId="17EE8CD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67" w:type="dxa"/>
            <w:gridSpan w:val="2"/>
            <w:shd w:val="clear" w:color="000000" w:fill="FFFFFF"/>
            <w:vAlign w:val="center"/>
          </w:tcPr>
          <w:p w14:paraId="0CCE2E3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309" w:type="dxa"/>
            <w:gridSpan w:val="2"/>
            <w:shd w:val="clear" w:color="000000" w:fill="FFFFFF"/>
            <w:vAlign w:val="center"/>
          </w:tcPr>
          <w:p w14:paraId="56181AAE">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年薪25万元起。提供科研项目经费。</w:t>
            </w:r>
          </w:p>
        </w:tc>
        <w:tc>
          <w:tcPr>
            <w:tcW w:w="2286" w:type="dxa"/>
            <w:gridSpan w:val="2"/>
            <w:vMerge w:val="restart"/>
            <w:shd w:val="clear" w:color="000000" w:fill="FFFFFF"/>
            <w:vAlign w:val="center"/>
          </w:tcPr>
          <w:p w14:paraId="4DD5A36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35周岁以下；获得博士学位不超过3年，全职。</w:t>
            </w:r>
          </w:p>
        </w:tc>
      </w:tr>
      <w:tr w14:paraId="274C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048" w:type="dxa"/>
            <w:gridSpan w:val="2"/>
            <w:shd w:val="clear" w:color="000000" w:fill="FFFFFF"/>
            <w:noWrap/>
            <w:vAlign w:val="center"/>
          </w:tcPr>
          <w:p w14:paraId="4EA8AA9B">
            <w:pPr>
              <w:spacing w:line="240" w:lineRule="auto"/>
              <w:ind w:firstLine="0" w:firstLineChars="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低碳高性能混凝土质量保障及其应用关键技术</w:t>
            </w:r>
          </w:p>
        </w:tc>
        <w:tc>
          <w:tcPr>
            <w:tcW w:w="828" w:type="dxa"/>
            <w:shd w:val="clear" w:color="000000" w:fill="FFFFFF"/>
            <w:vAlign w:val="center"/>
          </w:tcPr>
          <w:p w14:paraId="5F61F91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092" w:type="dxa"/>
            <w:shd w:val="clear" w:color="000000" w:fill="FFFFFF"/>
            <w:vAlign w:val="center"/>
          </w:tcPr>
          <w:p w14:paraId="1E30B2E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967" w:type="dxa"/>
            <w:gridSpan w:val="2"/>
            <w:shd w:val="clear" w:color="000000" w:fill="FFFFFF"/>
            <w:vAlign w:val="center"/>
          </w:tcPr>
          <w:p w14:paraId="43B60D9A">
            <w:pPr>
              <w:spacing w:line="240" w:lineRule="auto"/>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材料科学与工程</w:t>
            </w:r>
          </w:p>
        </w:tc>
        <w:tc>
          <w:tcPr>
            <w:tcW w:w="1309" w:type="dxa"/>
            <w:gridSpan w:val="2"/>
            <w:shd w:val="clear" w:color="000000" w:fill="FFFFFF"/>
            <w:vAlign w:val="center"/>
          </w:tcPr>
          <w:p w14:paraId="4472AF3F">
            <w:pPr>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年薪25万元起。提供科研项目经费。</w:t>
            </w:r>
          </w:p>
        </w:tc>
        <w:tc>
          <w:tcPr>
            <w:tcW w:w="2286" w:type="dxa"/>
            <w:gridSpan w:val="2"/>
            <w:vMerge w:val="continue"/>
            <w:shd w:val="clear" w:color="000000" w:fill="FFFFFF"/>
            <w:vAlign w:val="center"/>
          </w:tcPr>
          <w:p w14:paraId="07E999F9">
            <w:pPr>
              <w:spacing w:line="240" w:lineRule="auto"/>
              <w:ind w:firstLine="0" w:firstLineChars="0"/>
              <w:rPr>
                <w:rFonts w:hint="default" w:ascii="Times New Roman" w:hAnsi="Times New Roman" w:cs="Times New Roman" w:eastAsiaTheme="minorEastAsia"/>
                <w:sz w:val="21"/>
                <w:szCs w:val="21"/>
                <w:lang w:val="en-US" w:eastAsia="zh-CN"/>
              </w:rPr>
            </w:pPr>
          </w:p>
        </w:tc>
      </w:tr>
      <w:tr w14:paraId="2F38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048" w:type="dxa"/>
            <w:gridSpan w:val="2"/>
            <w:shd w:val="clear" w:color="000000" w:fill="FFFFFF"/>
            <w:noWrap/>
            <w:vAlign w:val="center"/>
          </w:tcPr>
          <w:p w14:paraId="4B5D92F2">
            <w:pPr>
              <w:adjustRightInd w:val="0"/>
              <w:snapToGrid w:val="0"/>
              <w:spacing w:line="240" w:lineRule="auto"/>
              <w:ind w:firstLine="0" w:firstLineChars="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深部地热耐高温固井材料体系制备与应用关键技术</w:t>
            </w:r>
          </w:p>
        </w:tc>
        <w:tc>
          <w:tcPr>
            <w:tcW w:w="828" w:type="dxa"/>
            <w:shd w:val="clear" w:color="000000" w:fill="FFFFFF"/>
            <w:vAlign w:val="center"/>
          </w:tcPr>
          <w:p w14:paraId="2106239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092" w:type="dxa"/>
            <w:shd w:val="clear" w:color="000000" w:fill="FFFFFF"/>
            <w:vAlign w:val="center"/>
          </w:tcPr>
          <w:p w14:paraId="18B10EB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967" w:type="dxa"/>
            <w:gridSpan w:val="2"/>
            <w:shd w:val="clear" w:color="000000" w:fill="FFFFFF"/>
            <w:vAlign w:val="center"/>
          </w:tcPr>
          <w:p w14:paraId="5ABF6076">
            <w:pPr>
              <w:spacing w:line="240" w:lineRule="auto"/>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化学工程与技术</w:t>
            </w:r>
          </w:p>
        </w:tc>
        <w:tc>
          <w:tcPr>
            <w:tcW w:w="1309" w:type="dxa"/>
            <w:gridSpan w:val="2"/>
            <w:shd w:val="clear" w:color="000000" w:fill="FFFFFF"/>
            <w:vAlign w:val="center"/>
          </w:tcPr>
          <w:p w14:paraId="32457D1E">
            <w:pPr>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年薪25万元起。提供科研项目经费。</w:t>
            </w:r>
          </w:p>
        </w:tc>
        <w:tc>
          <w:tcPr>
            <w:tcW w:w="2286" w:type="dxa"/>
            <w:gridSpan w:val="2"/>
            <w:vMerge w:val="continue"/>
            <w:shd w:val="clear" w:color="000000" w:fill="FFFFFF"/>
            <w:vAlign w:val="center"/>
          </w:tcPr>
          <w:p w14:paraId="18BDA195">
            <w:pPr>
              <w:spacing w:line="240" w:lineRule="auto"/>
              <w:ind w:firstLine="0" w:firstLineChars="0"/>
              <w:rPr>
                <w:rFonts w:hint="default" w:ascii="Times New Roman" w:hAnsi="Times New Roman" w:cs="Times New Roman" w:eastAsiaTheme="minorEastAsia"/>
                <w:sz w:val="21"/>
                <w:szCs w:val="21"/>
                <w:lang w:val="en-US" w:eastAsia="zh-CN"/>
              </w:rPr>
            </w:pPr>
          </w:p>
        </w:tc>
      </w:tr>
    </w:tbl>
    <w:p w14:paraId="397ABA2C">
      <w:pPr>
        <w:pStyle w:val="5"/>
        <w:adjustRightInd w:val="0"/>
        <w:snapToGrid w:val="0"/>
        <w:spacing w:line="240" w:lineRule="auto"/>
        <w:ind w:firstLine="0"/>
        <w:jc w:val="center"/>
        <w:rPr>
          <w:rFonts w:eastAsia="方正小标宋简体"/>
          <w:sz w:val="44"/>
          <w:szCs w:val="44"/>
        </w:rPr>
      </w:pPr>
    </w:p>
    <w:p w14:paraId="2F560CE2">
      <w:pPr>
        <w:pStyle w:val="5"/>
        <w:adjustRightInd w:val="0"/>
        <w:snapToGrid w:val="0"/>
        <w:spacing w:line="240" w:lineRule="auto"/>
        <w:ind w:firstLine="0"/>
        <w:jc w:val="center"/>
        <w:rPr>
          <w:rFonts w:eastAsia="方正小标宋简体"/>
          <w:sz w:val="44"/>
          <w:szCs w:val="44"/>
        </w:rPr>
      </w:pPr>
    </w:p>
    <w:p w14:paraId="75004312">
      <w:pPr>
        <w:pStyle w:val="5"/>
        <w:adjustRightInd w:val="0"/>
        <w:snapToGrid w:val="0"/>
        <w:spacing w:line="240" w:lineRule="auto"/>
        <w:ind w:firstLine="0"/>
        <w:jc w:val="center"/>
        <w:rPr>
          <w:rFonts w:eastAsia="方正小标宋简体"/>
          <w:sz w:val="44"/>
          <w:szCs w:val="44"/>
        </w:rPr>
      </w:pPr>
    </w:p>
    <w:p w14:paraId="4BDB0F56">
      <w:pPr>
        <w:pStyle w:val="5"/>
        <w:adjustRightInd w:val="0"/>
        <w:snapToGrid w:val="0"/>
        <w:spacing w:line="240" w:lineRule="auto"/>
        <w:ind w:firstLine="0"/>
        <w:jc w:val="center"/>
        <w:rPr>
          <w:rFonts w:eastAsia="方正小标宋简体"/>
          <w:sz w:val="44"/>
          <w:szCs w:val="44"/>
        </w:rPr>
      </w:pPr>
    </w:p>
    <w:p w14:paraId="08409768">
      <w:pPr>
        <w:pStyle w:val="5"/>
        <w:adjustRightInd w:val="0"/>
        <w:snapToGrid w:val="0"/>
        <w:spacing w:line="240" w:lineRule="auto"/>
        <w:ind w:firstLine="0"/>
        <w:jc w:val="center"/>
        <w:rPr>
          <w:rFonts w:eastAsia="方正小标宋简体"/>
          <w:sz w:val="44"/>
          <w:szCs w:val="44"/>
        </w:rPr>
      </w:pPr>
    </w:p>
    <w:p w14:paraId="7D1D6801">
      <w:pPr>
        <w:pStyle w:val="5"/>
        <w:adjustRightInd w:val="0"/>
        <w:snapToGrid w:val="0"/>
        <w:spacing w:line="240" w:lineRule="auto"/>
        <w:ind w:firstLine="0"/>
        <w:jc w:val="center"/>
        <w:rPr>
          <w:rFonts w:eastAsia="方正小标宋简体"/>
          <w:sz w:val="44"/>
          <w:szCs w:val="44"/>
        </w:rPr>
      </w:pPr>
    </w:p>
    <w:p w14:paraId="1262D7E4">
      <w:pPr>
        <w:pStyle w:val="5"/>
        <w:adjustRightInd w:val="0"/>
        <w:snapToGrid w:val="0"/>
        <w:spacing w:line="240" w:lineRule="auto"/>
        <w:ind w:firstLine="0"/>
        <w:jc w:val="center"/>
        <w:rPr>
          <w:rFonts w:eastAsia="方正小标宋简体"/>
          <w:sz w:val="44"/>
          <w:szCs w:val="44"/>
        </w:rPr>
      </w:pPr>
    </w:p>
    <w:p w14:paraId="241725EA">
      <w:pPr>
        <w:pStyle w:val="5"/>
        <w:adjustRightInd w:val="0"/>
        <w:snapToGrid w:val="0"/>
        <w:spacing w:line="240" w:lineRule="auto"/>
        <w:ind w:firstLine="0"/>
        <w:jc w:val="center"/>
        <w:rPr>
          <w:rFonts w:eastAsia="方正小标宋简体"/>
          <w:sz w:val="44"/>
          <w:szCs w:val="44"/>
        </w:rPr>
      </w:pPr>
    </w:p>
    <w:p w14:paraId="5A39B059">
      <w:pPr>
        <w:pStyle w:val="5"/>
        <w:adjustRightInd w:val="0"/>
        <w:snapToGrid w:val="0"/>
        <w:spacing w:line="240" w:lineRule="auto"/>
        <w:ind w:firstLine="0"/>
        <w:jc w:val="center"/>
        <w:rPr>
          <w:rFonts w:eastAsia="方正小标宋简体"/>
          <w:sz w:val="44"/>
          <w:szCs w:val="44"/>
        </w:rPr>
      </w:pPr>
    </w:p>
    <w:p w14:paraId="733ED083">
      <w:pPr>
        <w:pStyle w:val="5"/>
        <w:adjustRightInd w:val="0"/>
        <w:snapToGrid w:val="0"/>
        <w:spacing w:line="240" w:lineRule="auto"/>
        <w:ind w:firstLine="0"/>
        <w:jc w:val="center"/>
        <w:rPr>
          <w:rFonts w:eastAsia="方正小标宋简体"/>
          <w:sz w:val="44"/>
          <w:szCs w:val="44"/>
        </w:rPr>
      </w:pPr>
    </w:p>
    <w:p w14:paraId="42D6C62D">
      <w:pPr>
        <w:pStyle w:val="5"/>
        <w:adjustRightInd w:val="0"/>
        <w:snapToGrid w:val="0"/>
        <w:spacing w:line="240" w:lineRule="auto"/>
        <w:ind w:firstLine="0"/>
        <w:jc w:val="center"/>
        <w:rPr>
          <w:rFonts w:eastAsia="方正小标宋简体"/>
          <w:sz w:val="44"/>
          <w:szCs w:val="44"/>
        </w:rPr>
      </w:pPr>
    </w:p>
    <w:p w14:paraId="5B3A9032">
      <w:pPr>
        <w:pStyle w:val="5"/>
        <w:adjustRightInd w:val="0"/>
        <w:snapToGrid w:val="0"/>
        <w:spacing w:line="240" w:lineRule="auto"/>
        <w:ind w:firstLine="0"/>
        <w:jc w:val="center"/>
        <w:rPr>
          <w:rFonts w:eastAsia="方正小标宋简体"/>
          <w:sz w:val="44"/>
          <w:szCs w:val="44"/>
        </w:rPr>
      </w:pPr>
    </w:p>
    <w:p w14:paraId="2846AB9F">
      <w:pPr>
        <w:pStyle w:val="5"/>
        <w:adjustRightInd w:val="0"/>
        <w:snapToGrid w:val="0"/>
        <w:spacing w:line="240" w:lineRule="auto"/>
        <w:ind w:firstLine="0"/>
        <w:jc w:val="center"/>
        <w:rPr>
          <w:rFonts w:eastAsia="方正小标宋简体"/>
          <w:sz w:val="44"/>
          <w:szCs w:val="44"/>
        </w:rPr>
      </w:pPr>
    </w:p>
    <w:p w14:paraId="6836D7F7">
      <w:pPr>
        <w:pStyle w:val="5"/>
        <w:adjustRightInd w:val="0"/>
        <w:snapToGrid w:val="0"/>
        <w:spacing w:line="240" w:lineRule="auto"/>
        <w:ind w:firstLine="0"/>
        <w:jc w:val="center"/>
        <w:rPr>
          <w:rFonts w:eastAsia="方正小标宋简体"/>
          <w:sz w:val="44"/>
          <w:szCs w:val="44"/>
        </w:rPr>
      </w:pPr>
    </w:p>
    <w:p w14:paraId="2BB748C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77" w:name="_Toc17193"/>
      <w:bookmarkStart w:id="278" w:name="_Toc4013"/>
      <w:bookmarkStart w:id="279" w:name="_Toc2925"/>
      <w:bookmarkStart w:id="280" w:name="_Toc12195"/>
      <w:bookmarkStart w:id="281" w:name="_Toc9770"/>
      <w:r>
        <w:rPr>
          <w:rFonts w:hint="eastAsia" w:eastAsia="方正小标宋简体"/>
          <w:sz w:val="44"/>
          <w:szCs w:val="44"/>
          <w:highlight w:val="none"/>
        </w:rPr>
        <w:t>泸州老窖集团有限责任公司</w:t>
      </w:r>
      <w:bookmarkEnd w:id="277"/>
      <w:bookmarkEnd w:id="278"/>
      <w:bookmarkEnd w:id="279"/>
      <w:bookmarkEnd w:id="280"/>
      <w:bookmarkEnd w:id="281"/>
    </w:p>
    <w:p w14:paraId="03D4A94D">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50"/>
        <w:gridCol w:w="1201"/>
        <w:gridCol w:w="1314"/>
        <w:gridCol w:w="242"/>
        <w:gridCol w:w="1485"/>
        <w:gridCol w:w="172"/>
        <w:gridCol w:w="1594"/>
        <w:gridCol w:w="248"/>
        <w:gridCol w:w="1627"/>
      </w:tblGrid>
      <w:tr w14:paraId="5151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8" w:type="dxa"/>
            <w:shd w:val="clear" w:color="auto" w:fill="E7E6E6" w:themeFill="background2"/>
            <w:noWrap/>
            <w:vAlign w:val="center"/>
          </w:tcPr>
          <w:p w14:paraId="5F7265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51" w:type="dxa"/>
            <w:gridSpan w:val="2"/>
            <w:shd w:val="clear" w:color="000000" w:fill="FFFFFF"/>
            <w:noWrap/>
            <w:vAlign w:val="center"/>
          </w:tcPr>
          <w:p w14:paraId="06CB3804">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556" w:type="dxa"/>
            <w:gridSpan w:val="2"/>
            <w:shd w:val="clear" w:color="auto" w:fill="E7E6E6" w:themeFill="background2"/>
            <w:noWrap/>
            <w:vAlign w:val="center"/>
          </w:tcPr>
          <w:p w14:paraId="20AA5B8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57" w:type="dxa"/>
            <w:gridSpan w:val="2"/>
            <w:shd w:val="clear" w:color="000000" w:fill="FFFFFF"/>
            <w:noWrap/>
            <w:vAlign w:val="center"/>
          </w:tcPr>
          <w:p w14:paraId="0E49A2A1">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94" w:type="dxa"/>
            <w:shd w:val="clear" w:color="auto" w:fill="E7E6E6" w:themeFill="background2"/>
            <w:noWrap/>
            <w:vAlign w:val="center"/>
          </w:tcPr>
          <w:p w14:paraId="009F4DA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75" w:type="dxa"/>
            <w:gridSpan w:val="2"/>
            <w:shd w:val="clear" w:color="000000" w:fill="FFFFFF"/>
            <w:noWrap/>
            <w:vAlign w:val="center"/>
          </w:tcPr>
          <w:p w14:paraId="6D096DE8">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14:paraId="14FC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18" w:type="dxa"/>
            <w:shd w:val="clear" w:color="auto" w:fill="E7E6E6" w:themeFill="background2"/>
            <w:noWrap/>
            <w:vAlign w:val="center"/>
          </w:tcPr>
          <w:p w14:paraId="4808F28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133" w:type="dxa"/>
            <w:gridSpan w:val="9"/>
            <w:shd w:val="clear" w:color="000000" w:fill="FFFFFF"/>
            <w:noWrap/>
            <w:vAlign w:val="center"/>
          </w:tcPr>
          <w:p w14:paraId="1210202F">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四川省泸州市南光路泸州老窖营销指挥中心</w:t>
            </w:r>
          </w:p>
        </w:tc>
      </w:tr>
      <w:tr w14:paraId="6853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2" w:hRule="atLeast"/>
          <w:jc w:val="center"/>
        </w:trPr>
        <w:tc>
          <w:tcPr>
            <w:tcW w:w="1618" w:type="dxa"/>
            <w:shd w:val="clear" w:color="auto" w:fill="E7E6E6" w:themeFill="background2"/>
            <w:noWrap/>
            <w:vAlign w:val="center"/>
          </w:tcPr>
          <w:p w14:paraId="3444C0D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133" w:type="dxa"/>
            <w:gridSpan w:val="9"/>
            <w:shd w:val="clear" w:color="000000" w:fill="FFFFFF"/>
            <w:vAlign w:val="center"/>
          </w:tcPr>
          <w:p w14:paraId="6A7B1B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泸州老窖博士后科研工作站于2003年经国家人事部批准设立，公司高度重视工作站建设，围绕发酵工程、信息技术、药学、文化、管理、金融等领域开展科研和技术创新工作，与清华大学、四川大学、重庆大学、江南大学等高校院所建立产学研合作关系，不断孕育、培养和打造自身强有力的核心竞争力，促进了公司的管理创新、技术创新和营销创新。建站以来，工作站吸引和培养了一批德才兼备、技术过硬的人才，出站博士后已成为各个领域的技术骨干和中坚力量。经过十八年的建设，泸州老窖博士后工作健康发展，形成了人才集聚效应，为行业培养和储备了大量的高层次人才。2019年泸州老窖博士后科研工作站获的独立招收资，2020年泸州老窖博士后科研工作站综合评估为“优秀”等级。</w:t>
            </w:r>
          </w:p>
        </w:tc>
      </w:tr>
      <w:tr w14:paraId="47FA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jc w:val="center"/>
        </w:trPr>
        <w:tc>
          <w:tcPr>
            <w:tcW w:w="1618" w:type="dxa"/>
            <w:shd w:val="clear" w:color="auto" w:fill="E7E6E6" w:themeFill="background2"/>
            <w:noWrap/>
            <w:vAlign w:val="center"/>
          </w:tcPr>
          <w:p w14:paraId="39EE725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133" w:type="dxa"/>
            <w:gridSpan w:val="9"/>
            <w:shd w:val="clear" w:color="000000" w:fill="FFFFFF"/>
            <w:vAlign w:val="center"/>
          </w:tcPr>
          <w:p w14:paraId="786DF1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1.根据博士后科学基金会要求，积极组织博士后申报基金项目；</w:t>
            </w:r>
          </w:p>
          <w:p w14:paraId="4E7551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2.根据泸州市人才项目相关规定，组织博士后申报生活、住房补助及相关福利待遇；</w:t>
            </w:r>
          </w:p>
          <w:p w14:paraId="16641E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3.积极组织博士后申报省、市级科研项目；</w:t>
            </w:r>
          </w:p>
          <w:p w14:paraId="5DC72F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4.为博士后匹配知名专家作为导师，提供良好的科研环境和平台。</w:t>
            </w:r>
          </w:p>
        </w:tc>
      </w:tr>
      <w:tr w14:paraId="6DCA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68" w:type="dxa"/>
            <w:gridSpan w:val="2"/>
            <w:shd w:val="clear" w:color="auto" w:fill="E7E6E6" w:themeFill="background2"/>
            <w:noWrap/>
            <w:vAlign w:val="center"/>
          </w:tcPr>
          <w:p w14:paraId="472BBA7F">
            <w:pPr>
              <w:adjustRightInd w:val="0"/>
              <w:snapToGrid w:val="0"/>
              <w:spacing w:line="240" w:lineRule="auto"/>
              <w:ind w:firstLine="0" w:firstLineChars="0"/>
              <w:jc w:val="center"/>
              <w:rPr>
                <w:rFonts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201" w:type="dxa"/>
            <w:shd w:val="clear" w:color="auto" w:fill="E7E6E6" w:themeFill="background2"/>
            <w:vAlign w:val="center"/>
          </w:tcPr>
          <w:p w14:paraId="52682C00">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需求人数</w:t>
            </w:r>
          </w:p>
        </w:tc>
        <w:tc>
          <w:tcPr>
            <w:tcW w:w="1314" w:type="dxa"/>
            <w:shd w:val="clear" w:color="auto" w:fill="E7E6E6" w:themeFill="background2"/>
            <w:vAlign w:val="center"/>
          </w:tcPr>
          <w:p w14:paraId="0332E8F3">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岗位编号</w:t>
            </w:r>
          </w:p>
        </w:tc>
        <w:tc>
          <w:tcPr>
            <w:tcW w:w="1727" w:type="dxa"/>
            <w:gridSpan w:val="2"/>
            <w:shd w:val="clear" w:color="auto" w:fill="E7E6E6" w:themeFill="background2"/>
            <w:vAlign w:val="center"/>
          </w:tcPr>
          <w:p w14:paraId="1B899AD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8358CFB">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2014" w:type="dxa"/>
            <w:gridSpan w:val="3"/>
            <w:shd w:val="clear" w:color="auto" w:fill="E7E6E6" w:themeFill="background2"/>
            <w:vAlign w:val="center"/>
          </w:tcPr>
          <w:p w14:paraId="639135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D3D619">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27" w:type="dxa"/>
            <w:shd w:val="clear" w:color="auto" w:fill="E7E6E6" w:themeFill="background2"/>
            <w:vAlign w:val="center"/>
          </w:tcPr>
          <w:p w14:paraId="0EF1D1E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554E8DC">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等要求</w:t>
            </w:r>
          </w:p>
        </w:tc>
      </w:tr>
      <w:tr w14:paraId="5375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68" w:type="dxa"/>
            <w:gridSpan w:val="2"/>
            <w:shd w:val="clear" w:color="auto" w:fill="FFFFFF"/>
            <w:noWrap/>
            <w:vAlign w:val="center"/>
          </w:tcPr>
          <w:p w14:paraId="457CF53E">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糟醅酸淀水快速检测方法研究</w:t>
            </w:r>
          </w:p>
        </w:tc>
        <w:tc>
          <w:tcPr>
            <w:tcW w:w="1201" w:type="dxa"/>
            <w:shd w:val="clear" w:color="auto" w:fill="FFFFFF"/>
            <w:vAlign w:val="center"/>
          </w:tcPr>
          <w:p w14:paraId="567870F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314" w:type="dxa"/>
            <w:shd w:val="clear" w:color="auto" w:fill="FFFFFF"/>
            <w:vAlign w:val="center"/>
          </w:tcPr>
          <w:p w14:paraId="0BE891E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27" w:type="dxa"/>
            <w:gridSpan w:val="2"/>
            <w:shd w:val="clear" w:color="auto" w:fill="FFFFFF"/>
            <w:vAlign w:val="center"/>
          </w:tcPr>
          <w:p w14:paraId="0AEAFD0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轻工技术与工程</w:t>
            </w:r>
          </w:p>
        </w:tc>
        <w:tc>
          <w:tcPr>
            <w:tcW w:w="2014" w:type="dxa"/>
            <w:gridSpan w:val="3"/>
            <w:shd w:val="clear" w:color="auto" w:fill="FFFFFF"/>
            <w:vAlign w:val="center"/>
          </w:tcPr>
          <w:p w14:paraId="164B08E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10-20</w:t>
            </w:r>
          </w:p>
        </w:tc>
        <w:tc>
          <w:tcPr>
            <w:tcW w:w="1627" w:type="dxa"/>
            <w:vMerge w:val="restart"/>
            <w:shd w:val="clear" w:color="auto" w:fill="FFFFFF"/>
            <w:vAlign w:val="center"/>
          </w:tcPr>
          <w:p w14:paraId="67DC552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高校、科研院所</w:t>
            </w:r>
          </w:p>
        </w:tc>
      </w:tr>
      <w:tr w14:paraId="010E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68" w:type="dxa"/>
            <w:gridSpan w:val="2"/>
            <w:shd w:val="clear" w:color="auto" w:fill="FFFFFF"/>
            <w:noWrap/>
            <w:vAlign w:val="center"/>
          </w:tcPr>
          <w:p w14:paraId="46A8FB9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高粱秸秆微生物发酵生产有机肥研发与应用</w:t>
            </w:r>
          </w:p>
        </w:tc>
        <w:tc>
          <w:tcPr>
            <w:tcW w:w="1201" w:type="dxa"/>
            <w:shd w:val="clear" w:color="auto" w:fill="FFFFFF"/>
            <w:vAlign w:val="center"/>
          </w:tcPr>
          <w:p w14:paraId="3E555A3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314" w:type="dxa"/>
            <w:shd w:val="clear" w:color="auto" w:fill="FFFFFF"/>
            <w:vAlign w:val="center"/>
          </w:tcPr>
          <w:p w14:paraId="2DFA233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727" w:type="dxa"/>
            <w:gridSpan w:val="2"/>
            <w:shd w:val="clear" w:color="auto" w:fill="FFFFFF"/>
            <w:vAlign w:val="center"/>
          </w:tcPr>
          <w:p w14:paraId="4DABE72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轻工技术与工程</w:t>
            </w:r>
          </w:p>
        </w:tc>
        <w:tc>
          <w:tcPr>
            <w:tcW w:w="2014" w:type="dxa"/>
            <w:gridSpan w:val="3"/>
            <w:shd w:val="clear" w:color="auto" w:fill="FFFFFF"/>
            <w:vAlign w:val="center"/>
          </w:tcPr>
          <w:p w14:paraId="72F1913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10-20</w:t>
            </w:r>
          </w:p>
        </w:tc>
        <w:tc>
          <w:tcPr>
            <w:tcW w:w="1627" w:type="dxa"/>
            <w:vMerge w:val="continue"/>
            <w:shd w:val="clear" w:color="auto" w:fill="FFFFFF"/>
            <w:vAlign w:val="center"/>
          </w:tcPr>
          <w:p w14:paraId="0F01C1C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p>
        </w:tc>
      </w:tr>
    </w:tbl>
    <w:p w14:paraId="403183ED">
      <w:pPr>
        <w:spacing w:line="240" w:lineRule="auto"/>
        <w:rPr>
          <w:sz w:val="21"/>
          <w:szCs w:val="21"/>
        </w:rPr>
      </w:pPr>
      <w:r>
        <w:rPr>
          <w:sz w:val="21"/>
          <w:szCs w:val="21"/>
        </w:rPr>
        <w:br w:type="page"/>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1190"/>
        <w:gridCol w:w="1263"/>
        <w:gridCol w:w="1693"/>
        <w:gridCol w:w="1975"/>
        <w:gridCol w:w="1703"/>
      </w:tblGrid>
      <w:tr w14:paraId="01C1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885" w:type="dxa"/>
            <w:shd w:val="clear" w:color="auto" w:fill="E7E6E6" w:themeFill="background2"/>
            <w:noWrap/>
            <w:vAlign w:val="center"/>
          </w:tcPr>
          <w:p w14:paraId="0CB5BEE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64" w:type="dxa"/>
            <w:shd w:val="clear" w:color="auto" w:fill="E7E6E6" w:themeFill="background2"/>
            <w:vAlign w:val="center"/>
          </w:tcPr>
          <w:p w14:paraId="4B55B57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14:paraId="28ADF2F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shd w:val="clear" w:color="auto" w:fill="E7E6E6" w:themeFill="background2"/>
            <w:vAlign w:val="center"/>
          </w:tcPr>
          <w:p w14:paraId="710B894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D42A74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932" w:type="dxa"/>
            <w:shd w:val="clear" w:color="auto" w:fill="E7E6E6" w:themeFill="background2"/>
            <w:vAlign w:val="center"/>
          </w:tcPr>
          <w:p w14:paraId="0185339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23D540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66" w:type="dxa"/>
            <w:shd w:val="clear" w:color="auto" w:fill="E7E6E6" w:themeFill="background2"/>
            <w:vAlign w:val="center"/>
          </w:tcPr>
          <w:p w14:paraId="2244EB0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D96D40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CE0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shd w:val="clear" w:color="000000" w:fill="FFFFFF"/>
            <w:noWrap/>
            <w:vAlign w:val="center"/>
          </w:tcPr>
          <w:p w14:paraId="0944D21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浓香型白酒增己降乙降乳方法研究</w:t>
            </w:r>
          </w:p>
        </w:tc>
        <w:tc>
          <w:tcPr>
            <w:tcW w:w="1164" w:type="dxa"/>
            <w:shd w:val="clear" w:color="000000" w:fill="FFFFFF"/>
            <w:vAlign w:val="center"/>
          </w:tcPr>
          <w:p w14:paraId="4DB6387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36" w:type="dxa"/>
            <w:shd w:val="clear" w:color="000000" w:fill="FFFFFF"/>
            <w:vAlign w:val="center"/>
          </w:tcPr>
          <w:p w14:paraId="3B723FA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56" w:type="dxa"/>
            <w:shd w:val="clear" w:color="000000" w:fill="FFFFFF"/>
            <w:vAlign w:val="center"/>
          </w:tcPr>
          <w:p w14:paraId="1E2EEAA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轻工技术与工程</w:t>
            </w:r>
          </w:p>
        </w:tc>
        <w:tc>
          <w:tcPr>
            <w:tcW w:w="1932" w:type="dxa"/>
            <w:shd w:val="clear" w:color="000000" w:fill="FFFFFF"/>
            <w:vAlign w:val="center"/>
          </w:tcPr>
          <w:p w14:paraId="01D30CE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10-20</w:t>
            </w:r>
          </w:p>
        </w:tc>
        <w:tc>
          <w:tcPr>
            <w:tcW w:w="1666" w:type="dxa"/>
            <w:vMerge w:val="restart"/>
            <w:shd w:val="clear" w:color="000000" w:fill="FFFFFF"/>
            <w:vAlign w:val="center"/>
          </w:tcPr>
          <w:p w14:paraId="252DE6C6">
            <w:pPr>
              <w:adjustRightInd w:val="0"/>
              <w:snapToGrid w:val="0"/>
              <w:spacing w:line="360" w:lineRule="auto"/>
              <w:ind w:firstLine="0"/>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高校、科研院所</w:t>
            </w:r>
          </w:p>
        </w:tc>
      </w:tr>
      <w:tr w14:paraId="182B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shd w:val="clear" w:color="000000" w:fill="FFFFFF"/>
            <w:noWrap/>
            <w:vAlign w:val="center"/>
          </w:tcPr>
          <w:p w14:paraId="4E042E4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绿豆大曲对酒精性肝损伤影响的活性成分与机制研究</w:t>
            </w:r>
          </w:p>
        </w:tc>
        <w:tc>
          <w:tcPr>
            <w:tcW w:w="1164" w:type="dxa"/>
            <w:shd w:val="clear" w:color="000000" w:fill="FFFFFF"/>
            <w:vAlign w:val="center"/>
          </w:tcPr>
          <w:p w14:paraId="3A5668C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36" w:type="dxa"/>
            <w:shd w:val="clear" w:color="000000" w:fill="FFFFFF"/>
            <w:vAlign w:val="center"/>
          </w:tcPr>
          <w:p w14:paraId="5DA5B1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656" w:type="dxa"/>
            <w:shd w:val="clear" w:color="000000" w:fill="FFFFFF"/>
            <w:vAlign w:val="center"/>
          </w:tcPr>
          <w:p w14:paraId="746E4B2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轻工技术与工程</w:t>
            </w:r>
          </w:p>
        </w:tc>
        <w:tc>
          <w:tcPr>
            <w:tcW w:w="1932" w:type="dxa"/>
            <w:shd w:val="clear" w:color="000000" w:fill="FFFFFF"/>
            <w:vAlign w:val="center"/>
          </w:tcPr>
          <w:p w14:paraId="325993C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10-20</w:t>
            </w:r>
          </w:p>
        </w:tc>
        <w:tc>
          <w:tcPr>
            <w:tcW w:w="1666" w:type="dxa"/>
            <w:vMerge w:val="continue"/>
            <w:shd w:val="clear" w:color="000000" w:fill="FFFFFF"/>
            <w:vAlign w:val="center"/>
          </w:tcPr>
          <w:p w14:paraId="0F863F25">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704A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shd w:val="clear" w:color="000000" w:fill="FFFFFF"/>
            <w:noWrap/>
            <w:vAlign w:val="center"/>
          </w:tcPr>
          <w:p w14:paraId="2B808C3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企业文化</w:t>
            </w:r>
          </w:p>
        </w:tc>
        <w:tc>
          <w:tcPr>
            <w:tcW w:w="1164" w:type="dxa"/>
            <w:shd w:val="clear" w:color="000000" w:fill="FFFFFF"/>
            <w:vAlign w:val="center"/>
          </w:tcPr>
          <w:p w14:paraId="3FCF28C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236" w:type="dxa"/>
            <w:shd w:val="clear" w:color="000000" w:fill="FFFFFF"/>
            <w:vAlign w:val="center"/>
          </w:tcPr>
          <w:p w14:paraId="2DB7B37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656" w:type="dxa"/>
            <w:shd w:val="clear" w:color="000000" w:fill="FFFFFF"/>
            <w:vAlign w:val="center"/>
          </w:tcPr>
          <w:p w14:paraId="03152F3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音乐学</w:t>
            </w:r>
          </w:p>
        </w:tc>
        <w:tc>
          <w:tcPr>
            <w:tcW w:w="1932" w:type="dxa"/>
            <w:shd w:val="clear" w:color="000000" w:fill="FFFFFF"/>
            <w:vAlign w:val="center"/>
          </w:tcPr>
          <w:p w14:paraId="10E9E77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5</w:t>
            </w:r>
            <w:r>
              <w:rPr>
                <w:rFonts w:hint="default" w:ascii="Times New Roman" w:hAnsi="Times New Roman" w:cs="Times New Roman" w:eastAsiaTheme="minorEastAsia"/>
                <w:kern w:val="0"/>
                <w:sz w:val="21"/>
                <w:szCs w:val="21"/>
              </w:rPr>
              <w:t>-</w:t>
            </w:r>
            <w:r>
              <w:rPr>
                <w:rFonts w:hint="default" w:ascii="Times New Roman" w:hAnsi="Times New Roman" w:cs="Times New Roman" w:eastAsiaTheme="minorEastAsia"/>
                <w:kern w:val="0"/>
                <w:sz w:val="21"/>
                <w:szCs w:val="21"/>
                <w:lang w:val="en-US" w:eastAsia="zh-CN"/>
              </w:rPr>
              <w:t>1</w:t>
            </w:r>
            <w:r>
              <w:rPr>
                <w:rFonts w:hint="default" w:ascii="Times New Roman" w:hAnsi="Times New Roman" w:cs="Times New Roman" w:eastAsiaTheme="minorEastAsia"/>
                <w:kern w:val="0"/>
                <w:sz w:val="21"/>
                <w:szCs w:val="21"/>
              </w:rPr>
              <w:t>0</w:t>
            </w:r>
          </w:p>
        </w:tc>
        <w:tc>
          <w:tcPr>
            <w:tcW w:w="1666" w:type="dxa"/>
            <w:vMerge w:val="continue"/>
            <w:shd w:val="clear" w:color="000000" w:fill="FFFFFF"/>
            <w:vAlign w:val="center"/>
          </w:tcPr>
          <w:p w14:paraId="6111AE27">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02C1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noWrap/>
            <w:vAlign w:val="center"/>
          </w:tcPr>
          <w:p w14:paraId="0C04E20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生物经济（大食品）创新生态链建设</w:t>
            </w:r>
          </w:p>
        </w:tc>
        <w:tc>
          <w:tcPr>
            <w:tcW w:w="1164" w:type="dxa"/>
            <w:vAlign w:val="center"/>
          </w:tcPr>
          <w:p w14:paraId="4EC637A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236" w:type="dxa"/>
            <w:vAlign w:val="center"/>
          </w:tcPr>
          <w:p w14:paraId="4A683F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656" w:type="dxa"/>
            <w:vAlign w:val="center"/>
          </w:tcPr>
          <w:p w14:paraId="46130D0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食品科学与工程</w:t>
            </w:r>
          </w:p>
        </w:tc>
        <w:tc>
          <w:tcPr>
            <w:tcW w:w="1932" w:type="dxa"/>
            <w:vAlign w:val="center"/>
          </w:tcPr>
          <w:p w14:paraId="26F7B6A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10-30</w:t>
            </w:r>
          </w:p>
        </w:tc>
        <w:tc>
          <w:tcPr>
            <w:tcW w:w="1666" w:type="dxa"/>
            <w:vMerge w:val="continue"/>
            <w:shd w:val="clear" w:color="000000" w:fill="FFFFFF"/>
            <w:vAlign w:val="center"/>
          </w:tcPr>
          <w:p w14:paraId="28148B68">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5427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noWrap/>
            <w:vAlign w:val="center"/>
          </w:tcPr>
          <w:p w14:paraId="042F104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生命健康创新生态链建设</w:t>
            </w:r>
          </w:p>
        </w:tc>
        <w:tc>
          <w:tcPr>
            <w:tcW w:w="1164" w:type="dxa"/>
            <w:vAlign w:val="center"/>
          </w:tcPr>
          <w:p w14:paraId="6B331CD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236" w:type="dxa"/>
            <w:vAlign w:val="center"/>
          </w:tcPr>
          <w:p w14:paraId="17D2A06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656" w:type="dxa"/>
            <w:vAlign w:val="center"/>
          </w:tcPr>
          <w:p w14:paraId="617B26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生物医学工程</w:t>
            </w:r>
          </w:p>
        </w:tc>
        <w:tc>
          <w:tcPr>
            <w:tcW w:w="1932" w:type="dxa"/>
            <w:vAlign w:val="center"/>
          </w:tcPr>
          <w:p w14:paraId="7560FFA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10-30</w:t>
            </w:r>
          </w:p>
        </w:tc>
        <w:tc>
          <w:tcPr>
            <w:tcW w:w="1666" w:type="dxa"/>
            <w:vMerge w:val="continue"/>
            <w:shd w:val="clear" w:color="000000" w:fill="FFFFFF"/>
            <w:vAlign w:val="center"/>
          </w:tcPr>
          <w:p w14:paraId="48E721BB">
            <w:pPr>
              <w:adjustRightInd w:val="0"/>
              <w:snapToGrid w:val="0"/>
              <w:spacing w:line="240" w:lineRule="auto"/>
              <w:ind w:firstLine="0"/>
              <w:jc w:val="center"/>
              <w:rPr>
                <w:rFonts w:hint="default" w:ascii="Times New Roman" w:hAnsi="Times New Roman" w:cs="Times New Roman" w:eastAsiaTheme="minorEastAsia"/>
                <w:sz w:val="21"/>
                <w:szCs w:val="21"/>
              </w:rPr>
            </w:pPr>
          </w:p>
        </w:tc>
      </w:tr>
      <w:tr w14:paraId="7233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noWrap/>
            <w:vAlign w:val="center"/>
          </w:tcPr>
          <w:p w14:paraId="3B395C1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人工智能+创新生态链建设</w:t>
            </w:r>
          </w:p>
        </w:tc>
        <w:tc>
          <w:tcPr>
            <w:tcW w:w="1164" w:type="dxa"/>
            <w:vAlign w:val="center"/>
          </w:tcPr>
          <w:p w14:paraId="3E52025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236" w:type="dxa"/>
            <w:vAlign w:val="center"/>
          </w:tcPr>
          <w:p w14:paraId="33C2DE0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656" w:type="dxa"/>
            <w:vAlign w:val="center"/>
          </w:tcPr>
          <w:p w14:paraId="6098F8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计算机科学与技术</w:t>
            </w:r>
          </w:p>
        </w:tc>
        <w:tc>
          <w:tcPr>
            <w:tcW w:w="1932" w:type="dxa"/>
            <w:vAlign w:val="center"/>
          </w:tcPr>
          <w:p w14:paraId="0FC7658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10-30</w:t>
            </w:r>
          </w:p>
        </w:tc>
        <w:tc>
          <w:tcPr>
            <w:tcW w:w="1666" w:type="dxa"/>
            <w:vMerge w:val="continue"/>
            <w:shd w:val="clear" w:color="000000" w:fill="FFFFFF"/>
            <w:vAlign w:val="center"/>
          </w:tcPr>
          <w:p w14:paraId="05C67A49">
            <w:pPr>
              <w:adjustRightInd w:val="0"/>
              <w:snapToGrid w:val="0"/>
              <w:spacing w:line="240" w:lineRule="auto"/>
              <w:ind w:firstLine="0"/>
              <w:rPr>
                <w:rFonts w:hint="default" w:ascii="Times New Roman" w:hAnsi="Times New Roman" w:cs="Times New Roman" w:eastAsiaTheme="minorEastAsia"/>
                <w:sz w:val="21"/>
                <w:szCs w:val="21"/>
              </w:rPr>
            </w:pPr>
          </w:p>
        </w:tc>
      </w:tr>
      <w:tr w14:paraId="3464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885" w:type="dxa"/>
            <w:noWrap/>
            <w:vAlign w:val="center"/>
          </w:tcPr>
          <w:p w14:paraId="31A7287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电弧等离子体制备碳纳米材料设备及工艺中试开发</w:t>
            </w:r>
          </w:p>
        </w:tc>
        <w:tc>
          <w:tcPr>
            <w:tcW w:w="1164" w:type="dxa"/>
            <w:vAlign w:val="center"/>
          </w:tcPr>
          <w:p w14:paraId="0530DE1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w:t>
            </w:r>
          </w:p>
        </w:tc>
        <w:tc>
          <w:tcPr>
            <w:tcW w:w="1236" w:type="dxa"/>
            <w:vAlign w:val="center"/>
          </w:tcPr>
          <w:p w14:paraId="0B42C7D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9</w:t>
            </w:r>
          </w:p>
        </w:tc>
        <w:tc>
          <w:tcPr>
            <w:tcW w:w="1656" w:type="dxa"/>
            <w:vAlign w:val="center"/>
          </w:tcPr>
          <w:p w14:paraId="3330FAC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材料科学与工程</w:t>
            </w:r>
          </w:p>
        </w:tc>
        <w:tc>
          <w:tcPr>
            <w:tcW w:w="1932" w:type="dxa"/>
            <w:vAlign w:val="center"/>
          </w:tcPr>
          <w:p w14:paraId="0B3CC5B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10-30</w:t>
            </w:r>
          </w:p>
        </w:tc>
        <w:tc>
          <w:tcPr>
            <w:tcW w:w="1666" w:type="dxa"/>
            <w:vMerge w:val="continue"/>
            <w:shd w:val="clear" w:color="000000" w:fill="FFFFFF"/>
            <w:vAlign w:val="center"/>
          </w:tcPr>
          <w:p w14:paraId="0AD03309">
            <w:pPr>
              <w:adjustRightInd w:val="0"/>
              <w:snapToGrid w:val="0"/>
              <w:spacing w:line="240" w:lineRule="auto"/>
              <w:ind w:firstLine="0"/>
              <w:jc w:val="center"/>
              <w:rPr>
                <w:rFonts w:hint="default" w:ascii="Times New Roman" w:hAnsi="Times New Roman" w:cs="Times New Roman" w:eastAsiaTheme="minorEastAsia"/>
                <w:sz w:val="21"/>
                <w:szCs w:val="21"/>
              </w:rPr>
            </w:pPr>
          </w:p>
        </w:tc>
      </w:tr>
    </w:tbl>
    <w:p w14:paraId="510F0205">
      <w:pPr>
        <w:adjustRightInd w:val="0"/>
        <w:snapToGrid w:val="0"/>
        <w:spacing w:line="240" w:lineRule="auto"/>
        <w:ind w:left="624" w:firstLine="0"/>
        <w:rPr>
          <w:sz w:val="21"/>
          <w:szCs w:val="21"/>
        </w:rPr>
      </w:pPr>
      <w:r>
        <w:rPr>
          <w:sz w:val="21"/>
          <w:szCs w:val="21"/>
        </w:rPr>
        <w:br w:type="page"/>
      </w:r>
    </w:p>
    <w:p w14:paraId="64CCD1C9">
      <w:pPr>
        <w:adjustRightInd w:val="0"/>
        <w:snapToGrid w:val="0"/>
        <w:spacing w:line="240" w:lineRule="auto"/>
        <w:ind w:firstLine="1320" w:firstLineChars="300"/>
        <w:rPr>
          <w:rFonts w:eastAsia="方正小标宋简体"/>
          <w:sz w:val="44"/>
          <w:szCs w:val="44"/>
        </w:rPr>
      </w:pPr>
    </w:p>
    <w:p w14:paraId="70326C20">
      <w:pPr>
        <w:pStyle w:val="5"/>
        <w:adjustRightInd w:val="0"/>
        <w:snapToGrid w:val="0"/>
        <w:spacing w:line="240" w:lineRule="auto"/>
        <w:ind w:firstLine="0"/>
        <w:jc w:val="center"/>
        <w:outlineLvl w:val="0"/>
        <w:rPr>
          <w:rFonts w:eastAsia="方正小标宋简体"/>
          <w:sz w:val="44"/>
          <w:szCs w:val="44"/>
        </w:rPr>
      </w:pPr>
      <w:bookmarkStart w:id="282" w:name="_Toc14791"/>
      <w:bookmarkStart w:id="283" w:name="_Toc11277"/>
      <w:bookmarkStart w:id="284" w:name="_Toc9965"/>
      <w:bookmarkStart w:id="285" w:name="_Toc24996"/>
      <w:bookmarkStart w:id="286" w:name="_Toc26016"/>
      <w:r>
        <w:rPr>
          <w:rFonts w:hint="eastAsia" w:eastAsia="方正小标宋简体"/>
          <w:sz w:val="44"/>
          <w:szCs w:val="44"/>
          <w:highlight w:val="none"/>
        </w:rPr>
        <w:t>泸州智通自动化设备有限公司</w:t>
      </w:r>
      <w:bookmarkEnd w:id="282"/>
      <w:bookmarkEnd w:id="283"/>
      <w:bookmarkEnd w:id="284"/>
      <w:bookmarkEnd w:id="285"/>
      <w:bookmarkEnd w:id="286"/>
    </w:p>
    <w:p w14:paraId="606D6158">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466"/>
        <w:gridCol w:w="1079"/>
        <w:gridCol w:w="473"/>
        <w:gridCol w:w="1524"/>
      </w:tblGrid>
      <w:tr w14:paraId="6BA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71D135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3178793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民营企业</w:t>
            </w:r>
          </w:p>
        </w:tc>
        <w:tc>
          <w:tcPr>
            <w:tcW w:w="1640" w:type="dxa"/>
            <w:gridSpan w:val="2"/>
            <w:shd w:val="clear" w:color="auto" w:fill="E7E6E6" w:themeFill="background2"/>
            <w:noWrap/>
            <w:vAlign w:val="center"/>
          </w:tcPr>
          <w:p w14:paraId="0E14A44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6440529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3C6CB7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3B9C717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泸州</w:t>
            </w:r>
          </w:p>
        </w:tc>
      </w:tr>
      <w:tr w14:paraId="3E49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7D75BB8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6F2B254D">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四川省泸州市江阳区酒谷大道六段2号</w:t>
            </w:r>
          </w:p>
        </w:tc>
      </w:tr>
      <w:tr w14:paraId="3A28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4" w:hRule="atLeast"/>
          <w:jc w:val="center"/>
        </w:trPr>
        <w:tc>
          <w:tcPr>
            <w:tcW w:w="1344" w:type="dxa"/>
            <w:shd w:val="clear" w:color="auto" w:fill="E7E6E6" w:themeFill="background2"/>
            <w:noWrap/>
            <w:vAlign w:val="center"/>
          </w:tcPr>
          <w:p w14:paraId="436D27D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30FFD2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泸州智通自动化设备有限公司是一家从事专用设备制造，集研发、生产、销售和服务于一体的高新技术企业。于2015年创建于泸州国家高新区，注册资金5000万元。公司以“智能酿造”为理念，围绕工业生产自动化、工厂数字化、制造智能化目标，以智能机器人替代人工生产为核心，融合先进的机械制造、自动控制、在线检测、人工智能等新技术为一体，致力于推动传统工艺传承与现代智能生产融合转型升级，为白酒酿造柔性制造和数字工厂打造提供一体化解决方案和技术服务。</w:t>
            </w:r>
          </w:p>
          <w:p w14:paraId="071087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主营业务：智能机器人柔性加工及自动化设备研发、生产、销售和服务；自动化生产线；智能酿酒设备；工业软件开发及销售等。</w:t>
            </w:r>
          </w:p>
        </w:tc>
      </w:tr>
      <w:tr w14:paraId="4A5B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1344" w:type="dxa"/>
            <w:shd w:val="clear" w:color="auto" w:fill="E7E6E6" w:themeFill="background2"/>
            <w:noWrap/>
            <w:vAlign w:val="center"/>
          </w:tcPr>
          <w:p w14:paraId="6A7598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2ADAD4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1、长期在科研工作站工作的，公司为在站期间博士后人员免费提供住宿和餐补;</w:t>
            </w:r>
          </w:p>
          <w:p w14:paraId="7D5545B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2、针对项目(课题)情况对博士后人员每年发放一定的工资性收入，具体金额根据项目难度由双方协商确定;</w:t>
            </w:r>
          </w:p>
          <w:p w14:paraId="18EEE3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3、对为公司带来经济效益的科研成果，公司将给予一次性奖励;</w:t>
            </w:r>
          </w:p>
          <w:p w14:paraId="5938FA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4、为博士后匹配知名专家作为导师，提供良好的科研环境和平台;</w:t>
            </w:r>
          </w:p>
          <w:p w14:paraId="760C0C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5、积极组织博士后申报省、市级科研项目;</w:t>
            </w:r>
          </w:p>
          <w:p w14:paraId="017696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6、根据博士后科学基金会要求，积极组织博士后申报基金项目;</w:t>
            </w:r>
          </w:p>
          <w:p w14:paraId="0445CF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7、可按照泸州市相关政策申请补助。</w:t>
            </w:r>
          </w:p>
        </w:tc>
      </w:tr>
      <w:tr w14:paraId="4021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4456ECC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40A9A79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087A044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auto" w:fill="E7E6E6" w:themeFill="background2"/>
            <w:vAlign w:val="center"/>
          </w:tcPr>
          <w:p w14:paraId="602E2BE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83FE57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08DDD35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84D5CF8">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auto" w:fill="E7E6E6" w:themeFill="background2"/>
            <w:vAlign w:val="center"/>
          </w:tcPr>
          <w:p w14:paraId="4B702CE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A97107F">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20B8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602" w:type="dxa"/>
            <w:gridSpan w:val="2"/>
            <w:shd w:val="clear" w:color="auto" w:fill="auto"/>
            <w:noWrap/>
            <w:vAlign w:val="center"/>
          </w:tcPr>
          <w:p w14:paraId="7282859E">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十四五重点研发计划</w:t>
            </w:r>
          </w:p>
        </w:tc>
        <w:tc>
          <w:tcPr>
            <w:tcW w:w="1116" w:type="dxa"/>
            <w:gridSpan w:val="2"/>
            <w:shd w:val="clear" w:color="auto" w:fill="auto"/>
            <w:vAlign w:val="center"/>
          </w:tcPr>
          <w:p w14:paraId="586A2B0E">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2</w:t>
            </w:r>
          </w:p>
        </w:tc>
        <w:tc>
          <w:tcPr>
            <w:tcW w:w="1152" w:type="dxa"/>
            <w:gridSpan w:val="2"/>
            <w:shd w:val="clear" w:color="auto" w:fill="auto"/>
            <w:vAlign w:val="center"/>
          </w:tcPr>
          <w:p w14:paraId="32CB3BF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BSH001</w:t>
            </w:r>
          </w:p>
        </w:tc>
        <w:tc>
          <w:tcPr>
            <w:tcW w:w="1740" w:type="dxa"/>
            <w:gridSpan w:val="2"/>
            <w:shd w:val="clear" w:color="auto" w:fill="auto"/>
            <w:vAlign w:val="center"/>
          </w:tcPr>
          <w:p w14:paraId="36FB2C4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食品与科学</w:t>
            </w:r>
          </w:p>
        </w:tc>
        <w:tc>
          <w:tcPr>
            <w:tcW w:w="1536" w:type="dxa"/>
            <w:gridSpan w:val="2"/>
            <w:shd w:val="clear" w:color="auto" w:fill="auto"/>
            <w:vAlign w:val="center"/>
          </w:tcPr>
          <w:p w14:paraId="667D08B7">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10-20万/年</w:t>
            </w:r>
          </w:p>
        </w:tc>
        <w:tc>
          <w:tcPr>
            <w:tcW w:w="1509" w:type="dxa"/>
            <w:shd w:val="clear" w:color="auto" w:fill="auto"/>
            <w:vAlign w:val="center"/>
          </w:tcPr>
          <w:p w14:paraId="12003BE1">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211以上</w:t>
            </w:r>
          </w:p>
        </w:tc>
      </w:tr>
    </w:tbl>
    <w:p w14:paraId="08ACCB67">
      <w:pPr>
        <w:pStyle w:val="5"/>
        <w:adjustRightInd w:val="0"/>
        <w:snapToGrid w:val="0"/>
        <w:spacing w:line="240" w:lineRule="auto"/>
        <w:ind w:firstLine="0"/>
        <w:jc w:val="center"/>
        <w:rPr>
          <w:rFonts w:hint="eastAsia" w:eastAsia="方正小标宋简体"/>
          <w:sz w:val="44"/>
          <w:szCs w:val="44"/>
          <w:highlight w:val="yellow"/>
        </w:rPr>
      </w:pPr>
    </w:p>
    <w:p w14:paraId="50598C40">
      <w:pPr>
        <w:pStyle w:val="5"/>
        <w:adjustRightInd w:val="0"/>
        <w:snapToGrid w:val="0"/>
        <w:spacing w:line="240" w:lineRule="auto"/>
        <w:ind w:firstLine="0"/>
        <w:jc w:val="center"/>
        <w:rPr>
          <w:rFonts w:hint="eastAsia" w:eastAsia="方正小标宋简体"/>
          <w:sz w:val="44"/>
          <w:szCs w:val="44"/>
          <w:highlight w:val="yellow"/>
        </w:rPr>
      </w:pPr>
    </w:p>
    <w:p w14:paraId="67D46163">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Times New Roman" w:hAnsi="Times New Roman" w:eastAsia="方正小标宋简体"/>
          <w:kern w:val="0"/>
          <w:sz w:val="44"/>
          <w:szCs w:val="44"/>
        </w:rPr>
      </w:pPr>
      <w:bookmarkStart w:id="287" w:name="_Toc25746"/>
      <w:bookmarkStart w:id="288" w:name="_Toc24158"/>
      <w:bookmarkStart w:id="289" w:name="_Toc31722"/>
      <w:bookmarkStart w:id="290" w:name="_Toc10529"/>
      <w:bookmarkStart w:id="291" w:name="_Toc30220"/>
      <w:r>
        <w:rPr>
          <w:rFonts w:ascii="Times New Roman" w:hAnsi="Times New Roman" w:eastAsia="方正小标宋简体"/>
          <w:kern w:val="0"/>
          <w:sz w:val="44"/>
          <w:szCs w:val="44"/>
          <w:highlight w:val="none"/>
        </w:rPr>
        <w:t>绵阳京东方光电科技有限公司</w:t>
      </w:r>
      <w:bookmarkEnd w:id="287"/>
      <w:bookmarkEnd w:id="288"/>
      <w:bookmarkEnd w:id="289"/>
      <w:bookmarkEnd w:id="290"/>
      <w:bookmarkEnd w:id="291"/>
    </w:p>
    <w:p w14:paraId="315FA456">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319D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2643B3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82FEA20">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3C96A5D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58C28C6">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37F9B36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2508E02D">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42B3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CB9FFF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555A9777">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绵阳</w:t>
            </w:r>
            <w:r>
              <w:rPr>
                <w:rFonts w:hint="eastAsia" w:eastAsiaTheme="minorEastAsia"/>
                <w:sz w:val="21"/>
                <w:szCs w:val="21"/>
                <w:lang w:val="en-US" w:eastAsia="zh-CN"/>
              </w:rPr>
              <w:t>市</w:t>
            </w:r>
            <w:r>
              <w:rPr>
                <w:rFonts w:hint="eastAsia" w:eastAsiaTheme="minorEastAsia"/>
                <w:sz w:val="21"/>
                <w:szCs w:val="21"/>
              </w:rPr>
              <w:t>高新区科发大道中段198号</w:t>
            </w:r>
          </w:p>
        </w:tc>
      </w:tr>
      <w:tr w14:paraId="3F83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5" w:hRule="atLeast"/>
          <w:jc w:val="center"/>
        </w:trPr>
        <w:tc>
          <w:tcPr>
            <w:tcW w:w="1271" w:type="dxa"/>
            <w:shd w:val="clear" w:color="auto" w:fill="E7E6E6" w:themeFill="background2"/>
            <w:noWrap/>
            <w:vAlign w:val="center"/>
          </w:tcPr>
          <w:p w14:paraId="1C224A2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1AB505AC">
            <w:pPr>
              <w:adjustRightInd w:val="0"/>
              <w:snapToGrid w:val="0"/>
              <w:spacing w:line="360" w:lineRule="auto"/>
              <w:ind w:firstLine="420" w:firstLineChars="200"/>
              <w:jc w:val="both"/>
              <w:rPr>
                <w:rFonts w:eastAsiaTheme="minorEastAsia"/>
                <w:sz w:val="21"/>
                <w:szCs w:val="21"/>
              </w:rPr>
            </w:pPr>
            <w:r>
              <w:rPr>
                <w:rFonts w:hint="eastAsia" w:eastAsiaTheme="minorEastAsia"/>
                <w:sz w:val="21"/>
                <w:szCs w:val="21"/>
              </w:rPr>
              <w:t>绵阳京东方光电科技有限公司成立于2016年12月，是由京东方科技集团股份 有限公司投资组建的研发、设计、生产、销售各类中小尺寸AMOLED及相关产品的高科技企业，注册资金为260亿元人民币，达产后的员工总数将超1万人。公司投资建设绵阳京东方第6代AMOLED柔性生产线项目，形成集制造与研发于一体、面板整机的综合性产业基地。项目主要产品为用于显示终端产品的中小尺寸柔性AMOLED模组屏幕，总投资465亿元，占地面积约1200亩。该生产线加工玻璃基板 尺寸为1500mm×1850mm，满产后产能预计为4.8万片玻璃基板/月，主要生产工序包括阵列、蒸镀、触控、切割、模组，主导产品为应用于柔性手机、超窄边框手机、 折叠手机、折叠笔记本电脑等的柔性AMOLED屏幕。</w:t>
            </w:r>
          </w:p>
        </w:tc>
      </w:tr>
      <w:tr w14:paraId="1FF7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1271" w:type="dxa"/>
            <w:shd w:val="clear" w:color="auto" w:fill="E7E6E6" w:themeFill="background2"/>
            <w:noWrap/>
            <w:vAlign w:val="center"/>
          </w:tcPr>
          <w:p w14:paraId="63EDC80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1AA72D7">
            <w:pPr>
              <w:numPr>
                <w:ilvl w:val="0"/>
                <w:numId w:val="0"/>
              </w:numPr>
              <w:adjustRightInd w:val="0"/>
              <w:snapToGrid w:val="0"/>
              <w:spacing w:line="360" w:lineRule="auto"/>
              <w:ind w:firstLine="420" w:firstLineChars="200"/>
              <w:rPr>
                <w:rFonts w:hint="eastAsia" w:eastAsiaTheme="minorEastAsia"/>
                <w:sz w:val="21"/>
                <w:szCs w:val="21"/>
              </w:rPr>
            </w:pPr>
            <w:r>
              <w:rPr>
                <w:rFonts w:hint="eastAsia" w:ascii="Times New Roman" w:hAnsi="Times New Roman" w:cs="Times New Roman" w:eastAsiaTheme="minorEastAsia"/>
                <w:kern w:val="2"/>
                <w:sz w:val="21"/>
                <w:szCs w:val="21"/>
                <w:lang w:val="en-US" w:eastAsia="zh-CN" w:bidi="ar-SA"/>
              </w:rPr>
              <w:t>1.</w:t>
            </w:r>
            <w:r>
              <w:rPr>
                <w:rFonts w:hint="eastAsia" w:eastAsiaTheme="minorEastAsia"/>
                <w:sz w:val="21"/>
                <w:szCs w:val="21"/>
              </w:rPr>
              <w:t>博士后研究人员在站期间，单位提供研究项目经费、工资、福利等日常经费；</w:t>
            </w:r>
          </w:p>
          <w:p w14:paraId="0A4205DF">
            <w:pPr>
              <w:numPr>
                <w:ilvl w:val="0"/>
                <w:numId w:val="0"/>
              </w:numPr>
              <w:adjustRightInd w:val="0"/>
              <w:snapToGrid w:val="0"/>
              <w:spacing w:line="360" w:lineRule="auto"/>
              <w:ind w:firstLine="420" w:firstLineChars="200"/>
              <w:rPr>
                <w:rFonts w:hint="eastAsia" w:eastAsiaTheme="minorEastAsia"/>
                <w:sz w:val="21"/>
                <w:szCs w:val="21"/>
              </w:rPr>
            </w:pPr>
            <w:r>
              <w:rPr>
                <w:rFonts w:ascii="Times New Roman" w:hAnsi="Times New Roman" w:cs="Times New Roman" w:eastAsiaTheme="minorEastAsia"/>
                <w:kern w:val="2"/>
                <w:sz w:val="21"/>
                <w:szCs w:val="21"/>
                <w:lang w:val="en-US" w:eastAsia="zh-CN" w:bidi="ar-SA"/>
              </w:rPr>
              <w:t>2.</w:t>
            </w:r>
            <w:r>
              <w:rPr>
                <w:rFonts w:hint="eastAsia" w:eastAsiaTheme="minorEastAsia"/>
                <w:sz w:val="21"/>
                <w:szCs w:val="21"/>
              </w:rPr>
              <w:t>协助解决博士后人员工作分配，户口及随其流动的配偶工作、子女入学等问题；</w:t>
            </w:r>
          </w:p>
          <w:p w14:paraId="46FD7FA9">
            <w:pPr>
              <w:numPr>
                <w:ilvl w:val="0"/>
                <w:numId w:val="0"/>
              </w:numPr>
              <w:adjustRightInd w:val="0"/>
              <w:snapToGrid w:val="0"/>
              <w:spacing w:line="360" w:lineRule="auto"/>
              <w:ind w:firstLine="420" w:firstLineChars="200"/>
              <w:rPr>
                <w:rFonts w:eastAsiaTheme="minorEastAsia"/>
                <w:sz w:val="21"/>
                <w:szCs w:val="21"/>
              </w:rPr>
            </w:pPr>
            <w:r>
              <w:rPr>
                <w:rFonts w:hint="eastAsia" w:eastAsiaTheme="minorEastAsia"/>
                <w:sz w:val="21"/>
                <w:szCs w:val="21"/>
              </w:rPr>
              <w:t>3.为博士后人员提供必要的住房等后勤保障，并将视其研究项目工作的进展、工作  表现等情况支付薪酬及生活补助。</w:t>
            </w:r>
          </w:p>
        </w:tc>
      </w:tr>
      <w:tr w14:paraId="4DAB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4209BAE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5C33D291">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5BB0AC1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0CA4F31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B33120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5BED7B7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0B3F2A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522AE7C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F3B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619" w:type="dxa"/>
            <w:gridSpan w:val="2"/>
            <w:shd w:val="clear" w:color="000000" w:fill="FFFFFF"/>
            <w:noWrap/>
            <w:vAlign w:val="center"/>
          </w:tcPr>
          <w:p w14:paraId="2FFFE75A">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GD</w:t>
            </w:r>
            <w:r>
              <w:rPr>
                <w:rFonts w:hint="default" w:ascii="Times New Roman" w:hAnsi="Times New Roman" w:cs="Times New Roman" w:eastAsiaTheme="minorEastAsia"/>
                <w:spacing w:val="1"/>
                <w:sz w:val="21"/>
                <w:szCs w:val="21"/>
              </w:rPr>
              <w:t>器件信赖性发绿不良</w:t>
            </w:r>
            <w:r>
              <w:rPr>
                <w:rFonts w:hint="default" w:ascii="Times New Roman" w:hAnsi="Times New Roman" w:cs="Times New Roman" w:eastAsiaTheme="minorEastAsia"/>
                <w:spacing w:val="10"/>
                <w:sz w:val="21"/>
                <w:szCs w:val="21"/>
              </w:rPr>
              <w:t>解析项目</w:t>
            </w:r>
          </w:p>
        </w:tc>
        <w:tc>
          <w:tcPr>
            <w:tcW w:w="1176" w:type="dxa"/>
            <w:shd w:val="clear" w:color="000000" w:fill="FFFFFF"/>
            <w:vAlign w:val="center"/>
          </w:tcPr>
          <w:p w14:paraId="52305A6F">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20132809">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
                <w:sz w:val="21"/>
                <w:szCs w:val="21"/>
              </w:rPr>
              <w:t>BSH001</w:t>
            </w:r>
          </w:p>
        </w:tc>
        <w:tc>
          <w:tcPr>
            <w:tcW w:w="1722" w:type="dxa"/>
            <w:gridSpan w:val="2"/>
            <w:shd w:val="clear" w:color="000000" w:fill="FFFFFF"/>
            <w:vAlign w:val="center"/>
          </w:tcPr>
          <w:p w14:paraId="02EA719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材料科学与工</w:t>
            </w:r>
            <w:r>
              <w:rPr>
                <w:rFonts w:hint="default" w:ascii="Times New Roman" w:hAnsi="Times New Roman" w:cs="Times New Roman" w:eastAsiaTheme="minorEastAsia"/>
                <w:spacing w:val="9"/>
                <w:sz w:val="21"/>
                <w:szCs w:val="21"/>
              </w:rPr>
              <w:t>程、光学工程、</w:t>
            </w:r>
          </w:p>
          <w:p w14:paraId="1B6E771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3"/>
                <w:sz w:val="21"/>
                <w:szCs w:val="21"/>
              </w:rPr>
              <w:t>机械工程、力</w:t>
            </w:r>
            <w:r>
              <w:rPr>
                <w:rFonts w:hint="default" w:ascii="Times New Roman" w:hAnsi="Times New Roman" w:cs="Times New Roman" w:eastAsiaTheme="minorEastAsia"/>
                <w:spacing w:val="1"/>
                <w:sz w:val="21"/>
                <w:szCs w:val="21"/>
              </w:rPr>
              <w:t>学、电子科学等</w:t>
            </w:r>
            <w:r>
              <w:rPr>
                <w:rFonts w:hint="default" w:ascii="Times New Roman" w:hAnsi="Times New Roman" w:cs="Times New Roman" w:eastAsiaTheme="minorEastAsia"/>
                <w:spacing w:val="-2"/>
                <w:sz w:val="21"/>
                <w:szCs w:val="21"/>
              </w:rPr>
              <w:t>相关专业</w:t>
            </w:r>
          </w:p>
        </w:tc>
        <w:tc>
          <w:tcPr>
            <w:tcW w:w="1399" w:type="dxa"/>
            <w:gridSpan w:val="2"/>
            <w:shd w:val="clear" w:color="000000" w:fill="FFFFFF"/>
            <w:vAlign w:val="center"/>
          </w:tcPr>
          <w:p w14:paraId="22330574">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3"/>
                <w:sz w:val="21"/>
                <w:szCs w:val="21"/>
              </w:rPr>
              <w:t>25-35</w:t>
            </w:r>
          </w:p>
        </w:tc>
        <w:tc>
          <w:tcPr>
            <w:tcW w:w="2550" w:type="dxa"/>
            <w:gridSpan w:val="2"/>
            <w:vMerge w:val="restart"/>
            <w:shd w:val="clear" w:color="000000" w:fill="FFFFFF"/>
            <w:vAlign w:val="center"/>
          </w:tcPr>
          <w:p w14:paraId="0DBEEFC9">
            <w:pPr>
              <w:adjustRightInd w:val="0"/>
              <w:snapToGrid w:val="0"/>
              <w:spacing w:line="240" w:lineRule="auto"/>
              <w:ind w:firstLine="0"/>
              <w:rPr>
                <w:rFonts w:hint="eastAsia" w:eastAsiaTheme="minorEastAsia"/>
                <w:sz w:val="21"/>
                <w:szCs w:val="21"/>
              </w:rPr>
            </w:pPr>
            <w:r>
              <w:rPr>
                <w:rFonts w:hint="eastAsia" w:eastAsiaTheme="minorEastAsia"/>
                <w:sz w:val="21"/>
                <w:szCs w:val="21"/>
              </w:rPr>
              <w:t>1.已取得相关专业博士学位(原则上限取得博士学位3年以内)、品学兼优、身体健康 ；</w:t>
            </w:r>
          </w:p>
          <w:p w14:paraId="277B3430">
            <w:pPr>
              <w:adjustRightInd w:val="0"/>
              <w:snapToGrid w:val="0"/>
              <w:spacing w:line="240" w:lineRule="auto"/>
              <w:ind w:firstLine="0"/>
              <w:rPr>
                <w:rFonts w:eastAsiaTheme="minorEastAsia"/>
                <w:sz w:val="21"/>
                <w:szCs w:val="21"/>
              </w:rPr>
            </w:pPr>
            <w:r>
              <w:rPr>
                <w:rFonts w:hint="eastAsia" w:eastAsiaTheme="minorEastAsia"/>
                <w:sz w:val="21"/>
                <w:szCs w:val="21"/>
              </w:rPr>
              <w:t>2.年龄一般在35岁以下的人员，引进从事博士后研究工作 ；</w:t>
            </w:r>
          </w:p>
        </w:tc>
      </w:tr>
      <w:tr w14:paraId="5D24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619" w:type="dxa"/>
            <w:gridSpan w:val="2"/>
            <w:shd w:val="clear" w:color="000000" w:fill="FFFFFF"/>
            <w:noWrap/>
            <w:vAlign w:val="center"/>
          </w:tcPr>
          <w:p w14:paraId="02B356F9">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
                <w:sz w:val="21"/>
                <w:szCs w:val="21"/>
              </w:rPr>
              <w:t>新型120</w:t>
            </w:r>
            <w:r>
              <w:rPr>
                <w:rFonts w:hint="default" w:ascii="Times New Roman" w:hAnsi="Times New Roman" w:cs="Times New Roman" w:eastAsiaTheme="minorEastAsia"/>
                <w:sz w:val="21"/>
                <w:szCs w:val="21"/>
              </w:rPr>
              <w:t>Hz</w:t>
            </w:r>
            <w:r>
              <w:rPr>
                <w:rFonts w:hint="default" w:ascii="Times New Roman" w:hAnsi="Times New Roman" w:cs="Times New Roman" w:eastAsiaTheme="minorEastAsia"/>
                <w:spacing w:val="1"/>
                <w:sz w:val="21"/>
                <w:szCs w:val="21"/>
              </w:rPr>
              <w:t>高刷新频率</w:t>
            </w:r>
            <w:r>
              <w:rPr>
                <w:rFonts w:hint="default" w:ascii="Times New Roman" w:hAnsi="Times New Roman" w:cs="Times New Roman" w:eastAsiaTheme="minorEastAsia"/>
                <w:spacing w:val="11"/>
                <w:sz w:val="21"/>
                <w:szCs w:val="21"/>
              </w:rPr>
              <w:t>柔性</w:t>
            </w:r>
            <w:r>
              <w:rPr>
                <w:rFonts w:hint="default" w:ascii="Times New Roman" w:hAnsi="Times New Roman" w:cs="Times New Roman" w:eastAsiaTheme="minorEastAsia"/>
                <w:sz w:val="21"/>
                <w:szCs w:val="21"/>
              </w:rPr>
              <w:t>OLED</w:t>
            </w:r>
            <w:r>
              <w:rPr>
                <w:rFonts w:hint="default" w:ascii="Times New Roman" w:hAnsi="Times New Roman" w:cs="Times New Roman" w:eastAsiaTheme="minorEastAsia"/>
                <w:spacing w:val="11"/>
                <w:sz w:val="21"/>
                <w:szCs w:val="21"/>
              </w:rPr>
              <w:t>项目</w:t>
            </w:r>
          </w:p>
        </w:tc>
        <w:tc>
          <w:tcPr>
            <w:tcW w:w="1176" w:type="dxa"/>
            <w:shd w:val="clear" w:color="000000" w:fill="FFFFFF"/>
            <w:vAlign w:val="center"/>
          </w:tcPr>
          <w:p w14:paraId="6D698CFB">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6002BA6C">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
                <w:sz w:val="21"/>
                <w:szCs w:val="21"/>
              </w:rPr>
              <w:t>BSH002</w:t>
            </w:r>
          </w:p>
        </w:tc>
        <w:tc>
          <w:tcPr>
            <w:tcW w:w="1722" w:type="dxa"/>
            <w:gridSpan w:val="2"/>
            <w:shd w:val="clear" w:color="000000" w:fill="FFFFFF"/>
            <w:vAlign w:val="center"/>
          </w:tcPr>
          <w:p w14:paraId="4E3B645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材料科学与工</w:t>
            </w:r>
            <w:r>
              <w:rPr>
                <w:rFonts w:hint="default" w:ascii="Times New Roman" w:hAnsi="Times New Roman" w:cs="Times New Roman" w:eastAsiaTheme="minorEastAsia"/>
                <w:spacing w:val="9"/>
                <w:sz w:val="21"/>
                <w:szCs w:val="21"/>
              </w:rPr>
              <w:t>程、光学工程、</w:t>
            </w:r>
          </w:p>
          <w:p w14:paraId="30A99C6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3"/>
                <w:sz w:val="21"/>
                <w:szCs w:val="21"/>
              </w:rPr>
              <w:t>机械工程、力</w:t>
            </w:r>
            <w:r>
              <w:rPr>
                <w:rFonts w:hint="default" w:ascii="Times New Roman" w:hAnsi="Times New Roman" w:cs="Times New Roman" w:eastAsiaTheme="minorEastAsia"/>
                <w:spacing w:val="1"/>
                <w:sz w:val="21"/>
                <w:szCs w:val="21"/>
              </w:rPr>
              <w:t>学、电子科学等</w:t>
            </w:r>
            <w:r>
              <w:rPr>
                <w:rFonts w:hint="default" w:ascii="Times New Roman" w:hAnsi="Times New Roman" w:cs="Times New Roman" w:eastAsiaTheme="minorEastAsia"/>
                <w:spacing w:val="-2"/>
                <w:sz w:val="21"/>
                <w:szCs w:val="21"/>
              </w:rPr>
              <w:t>相关专业</w:t>
            </w:r>
          </w:p>
        </w:tc>
        <w:tc>
          <w:tcPr>
            <w:tcW w:w="1399" w:type="dxa"/>
            <w:gridSpan w:val="2"/>
            <w:shd w:val="clear" w:color="000000" w:fill="FFFFFF"/>
            <w:vAlign w:val="center"/>
          </w:tcPr>
          <w:p w14:paraId="612FB143">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3"/>
                <w:sz w:val="21"/>
                <w:szCs w:val="21"/>
              </w:rPr>
              <w:t>25-35</w:t>
            </w:r>
          </w:p>
        </w:tc>
        <w:tc>
          <w:tcPr>
            <w:tcW w:w="2550" w:type="dxa"/>
            <w:gridSpan w:val="2"/>
            <w:vMerge w:val="continue"/>
            <w:shd w:val="clear" w:color="000000" w:fill="FFFFFF"/>
            <w:vAlign w:val="center"/>
          </w:tcPr>
          <w:p w14:paraId="5F50AAFE">
            <w:pPr>
              <w:adjustRightInd w:val="0"/>
              <w:snapToGrid w:val="0"/>
              <w:spacing w:line="240" w:lineRule="auto"/>
              <w:ind w:firstLine="0"/>
              <w:jc w:val="center"/>
              <w:rPr>
                <w:rFonts w:eastAsiaTheme="minorEastAsia"/>
                <w:sz w:val="21"/>
                <w:szCs w:val="21"/>
              </w:rPr>
            </w:pPr>
          </w:p>
        </w:tc>
      </w:tr>
    </w:tbl>
    <w:p w14:paraId="7DE15985">
      <w:pPr>
        <w:pStyle w:val="5"/>
        <w:adjustRightInd w:val="0"/>
        <w:snapToGrid w:val="0"/>
        <w:spacing w:line="240" w:lineRule="auto"/>
        <w:ind w:firstLine="0"/>
      </w:pPr>
      <w:r>
        <w:br w:type="page"/>
      </w:r>
    </w:p>
    <w:p w14:paraId="26281E6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eastAsia="方正小标宋简体"/>
          <w:kern w:val="0"/>
          <w:sz w:val="44"/>
          <w:szCs w:val="44"/>
        </w:rPr>
      </w:pPr>
    </w:p>
    <w:p w14:paraId="47C7DE95">
      <w:pPr>
        <w:adjustRightInd w:val="0"/>
        <w:snapToGrid w:val="0"/>
        <w:spacing w:line="240" w:lineRule="auto"/>
        <w:ind w:firstLine="0"/>
        <w:jc w:val="center"/>
        <w:outlineLvl w:val="0"/>
        <w:rPr>
          <w:rFonts w:eastAsia="方正小标宋简体"/>
          <w:sz w:val="44"/>
          <w:szCs w:val="44"/>
        </w:rPr>
      </w:pPr>
      <w:bookmarkStart w:id="292" w:name="_Toc30182"/>
      <w:bookmarkStart w:id="293" w:name="_Toc19012"/>
      <w:bookmarkStart w:id="294" w:name="_Toc17470"/>
      <w:bookmarkStart w:id="295" w:name="_Toc24026"/>
      <w:bookmarkStart w:id="296" w:name="_Toc26992"/>
      <w:r>
        <w:rPr>
          <w:rFonts w:eastAsia="方正小标宋简体"/>
          <w:sz w:val="44"/>
          <w:szCs w:val="44"/>
          <w:highlight w:val="none"/>
        </w:rPr>
        <w:t>绵阳市农业科学研究院</w:t>
      </w:r>
      <w:bookmarkEnd w:id="292"/>
      <w:bookmarkEnd w:id="293"/>
      <w:bookmarkEnd w:id="294"/>
      <w:bookmarkEnd w:id="295"/>
      <w:bookmarkEnd w:id="296"/>
    </w:p>
    <w:p w14:paraId="1D4A822A">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149"/>
        <w:gridCol w:w="211"/>
        <w:gridCol w:w="881"/>
        <w:gridCol w:w="1105"/>
        <w:gridCol w:w="1755"/>
        <w:gridCol w:w="1609"/>
        <w:gridCol w:w="1696"/>
      </w:tblGrid>
      <w:tr w14:paraId="582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5" w:type="dxa"/>
            <w:shd w:val="clear" w:color="auto" w:fill="E7E6E6" w:themeFill="background2"/>
            <w:noWrap/>
            <w:vAlign w:val="center"/>
          </w:tcPr>
          <w:p w14:paraId="7D94CCE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0" w:type="dxa"/>
            <w:gridSpan w:val="2"/>
            <w:shd w:val="clear" w:color="auto" w:fill="auto"/>
            <w:noWrap/>
            <w:vAlign w:val="center"/>
          </w:tcPr>
          <w:p w14:paraId="7C85D9AC">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986" w:type="dxa"/>
            <w:gridSpan w:val="2"/>
            <w:shd w:val="clear" w:color="auto" w:fill="E7E6E6" w:themeFill="background2"/>
            <w:noWrap/>
            <w:vAlign w:val="center"/>
          </w:tcPr>
          <w:p w14:paraId="6EA69D7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55" w:type="dxa"/>
            <w:shd w:val="clear" w:color="auto" w:fill="auto"/>
            <w:noWrap/>
            <w:vAlign w:val="center"/>
          </w:tcPr>
          <w:p w14:paraId="799674E6">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09" w:type="dxa"/>
            <w:shd w:val="clear" w:color="auto" w:fill="E7E6E6" w:themeFill="background2"/>
            <w:noWrap/>
            <w:vAlign w:val="center"/>
          </w:tcPr>
          <w:p w14:paraId="619C9B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96" w:type="dxa"/>
            <w:shd w:val="clear" w:color="auto" w:fill="auto"/>
            <w:noWrap/>
            <w:vAlign w:val="center"/>
          </w:tcPr>
          <w:p w14:paraId="7C221E94">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0175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5" w:type="dxa"/>
            <w:shd w:val="clear" w:color="auto" w:fill="E7E6E6" w:themeFill="background2"/>
            <w:noWrap/>
            <w:vAlign w:val="center"/>
          </w:tcPr>
          <w:p w14:paraId="7FE41C7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06" w:type="dxa"/>
            <w:gridSpan w:val="7"/>
            <w:shd w:val="clear" w:color="auto" w:fill="auto"/>
            <w:noWrap/>
            <w:vAlign w:val="center"/>
          </w:tcPr>
          <w:p w14:paraId="0FD3B774">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绵阳市游仙区松垭镇松江路8号</w:t>
            </w:r>
          </w:p>
        </w:tc>
      </w:tr>
      <w:tr w14:paraId="4BAD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7" w:hRule="atLeast"/>
          <w:jc w:val="center"/>
        </w:trPr>
        <w:tc>
          <w:tcPr>
            <w:tcW w:w="1345" w:type="dxa"/>
            <w:shd w:val="clear" w:color="auto" w:fill="E7E6E6" w:themeFill="background2"/>
            <w:noWrap/>
            <w:vAlign w:val="center"/>
          </w:tcPr>
          <w:p w14:paraId="40C7445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06" w:type="dxa"/>
            <w:gridSpan w:val="7"/>
            <w:shd w:val="clear" w:color="auto" w:fill="auto"/>
            <w:noWrap/>
            <w:vAlign w:val="center"/>
          </w:tcPr>
          <w:p w14:paraId="43B942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绵阳市农业科学研究院是绵阳市唯一从事农作物新品种选育和新技术研究与推广的政府直属事业单位。设有小麦、水稻、油菜、玉米、薯类、果蔬、中药材、作物栽培、土肥、植保、畜禽水产、食用菌、生物技术等13个研究方向，其中小麦抗病育种及杂种优势利用研究、香型优质杂交水稻研究、高芥酸油菜研究处于全国领先水平。常年承担国家重点专项、国家现代农业产业技术体系、育种攻关、科技成果转化等科研项目80余项，是国家小麦改良分中心、国家区域试验站，国家小麦、水稻、油菜原原种基地，国家农业科学观测实验站、全国新型职业农民培育示范基地、博士后科研工作站、厅市共建四川省重点实验室等重要建设单位。</w:t>
            </w:r>
          </w:p>
          <w:p w14:paraId="1B3A43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截止2022年底，累计育成农作物新品种260余个，集成技术150余项，先后获得国家技术发明一等奖、国家科技进步二等奖等国家、省、市级科研成果奖励226项。是全国农业科研单位综合科研能力“百强研究所”、全国农业先进单位和全国文明单位。“十五”、“十一五”期间，曾两度被评为全国农业科研单位综合科研能力“百强研究所”。</w:t>
            </w:r>
          </w:p>
        </w:tc>
      </w:tr>
      <w:tr w14:paraId="2F44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345" w:type="dxa"/>
            <w:shd w:val="clear" w:color="auto" w:fill="E7E6E6" w:themeFill="background2"/>
            <w:noWrap/>
            <w:vAlign w:val="center"/>
          </w:tcPr>
          <w:p w14:paraId="23D7435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06" w:type="dxa"/>
            <w:gridSpan w:val="7"/>
            <w:shd w:val="clear" w:color="auto" w:fill="auto"/>
            <w:noWrap/>
            <w:vAlign w:val="center"/>
          </w:tcPr>
          <w:p w14:paraId="471F2E1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eastAsiaTheme="minorEastAsia"/>
                <w:sz w:val="21"/>
                <w:szCs w:val="21"/>
              </w:rPr>
            </w:pPr>
            <w:r>
              <w:rPr>
                <w:rFonts w:eastAsiaTheme="minorEastAsia"/>
                <w:sz w:val="21"/>
                <w:szCs w:val="21"/>
              </w:rPr>
              <w:t>无</w:t>
            </w:r>
          </w:p>
        </w:tc>
      </w:tr>
      <w:tr w14:paraId="2AD3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494" w:type="dxa"/>
            <w:gridSpan w:val="2"/>
            <w:shd w:val="clear" w:color="auto" w:fill="E7E6E6" w:themeFill="background2"/>
            <w:noWrap/>
            <w:vAlign w:val="center"/>
          </w:tcPr>
          <w:p w14:paraId="6D4A156A">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noWrap/>
            <w:vAlign w:val="center"/>
          </w:tcPr>
          <w:p w14:paraId="381BCD2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05" w:type="dxa"/>
            <w:shd w:val="clear" w:color="auto" w:fill="E7E6E6" w:themeFill="background2"/>
            <w:noWrap/>
            <w:vAlign w:val="center"/>
          </w:tcPr>
          <w:p w14:paraId="292567F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5" w:type="dxa"/>
            <w:shd w:val="clear" w:color="auto" w:fill="E7E6E6" w:themeFill="background2"/>
            <w:noWrap/>
            <w:vAlign w:val="center"/>
          </w:tcPr>
          <w:p w14:paraId="162357C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05212A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noWrap/>
            <w:vAlign w:val="center"/>
          </w:tcPr>
          <w:p w14:paraId="2C0F187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953700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96" w:type="dxa"/>
            <w:shd w:val="clear" w:color="auto" w:fill="E7E6E6" w:themeFill="background2"/>
            <w:noWrap/>
            <w:vAlign w:val="center"/>
          </w:tcPr>
          <w:p w14:paraId="3B65CFE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ABF302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397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2494" w:type="dxa"/>
            <w:gridSpan w:val="2"/>
            <w:shd w:val="clear" w:color="000000" w:fill="FFFFFF"/>
            <w:noWrap/>
            <w:vAlign w:val="center"/>
          </w:tcPr>
          <w:p w14:paraId="3D17F4E7">
            <w:pPr>
              <w:widowControl/>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油菜功能基因发掘与利用研究</w:t>
            </w:r>
          </w:p>
        </w:tc>
        <w:tc>
          <w:tcPr>
            <w:tcW w:w="1092" w:type="dxa"/>
            <w:gridSpan w:val="2"/>
            <w:shd w:val="clear" w:color="000000" w:fill="FFFFFF"/>
            <w:noWrap/>
            <w:vAlign w:val="center"/>
          </w:tcPr>
          <w:p w14:paraId="48A1111C">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05" w:type="dxa"/>
            <w:shd w:val="clear" w:color="000000" w:fill="FFFFFF"/>
            <w:noWrap/>
            <w:vAlign w:val="center"/>
          </w:tcPr>
          <w:p w14:paraId="03931E7C">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kern w:val="0"/>
                <w:sz w:val="21"/>
                <w:szCs w:val="21"/>
                <w:lang w:val="en-US" w:eastAsia="zh-CN"/>
              </w:rPr>
              <w:t>BSH001</w:t>
            </w:r>
          </w:p>
        </w:tc>
        <w:tc>
          <w:tcPr>
            <w:tcW w:w="1755" w:type="dxa"/>
            <w:shd w:val="clear" w:color="000000" w:fill="FFFFFF"/>
            <w:noWrap/>
            <w:vAlign w:val="center"/>
          </w:tcPr>
          <w:p w14:paraId="1EF7468D">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作物学、植物保护</w:t>
            </w:r>
            <w:r>
              <w:rPr>
                <w:rFonts w:hint="default" w:ascii="Times New Roman" w:hAnsi="Times New Roman" w:cs="Times New Roman" w:eastAsiaTheme="minorEastAsia"/>
                <w:kern w:val="0"/>
                <w:sz w:val="21"/>
                <w:szCs w:val="21"/>
              </w:rPr>
              <w:t>　</w:t>
            </w:r>
          </w:p>
        </w:tc>
        <w:tc>
          <w:tcPr>
            <w:tcW w:w="1609" w:type="dxa"/>
            <w:shd w:val="clear" w:color="000000" w:fill="FFFFFF"/>
            <w:noWrap/>
            <w:vAlign w:val="center"/>
          </w:tcPr>
          <w:p w14:paraId="534C1C38">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w:t>
            </w:r>
          </w:p>
        </w:tc>
        <w:tc>
          <w:tcPr>
            <w:tcW w:w="1696" w:type="dxa"/>
            <w:vMerge w:val="restart"/>
            <w:shd w:val="clear" w:color="auto" w:fill="auto"/>
            <w:noWrap/>
            <w:vAlign w:val="center"/>
          </w:tcPr>
          <w:p w14:paraId="572BD64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 w:eastAsia="zh-CN"/>
              </w:rPr>
              <w:t>38</w:t>
            </w:r>
            <w:r>
              <w:rPr>
                <w:rFonts w:hint="default" w:ascii="Times New Roman" w:hAnsi="Times New Roman" w:cs="Times New Roman" w:eastAsiaTheme="minorEastAsia"/>
                <w:kern w:val="0"/>
                <w:sz w:val="21"/>
                <w:szCs w:val="21"/>
                <w:lang w:val="en-US" w:eastAsia="zh-CN"/>
              </w:rPr>
              <w:t>周岁以下，具备博士研究生学历、博士学位，品学兼优、身体健康、具备一定的学术水平、业务能力。</w:t>
            </w:r>
          </w:p>
        </w:tc>
      </w:tr>
      <w:tr w14:paraId="0993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2494" w:type="dxa"/>
            <w:gridSpan w:val="2"/>
            <w:shd w:val="clear" w:color="000000" w:fill="FFFFFF"/>
            <w:noWrap/>
            <w:vAlign w:val="center"/>
          </w:tcPr>
          <w:p w14:paraId="14481EF7">
            <w:pPr>
              <w:widowControl/>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药用植物资源遗传及品质综合评价</w:t>
            </w:r>
          </w:p>
        </w:tc>
        <w:tc>
          <w:tcPr>
            <w:tcW w:w="1092" w:type="dxa"/>
            <w:gridSpan w:val="2"/>
            <w:shd w:val="clear" w:color="000000" w:fill="FFFFFF"/>
            <w:noWrap/>
            <w:vAlign w:val="center"/>
          </w:tcPr>
          <w:p w14:paraId="56B3D5D8">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05" w:type="dxa"/>
            <w:shd w:val="clear" w:color="000000" w:fill="FFFFFF"/>
            <w:noWrap/>
            <w:vAlign w:val="center"/>
          </w:tcPr>
          <w:p w14:paraId="499656D8">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BSH002</w:t>
            </w:r>
            <w:r>
              <w:rPr>
                <w:rFonts w:hint="default" w:ascii="Times New Roman" w:hAnsi="Times New Roman" w:cs="Times New Roman" w:eastAsiaTheme="minorEastAsia"/>
                <w:kern w:val="0"/>
                <w:sz w:val="21"/>
                <w:szCs w:val="21"/>
              </w:rPr>
              <w:t>　</w:t>
            </w:r>
          </w:p>
        </w:tc>
        <w:tc>
          <w:tcPr>
            <w:tcW w:w="1755" w:type="dxa"/>
            <w:shd w:val="clear" w:color="000000" w:fill="FFFFFF"/>
            <w:noWrap/>
            <w:vAlign w:val="center"/>
          </w:tcPr>
          <w:p w14:paraId="2B28B269">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生物学、中药学</w:t>
            </w:r>
            <w:r>
              <w:rPr>
                <w:rFonts w:hint="default" w:ascii="Times New Roman" w:hAnsi="Times New Roman" w:cs="Times New Roman" w:eastAsiaTheme="minorEastAsia"/>
                <w:kern w:val="0"/>
                <w:sz w:val="21"/>
                <w:szCs w:val="21"/>
              </w:rPr>
              <w:t>　</w:t>
            </w:r>
          </w:p>
        </w:tc>
        <w:tc>
          <w:tcPr>
            <w:tcW w:w="1609" w:type="dxa"/>
            <w:shd w:val="clear" w:color="000000" w:fill="FFFFFF"/>
            <w:noWrap/>
            <w:vAlign w:val="center"/>
          </w:tcPr>
          <w:p w14:paraId="3BD78A14">
            <w:pPr>
              <w:widowControl/>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w:t>
            </w:r>
          </w:p>
        </w:tc>
        <w:tc>
          <w:tcPr>
            <w:tcW w:w="1696" w:type="dxa"/>
            <w:vMerge w:val="continue"/>
            <w:shd w:val="clear" w:color="auto" w:fill="auto"/>
            <w:noWrap/>
            <w:vAlign w:val="center"/>
          </w:tcPr>
          <w:p w14:paraId="1703E72F">
            <w:pPr>
              <w:adjustRightInd w:val="0"/>
              <w:snapToGrid w:val="0"/>
              <w:spacing w:line="240" w:lineRule="auto"/>
              <w:ind w:firstLine="0"/>
              <w:jc w:val="center"/>
              <w:rPr>
                <w:rFonts w:hint="default" w:ascii="Times New Roman" w:hAnsi="Times New Roman" w:cs="Times New Roman" w:eastAsiaTheme="minorEastAsia"/>
                <w:sz w:val="21"/>
                <w:szCs w:val="21"/>
              </w:rPr>
            </w:pPr>
          </w:p>
        </w:tc>
      </w:tr>
    </w:tbl>
    <w:p w14:paraId="2819C197">
      <w:pPr>
        <w:pStyle w:val="5"/>
        <w:adjustRightInd w:val="0"/>
        <w:snapToGrid w:val="0"/>
        <w:spacing w:line="240" w:lineRule="auto"/>
        <w:ind w:firstLine="0"/>
        <w:rPr>
          <w:sz w:val="44"/>
          <w:szCs w:val="44"/>
        </w:rPr>
      </w:pPr>
      <w:r>
        <w:rPr>
          <w:sz w:val="21"/>
          <w:szCs w:val="21"/>
        </w:rPr>
        <w:br w:type="page"/>
      </w:r>
    </w:p>
    <w:p w14:paraId="57C75A4F">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eastAsia="方正小标宋简体"/>
          <w:sz w:val="44"/>
          <w:szCs w:val="44"/>
        </w:rPr>
      </w:pPr>
    </w:p>
    <w:p w14:paraId="048FDA3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297" w:name="_Toc22555"/>
      <w:bookmarkStart w:id="298" w:name="_Toc19641"/>
      <w:bookmarkStart w:id="299" w:name="_Toc27621"/>
      <w:bookmarkStart w:id="300" w:name="_Toc13038"/>
      <w:bookmarkStart w:id="301" w:name="_Toc26175"/>
      <w:r>
        <w:rPr>
          <w:rFonts w:eastAsia="方正小标宋简体"/>
          <w:sz w:val="44"/>
          <w:szCs w:val="44"/>
          <w:highlight w:val="none"/>
        </w:rPr>
        <w:t>绵阳市中心医院</w:t>
      </w:r>
      <w:bookmarkEnd w:id="297"/>
      <w:bookmarkEnd w:id="298"/>
      <w:bookmarkEnd w:id="299"/>
      <w:bookmarkEnd w:id="300"/>
      <w:bookmarkEnd w:id="301"/>
    </w:p>
    <w:p w14:paraId="06121E7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054"/>
        <w:gridCol w:w="705"/>
        <w:gridCol w:w="1173"/>
        <w:gridCol w:w="400"/>
        <w:gridCol w:w="1239"/>
        <w:gridCol w:w="418"/>
        <w:gridCol w:w="1058"/>
        <w:gridCol w:w="536"/>
        <w:gridCol w:w="1680"/>
      </w:tblGrid>
      <w:tr w14:paraId="1FA5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65B02C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14:paraId="6C99E3B8">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509" w:type="dxa"/>
            <w:gridSpan w:val="2"/>
            <w:shd w:val="clear" w:color="auto" w:fill="E7E6E6" w:themeFill="background2"/>
            <w:noWrap/>
            <w:vAlign w:val="center"/>
          </w:tcPr>
          <w:p w14:paraId="46F5BA8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8F5156B">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11369D2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14:paraId="59165B13">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0A07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3D717CE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24" w:type="dxa"/>
            <w:gridSpan w:val="9"/>
            <w:shd w:val="clear" w:color="000000" w:fill="FFFFFF"/>
            <w:noWrap/>
            <w:vAlign w:val="center"/>
          </w:tcPr>
          <w:p w14:paraId="25FA3D2E">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四川省绵阳市涪城区常家巷12号</w:t>
            </w:r>
          </w:p>
        </w:tc>
      </w:tr>
      <w:tr w14:paraId="5AC1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5" w:hRule="atLeast"/>
          <w:jc w:val="center"/>
        </w:trPr>
        <w:tc>
          <w:tcPr>
            <w:tcW w:w="1427" w:type="dxa"/>
            <w:shd w:val="clear" w:color="auto" w:fill="E7E6E6" w:themeFill="background2"/>
            <w:noWrap/>
            <w:vAlign w:val="center"/>
          </w:tcPr>
          <w:p w14:paraId="50047FB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24" w:type="dxa"/>
            <w:gridSpan w:val="9"/>
            <w:shd w:val="clear" w:color="000000" w:fill="FFFFFF"/>
            <w:vAlign w:val="center"/>
          </w:tcPr>
          <w:p w14:paraId="37376AA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绵阳市中心医院坐落于中国科技城，李白出生地——绵阳，始建于1939年，是四川省地市州首批三级甲等综合医院，川西北区域医疗中心、电子科技大学医学院附属绵阳医院。获批组建全国地市级首个国家卫生健康委重点实验室——核技术医学转化重点实验室，是四川省放射与治疗临床医学研究中心、麻醉与神经调控重点实验室依托单位，绵阳市呼吸病学临床医学研究中心，涪江实验室副理事长单位，有硕博士700余人，获各级各类人才称号百余人。有47个临床专业，其中省级重点学（专）科22个，消化内科立项国家临床重点专科，省临床重点专科5个。在2022年全国三级公立医院绩效考核中，位列A+行列、全国第116位，四川省第4位；在2022年四川省三级公立医院绩效考核中位列四川省第3位。</w:t>
            </w:r>
          </w:p>
        </w:tc>
      </w:tr>
      <w:tr w14:paraId="1ADD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1427" w:type="dxa"/>
            <w:shd w:val="clear" w:color="auto" w:fill="E7E6E6" w:themeFill="background2"/>
            <w:noWrap/>
            <w:vAlign w:val="center"/>
          </w:tcPr>
          <w:p w14:paraId="5A67F0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24" w:type="dxa"/>
            <w:gridSpan w:val="9"/>
            <w:shd w:val="clear" w:color="000000" w:fill="FFFFFF"/>
            <w:vAlign w:val="center"/>
          </w:tcPr>
          <w:p w14:paraId="79A6CF5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1.博士后采取协议年薪制，在站期间年薪25万元起；</w:t>
            </w:r>
          </w:p>
          <w:p w14:paraId="67A006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2.博士后在站期间取得的科技成果可享受科研激励金；</w:t>
            </w:r>
          </w:p>
          <w:p w14:paraId="4B3B24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3.在职博士后脱产期可按月发放生活补助；</w:t>
            </w:r>
          </w:p>
          <w:p w14:paraId="09C24D1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4.博士后出站后来我院工作，可享受人才补助20-40万元和科研启动金5-60万元。</w:t>
            </w:r>
          </w:p>
        </w:tc>
      </w:tr>
      <w:tr w14:paraId="3E14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38" w:type="dxa"/>
            <w:gridSpan w:val="2"/>
            <w:shd w:val="clear" w:color="auto" w:fill="E7E6E6" w:themeFill="background2"/>
            <w:noWrap/>
            <w:vAlign w:val="center"/>
          </w:tcPr>
          <w:p w14:paraId="67D76EA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6" w:type="dxa"/>
            <w:shd w:val="clear" w:color="auto" w:fill="E7E6E6" w:themeFill="background2"/>
            <w:vAlign w:val="center"/>
          </w:tcPr>
          <w:p w14:paraId="615BB544">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14:paraId="750D80C6">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125" w:type="dxa"/>
            <w:shd w:val="clear" w:color="auto" w:fill="E7E6E6" w:themeFill="background2"/>
            <w:vAlign w:val="center"/>
          </w:tcPr>
          <w:p w14:paraId="2163F28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72" w:type="dxa"/>
            <w:gridSpan w:val="2"/>
            <w:shd w:val="clear" w:color="auto" w:fill="E7E6E6" w:themeFill="background2"/>
            <w:vAlign w:val="center"/>
          </w:tcPr>
          <w:p w14:paraId="72B46B3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4396A9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6" w:type="dxa"/>
            <w:gridSpan w:val="2"/>
            <w:shd w:val="clear" w:color="auto" w:fill="E7E6E6" w:themeFill="background2"/>
            <w:vAlign w:val="center"/>
          </w:tcPr>
          <w:p w14:paraId="7A0965C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532462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24" w:type="dxa"/>
            <w:gridSpan w:val="2"/>
            <w:shd w:val="clear" w:color="auto" w:fill="E7E6E6" w:themeFill="background2"/>
            <w:vAlign w:val="center"/>
          </w:tcPr>
          <w:p w14:paraId="363E10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2C3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438" w:type="dxa"/>
            <w:gridSpan w:val="2"/>
            <w:shd w:val="clear" w:color="000000" w:fill="FFFFFF"/>
            <w:noWrap/>
            <w:vAlign w:val="center"/>
          </w:tcPr>
          <w:p w14:paraId="2F7EEB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恶性脑肿瘤免疫微环境与免疫治疗</w:t>
            </w:r>
          </w:p>
        </w:tc>
        <w:tc>
          <w:tcPr>
            <w:tcW w:w="676" w:type="dxa"/>
            <w:shd w:val="clear" w:color="000000" w:fill="FFFFFF"/>
            <w:vAlign w:val="center"/>
          </w:tcPr>
          <w:p w14:paraId="5A0CF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5" w:type="dxa"/>
            <w:shd w:val="clear" w:color="000000" w:fill="FFFFFF"/>
            <w:vAlign w:val="center"/>
          </w:tcPr>
          <w:p w14:paraId="08D4BB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72" w:type="dxa"/>
            <w:gridSpan w:val="2"/>
            <w:shd w:val="clear" w:color="000000" w:fill="FFFFFF"/>
            <w:vAlign w:val="center"/>
          </w:tcPr>
          <w:p w14:paraId="144819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临床医学、生物学、生物医学工程</w:t>
            </w:r>
          </w:p>
        </w:tc>
        <w:tc>
          <w:tcPr>
            <w:tcW w:w="1416" w:type="dxa"/>
            <w:gridSpan w:val="2"/>
            <w:shd w:val="clear" w:color="000000" w:fill="FFFFFF"/>
            <w:vAlign w:val="center"/>
          </w:tcPr>
          <w:p w14:paraId="1FD77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restart"/>
            <w:shd w:val="clear" w:color="000000" w:fill="FFFFFF"/>
            <w:vAlign w:val="bottom"/>
          </w:tcPr>
          <w:p w14:paraId="1410D23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1.35岁以下，获得博士学位。</w:t>
            </w:r>
          </w:p>
          <w:p w14:paraId="2ECC4FB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2.思想端正，有良好的学术规范，具备较强的研究能力、敬业精神、团队精神。</w:t>
            </w:r>
          </w:p>
          <w:p w14:paraId="4385F5A3">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3.热爱并有志从事临床、基础及转化医学科研工作，具有较强的独立开展科研工作的能力。博士期间以第一作者发表SCI论文≥2篇。</w:t>
            </w:r>
          </w:p>
          <w:p w14:paraId="6A643C10">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4.具备较强的英文交流及中英文写作能力。</w:t>
            </w:r>
          </w:p>
        </w:tc>
      </w:tr>
      <w:tr w14:paraId="57F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438" w:type="dxa"/>
            <w:gridSpan w:val="2"/>
            <w:shd w:val="clear" w:color="000000" w:fill="FFFFFF"/>
            <w:noWrap/>
            <w:vAlign w:val="center"/>
          </w:tcPr>
          <w:p w14:paraId="59FE8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恶性脑肿瘤新型核药及放疗技术研发</w:t>
            </w:r>
          </w:p>
        </w:tc>
        <w:tc>
          <w:tcPr>
            <w:tcW w:w="676" w:type="dxa"/>
            <w:shd w:val="clear" w:color="000000" w:fill="FFFFFF"/>
            <w:vAlign w:val="center"/>
          </w:tcPr>
          <w:p w14:paraId="3E253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5" w:type="dxa"/>
            <w:shd w:val="clear" w:color="000000" w:fill="FFFFFF"/>
            <w:vAlign w:val="center"/>
          </w:tcPr>
          <w:p w14:paraId="047E5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72" w:type="dxa"/>
            <w:gridSpan w:val="2"/>
            <w:shd w:val="clear" w:color="000000" w:fill="FFFFFF"/>
            <w:vAlign w:val="center"/>
          </w:tcPr>
          <w:p w14:paraId="4F2AE1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临床医学、生物学、生物医学工程</w:t>
            </w:r>
          </w:p>
        </w:tc>
        <w:tc>
          <w:tcPr>
            <w:tcW w:w="1416" w:type="dxa"/>
            <w:gridSpan w:val="2"/>
            <w:shd w:val="clear" w:color="000000" w:fill="FFFFFF"/>
            <w:vAlign w:val="center"/>
          </w:tcPr>
          <w:p w14:paraId="4EFF3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79259A1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r w14:paraId="1D35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438" w:type="dxa"/>
            <w:gridSpan w:val="2"/>
            <w:shd w:val="clear" w:color="000000" w:fill="FFFFFF"/>
            <w:noWrap/>
            <w:vAlign w:val="center"/>
          </w:tcPr>
          <w:p w14:paraId="7078E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认知功能障碍为主的退行性疾病机制与干预研究</w:t>
            </w:r>
          </w:p>
        </w:tc>
        <w:tc>
          <w:tcPr>
            <w:tcW w:w="676" w:type="dxa"/>
            <w:shd w:val="clear" w:color="000000" w:fill="FFFFFF"/>
            <w:vAlign w:val="center"/>
          </w:tcPr>
          <w:p w14:paraId="110A70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5" w:type="dxa"/>
            <w:shd w:val="clear" w:color="000000" w:fill="FFFFFF"/>
            <w:vAlign w:val="center"/>
          </w:tcPr>
          <w:p w14:paraId="44E2B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72" w:type="dxa"/>
            <w:gridSpan w:val="2"/>
            <w:shd w:val="clear" w:color="000000" w:fill="FFFFFF"/>
            <w:vAlign w:val="center"/>
          </w:tcPr>
          <w:p w14:paraId="49A811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临床医学、生物学、生物医学工程</w:t>
            </w:r>
          </w:p>
        </w:tc>
        <w:tc>
          <w:tcPr>
            <w:tcW w:w="1416" w:type="dxa"/>
            <w:gridSpan w:val="2"/>
            <w:shd w:val="clear" w:color="000000" w:fill="FFFFFF"/>
            <w:vAlign w:val="center"/>
          </w:tcPr>
          <w:p w14:paraId="49015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1A314FE8">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r w14:paraId="64DC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438" w:type="dxa"/>
            <w:gridSpan w:val="2"/>
            <w:shd w:val="clear" w:color="000000" w:fill="E7E6E6" w:themeFill="background2"/>
            <w:noWrap/>
            <w:vAlign w:val="center"/>
          </w:tcPr>
          <w:p w14:paraId="790F26D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项目名称</w:t>
            </w:r>
          </w:p>
        </w:tc>
        <w:tc>
          <w:tcPr>
            <w:tcW w:w="676" w:type="dxa"/>
            <w:shd w:val="clear" w:color="000000" w:fill="E7E6E6" w:themeFill="background2"/>
            <w:vAlign w:val="center"/>
          </w:tcPr>
          <w:p w14:paraId="5D0EF03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14:paraId="56F5048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人数</w:t>
            </w:r>
          </w:p>
        </w:tc>
        <w:tc>
          <w:tcPr>
            <w:tcW w:w="1125" w:type="dxa"/>
            <w:shd w:val="clear" w:color="000000" w:fill="E7E6E6" w:themeFill="background2"/>
            <w:vAlign w:val="center"/>
          </w:tcPr>
          <w:p w14:paraId="44C9395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eastAsiaTheme="minorEastAsia"/>
                <w:b/>
                <w:bCs/>
                <w:sz w:val="21"/>
                <w:szCs w:val="21"/>
              </w:rPr>
              <w:t>岗位编号</w:t>
            </w:r>
          </w:p>
        </w:tc>
        <w:tc>
          <w:tcPr>
            <w:tcW w:w="1572" w:type="dxa"/>
            <w:gridSpan w:val="2"/>
            <w:shd w:val="clear" w:color="000000" w:fill="E7E6E6" w:themeFill="background2"/>
            <w:vAlign w:val="center"/>
          </w:tcPr>
          <w:p w14:paraId="6D4B11E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27ECFC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6" w:type="dxa"/>
            <w:gridSpan w:val="2"/>
            <w:shd w:val="clear" w:color="000000" w:fill="E7E6E6" w:themeFill="background2"/>
            <w:vAlign w:val="center"/>
          </w:tcPr>
          <w:p w14:paraId="71A60AC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1BFFB8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24" w:type="dxa"/>
            <w:gridSpan w:val="2"/>
            <w:shd w:val="clear" w:color="000000" w:fill="E7E6E6" w:themeFill="background2"/>
            <w:vAlign w:val="center"/>
          </w:tcPr>
          <w:p w14:paraId="4E48874B">
            <w:pPr>
              <w:adjustRightInd w:val="0"/>
              <w:snapToGrid w:val="0"/>
              <w:spacing w:line="240" w:lineRule="auto"/>
              <w:ind w:firstLine="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博士生源单位等要求</w:t>
            </w:r>
          </w:p>
        </w:tc>
      </w:tr>
      <w:tr w14:paraId="0C7D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38" w:type="dxa"/>
            <w:gridSpan w:val="2"/>
            <w:shd w:val="clear" w:color="000000" w:fill="FFFFFF"/>
            <w:noWrap/>
            <w:vAlign w:val="center"/>
          </w:tcPr>
          <w:p w14:paraId="4E0AA1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FLASH放疗的机制研究</w:t>
            </w:r>
          </w:p>
        </w:tc>
        <w:tc>
          <w:tcPr>
            <w:tcW w:w="676" w:type="dxa"/>
            <w:shd w:val="clear" w:color="000000" w:fill="FFFFFF"/>
            <w:vAlign w:val="center"/>
          </w:tcPr>
          <w:p w14:paraId="6CC884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25" w:type="dxa"/>
            <w:shd w:val="clear" w:color="000000" w:fill="FFFFFF"/>
            <w:vAlign w:val="center"/>
          </w:tcPr>
          <w:p w14:paraId="285EB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572" w:type="dxa"/>
            <w:gridSpan w:val="2"/>
            <w:shd w:val="clear" w:color="000000" w:fill="FFFFFF"/>
            <w:vAlign w:val="center"/>
          </w:tcPr>
          <w:p w14:paraId="59CB46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临床医学、基础医学、生物学</w:t>
            </w:r>
          </w:p>
        </w:tc>
        <w:tc>
          <w:tcPr>
            <w:tcW w:w="1416" w:type="dxa"/>
            <w:gridSpan w:val="2"/>
            <w:shd w:val="clear" w:color="000000" w:fill="FFFFFF"/>
            <w:vAlign w:val="center"/>
          </w:tcPr>
          <w:p w14:paraId="3F8CE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restart"/>
            <w:shd w:val="clear" w:color="000000" w:fill="FFFFFF"/>
            <w:vAlign w:val="center"/>
          </w:tcPr>
          <w:p w14:paraId="0E4B781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76EF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38" w:type="dxa"/>
            <w:gridSpan w:val="2"/>
            <w:shd w:val="clear" w:color="000000" w:fill="FFFFFF"/>
            <w:noWrap/>
            <w:vAlign w:val="center"/>
          </w:tcPr>
          <w:p w14:paraId="06F22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核素靶向药物基础研究</w:t>
            </w:r>
          </w:p>
        </w:tc>
        <w:tc>
          <w:tcPr>
            <w:tcW w:w="676" w:type="dxa"/>
            <w:shd w:val="clear" w:color="000000" w:fill="FFFFFF"/>
            <w:vAlign w:val="center"/>
          </w:tcPr>
          <w:p w14:paraId="62B4F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25" w:type="dxa"/>
            <w:shd w:val="clear" w:color="000000" w:fill="FFFFFF"/>
            <w:vAlign w:val="center"/>
          </w:tcPr>
          <w:p w14:paraId="3AFA8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572" w:type="dxa"/>
            <w:gridSpan w:val="2"/>
            <w:shd w:val="clear" w:color="000000" w:fill="FFFFFF"/>
            <w:vAlign w:val="center"/>
          </w:tcPr>
          <w:p w14:paraId="022B1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临床医学、基础医学、生物学</w:t>
            </w:r>
          </w:p>
        </w:tc>
        <w:tc>
          <w:tcPr>
            <w:tcW w:w="1416" w:type="dxa"/>
            <w:gridSpan w:val="2"/>
            <w:shd w:val="clear" w:color="000000" w:fill="FFFFFF"/>
            <w:vAlign w:val="center"/>
          </w:tcPr>
          <w:p w14:paraId="456D4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5D7337D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r w14:paraId="5D70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38" w:type="dxa"/>
            <w:gridSpan w:val="2"/>
            <w:shd w:val="clear" w:color="000000" w:fill="FFFFFF"/>
            <w:noWrap/>
            <w:vAlign w:val="center"/>
          </w:tcPr>
          <w:p w14:paraId="6995B5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基于</w:t>
            </w:r>
            <w:r>
              <w:rPr>
                <w:rFonts w:hint="default" w:ascii="Times New Roman" w:hAnsi="Times New Roman" w:cs="Times New Roman" w:eastAsiaTheme="minorEastAsia"/>
                <w:sz w:val="21"/>
                <w:szCs w:val="21"/>
                <w:vertAlign w:val="superscript"/>
                <w:lang w:eastAsia="zh-CN"/>
              </w:rPr>
              <w:t>89</w:t>
            </w:r>
            <w:r>
              <w:rPr>
                <w:rFonts w:hint="default" w:ascii="Times New Roman" w:hAnsi="Times New Roman" w:cs="Times New Roman" w:eastAsiaTheme="minorEastAsia"/>
                <w:sz w:val="21"/>
                <w:szCs w:val="21"/>
                <w:lang w:eastAsia="zh-CN"/>
              </w:rPr>
              <w:t>Zr-Trop-2的早期肺癌鉴别诊断体系的建立</w:t>
            </w:r>
          </w:p>
        </w:tc>
        <w:tc>
          <w:tcPr>
            <w:tcW w:w="676" w:type="dxa"/>
            <w:shd w:val="clear" w:color="000000" w:fill="FFFFFF"/>
            <w:vAlign w:val="center"/>
          </w:tcPr>
          <w:p w14:paraId="321ECF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25" w:type="dxa"/>
            <w:shd w:val="clear" w:color="000000" w:fill="FFFFFF"/>
            <w:vAlign w:val="center"/>
          </w:tcPr>
          <w:p w14:paraId="0DE6C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572" w:type="dxa"/>
            <w:gridSpan w:val="2"/>
            <w:shd w:val="clear" w:color="000000" w:fill="FFFFFF"/>
            <w:vAlign w:val="center"/>
          </w:tcPr>
          <w:p w14:paraId="664C0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药学</w:t>
            </w:r>
          </w:p>
        </w:tc>
        <w:tc>
          <w:tcPr>
            <w:tcW w:w="1416" w:type="dxa"/>
            <w:gridSpan w:val="2"/>
            <w:shd w:val="clear" w:color="000000" w:fill="FFFFFF"/>
            <w:vAlign w:val="center"/>
          </w:tcPr>
          <w:p w14:paraId="12ADB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65CBDF6D">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r w14:paraId="233A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38" w:type="dxa"/>
            <w:gridSpan w:val="2"/>
            <w:shd w:val="clear" w:color="000000" w:fill="FFFFFF"/>
            <w:noWrap/>
            <w:vAlign w:val="center"/>
          </w:tcPr>
          <w:p w14:paraId="692D8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superscript"/>
              </w:rPr>
              <w:t>64</w:t>
            </w:r>
            <w:r>
              <w:rPr>
                <w:rFonts w:hint="default" w:ascii="Times New Roman" w:hAnsi="Times New Roman" w:cs="Times New Roman" w:eastAsiaTheme="minorEastAsia"/>
                <w:sz w:val="21"/>
                <w:szCs w:val="21"/>
              </w:rPr>
              <w:t>Cu标记EPHRINB2配体在食管鳞癌模型中的显像研究</w:t>
            </w:r>
          </w:p>
        </w:tc>
        <w:tc>
          <w:tcPr>
            <w:tcW w:w="676" w:type="dxa"/>
            <w:shd w:val="clear" w:color="000000" w:fill="FFFFFF"/>
            <w:vAlign w:val="center"/>
          </w:tcPr>
          <w:p w14:paraId="7D58F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25" w:type="dxa"/>
            <w:shd w:val="clear" w:color="000000" w:fill="FFFFFF"/>
            <w:vAlign w:val="center"/>
          </w:tcPr>
          <w:p w14:paraId="2ECC5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572" w:type="dxa"/>
            <w:gridSpan w:val="2"/>
            <w:shd w:val="clear" w:color="000000" w:fill="FFFFFF"/>
            <w:vAlign w:val="center"/>
          </w:tcPr>
          <w:p w14:paraId="33869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临床医学</w:t>
            </w:r>
          </w:p>
        </w:tc>
        <w:tc>
          <w:tcPr>
            <w:tcW w:w="1416" w:type="dxa"/>
            <w:gridSpan w:val="2"/>
            <w:shd w:val="clear" w:color="000000" w:fill="FFFFFF"/>
            <w:vAlign w:val="center"/>
          </w:tcPr>
          <w:p w14:paraId="2374A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78D58E0D">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r w14:paraId="68EF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38" w:type="dxa"/>
            <w:gridSpan w:val="2"/>
            <w:shd w:val="clear" w:color="000000" w:fill="FFFFFF"/>
            <w:noWrap/>
            <w:vAlign w:val="center"/>
          </w:tcPr>
          <w:p w14:paraId="250355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肠道菌群在阿尔兹海默症发病中的作用以及粪菌移植治疗效果的研究</w:t>
            </w:r>
          </w:p>
        </w:tc>
        <w:tc>
          <w:tcPr>
            <w:tcW w:w="676" w:type="dxa"/>
            <w:shd w:val="clear" w:color="000000" w:fill="FFFFFF"/>
            <w:vAlign w:val="center"/>
          </w:tcPr>
          <w:p w14:paraId="4A1F3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25" w:type="dxa"/>
            <w:shd w:val="clear" w:color="000000" w:fill="FFFFFF"/>
            <w:vAlign w:val="center"/>
          </w:tcPr>
          <w:p w14:paraId="438AE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572" w:type="dxa"/>
            <w:gridSpan w:val="2"/>
            <w:shd w:val="clear" w:color="000000" w:fill="FFFFFF"/>
            <w:vAlign w:val="center"/>
          </w:tcPr>
          <w:p w14:paraId="058B1B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临床医学</w:t>
            </w:r>
          </w:p>
        </w:tc>
        <w:tc>
          <w:tcPr>
            <w:tcW w:w="1416" w:type="dxa"/>
            <w:gridSpan w:val="2"/>
            <w:shd w:val="clear" w:color="000000" w:fill="FFFFFF"/>
            <w:vAlign w:val="center"/>
          </w:tcPr>
          <w:p w14:paraId="78947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25-35</w:t>
            </w:r>
          </w:p>
        </w:tc>
        <w:tc>
          <w:tcPr>
            <w:tcW w:w="2124" w:type="dxa"/>
            <w:gridSpan w:val="2"/>
            <w:vMerge w:val="continue"/>
            <w:shd w:val="clear" w:color="000000" w:fill="FFFFFF"/>
            <w:vAlign w:val="center"/>
          </w:tcPr>
          <w:p w14:paraId="24703ED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r>
    </w:tbl>
    <w:p w14:paraId="40BB01C1">
      <w:pPr>
        <w:adjustRightInd w:val="0"/>
        <w:snapToGrid w:val="0"/>
        <w:spacing w:line="240" w:lineRule="auto"/>
        <w:ind w:firstLine="0"/>
        <w:jc w:val="left"/>
        <w:rPr>
          <w:rFonts w:eastAsia="方正小标宋简体"/>
          <w:sz w:val="44"/>
          <w:szCs w:val="44"/>
        </w:rPr>
      </w:pPr>
      <w:r>
        <w:rPr>
          <w:rFonts w:eastAsia="方正小标宋简体"/>
          <w:sz w:val="21"/>
          <w:szCs w:val="21"/>
        </w:rPr>
        <w:br w:type="page"/>
      </w:r>
    </w:p>
    <w:p w14:paraId="3E3FB25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F845786">
      <w:pPr>
        <w:pStyle w:val="5"/>
        <w:adjustRightInd w:val="0"/>
        <w:snapToGrid w:val="0"/>
        <w:spacing w:line="240" w:lineRule="auto"/>
        <w:ind w:firstLine="0"/>
        <w:jc w:val="center"/>
        <w:outlineLvl w:val="0"/>
        <w:rPr>
          <w:rFonts w:eastAsia="方正小标宋简体"/>
          <w:sz w:val="44"/>
          <w:szCs w:val="44"/>
        </w:rPr>
      </w:pPr>
      <w:bookmarkStart w:id="302" w:name="_Toc15011"/>
      <w:bookmarkStart w:id="303" w:name="_Toc29800"/>
      <w:bookmarkStart w:id="304" w:name="_Toc8675"/>
      <w:bookmarkStart w:id="305" w:name="_Toc3274"/>
      <w:bookmarkStart w:id="306" w:name="_Toc5699"/>
      <w:r>
        <w:rPr>
          <w:rFonts w:hint="eastAsia" w:eastAsia="方正小标宋简体"/>
          <w:sz w:val="44"/>
          <w:szCs w:val="44"/>
          <w:highlight w:val="none"/>
        </w:rPr>
        <w:t>攀钢集团有限公司</w:t>
      </w:r>
      <w:bookmarkEnd w:id="302"/>
      <w:bookmarkEnd w:id="303"/>
      <w:bookmarkEnd w:id="304"/>
      <w:bookmarkEnd w:id="305"/>
      <w:bookmarkEnd w:id="306"/>
    </w:p>
    <w:p w14:paraId="1246766A">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466"/>
        <w:gridCol w:w="1079"/>
        <w:gridCol w:w="473"/>
        <w:gridCol w:w="1524"/>
      </w:tblGrid>
      <w:tr w14:paraId="678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1CDF592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379635BF">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40" w:type="dxa"/>
            <w:gridSpan w:val="2"/>
            <w:shd w:val="clear" w:color="auto" w:fill="E7E6E6" w:themeFill="background2"/>
            <w:noWrap/>
            <w:vAlign w:val="center"/>
          </w:tcPr>
          <w:p w14:paraId="62C97E1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628A7D97">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48CA6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1EC99C2A">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攀枝花</w:t>
            </w:r>
          </w:p>
        </w:tc>
      </w:tr>
      <w:tr w14:paraId="7E9E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289FF01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304109A0">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四川省攀枝花市东区桃源街90号</w:t>
            </w:r>
          </w:p>
        </w:tc>
      </w:tr>
      <w:tr w14:paraId="6CC4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jc w:val="center"/>
        </w:trPr>
        <w:tc>
          <w:tcPr>
            <w:tcW w:w="1344" w:type="dxa"/>
            <w:shd w:val="clear" w:color="auto" w:fill="E7E6E6" w:themeFill="background2"/>
            <w:noWrap/>
            <w:vAlign w:val="center"/>
          </w:tcPr>
          <w:p w14:paraId="7D656E6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620005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攀钢集团研究院有限公司是中国最具影响力的以钒钛为主的国家级综合性研究开发机构，国家级技术中心，中央企业核心研究院。拥有钒钛资源综合利用国家重点实验室、国家博士后科研工作站、国家CNAS、CMA认证的检测分析中心、四川省（院士）专家工作站等研发平台。获得国家、省（部、行业协会级）科技进步奖352项，其中国家级成果25项、省部级成果327项。拥有有效专利1280项，其中发明专利1264项、国际专利77项。近5年共发表核心期刊论文348篇、SCI/EI收录论文55篇。</w:t>
            </w:r>
          </w:p>
        </w:tc>
      </w:tr>
      <w:tr w14:paraId="1EBB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1344" w:type="dxa"/>
            <w:shd w:val="clear" w:color="auto" w:fill="E7E6E6" w:themeFill="background2"/>
            <w:noWrap/>
            <w:vAlign w:val="center"/>
          </w:tcPr>
          <w:p w14:paraId="20ACF5D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40C7CA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工作站经费单独设立，专款专用，分科研项目经费和日常经费两部分。工作站积极争取上级主管部门和国家支持，按上级有关资助办法申请相关基金。如获批准，其经费全部用于研究项目。博士后研究成果为职务研究成果，博士后按国家有关规定享受应有的权益。研究成果实施转化取得效益，可按公司有关规定进行奖励。</w:t>
            </w:r>
          </w:p>
        </w:tc>
      </w:tr>
      <w:tr w14:paraId="61CE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3E58446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248DFD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3B899A2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auto" w:fill="E7E6E6" w:themeFill="background2"/>
            <w:vAlign w:val="center"/>
          </w:tcPr>
          <w:p w14:paraId="46ACBBB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A2127ED">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5F31AD6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CD3EC33">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auto" w:fill="E7E6E6" w:themeFill="background2"/>
            <w:vAlign w:val="center"/>
          </w:tcPr>
          <w:p w14:paraId="77D4C91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95E9CC2">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481C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602" w:type="dxa"/>
            <w:gridSpan w:val="2"/>
            <w:shd w:val="clear" w:color="auto" w:fill="auto"/>
            <w:noWrap/>
            <w:vAlign w:val="center"/>
          </w:tcPr>
          <w:p w14:paraId="7DD05CB7">
            <w:pPr>
              <w:keepNext w:val="0"/>
              <w:keepLines w:val="0"/>
              <w:pageBreakBefore w:val="0"/>
              <w:widowControl/>
              <w:kinsoku/>
              <w:wordWrap/>
              <w:overflowPunct/>
              <w:topLinePunct w:val="0"/>
              <w:autoSpaceDE/>
              <w:autoSpaceDN/>
              <w:bidi w:val="0"/>
              <w:spacing w:line="240" w:lineRule="auto"/>
              <w:ind w:firstLine="0" w:firstLineChars="0"/>
              <w:jc w:val="both"/>
              <w:textAlignment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color w:val="000000"/>
                <w:kern w:val="0"/>
                <w:sz w:val="21"/>
                <w:szCs w:val="21"/>
                <w:lang w:bidi="ar"/>
              </w:rPr>
              <w:t>含钛物料理想和无气泡流态化氯化技术基础研究</w:t>
            </w:r>
          </w:p>
        </w:tc>
        <w:tc>
          <w:tcPr>
            <w:tcW w:w="1116" w:type="dxa"/>
            <w:gridSpan w:val="2"/>
            <w:shd w:val="clear" w:color="auto" w:fill="auto"/>
            <w:vAlign w:val="center"/>
          </w:tcPr>
          <w:p w14:paraId="279ADF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1</w:t>
            </w:r>
          </w:p>
        </w:tc>
        <w:tc>
          <w:tcPr>
            <w:tcW w:w="1152" w:type="dxa"/>
            <w:gridSpan w:val="2"/>
            <w:shd w:val="clear" w:color="auto" w:fill="auto"/>
            <w:vAlign w:val="center"/>
          </w:tcPr>
          <w:p w14:paraId="4DFFE1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BSH001</w:t>
            </w:r>
          </w:p>
        </w:tc>
        <w:tc>
          <w:tcPr>
            <w:tcW w:w="1740" w:type="dxa"/>
            <w:gridSpan w:val="2"/>
            <w:shd w:val="clear" w:color="auto" w:fill="auto"/>
            <w:vAlign w:val="center"/>
          </w:tcPr>
          <w:p w14:paraId="72CC742F">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材料科学与工程/化学工程与技术</w:t>
            </w:r>
          </w:p>
        </w:tc>
        <w:tc>
          <w:tcPr>
            <w:tcW w:w="1536" w:type="dxa"/>
            <w:gridSpan w:val="2"/>
            <w:shd w:val="clear" w:color="auto" w:fill="auto"/>
            <w:vAlign w:val="center"/>
          </w:tcPr>
          <w:p w14:paraId="7FCA576F">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按项目研究开展情况，40万以上。</w:t>
            </w:r>
          </w:p>
        </w:tc>
        <w:tc>
          <w:tcPr>
            <w:tcW w:w="1509" w:type="dxa"/>
            <w:shd w:val="clear" w:color="auto" w:fill="auto"/>
            <w:vAlign w:val="center"/>
          </w:tcPr>
          <w:p w14:paraId="1FC284E1">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符合国家规定博士后招收条件</w:t>
            </w:r>
          </w:p>
        </w:tc>
      </w:tr>
      <w:tr w14:paraId="21DD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602" w:type="dxa"/>
            <w:gridSpan w:val="2"/>
            <w:shd w:val="clear" w:color="auto" w:fill="auto"/>
            <w:noWrap/>
            <w:vAlign w:val="center"/>
          </w:tcPr>
          <w:p w14:paraId="74ED3A03">
            <w:pPr>
              <w:keepNext w:val="0"/>
              <w:keepLines w:val="0"/>
              <w:pageBreakBefore w:val="0"/>
              <w:widowControl/>
              <w:kinsoku/>
              <w:wordWrap/>
              <w:overflowPunct/>
              <w:topLinePunct w:val="0"/>
              <w:autoSpaceDE/>
              <w:autoSpaceDN/>
              <w:bidi w:val="0"/>
              <w:spacing w:line="240" w:lineRule="auto"/>
              <w:ind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bidi="ar"/>
              </w:rPr>
              <w:t>直接还原钛渣制取钛白研究</w:t>
            </w:r>
          </w:p>
        </w:tc>
        <w:tc>
          <w:tcPr>
            <w:tcW w:w="1116" w:type="dxa"/>
            <w:gridSpan w:val="2"/>
            <w:shd w:val="clear" w:color="auto" w:fill="auto"/>
            <w:vAlign w:val="center"/>
          </w:tcPr>
          <w:p w14:paraId="23A316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52" w:type="dxa"/>
            <w:gridSpan w:val="2"/>
            <w:shd w:val="clear" w:color="auto" w:fill="auto"/>
            <w:vAlign w:val="center"/>
          </w:tcPr>
          <w:p w14:paraId="6C7091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40" w:type="dxa"/>
            <w:gridSpan w:val="2"/>
            <w:shd w:val="clear" w:color="auto" w:fill="auto"/>
            <w:vAlign w:val="center"/>
          </w:tcPr>
          <w:p w14:paraId="14BFAFBD">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材料科学与工程/化学工程与技术</w:t>
            </w:r>
          </w:p>
        </w:tc>
        <w:tc>
          <w:tcPr>
            <w:tcW w:w="1536" w:type="dxa"/>
            <w:gridSpan w:val="2"/>
            <w:shd w:val="clear" w:color="auto" w:fill="auto"/>
            <w:vAlign w:val="center"/>
          </w:tcPr>
          <w:p w14:paraId="600A8629">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按项目研究开展情况，40万以上。</w:t>
            </w:r>
          </w:p>
        </w:tc>
        <w:tc>
          <w:tcPr>
            <w:tcW w:w="1509" w:type="dxa"/>
            <w:shd w:val="clear" w:color="auto" w:fill="auto"/>
            <w:vAlign w:val="center"/>
          </w:tcPr>
          <w:p w14:paraId="2B27A00C">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符合国家规定博士后招收条件</w:t>
            </w:r>
          </w:p>
        </w:tc>
      </w:tr>
    </w:tbl>
    <w:p w14:paraId="622CB476">
      <w:pPr>
        <w:pStyle w:val="5"/>
        <w:adjustRightInd w:val="0"/>
        <w:snapToGrid w:val="0"/>
        <w:spacing w:line="240" w:lineRule="auto"/>
        <w:ind w:firstLine="0"/>
        <w:jc w:val="center"/>
        <w:rPr>
          <w:rFonts w:hint="eastAsia" w:eastAsia="方正小标宋简体"/>
          <w:sz w:val="44"/>
          <w:szCs w:val="44"/>
          <w:highlight w:val="yellow"/>
        </w:rPr>
      </w:pPr>
    </w:p>
    <w:p w14:paraId="1D18E403">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07" w:name="_Toc11484"/>
      <w:bookmarkStart w:id="308" w:name="_Toc20397"/>
      <w:bookmarkStart w:id="309" w:name="_Toc17574"/>
      <w:bookmarkStart w:id="310" w:name="_Toc6238"/>
      <w:bookmarkStart w:id="311" w:name="_Toc16754"/>
      <w:r>
        <w:rPr>
          <w:rFonts w:hint="eastAsia" w:eastAsia="方正小标宋简体"/>
          <w:sz w:val="44"/>
          <w:szCs w:val="44"/>
          <w:highlight w:val="none"/>
        </w:rPr>
        <w:t>清华四川能源互联网研究院</w:t>
      </w:r>
      <w:bookmarkEnd w:id="307"/>
      <w:bookmarkEnd w:id="308"/>
      <w:bookmarkEnd w:id="309"/>
      <w:bookmarkEnd w:id="310"/>
      <w:bookmarkEnd w:id="311"/>
    </w:p>
    <w:p w14:paraId="05B35D82">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66"/>
        <w:gridCol w:w="693"/>
        <w:gridCol w:w="93"/>
        <w:gridCol w:w="1093"/>
        <w:gridCol w:w="296"/>
        <w:gridCol w:w="1301"/>
        <w:gridCol w:w="523"/>
        <w:gridCol w:w="877"/>
        <w:gridCol w:w="689"/>
        <w:gridCol w:w="2019"/>
      </w:tblGrid>
      <w:tr w14:paraId="1960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0944C81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gridSpan w:val="2"/>
            <w:shd w:val="clear" w:color="000000" w:fill="FFFFFF"/>
            <w:noWrap/>
            <w:vAlign w:val="center"/>
          </w:tcPr>
          <w:p w14:paraId="48DFDD4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科研院所</w:t>
            </w:r>
          </w:p>
        </w:tc>
        <w:tc>
          <w:tcPr>
            <w:tcW w:w="1482" w:type="dxa"/>
            <w:gridSpan w:val="3"/>
            <w:shd w:val="clear" w:color="auto" w:fill="E7E6E6" w:themeFill="background2"/>
            <w:noWrap/>
            <w:vAlign w:val="center"/>
          </w:tcPr>
          <w:p w14:paraId="309ADB64">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824" w:type="dxa"/>
            <w:gridSpan w:val="2"/>
            <w:shd w:val="clear" w:color="000000" w:fill="FFFFFF"/>
            <w:noWrap/>
            <w:vAlign w:val="center"/>
          </w:tcPr>
          <w:p w14:paraId="7C67A4BA">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66" w:type="dxa"/>
            <w:gridSpan w:val="2"/>
            <w:shd w:val="clear" w:color="auto" w:fill="E7E6E6" w:themeFill="background2"/>
            <w:noWrap/>
            <w:vAlign w:val="center"/>
          </w:tcPr>
          <w:p w14:paraId="3800624D">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019" w:type="dxa"/>
            <w:shd w:val="clear" w:color="000000" w:fill="FFFFFF"/>
            <w:noWrap/>
            <w:vAlign w:val="center"/>
          </w:tcPr>
          <w:p w14:paraId="299B4D94">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4D4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65CABA4A">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0" w:type="dxa"/>
            <w:gridSpan w:val="10"/>
            <w:shd w:val="clear" w:color="000000" w:fill="FFFFFF"/>
            <w:noWrap/>
            <w:vAlign w:val="center"/>
          </w:tcPr>
          <w:p w14:paraId="22B1D272">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成都市天府新区科学城新经济产业园A区5号楼</w:t>
            </w:r>
          </w:p>
        </w:tc>
      </w:tr>
      <w:tr w14:paraId="623A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jc w:val="center"/>
        </w:trPr>
        <w:tc>
          <w:tcPr>
            <w:tcW w:w="1301" w:type="dxa"/>
            <w:shd w:val="clear" w:color="auto" w:fill="E7E6E6" w:themeFill="background2"/>
            <w:noWrap/>
            <w:vAlign w:val="center"/>
          </w:tcPr>
          <w:p w14:paraId="343E13C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10"/>
            <w:shd w:val="clear" w:color="000000" w:fill="FFFFFF"/>
            <w:vAlign w:val="center"/>
          </w:tcPr>
          <w:p w14:paraId="2443688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eastAsiaTheme="minorEastAsia"/>
                <w:sz w:val="21"/>
                <w:szCs w:val="21"/>
              </w:rPr>
            </w:pPr>
            <w:r>
              <w:rPr>
                <w:rFonts w:hint="eastAsia" w:eastAsiaTheme="minorEastAsia"/>
                <w:sz w:val="21"/>
                <w:szCs w:val="21"/>
              </w:rPr>
              <w:t>为服务四川省创新驱动发展战略，清华大学以电机系为依托，在四川天府新区设立清华四川能源互联网研究院，致力于打造能源互联网领域的人才汇聚平台、科技创新中心、产业发展高地。</w:t>
            </w:r>
          </w:p>
          <w:p w14:paraId="46173FE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eastAsiaTheme="minorEastAsia"/>
                <w:sz w:val="21"/>
                <w:szCs w:val="21"/>
              </w:rPr>
            </w:pPr>
            <w:r>
              <w:rPr>
                <w:rFonts w:hint="eastAsia" w:eastAsiaTheme="minorEastAsia"/>
                <w:sz w:val="21"/>
                <w:szCs w:val="21"/>
              </w:rPr>
              <w:t>研究院聚贤引才，打造了一支500余人的高水平人才队伍；集智攻关，建立高水平研究中心10个，建设高能级实验室8个，承担科研项目1100余项，竞争性科研经费超过12亿元，荣获省部级科技进步奖励43项，研发了近百项在国内外处于领先水平的关键技术；赋能产业，申请知识产权800余件，为500余项清华大学创新成果来川转化“铺路搭桥”，培育了以四川易冲科技有限公司为代表的22家创新企业；携手并进，举办能源互联网国际创新峰会等一系列国内外重大活动，与全球30余个国家，200余个高校院所、产业企业和国际机构深入开展合作，形成了一个开放共赢的创新生态圈。</w:t>
            </w:r>
          </w:p>
        </w:tc>
      </w:tr>
      <w:tr w14:paraId="2E68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301" w:type="dxa"/>
            <w:shd w:val="clear" w:color="auto" w:fill="E7E6E6" w:themeFill="background2"/>
            <w:noWrap/>
            <w:vAlign w:val="center"/>
          </w:tcPr>
          <w:p w14:paraId="58ADFFE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10"/>
            <w:shd w:val="clear" w:color="000000" w:fill="FFFFFF"/>
            <w:vAlign w:val="center"/>
          </w:tcPr>
          <w:p w14:paraId="678E9AE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eastAsiaTheme="minorEastAsia"/>
                <w:sz w:val="21"/>
                <w:szCs w:val="21"/>
              </w:rPr>
            </w:pPr>
            <w:r>
              <w:rPr>
                <w:rFonts w:hint="eastAsia" w:eastAsiaTheme="minorEastAsia"/>
                <w:sz w:val="21"/>
                <w:szCs w:val="21"/>
              </w:rPr>
              <w:t>高标准缴纳社保公积金、丰厚的带薪假期、高水平的健康医疗，提供全方位的人才服务，各类科研及人才项目申请、成果转化、职称晋升、子女入学、安居购房等全面保障。</w:t>
            </w:r>
          </w:p>
          <w:p w14:paraId="0285A09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eastAsiaTheme="minorEastAsia"/>
                <w:sz w:val="21"/>
                <w:szCs w:val="21"/>
              </w:rPr>
            </w:pPr>
            <w:r>
              <w:rPr>
                <w:rFonts w:hint="eastAsia" w:eastAsiaTheme="minorEastAsia"/>
                <w:sz w:val="21"/>
                <w:szCs w:val="21"/>
              </w:rPr>
              <w:t>研究院提供有组织研发种子计划，博士后进站即可申请,资助科研经费10万元,还可申请有组织研发创新计划、配套计划,实验室开放基金,产业创新计划等项目。有机会参与国家重点研发计划、国家自然科学基金等国家级科研项目，省市科技计划项目、领军企业重大横向科技项目。</w:t>
            </w:r>
          </w:p>
        </w:tc>
      </w:tr>
      <w:tr w14:paraId="5570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67" w:type="dxa"/>
            <w:gridSpan w:val="2"/>
            <w:shd w:val="clear" w:color="auto" w:fill="E7E6E6" w:themeFill="background2"/>
            <w:noWrap/>
            <w:vAlign w:val="center"/>
          </w:tcPr>
          <w:p w14:paraId="56307B9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86" w:type="dxa"/>
            <w:gridSpan w:val="2"/>
            <w:shd w:val="clear" w:color="auto" w:fill="E7E6E6" w:themeFill="background2"/>
            <w:vAlign w:val="center"/>
          </w:tcPr>
          <w:p w14:paraId="7B548A8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3" w:type="dxa"/>
            <w:shd w:val="clear" w:color="auto" w:fill="E7E6E6" w:themeFill="background2"/>
            <w:vAlign w:val="center"/>
          </w:tcPr>
          <w:p w14:paraId="614109B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7" w:type="dxa"/>
            <w:gridSpan w:val="2"/>
            <w:shd w:val="clear" w:color="auto" w:fill="E7E6E6" w:themeFill="background2"/>
            <w:vAlign w:val="center"/>
          </w:tcPr>
          <w:p w14:paraId="649FD3D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FD071D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00" w:type="dxa"/>
            <w:gridSpan w:val="2"/>
            <w:shd w:val="clear" w:color="auto" w:fill="E7E6E6" w:themeFill="background2"/>
            <w:vAlign w:val="center"/>
          </w:tcPr>
          <w:p w14:paraId="483867E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A18D4F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708" w:type="dxa"/>
            <w:gridSpan w:val="2"/>
            <w:shd w:val="clear" w:color="auto" w:fill="E7E6E6" w:themeFill="background2"/>
            <w:vAlign w:val="center"/>
          </w:tcPr>
          <w:p w14:paraId="22DFC5A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3C9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67" w:type="dxa"/>
            <w:gridSpan w:val="2"/>
            <w:shd w:val="clear" w:color="000000" w:fill="FFFFFF"/>
            <w:noWrap/>
            <w:vAlign w:val="center"/>
          </w:tcPr>
          <w:p w14:paraId="396F4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2023年产业技术基础平台-工业软件内核研发及应用验证产业基础共性技术中心</w:t>
            </w:r>
          </w:p>
        </w:tc>
        <w:tc>
          <w:tcPr>
            <w:tcW w:w="786" w:type="dxa"/>
            <w:gridSpan w:val="2"/>
            <w:shd w:val="clear" w:color="000000" w:fill="FFFFFF"/>
            <w:vAlign w:val="center"/>
          </w:tcPr>
          <w:p w14:paraId="4C5955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3" w:type="dxa"/>
            <w:shd w:val="clear" w:color="000000" w:fill="FFFFFF"/>
            <w:vAlign w:val="center"/>
          </w:tcPr>
          <w:p w14:paraId="5AD1E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597" w:type="dxa"/>
            <w:gridSpan w:val="2"/>
            <w:shd w:val="clear" w:color="000000" w:fill="FFFFFF"/>
            <w:vAlign w:val="center"/>
          </w:tcPr>
          <w:p w14:paraId="7EA81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计算机科学与技术</w:t>
            </w:r>
          </w:p>
        </w:tc>
        <w:tc>
          <w:tcPr>
            <w:tcW w:w="1400" w:type="dxa"/>
            <w:gridSpan w:val="2"/>
            <w:shd w:val="clear" w:color="000000" w:fill="FFFFFF"/>
            <w:vAlign w:val="center"/>
          </w:tcPr>
          <w:p w14:paraId="428B1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2708" w:type="dxa"/>
            <w:gridSpan w:val="2"/>
            <w:shd w:val="clear" w:color="000000" w:fill="FFFFFF"/>
            <w:vAlign w:val="center"/>
          </w:tcPr>
          <w:p w14:paraId="721E7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 计算机科学/数学/物理学或相关专业博士毕业；</w:t>
            </w:r>
          </w:p>
          <w:p w14:paraId="76850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 熟悉数据挖掘、机器学习、人工智能或运筹优化算法，有丰富的实践经验；</w:t>
            </w:r>
          </w:p>
          <w:p w14:paraId="01882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 至少精通一种数据分析软件工具（如Python, R, SAS, SPSS Modeler, Weka等）；</w:t>
            </w:r>
          </w:p>
          <w:p w14:paraId="3E11D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 有一定程序开发经验（Java, C++等）；</w:t>
            </w:r>
          </w:p>
          <w:p w14:paraId="1EEE34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 具有清晰的系统思维逻辑，对解决行业实际问题有浓厚兴趣；</w:t>
            </w:r>
          </w:p>
          <w:p w14:paraId="75403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 良好的沟通和分析解决问题的能力。</w:t>
            </w:r>
          </w:p>
        </w:tc>
      </w:tr>
      <w:tr w14:paraId="2D72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67" w:type="dxa"/>
            <w:gridSpan w:val="2"/>
            <w:shd w:val="clear" w:color="000000" w:fill="E7E6E6" w:themeFill="background2"/>
            <w:noWrap/>
            <w:vAlign w:val="center"/>
          </w:tcPr>
          <w:p w14:paraId="48E9294C">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项目名称</w:t>
            </w:r>
          </w:p>
        </w:tc>
        <w:tc>
          <w:tcPr>
            <w:tcW w:w="786" w:type="dxa"/>
            <w:gridSpan w:val="2"/>
            <w:shd w:val="clear" w:color="000000" w:fill="E7E6E6" w:themeFill="background2"/>
            <w:vAlign w:val="center"/>
          </w:tcPr>
          <w:p w14:paraId="48B9421E">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需求人数</w:t>
            </w:r>
          </w:p>
        </w:tc>
        <w:tc>
          <w:tcPr>
            <w:tcW w:w="1093" w:type="dxa"/>
            <w:shd w:val="clear" w:color="000000" w:fill="E7E6E6" w:themeFill="background2"/>
            <w:vAlign w:val="center"/>
          </w:tcPr>
          <w:p w14:paraId="55C7A7E9">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岗位编号</w:t>
            </w:r>
          </w:p>
        </w:tc>
        <w:tc>
          <w:tcPr>
            <w:tcW w:w="1597" w:type="dxa"/>
            <w:gridSpan w:val="2"/>
            <w:shd w:val="clear" w:color="000000" w:fill="E7E6E6" w:themeFill="background2"/>
            <w:vAlign w:val="center"/>
          </w:tcPr>
          <w:p w14:paraId="30D207D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1FA3CF8">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400" w:type="dxa"/>
            <w:gridSpan w:val="2"/>
            <w:shd w:val="clear" w:color="000000" w:fill="E7E6E6" w:themeFill="background2"/>
            <w:vAlign w:val="center"/>
          </w:tcPr>
          <w:p w14:paraId="711950A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F703D8E">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708" w:type="dxa"/>
            <w:gridSpan w:val="2"/>
            <w:shd w:val="clear" w:color="000000" w:fill="E7E6E6" w:themeFill="background2"/>
            <w:vAlign w:val="center"/>
          </w:tcPr>
          <w:p w14:paraId="46D602DE">
            <w:pPr>
              <w:adjustRightInd w:val="0"/>
              <w:snapToGrid w:val="0"/>
              <w:spacing w:line="240" w:lineRule="auto"/>
              <w:ind w:firstLine="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博士生源单位等要求</w:t>
            </w:r>
          </w:p>
        </w:tc>
      </w:tr>
      <w:tr w14:paraId="0E40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67" w:type="dxa"/>
            <w:gridSpan w:val="2"/>
            <w:shd w:val="clear" w:color="000000" w:fill="FFFFFF"/>
            <w:noWrap/>
            <w:vAlign w:val="center"/>
          </w:tcPr>
          <w:p w14:paraId="16536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人工智能在能源互联网领域应用研究</w:t>
            </w:r>
          </w:p>
        </w:tc>
        <w:tc>
          <w:tcPr>
            <w:tcW w:w="786" w:type="dxa"/>
            <w:gridSpan w:val="2"/>
            <w:shd w:val="clear" w:color="000000" w:fill="FFFFFF"/>
            <w:vAlign w:val="center"/>
          </w:tcPr>
          <w:p w14:paraId="6CD5C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3" w:type="dxa"/>
            <w:shd w:val="clear" w:color="000000" w:fill="FFFFFF"/>
            <w:vAlign w:val="center"/>
          </w:tcPr>
          <w:p w14:paraId="77C92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597" w:type="dxa"/>
            <w:gridSpan w:val="2"/>
            <w:shd w:val="clear" w:color="000000" w:fill="FFFFFF"/>
            <w:vAlign w:val="center"/>
          </w:tcPr>
          <w:p w14:paraId="4433F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计算机科学与技术 / 电气工程</w:t>
            </w:r>
          </w:p>
        </w:tc>
        <w:tc>
          <w:tcPr>
            <w:tcW w:w="1400" w:type="dxa"/>
            <w:gridSpan w:val="2"/>
            <w:shd w:val="clear" w:color="000000" w:fill="FFFFFF"/>
            <w:vAlign w:val="center"/>
          </w:tcPr>
          <w:p w14:paraId="0A081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15-30</w:t>
            </w:r>
          </w:p>
        </w:tc>
        <w:tc>
          <w:tcPr>
            <w:tcW w:w="2708" w:type="dxa"/>
            <w:gridSpan w:val="2"/>
            <w:shd w:val="clear" w:color="000000" w:fill="FFFFFF"/>
            <w:vAlign w:val="center"/>
          </w:tcPr>
          <w:p w14:paraId="7DC55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岗位名称：博士后（智能电网方向）</w:t>
            </w:r>
          </w:p>
          <w:p w14:paraId="725D1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岗位职责：</w:t>
            </w:r>
          </w:p>
          <w:p w14:paraId="77C9F5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 开展机器学习、大语言模型、多智能体等人工智能前沿技术在能源互联网领域的研究和应用。</w:t>
            </w:r>
          </w:p>
          <w:p w14:paraId="12195E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 开展纵向、横向项目申报、论文发表、专利申请。</w:t>
            </w:r>
          </w:p>
          <w:p w14:paraId="4E9AB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 开展面向应用场景的技术转化。</w:t>
            </w:r>
          </w:p>
          <w:p w14:paraId="575815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p>
          <w:p w14:paraId="7170B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任职要求：</w:t>
            </w:r>
          </w:p>
          <w:p w14:paraId="21C4F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 计算机或电气专业，国内外全日制大学博士应届毕业生或获得博士学位2年以内、年龄35周岁以下。</w:t>
            </w:r>
          </w:p>
          <w:p w14:paraId="2D6F2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 具有国家级项目研究经历、国际优秀论文发表经验者优先。</w:t>
            </w:r>
          </w:p>
          <w:p w14:paraId="7C48C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 有交叉学科背景或研究经历的优先</w:t>
            </w:r>
          </w:p>
        </w:tc>
      </w:tr>
      <w:tr w14:paraId="1FE3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67" w:type="dxa"/>
            <w:gridSpan w:val="2"/>
            <w:shd w:val="clear" w:color="000000" w:fill="FFFFFF"/>
            <w:noWrap/>
            <w:vAlign w:val="center"/>
          </w:tcPr>
          <w:p w14:paraId="2D704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电力市场环境下多类型储能场站融合优化调控技术研究</w:t>
            </w:r>
          </w:p>
        </w:tc>
        <w:tc>
          <w:tcPr>
            <w:tcW w:w="786" w:type="dxa"/>
            <w:gridSpan w:val="2"/>
            <w:shd w:val="clear" w:color="000000" w:fill="FFFFFF"/>
            <w:vAlign w:val="center"/>
          </w:tcPr>
          <w:p w14:paraId="1BFB0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3" w:type="dxa"/>
            <w:shd w:val="clear" w:color="000000" w:fill="FFFFFF"/>
            <w:vAlign w:val="center"/>
          </w:tcPr>
          <w:p w14:paraId="0EF0D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597" w:type="dxa"/>
            <w:gridSpan w:val="2"/>
            <w:shd w:val="clear" w:color="000000" w:fill="FFFFFF"/>
            <w:vAlign w:val="center"/>
          </w:tcPr>
          <w:p w14:paraId="6FD99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电气工程</w:t>
            </w:r>
          </w:p>
        </w:tc>
        <w:tc>
          <w:tcPr>
            <w:tcW w:w="1400" w:type="dxa"/>
            <w:gridSpan w:val="2"/>
            <w:shd w:val="clear" w:color="000000" w:fill="FFFFFF"/>
            <w:vAlign w:val="center"/>
          </w:tcPr>
          <w:p w14:paraId="714D8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16-30万/年</w:t>
            </w:r>
          </w:p>
        </w:tc>
        <w:tc>
          <w:tcPr>
            <w:tcW w:w="2708" w:type="dxa"/>
            <w:gridSpan w:val="2"/>
            <w:shd w:val="clear" w:color="000000" w:fill="FFFFFF"/>
            <w:vAlign w:val="center"/>
          </w:tcPr>
          <w:p w14:paraId="055AA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岗位名称：博士后（电力系统方向）</w:t>
            </w:r>
          </w:p>
          <w:p w14:paraId="678CB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岗位职责：</w:t>
            </w:r>
          </w:p>
          <w:p w14:paraId="50ADE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主要研究方向：源-网-荷-储协调优化；构网型/跟网型多类型储能调控技术；储能参与电力市场机制设计与商业模式研究等；</w:t>
            </w:r>
          </w:p>
          <w:p w14:paraId="478B4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承担科研任务，负责项目执行，撰写论文，专利等。</w:t>
            </w:r>
          </w:p>
          <w:p w14:paraId="3BE9C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任职要求：</w:t>
            </w:r>
          </w:p>
          <w:p w14:paraId="30EBC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具有良好的学术背景和较强的发展潜力，在本领域已取得突出的研究成果；</w:t>
            </w:r>
          </w:p>
          <w:p w14:paraId="28AAC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获得博士学位一般不超过三年；</w:t>
            </w:r>
          </w:p>
          <w:p w14:paraId="0CDB11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全职从事博士后研究工作；</w:t>
            </w:r>
          </w:p>
          <w:p w14:paraId="15584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具备良好的学术诚信、道德品质、沟通能力和团队合作精神；热爱科研工作，责任心强。</w:t>
            </w:r>
          </w:p>
        </w:tc>
      </w:tr>
    </w:tbl>
    <w:p w14:paraId="76887716">
      <w:pPr>
        <w:pStyle w:val="5"/>
        <w:adjustRightInd w:val="0"/>
        <w:snapToGrid w:val="0"/>
        <w:spacing w:line="240" w:lineRule="auto"/>
        <w:ind w:firstLine="0"/>
        <w:jc w:val="center"/>
        <w:rPr>
          <w:rFonts w:eastAsia="方正小标宋简体"/>
          <w:sz w:val="44"/>
          <w:szCs w:val="44"/>
        </w:rPr>
      </w:pPr>
    </w:p>
    <w:p w14:paraId="1C0BDD48">
      <w:pPr>
        <w:pStyle w:val="5"/>
        <w:adjustRightInd w:val="0"/>
        <w:snapToGrid w:val="0"/>
        <w:spacing w:line="240" w:lineRule="auto"/>
        <w:ind w:firstLine="0"/>
        <w:jc w:val="center"/>
        <w:rPr>
          <w:rFonts w:eastAsia="方正小标宋简体"/>
          <w:sz w:val="44"/>
          <w:szCs w:val="44"/>
        </w:rPr>
      </w:pPr>
    </w:p>
    <w:p w14:paraId="18C8C8AA">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1D79104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12" w:name="_Toc8482"/>
      <w:bookmarkStart w:id="313" w:name="_Toc31551"/>
      <w:bookmarkStart w:id="314" w:name="_Toc6790"/>
      <w:bookmarkStart w:id="315" w:name="_Toc22643"/>
      <w:bookmarkStart w:id="316" w:name="_Toc8943"/>
      <w:r>
        <w:rPr>
          <w:rFonts w:hint="eastAsia" w:eastAsia="方正小标宋简体"/>
          <w:sz w:val="44"/>
          <w:szCs w:val="44"/>
          <w:highlight w:val="none"/>
        </w:rPr>
        <w:t>四川百利药业有限责任公司</w:t>
      </w:r>
      <w:bookmarkEnd w:id="312"/>
      <w:bookmarkEnd w:id="313"/>
      <w:bookmarkEnd w:id="314"/>
      <w:bookmarkEnd w:id="315"/>
      <w:bookmarkEnd w:id="316"/>
    </w:p>
    <w:p w14:paraId="021FFD4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612"/>
        <w:gridCol w:w="1134"/>
        <w:gridCol w:w="1374"/>
        <w:gridCol w:w="261"/>
        <w:gridCol w:w="1453"/>
        <w:gridCol w:w="191"/>
        <w:gridCol w:w="1373"/>
        <w:gridCol w:w="209"/>
        <w:gridCol w:w="1667"/>
      </w:tblGrid>
      <w:tr w14:paraId="6640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48684BA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14:paraId="753FD4B3">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股份制企业</w:t>
            </w:r>
          </w:p>
        </w:tc>
        <w:tc>
          <w:tcPr>
            <w:tcW w:w="1580" w:type="dxa"/>
            <w:gridSpan w:val="2"/>
            <w:shd w:val="clear" w:color="auto" w:fill="E7E6E6" w:themeFill="background2"/>
            <w:noWrap/>
            <w:vAlign w:val="center"/>
          </w:tcPr>
          <w:p w14:paraId="235D402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E8C17F9">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6CCA33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14:paraId="4769248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53C4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76E466B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14:paraId="7BCA2EDA">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四川省成都市温江区海峡科技技产业园区百利路161号</w:t>
            </w:r>
          </w:p>
        </w:tc>
      </w:tr>
      <w:tr w14:paraId="5D3B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9" w:hRule="atLeast"/>
          <w:jc w:val="center"/>
        </w:trPr>
        <w:tc>
          <w:tcPr>
            <w:tcW w:w="1427" w:type="dxa"/>
            <w:shd w:val="clear" w:color="auto" w:fill="E7E6E6" w:themeFill="background2"/>
            <w:noWrap/>
            <w:vAlign w:val="center"/>
          </w:tcPr>
          <w:p w14:paraId="5C3CA70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14:paraId="346602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四川百利药业有限责任公司是科创板上市企业四川天恒药业股份有限公司(百利天恒，688506)核心成员。公司成立于1996年，是国家高新技术企业、国家知识产权优势示范企业、四川省技术创新示范企业，连续多年被工信部评为“中国创新力医药企业”，并荣登“中国医药研发产品线最佳工业企业”榜单。公司以化学仿制药起步，现已成功转型为以创新生物药前沿技术和创新药产品开发为主，以高端化学仿制药研产销为辅的现代医药企业集团，下属5家全资子公司，包括注册于美国西雅图市的SystImmune Inc。</w:t>
            </w:r>
          </w:p>
          <w:p w14:paraId="0772A2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公司围绕国家级企业技术中心建立了较完备的企业技术创新体系，依托中美两个研发中心在双/多抗体药物、抗体偶联药物（ADC）、高端化学仿制药等领域建立了多个具有国际领先水平的技术平台，积累了数十项具有全球自主知识产权的关键核心技术，构建了相应领域国际竞争力的研发管线。</w:t>
            </w:r>
          </w:p>
        </w:tc>
      </w:tr>
      <w:tr w14:paraId="3212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1427" w:type="dxa"/>
            <w:shd w:val="clear" w:color="auto" w:fill="E7E6E6" w:themeFill="background2"/>
            <w:noWrap/>
            <w:vAlign w:val="center"/>
          </w:tcPr>
          <w:p w14:paraId="623CB80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14:paraId="6A645D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提供充足的研发经费和设备投入，参与公司重点创新药研发项目，提供有竞争力的薪酬待遇、协助申报当地人才引进相关支持政策补贴等。</w:t>
            </w:r>
          </w:p>
        </w:tc>
      </w:tr>
      <w:tr w14:paraId="31C9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18" w:type="dxa"/>
            <w:gridSpan w:val="2"/>
            <w:shd w:val="clear" w:color="auto" w:fill="E7E6E6" w:themeFill="background2"/>
            <w:noWrap/>
            <w:vAlign w:val="center"/>
          </w:tcPr>
          <w:p w14:paraId="3D8D899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14:paraId="41E716F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14:paraId="5AD88DB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67837C7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4348F1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12" w:type="dxa"/>
            <w:gridSpan w:val="2"/>
            <w:shd w:val="clear" w:color="auto" w:fill="E7E6E6" w:themeFill="background2"/>
            <w:vAlign w:val="center"/>
          </w:tcPr>
          <w:p w14:paraId="24A870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35F268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2" w:type="dxa"/>
            <w:gridSpan w:val="2"/>
            <w:shd w:val="clear" w:color="auto" w:fill="E7E6E6" w:themeFill="background2"/>
            <w:vAlign w:val="center"/>
          </w:tcPr>
          <w:p w14:paraId="458230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26A87B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C9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25FD6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生物药研发岗</w:t>
            </w:r>
          </w:p>
        </w:tc>
        <w:tc>
          <w:tcPr>
            <w:tcW w:w="1096" w:type="dxa"/>
            <w:shd w:val="clear" w:color="000000" w:fill="FFFFFF"/>
            <w:vAlign w:val="center"/>
          </w:tcPr>
          <w:p w14:paraId="2219BE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3</w:t>
            </w:r>
          </w:p>
        </w:tc>
        <w:tc>
          <w:tcPr>
            <w:tcW w:w="1328" w:type="dxa"/>
            <w:shd w:val="clear" w:color="000000" w:fill="FFFFFF"/>
            <w:vAlign w:val="center"/>
          </w:tcPr>
          <w:p w14:paraId="7F85BB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BSH001</w:t>
            </w:r>
          </w:p>
        </w:tc>
        <w:tc>
          <w:tcPr>
            <w:tcW w:w="1656" w:type="dxa"/>
            <w:gridSpan w:val="2"/>
            <w:shd w:val="clear" w:color="000000" w:fill="FFFFFF"/>
            <w:vAlign w:val="center"/>
          </w:tcPr>
          <w:p w14:paraId="6A7F8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免疫学、细胞生物学、分子生物学及相关专业</w:t>
            </w:r>
          </w:p>
        </w:tc>
        <w:tc>
          <w:tcPr>
            <w:tcW w:w="1512" w:type="dxa"/>
            <w:gridSpan w:val="2"/>
            <w:shd w:val="clear" w:color="000000" w:fill="FFFFFF"/>
            <w:vAlign w:val="center"/>
          </w:tcPr>
          <w:p w14:paraId="26CDD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50-100(项目和工资）</w:t>
            </w:r>
          </w:p>
        </w:tc>
        <w:tc>
          <w:tcPr>
            <w:tcW w:w="1812" w:type="dxa"/>
            <w:gridSpan w:val="2"/>
            <w:vMerge w:val="restart"/>
            <w:shd w:val="clear" w:color="000000" w:fill="FFFFFF"/>
            <w:vAlign w:val="center"/>
          </w:tcPr>
          <w:p w14:paraId="5CA63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无</w:t>
            </w:r>
          </w:p>
        </w:tc>
      </w:tr>
      <w:tr w14:paraId="526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23997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创新小分子合成研发岗</w:t>
            </w:r>
          </w:p>
        </w:tc>
        <w:tc>
          <w:tcPr>
            <w:tcW w:w="1096" w:type="dxa"/>
            <w:shd w:val="clear" w:color="000000" w:fill="FFFFFF"/>
            <w:vAlign w:val="center"/>
          </w:tcPr>
          <w:p w14:paraId="3DECB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2</w:t>
            </w:r>
          </w:p>
        </w:tc>
        <w:tc>
          <w:tcPr>
            <w:tcW w:w="1328" w:type="dxa"/>
            <w:shd w:val="clear" w:color="000000" w:fill="FFFFFF"/>
            <w:vAlign w:val="center"/>
          </w:tcPr>
          <w:p w14:paraId="79C1FE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BSH002</w:t>
            </w:r>
          </w:p>
        </w:tc>
        <w:tc>
          <w:tcPr>
            <w:tcW w:w="1656" w:type="dxa"/>
            <w:gridSpan w:val="2"/>
            <w:shd w:val="clear" w:color="000000" w:fill="FFFFFF"/>
            <w:vAlign w:val="center"/>
          </w:tcPr>
          <w:p w14:paraId="67162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药物化学、有机化学、天然药物化学、制药工程等相关专业</w:t>
            </w:r>
          </w:p>
        </w:tc>
        <w:tc>
          <w:tcPr>
            <w:tcW w:w="1512" w:type="dxa"/>
            <w:gridSpan w:val="2"/>
            <w:shd w:val="clear" w:color="000000" w:fill="FFFFFF"/>
            <w:vAlign w:val="center"/>
          </w:tcPr>
          <w:p w14:paraId="2647F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50-100(项目和工资）</w:t>
            </w:r>
          </w:p>
        </w:tc>
        <w:tc>
          <w:tcPr>
            <w:tcW w:w="1812" w:type="dxa"/>
            <w:gridSpan w:val="2"/>
            <w:vMerge w:val="continue"/>
            <w:shd w:val="clear" w:color="000000" w:fill="FFFFFF"/>
            <w:vAlign w:val="center"/>
          </w:tcPr>
          <w:p w14:paraId="2B33A8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p>
        </w:tc>
      </w:tr>
      <w:tr w14:paraId="6E50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3218C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创新制剂研发岗</w:t>
            </w:r>
          </w:p>
        </w:tc>
        <w:tc>
          <w:tcPr>
            <w:tcW w:w="1096" w:type="dxa"/>
            <w:shd w:val="clear" w:color="000000" w:fill="FFFFFF"/>
            <w:vAlign w:val="center"/>
          </w:tcPr>
          <w:p w14:paraId="5C5B9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2</w:t>
            </w:r>
          </w:p>
        </w:tc>
        <w:tc>
          <w:tcPr>
            <w:tcW w:w="1328" w:type="dxa"/>
            <w:shd w:val="clear" w:color="000000" w:fill="FFFFFF"/>
            <w:vAlign w:val="center"/>
          </w:tcPr>
          <w:p w14:paraId="15306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BSH003</w:t>
            </w:r>
          </w:p>
        </w:tc>
        <w:tc>
          <w:tcPr>
            <w:tcW w:w="1656" w:type="dxa"/>
            <w:gridSpan w:val="2"/>
            <w:shd w:val="clear" w:color="000000" w:fill="FFFFFF"/>
            <w:vAlign w:val="center"/>
          </w:tcPr>
          <w:p w14:paraId="69A3D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药物制剂、药剂学、生物学、药学相关专业</w:t>
            </w:r>
          </w:p>
        </w:tc>
        <w:tc>
          <w:tcPr>
            <w:tcW w:w="1512" w:type="dxa"/>
            <w:gridSpan w:val="2"/>
            <w:shd w:val="clear" w:color="000000" w:fill="FFFFFF"/>
            <w:vAlign w:val="center"/>
          </w:tcPr>
          <w:p w14:paraId="2B83E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50-100(项目和工资）</w:t>
            </w:r>
          </w:p>
        </w:tc>
        <w:tc>
          <w:tcPr>
            <w:tcW w:w="1812" w:type="dxa"/>
            <w:gridSpan w:val="2"/>
            <w:vMerge w:val="continue"/>
            <w:shd w:val="clear" w:color="000000" w:fill="FFFFFF"/>
            <w:vAlign w:val="center"/>
          </w:tcPr>
          <w:p w14:paraId="49666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p>
        </w:tc>
      </w:tr>
    </w:tbl>
    <w:p w14:paraId="1F683F4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6F2FE7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17" w:name="_Toc21267"/>
      <w:bookmarkStart w:id="318" w:name="_Toc31702"/>
      <w:bookmarkStart w:id="319" w:name="_Toc24766"/>
      <w:bookmarkStart w:id="320" w:name="_Toc27356"/>
      <w:bookmarkStart w:id="321" w:name="_Toc8159"/>
      <w:bookmarkStart w:id="322" w:name="_Toc26657"/>
      <w:r>
        <w:rPr>
          <w:rFonts w:hint="eastAsia" w:eastAsia="方正小标宋简体"/>
          <w:sz w:val="44"/>
          <w:szCs w:val="44"/>
          <w:highlight w:val="none"/>
        </w:rPr>
        <w:t>四川邦立重机有限责任公司</w:t>
      </w:r>
      <w:bookmarkEnd w:id="317"/>
      <w:bookmarkEnd w:id="318"/>
      <w:bookmarkEnd w:id="319"/>
      <w:bookmarkEnd w:id="320"/>
      <w:bookmarkEnd w:id="321"/>
    </w:p>
    <w:p w14:paraId="7D3DC4B0">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148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6F491D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A680C4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民营企业</w:t>
            </w:r>
          </w:p>
        </w:tc>
        <w:tc>
          <w:tcPr>
            <w:tcW w:w="1640" w:type="dxa"/>
            <w:gridSpan w:val="2"/>
            <w:shd w:val="clear" w:color="auto" w:fill="E7E6E6" w:themeFill="background2"/>
            <w:noWrap/>
            <w:vAlign w:val="center"/>
          </w:tcPr>
          <w:p w14:paraId="7236BCD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7D3D6F61">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687CBE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66E1E96A">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泸州</w:t>
            </w:r>
          </w:p>
        </w:tc>
      </w:tr>
      <w:tr w14:paraId="56DD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0BD1E8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531F9B27">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四川省泸州市江阳区酒谷大道四段16号</w:t>
            </w:r>
          </w:p>
        </w:tc>
      </w:tr>
      <w:tr w14:paraId="2593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271" w:type="dxa"/>
            <w:shd w:val="clear" w:color="auto" w:fill="E7E6E6" w:themeFill="background2"/>
            <w:noWrap/>
            <w:vAlign w:val="center"/>
          </w:tcPr>
          <w:p w14:paraId="3874928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29B110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邦立重机有限责任公司具有50余年专业生产挖掘机历史，为国家高新技术企业，国家“863”科技攻关项目企业，国家级经济动员中心企业，四川省重大装备制造企业，省科技产业型企业，设有省级“企业技术中心”。公司位于四川省泸州市国家级高新技术产业园区，占地面积30万㎡，是目前能研发制造6.5～220吨级系列液压挖掘机、10～120吨级系列液压抓钢（抓料）机、10～50吨级报废汽车拆解机的专业厂家。已通过ISO9001质量管理体系、ISO14001环境管理体系、OHSAS18001职业健康安全管理体系认证。公司以技术研发和自主创新在国内同行业中具有雄厚实力，为国内大型专业化液压挖掘机制造基地之一。</w:t>
            </w:r>
          </w:p>
        </w:tc>
      </w:tr>
      <w:tr w14:paraId="65FE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271" w:type="dxa"/>
            <w:shd w:val="clear" w:color="auto" w:fill="E7E6E6" w:themeFill="background2"/>
            <w:noWrap/>
            <w:vAlign w:val="center"/>
          </w:tcPr>
          <w:p w14:paraId="42C41A5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68FD0B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博士后在站期间享受总站24.2万元/年补助。包含20万元研发补助和4.2万元生活补助。研发补助每季度发放3万元，剩余部分根据当年年度考核结果补足。生活补助按照2000元/月的补助标准和1500元/月住房补贴发放。向提供博士后进工作站的高校流动站支付管理、培养、导师等费用。</w:t>
            </w:r>
          </w:p>
          <w:p w14:paraId="1071875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博士后在站期间享受单位员工待遇。为博士后匹配知名专家作为导师，提供良好的科研环境和平台。根据博士后科学基金会要求，组织博士后申报基金项目。积极组织博士后申报省、市级科研项目。</w:t>
            </w:r>
          </w:p>
        </w:tc>
      </w:tr>
      <w:tr w14:paraId="4EC8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2DE82A0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2FF85F1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08324E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25A90D2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055FA8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73F48FD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308838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625016D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232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223502B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大型金属结构件疲劳失效机理分析及对策研究</w:t>
            </w:r>
          </w:p>
        </w:tc>
        <w:tc>
          <w:tcPr>
            <w:tcW w:w="1176" w:type="dxa"/>
            <w:shd w:val="clear" w:color="000000" w:fill="FFFFFF"/>
            <w:vAlign w:val="center"/>
          </w:tcPr>
          <w:p w14:paraId="5F5D136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2BD134B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722" w:type="dxa"/>
            <w:gridSpan w:val="2"/>
            <w:shd w:val="clear" w:color="000000" w:fill="FFFFFF"/>
            <w:vAlign w:val="center"/>
          </w:tcPr>
          <w:p w14:paraId="23CFCF1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w:t>
            </w:r>
          </w:p>
        </w:tc>
        <w:tc>
          <w:tcPr>
            <w:tcW w:w="1399" w:type="dxa"/>
            <w:gridSpan w:val="2"/>
            <w:shd w:val="clear" w:color="000000" w:fill="FFFFFF"/>
            <w:vAlign w:val="center"/>
          </w:tcPr>
          <w:p w14:paraId="0AFF685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24.2</w:t>
            </w:r>
          </w:p>
        </w:tc>
        <w:tc>
          <w:tcPr>
            <w:tcW w:w="2550" w:type="dxa"/>
            <w:gridSpan w:val="2"/>
            <w:shd w:val="clear" w:color="000000" w:fill="FFFFFF"/>
            <w:vAlign w:val="center"/>
          </w:tcPr>
          <w:p w14:paraId="3C18CBE1">
            <w:pPr>
              <w:adjustRightInd w:val="0"/>
              <w:snapToGrid w:val="0"/>
              <w:spacing w:line="240" w:lineRule="auto"/>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不限，四川、重庆两地优先</w:t>
            </w:r>
          </w:p>
        </w:tc>
      </w:tr>
    </w:tbl>
    <w:p w14:paraId="2ED6FAE9">
      <w:pPr>
        <w:pStyle w:val="5"/>
        <w:adjustRightInd w:val="0"/>
        <w:snapToGrid w:val="0"/>
        <w:spacing w:line="240" w:lineRule="auto"/>
        <w:ind w:firstLine="0"/>
        <w:jc w:val="center"/>
        <w:rPr>
          <w:rFonts w:eastAsia="方正小标宋简体"/>
          <w:sz w:val="44"/>
          <w:szCs w:val="44"/>
        </w:rPr>
      </w:pPr>
    </w:p>
    <w:p w14:paraId="59A17B8C">
      <w:pPr>
        <w:pStyle w:val="5"/>
        <w:adjustRightInd w:val="0"/>
        <w:snapToGrid w:val="0"/>
        <w:spacing w:line="240" w:lineRule="auto"/>
        <w:ind w:firstLine="0"/>
        <w:jc w:val="center"/>
        <w:rPr>
          <w:rFonts w:eastAsia="方正小标宋简体"/>
          <w:sz w:val="44"/>
          <w:szCs w:val="44"/>
        </w:rPr>
      </w:pPr>
    </w:p>
    <w:p w14:paraId="4DBA60C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5A4C6968">
      <w:pPr>
        <w:pStyle w:val="5"/>
        <w:adjustRightInd w:val="0"/>
        <w:snapToGrid w:val="0"/>
        <w:spacing w:line="240" w:lineRule="auto"/>
        <w:ind w:firstLine="0"/>
        <w:jc w:val="center"/>
        <w:outlineLvl w:val="0"/>
        <w:rPr>
          <w:rFonts w:eastAsia="方正小标宋简体"/>
          <w:sz w:val="44"/>
          <w:szCs w:val="44"/>
          <w:highlight w:val="yellow"/>
        </w:rPr>
      </w:pPr>
      <w:bookmarkStart w:id="323" w:name="_Toc14388"/>
      <w:bookmarkStart w:id="324" w:name="_Toc13820"/>
      <w:bookmarkStart w:id="325" w:name="_Toc31122"/>
      <w:bookmarkStart w:id="326" w:name="_Toc26097"/>
      <w:r>
        <w:rPr>
          <w:rFonts w:hint="eastAsia" w:eastAsia="方正小标宋简体"/>
          <w:sz w:val="44"/>
          <w:szCs w:val="44"/>
          <w:highlight w:val="none"/>
        </w:rPr>
        <w:t>四川东材科技集团股份有限公司</w:t>
      </w:r>
      <w:bookmarkEnd w:id="322"/>
      <w:bookmarkEnd w:id="323"/>
      <w:bookmarkEnd w:id="324"/>
      <w:bookmarkEnd w:id="325"/>
      <w:bookmarkEnd w:id="326"/>
    </w:p>
    <w:p w14:paraId="2388A80C">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098"/>
        <w:gridCol w:w="804"/>
        <w:gridCol w:w="304"/>
        <w:gridCol w:w="1216"/>
        <w:gridCol w:w="1621"/>
        <w:gridCol w:w="1622"/>
        <w:gridCol w:w="1786"/>
      </w:tblGrid>
      <w:tr w14:paraId="55F4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655DF16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902" w:type="dxa"/>
            <w:gridSpan w:val="2"/>
            <w:shd w:val="clear" w:color="000000" w:fill="FFFFFF"/>
            <w:noWrap/>
            <w:vAlign w:val="center"/>
          </w:tcPr>
          <w:p w14:paraId="4F92FC61">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民营企业</w:t>
            </w:r>
          </w:p>
        </w:tc>
        <w:tc>
          <w:tcPr>
            <w:tcW w:w="1520" w:type="dxa"/>
            <w:gridSpan w:val="2"/>
            <w:shd w:val="clear" w:color="auto" w:fill="E7E6E6" w:themeFill="background2"/>
            <w:noWrap/>
            <w:vAlign w:val="center"/>
          </w:tcPr>
          <w:p w14:paraId="117E37D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621" w:type="dxa"/>
            <w:shd w:val="clear" w:color="000000" w:fill="FFFFFF"/>
            <w:noWrap/>
            <w:vAlign w:val="center"/>
          </w:tcPr>
          <w:p w14:paraId="1C057123">
            <w:pPr>
              <w:adjustRightInd w:val="0"/>
              <w:snapToGrid w:val="0"/>
              <w:spacing w:line="240" w:lineRule="auto"/>
              <w:ind w:firstLine="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工作站</w:t>
            </w:r>
          </w:p>
        </w:tc>
        <w:tc>
          <w:tcPr>
            <w:tcW w:w="1622" w:type="dxa"/>
            <w:shd w:val="clear" w:color="auto" w:fill="E7E6E6" w:themeFill="background2"/>
            <w:noWrap/>
            <w:vAlign w:val="center"/>
          </w:tcPr>
          <w:p w14:paraId="051BD1E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1786" w:type="dxa"/>
            <w:shd w:val="clear" w:color="000000" w:fill="FFFFFF"/>
            <w:noWrap/>
            <w:vAlign w:val="center"/>
          </w:tcPr>
          <w:p w14:paraId="081D4BE0">
            <w:pPr>
              <w:adjustRightInd w:val="0"/>
              <w:snapToGrid w:val="0"/>
              <w:spacing w:line="240" w:lineRule="auto"/>
              <w:ind w:firstLine="0"/>
              <w:jc w:val="center"/>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绵阳</w:t>
            </w:r>
          </w:p>
        </w:tc>
      </w:tr>
      <w:tr w14:paraId="0D7B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3EDF4A5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1" w:type="dxa"/>
            <w:gridSpan w:val="7"/>
            <w:shd w:val="clear" w:color="000000" w:fill="FFFFFF"/>
            <w:noWrap/>
            <w:vAlign w:val="center"/>
          </w:tcPr>
          <w:p w14:paraId="4C9BE308">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四川省绵阳市游仙区三星路188号</w:t>
            </w:r>
          </w:p>
        </w:tc>
      </w:tr>
      <w:tr w14:paraId="5ABD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8" w:hRule="atLeast"/>
          <w:jc w:val="center"/>
        </w:trPr>
        <w:tc>
          <w:tcPr>
            <w:tcW w:w="1300" w:type="dxa"/>
            <w:shd w:val="clear" w:color="auto" w:fill="E7E6E6" w:themeFill="background2"/>
            <w:noWrap/>
            <w:vAlign w:val="center"/>
          </w:tcPr>
          <w:p w14:paraId="5B6A7EE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7"/>
            <w:shd w:val="clear" w:color="000000" w:fill="FFFFFF"/>
            <w:vAlign w:val="center"/>
          </w:tcPr>
          <w:p w14:paraId="4B2C05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2003年底，东材科技经国家人事部批准（国人部发（2003）74号），率先在绝缘行业系统设立博士后科研工作站。</w:t>
            </w:r>
          </w:p>
          <w:p w14:paraId="4E29C92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东材科技是一家专业从事新材料研发、制造、销售的科技型上市公司，总部位于中国科技城-四川省绵阳市，旗下拥17家子公司。公司一贯秉承“科技立企、实干兴业”的发展理念，坚持走自主创新之路，依托国家认定企业技术中心、国家绝缘材料工程技术研究中心、发电与输变电设备绝缘材料开发与应用国家地方联合工程研究中心、博士后科研工作站等创新平台，以新能源材料为基础，重点发展光学膜材料、环保功能材料、先进电子材料等系列产品，服务于发电设备、特高压/智能电网、新能源、轨道交通、工业电器、家用电器、平板显示、消费电子、5G通讯、环保阻燃织物、安全防护等诸多领域。公司产品以其优异的性能和良好的声誉远销50多个国家和地区，与众多国内外知名企业建立了长期稳定的合作关系。</w:t>
            </w:r>
          </w:p>
          <w:p w14:paraId="0EE6C6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东材科技博士后科研工作站热忱欢迎有识之士加盟。我们会努力构建起一个创新、高效、宽松的平台，让科技精英尽展才华。</w:t>
            </w:r>
          </w:p>
        </w:tc>
      </w:tr>
      <w:tr w14:paraId="7275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4" w:hRule="atLeast"/>
          <w:jc w:val="center"/>
        </w:trPr>
        <w:tc>
          <w:tcPr>
            <w:tcW w:w="1300" w:type="dxa"/>
            <w:shd w:val="clear" w:color="auto" w:fill="E7E6E6" w:themeFill="background2"/>
            <w:noWrap/>
            <w:vAlign w:val="center"/>
          </w:tcPr>
          <w:p w14:paraId="317DA9C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7"/>
            <w:shd w:val="clear" w:color="000000" w:fill="FFFFFF"/>
            <w:vAlign w:val="center"/>
          </w:tcPr>
          <w:p w14:paraId="486A9A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研究环境：充分发挥公司在绝缘行业中的技术、资源优势，为博士后们提供展示才华的平台。每位博士后进站后由国家级技术中心主任担任其指导老师，给予研究工作的全面深入指导，确保科研能力的不断提高。另外，公司还组织博士后参加各种相关学术交流会，创造交流学习提升的机会。</w:t>
            </w:r>
          </w:p>
          <w:p w14:paraId="2F5510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薪酬激励：对在站博士后的薪酬实行基本薪酬加科研成果奖励的激励机制。正式完成博士后开题报告后，根据课题的研发进度和工作绩效,在基本薪酬的基础上，按一定比例进行奖励。同时，若博士后在站期间参与公司产品系列课题，可参与公司相关奖项的评定。</w:t>
            </w:r>
          </w:p>
          <w:p w14:paraId="47B029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后勤保障：公司为在站博士后提供配备家具的两室一厅住房；推行服务式管理，全力做好博士后在站期间的组织、协调及家属随调、子女入学等方面工作。在站博士后配偶及未成年子女可随在站博士后一起流动，子女的入托、入学，除享受公司员工子女待遇外，其他的优惠政策按国家、省、市的有关规定执行。公司还根据在站博士后配偶的专业方向和特长，优先为其解决在公司的工作问题，工资待遇按公司有关规定执行。</w:t>
            </w:r>
          </w:p>
        </w:tc>
      </w:tr>
      <w:tr w14:paraId="4E7E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98" w:type="dxa"/>
            <w:gridSpan w:val="2"/>
            <w:shd w:val="clear" w:color="auto" w:fill="E7E6E6" w:themeFill="background2"/>
            <w:noWrap/>
            <w:vAlign w:val="center"/>
          </w:tcPr>
          <w:p w14:paraId="4EA861F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8" w:type="dxa"/>
            <w:gridSpan w:val="2"/>
            <w:shd w:val="clear" w:color="auto" w:fill="E7E6E6" w:themeFill="background2"/>
            <w:vAlign w:val="center"/>
          </w:tcPr>
          <w:p w14:paraId="41A9ED4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14:paraId="2A486A3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14:paraId="75BCED3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1643EE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22" w:type="dxa"/>
            <w:shd w:val="clear" w:color="auto" w:fill="E7E6E6" w:themeFill="background2"/>
            <w:vAlign w:val="center"/>
          </w:tcPr>
          <w:p w14:paraId="3D0428C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53C766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86" w:type="dxa"/>
            <w:shd w:val="clear" w:color="auto" w:fill="E7E6E6" w:themeFill="background2"/>
            <w:vAlign w:val="center"/>
          </w:tcPr>
          <w:p w14:paraId="49D921B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331150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C46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98" w:type="dxa"/>
            <w:gridSpan w:val="2"/>
            <w:shd w:val="clear" w:color="000000" w:fill="FFFFFF"/>
            <w:noWrap/>
            <w:vAlign w:val="center"/>
          </w:tcPr>
          <w:p w14:paraId="3B7141EF">
            <w:pPr>
              <w:spacing w:before="68" w:line="22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电子树脂合成</w:t>
            </w:r>
          </w:p>
        </w:tc>
        <w:tc>
          <w:tcPr>
            <w:tcW w:w="1108" w:type="dxa"/>
            <w:gridSpan w:val="2"/>
            <w:shd w:val="clear" w:color="000000" w:fill="FFFFFF"/>
            <w:vAlign w:val="center"/>
          </w:tcPr>
          <w:p w14:paraId="3129E85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16" w:type="dxa"/>
            <w:shd w:val="clear" w:color="000000" w:fill="FFFFFF"/>
            <w:vAlign w:val="center"/>
          </w:tcPr>
          <w:p w14:paraId="76D33B9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1" w:type="dxa"/>
            <w:shd w:val="clear" w:color="000000" w:fill="FFFFFF"/>
            <w:vAlign w:val="center"/>
          </w:tcPr>
          <w:p w14:paraId="2AD007AD">
            <w:pPr>
              <w:spacing w:before="68" w:line="22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高分子材料与合成</w:t>
            </w:r>
          </w:p>
        </w:tc>
        <w:tc>
          <w:tcPr>
            <w:tcW w:w="1622" w:type="dxa"/>
            <w:shd w:val="clear" w:color="000000" w:fill="FFFFFF"/>
            <w:vAlign w:val="center"/>
          </w:tcPr>
          <w:p w14:paraId="4AA0870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6</w:t>
            </w:r>
          </w:p>
        </w:tc>
        <w:tc>
          <w:tcPr>
            <w:tcW w:w="1786" w:type="dxa"/>
            <w:vMerge w:val="restart"/>
            <w:shd w:val="clear" w:color="000000" w:fill="FFFFFF"/>
            <w:vAlign w:val="center"/>
          </w:tcPr>
          <w:p w14:paraId="389446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211及以上</w:t>
            </w:r>
          </w:p>
        </w:tc>
      </w:tr>
      <w:tr w14:paraId="282E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98" w:type="dxa"/>
            <w:gridSpan w:val="2"/>
            <w:shd w:val="clear" w:color="000000" w:fill="FFFFFF"/>
            <w:noWrap/>
            <w:vAlign w:val="center"/>
          </w:tcPr>
          <w:p w14:paraId="18495592">
            <w:pPr>
              <w:spacing w:before="68" w:line="22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膜类</w:t>
            </w:r>
          </w:p>
        </w:tc>
        <w:tc>
          <w:tcPr>
            <w:tcW w:w="1108" w:type="dxa"/>
            <w:gridSpan w:val="2"/>
            <w:shd w:val="clear" w:color="000000" w:fill="FFFFFF"/>
            <w:vAlign w:val="center"/>
          </w:tcPr>
          <w:p w14:paraId="3525202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16" w:type="dxa"/>
            <w:shd w:val="clear" w:color="000000" w:fill="FFFFFF"/>
            <w:vAlign w:val="center"/>
          </w:tcPr>
          <w:p w14:paraId="1AE23C8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621" w:type="dxa"/>
            <w:shd w:val="clear" w:color="000000" w:fill="FFFFFF"/>
            <w:vAlign w:val="center"/>
          </w:tcPr>
          <w:p w14:paraId="2A392749">
            <w:pPr>
              <w:spacing w:before="68" w:line="22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高分子材料与合成</w:t>
            </w:r>
          </w:p>
        </w:tc>
        <w:tc>
          <w:tcPr>
            <w:tcW w:w="1622" w:type="dxa"/>
            <w:shd w:val="clear" w:color="000000" w:fill="FFFFFF"/>
            <w:vAlign w:val="center"/>
          </w:tcPr>
          <w:p w14:paraId="33F5468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786" w:type="dxa"/>
            <w:vMerge w:val="continue"/>
            <w:shd w:val="clear" w:color="000000" w:fill="FFFFFF"/>
            <w:vAlign w:val="center"/>
          </w:tcPr>
          <w:p w14:paraId="422282E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0898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98" w:type="dxa"/>
            <w:gridSpan w:val="2"/>
            <w:shd w:val="clear" w:color="000000" w:fill="FFFFFF"/>
            <w:noWrap/>
            <w:vAlign w:val="center"/>
          </w:tcPr>
          <w:p w14:paraId="6D98F65B">
            <w:pPr>
              <w:spacing w:before="68" w:line="22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功能聚酯类</w:t>
            </w:r>
          </w:p>
        </w:tc>
        <w:tc>
          <w:tcPr>
            <w:tcW w:w="1108" w:type="dxa"/>
            <w:gridSpan w:val="2"/>
            <w:shd w:val="clear" w:color="000000" w:fill="FFFFFF"/>
            <w:vAlign w:val="center"/>
          </w:tcPr>
          <w:p w14:paraId="3022A1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16" w:type="dxa"/>
            <w:shd w:val="clear" w:color="000000" w:fill="FFFFFF"/>
            <w:vAlign w:val="center"/>
          </w:tcPr>
          <w:p w14:paraId="2D9409F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21" w:type="dxa"/>
            <w:shd w:val="clear" w:color="000000" w:fill="FFFFFF"/>
            <w:vAlign w:val="center"/>
          </w:tcPr>
          <w:p w14:paraId="0201E682">
            <w:pPr>
              <w:spacing w:before="68" w:line="22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高分子材料与合成</w:t>
            </w:r>
          </w:p>
        </w:tc>
        <w:tc>
          <w:tcPr>
            <w:tcW w:w="1622" w:type="dxa"/>
            <w:shd w:val="clear" w:color="000000" w:fill="FFFFFF"/>
            <w:vAlign w:val="center"/>
          </w:tcPr>
          <w:p w14:paraId="1515CE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786" w:type="dxa"/>
            <w:vMerge w:val="continue"/>
            <w:shd w:val="clear" w:color="000000" w:fill="FFFFFF"/>
            <w:vAlign w:val="center"/>
          </w:tcPr>
          <w:p w14:paraId="3FB745E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5EB5E904">
      <w:pPr>
        <w:pStyle w:val="5"/>
        <w:adjustRightInd w:val="0"/>
        <w:snapToGrid w:val="0"/>
        <w:spacing w:line="240" w:lineRule="auto"/>
        <w:ind w:firstLine="0"/>
        <w:jc w:val="center"/>
        <w:rPr>
          <w:rFonts w:eastAsia="方正小标宋简体"/>
          <w:sz w:val="44"/>
          <w:szCs w:val="44"/>
        </w:rPr>
      </w:pPr>
    </w:p>
    <w:p w14:paraId="796D73DE">
      <w:pPr>
        <w:pStyle w:val="5"/>
        <w:adjustRightInd w:val="0"/>
        <w:snapToGrid w:val="0"/>
        <w:spacing w:line="240" w:lineRule="auto"/>
        <w:ind w:firstLine="0"/>
        <w:jc w:val="center"/>
        <w:rPr>
          <w:rFonts w:eastAsia="方正小标宋简体"/>
          <w:sz w:val="44"/>
          <w:szCs w:val="44"/>
        </w:rPr>
      </w:pPr>
    </w:p>
    <w:p w14:paraId="370ECC85">
      <w:pPr>
        <w:pStyle w:val="5"/>
        <w:adjustRightInd w:val="0"/>
        <w:snapToGrid w:val="0"/>
        <w:spacing w:line="240" w:lineRule="auto"/>
        <w:ind w:firstLine="0"/>
        <w:jc w:val="center"/>
        <w:rPr>
          <w:rFonts w:eastAsia="方正小标宋简体"/>
          <w:sz w:val="44"/>
          <w:szCs w:val="44"/>
        </w:rPr>
      </w:pPr>
    </w:p>
    <w:p w14:paraId="164FD9C5">
      <w:pPr>
        <w:pStyle w:val="5"/>
        <w:adjustRightInd w:val="0"/>
        <w:snapToGrid w:val="0"/>
        <w:spacing w:line="240" w:lineRule="auto"/>
        <w:ind w:firstLine="0"/>
        <w:jc w:val="center"/>
        <w:rPr>
          <w:rFonts w:eastAsia="方正小标宋简体"/>
          <w:sz w:val="44"/>
          <w:szCs w:val="44"/>
        </w:rPr>
      </w:pPr>
    </w:p>
    <w:p w14:paraId="7E6D8C59">
      <w:pPr>
        <w:pStyle w:val="5"/>
        <w:adjustRightInd w:val="0"/>
        <w:snapToGrid w:val="0"/>
        <w:spacing w:line="240" w:lineRule="auto"/>
        <w:ind w:firstLine="0"/>
        <w:jc w:val="center"/>
        <w:rPr>
          <w:rFonts w:eastAsia="方正小标宋简体"/>
          <w:sz w:val="44"/>
          <w:szCs w:val="44"/>
        </w:rPr>
      </w:pPr>
    </w:p>
    <w:p w14:paraId="09AF0496">
      <w:pPr>
        <w:pStyle w:val="5"/>
        <w:adjustRightInd w:val="0"/>
        <w:snapToGrid w:val="0"/>
        <w:spacing w:line="240" w:lineRule="auto"/>
        <w:ind w:firstLine="0"/>
        <w:jc w:val="center"/>
        <w:rPr>
          <w:rFonts w:eastAsia="方正小标宋简体"/>
          <w:sz w:val="44"/>
          <w:szCs w:val="44"/>
        </w:rPr>
      </w:pPr>
    </w:p>
    <w:p w14:paraId="1CD2F510">
      <w:pPr>
        <w:pStyle w:val="5"/>
        <w:adjustRightInd w:val="0"/>
        <w:snapToGrid w:val="0"/>
        <w:spacing w:line="240" w:lineRule="auto"/>
        <w:ind w:firstLine="0"/>
        <w:jc w:val="center"/>
        <w:rPr>
          <w:rFonts w:eastAsia="方正小标宋简体"/>
          <w:sz w:val="44"/>
          <w:szCs w:val="44"/>
        </w:rPr>
      </w:pPr>
    </w:p>
    <w:p w14:paraId="1335E3A7">
      <w:pPr>
        <w:pStyle w:val="5"/>
        <w:adjustRightInd w:val="0"/>
        <w:snapToGrid w:val="0"/>
        <w:spacing w:line="240" w:lineRule="auto"/>
        <w:ind w:firstLine="0"/>
        <w:jc w:val="center"/>
        <w:rPr>
          <w:rFonts w:eastAsia="方正小标宋简体"/>
          <w:sz w:val="44"/>
          <w:szCs w:val="44"/>
        </w:rPr>
      </w:pPr>
    </w:p>
    <w:p w14:paraId="0750BC16">
      <w:pPr>
        <w:pStyle w:val="5"/>
        <w:adjustRightInd w:val="0"/>
        <w:snapToGrid w:val="0"/>
        <w:spacing w:line="240" w:lineRule="auto"/>
        <w:ind w:firstLine="0"/>
        <w:jc w:val="center"/>
        <w:rPr>
          <w:rFonts w:eastAsia="方正小标宋简体"/>
          <w:sz w:val="44"/>
          <w:szCs w:val="44"/>
        </w:rPr>
      </w:pPr>
    </w:p>
    <w:p w14:paraId="010BC8F6">
      <w:pPr>
        <w:pStyle w:val="5"/>
        <w:adjustRightInd w:val="0"/>
        <w:snapToGrid w:val="0"/>
        <w:spacing w:line="240" w:lineRule="auto"/>
        <w:ind w:firstLine="0"/>
        <w:jc w:val="center"/>
        <w:rPr>
          <w:rFonts w:eastAsia="方正小标宋简体"/>
          <w:sz w:val="44"/>
          <w:szCs w:val="44"/>
        </w:rPr>
      </w:pPr>
    </w:p>
    <w:p w14:paraId="3B42FA4A">
      <w:pPr>
        <w:pStyle w:val="5"/>
        <w:adjustRightInd w:val="0"/>
        <w:snapToGrid w:val="0"/>
        <w:spacing w:line="240" w:lineRule="auto"/>
        <w:ind w:firstLine="0"/>
        <w:jc w:val="center"/>
        <w:rPr>
          <w:rFonts w:eastAsia="方正小标宋简体"/>
          <w:sz w:val="44"/>
          <w:szCs w:val="44"/>
        </w:rPr>
      </w:pPr>
    </w:p>
    <w:p w14:paraId="1A33A538">
      <w:pPr>
        <w:pStyle w:val="5"/>
        <w:adjustRightInd w:val="0"/>
        <w:snapToGrid w:val="0"/>
        <w:spacing w:line="240" w:lineRule="auto"/>
        <w:ind w:firstLine="0"/>
        <w:jc w:val="center"/>
        <w:rPr>
          <w:rFonts w:eastAsia="方正小标宋简体"/>
          <w:sz w:val="44"/>
          <w:szCs w:val="44"/>
        </w:rPr>
      </w:pPr>
    </w:p>
    <w:p w14:paraId="3C684185">
      <w:pPr>
        <w:pStyle w:val="5"/>
        <w:adjustRightInd w:val="0"/>
        <w:snapToGrid w:val="0"/>
        <w:spacing w:line="240" w:lineRule="auto"/>
        <w:ind w:firstLine="0"/>
        <w:jc w:val="center"/>
        <w:rPr>
          <w:rFonts w:eastAsia="方正小标宋简体"/>
          <w:sz w:val="44"/>
          <w:szCs w:val="44"/>
        </w:rPr>
      </w:pPr>
    </w:p>
    <w:p w14:paraId="1B103D2C">
      <w:pPr>
        <w:pStyle w:val="5"/>
        <w:adjustRightInd w:val="0"/>
        <w:snapToGrid w:val="0"/>
        <w:spacing w:line="240" w:lineRule="auto"/>
        <w:ind w:firstLine="0"/>
        <w:jc w:val="center"/>
        <w:rPr>
          <w:rFonts w:eastAsia="方正小标宋简体"/>
          <w:sz w:val="44"/>
          <w:szCs w:val="44"/>
        </w:rPr>
      </w:pPr>
    </w:p>
    <w:p w14:paraId="644514E0">
      <w:pPr>
        <w:pStyle w:val="5"/>
        <w:adjustRightInd w:val="0"/>
        <w:snapToGrid w:val="0"/>
        <w:spacing w:line="240" w:lineRule="auto"/>
        <w:ind w:firstLine="0"/>
        <w:jc w:val="center"/>
        <w:rPr>
          <w:rFonts w:eastAsia="方正小标宋简体"/>
          <w:sz w:val="44"/>
          <w:szCs w:val="44"/>
        </w:rPr>
      </w:pPr>
    </w:p>
    <w:p w14:paraId="2C1A70E4">
      <w:pPr>
        <w:pStyle w:val="5"/>
        <w:adjustRightInd w:val="0"/>
        <w:snapToGrid w:val="0"/>
        <w:spacing w:line="240" w:lineRule="auto"/>
        <w:ind w:firstLine="0"/>
        <w:jc w:val="center"/>
        <w:rPr>
          <w:rFonts w:eastAsia="方正小标宋简体"/>
          <w:sz w:val="44"/>
          <w:szCs w:val="44"/>
        </w:rPr>
      </w:pPr>
    </w:p>
    <w:p w14:paraId="40BD3312">
      <w:pPr>
        <w:pStyle w:val="5"/>
        <w:adjustRightInd w:val="0"/>
        <w:snapToGrid w:val="0"/>
        <w:spacing w:line="240" w:lineRule="auto"/>
        <w:ind w:firstLine="0"/>
        <w:jc w:val="center"/>
        <w:rPr>
          <w:rFonts w:eastAsia="方正小标宋简体"/>
          <w:sz w:val="44"/>
          <w:szCs w:val="44"/>
        </w:rPr>
      </w:pPr>
    </w:p>
    <w:p w14:paraId="2E53018E">
      <w:pPr>
        <w:pStyle w:val="5"/>
        <w:adjustRightInd w:val="0"/>
        <w:snapToGrid w:val="0"/>
        <w:spacing w:line="240" w:lineRule="auto"/>
        <w:ind w:firstLine="0"/>
        <w:jc w:val="center"/>
        <w:rPr>
          <w:rFonts w:hint="eastAsia" w:eastAsia="方正小标宋简体"/>
          <w:sz w:val="44"/>
          <w:szCs w:val="44"/>
          <w:highlight w:val="yellow"/>
        </w:rPr>
      </w:pPr>
    </w:p>
    <w:p w14:paraId="0FA1546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27" w:name="_Toc11103"/>
      <w:bookmarkStart w:id="328" w:name="_Toc17068"/>
      <w:bookmarkStart w:id="329" w:name="_Toc67"/>
      <w:bookmarkStart w:id="330" w:name="_Toc11778"/>
      <w:bookmarkStart w:id="331" w:name="_Toc31700"/>
      <w:r>
        <w:rPr>
          <w:rFonts w:hint="eastAsia" w:eastAsia="方正小标宋简体"/>
          <w:sz w:val="44"/>
          <w:szCs w:val="44"/>
          <w:highlight w:val="none"/>
        </w:rPr>
        <w:t>四川航天烽火伺服控制技术有限公司</w:t>
      </w:r>
      <w:bookmarkEnd w:id="327"/>
      <w:bookmarkEnd w:id="328"/>
      <w:bookmarkEnd w:id="329"/>
      <w:bookmarkEnd w:id="330"/>
      <w:bookmarkEnd w:id="331"/>
    </w:p>
    <w:p w14:paraId="409A43F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115B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3B56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61B4BBE5">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50" w:type="dxa"/>
            <w:gridSpan w:val="2"/>
            <w:shd w:val="clear" w:color="auto" w:fill="E7E6E6" w:themeFill="background2"/>
            <w:noWrap/>
            <w:vAlign w:val="center"/>
          </w:tcPr>
          <w:p w14:paraId="1F34E5B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E76B20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9A64AC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76A3690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1D4C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6FB3D2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5DF6DB3A">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四川省成都市温江区长安路198号</w:t>
            </w:r>
          </w:p>
        </w:tc>
      </w:tr>
      <w:tr w14:paraId="3DC4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jc w:val="center"/>
        </w:trPr>
        <w:tc>
          <w:tcPr>
            <w:tcW w:w="1271" w:type="dxa"/>
            <w:shd w:val="clear" w:color="auto" w:fill="E7E6E6" w:themeFill="background2"/>
            <w:noWrap/>
            <w:vAlign w:val="center"/>
          </w:tcPr>
          <w:p w14:paraId="518B5B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3CC922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四川航天烽火伺服控制技术有限公司，隶属于中国航天科技集团有限公司四川航天技术研究院。公司始建于1966年，现位于成都市温江区。现已建设成为集机、电、液、气研制生产为一体的航天伺服控制系统国有大型企业</w:t>
            </w:r>
            <w:r>
              <w:rPr>
                <w:rFonts w:hint="eastAsia" w:eastAsiaTheme="minorEastAsia"/>
                <w:sz w:val="21"/>
                <w:szCs w:val="21"/>
                <w:lang w:eastAsia="zh-CN"/>
              </w:rPr>
              <w:t>。</w:t>
            </w:r>
          </w:p>
        </w:tc>
      </w:tr>
      <w:tr w14:paraId="5C0B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1271" w:type="dxa"/>
            <w:shd w:val="clear" w:color="auto" w:fill="E7E6E6" w:themeFill="background2"/>
            <w:noWrap/>
            <w:vAlign w:val="center"/>
          </w:tcPr>
          <w:p w14:paraId="5AF0A83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1EAED5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进站博士后除享受企业同等岗位同等条件人员的工资待遇外，公司还为其提供生活住房，解决配偶工作、子女上学与户口落户等问题，在生活上解决了进站博士的后顾之忧从而使得进站博士能更加专注于课题研究和技术革新等科研工作。</w:t>
            </w:r>
          </w:p>
        </w:tc>
      </w:tr>
      <w:tr w14:paraId="529D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3B1183B1">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6492666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62FD41E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46A1A36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FC6475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00354A0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36CF54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336B3E7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A26F38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59F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2461" w:type="dxa"/>
            <w:gridSpan w:val="2"/>
            <w:shd w:val="clear" w:color="000000" w:fill="FFFFFF"/>
            <w:noWrap/>
            <w:vAlign w:val="center"/>
          </w:tcPr>
          <w:p w14:paraId="13DE6EE4">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应用于同相供电系统的隔离非隔离混合拓扑及其调制策略</w:t>
            </w:r>
          </w:p>
        </w:tc>
        <w:tc>
          <w:tcPr>
            <w:tcW w:w="1116" w:type="dxa"/>
            <w:gridSpan w:val="2"/>
            <w:shd w:val="clear" w:color="000000" w:fill="FFFFFF"/>
            <w:vAlign w:val="center"/>
          </w:tcPr>
          <w:p w14:paraId="0102B5CA">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30962203">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49A337BC">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信息与通信工程</w:t>
            </w:r>
          </w:p>
        </w:tc>
        <w:tc>
          <w:tcPr>
            <w:tcW w:w="1428" w:type="dxa"/>
            <w:gridSpan w:val="2"/>
            <w:shd w:val="clear" w:color="000000" w:fill="FFFFFF"/>
            <w:vAlign w:val="center"/>
          </w:tcPr>
          <w:p w14:paraId="250F8D17">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w:t>
            </w:r>
          </w:p>
        </w:tc>
        <w:tc>
          <w:tcPr>
            <w:tcW w:w="1715" w:type="dxa"/>
            <w:shd w:val="clear" w:color="000000" w:fill="FFFFFF"/>
            <w:vAlign w:val="center"/>
          </w:tcPr>
          <w:p w14:paraId="54070EE1">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bl>
    <w:p w14:paraId="0308BF7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030B8E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none"/>
        </w:rPr>
      </w:pPr>
    </w:p>
    <w:p w14:paraId="05A9DDD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none"/>
        </w:rPr>
      </w:pPr>
    </w:p>
    <w:p w14:paraId="62C1F12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68858FEA">
      <w:pPr>
        <w:pStyle w:val="5"/>
        <w:adjustRightInd w:val="0"/>
        <w:snapToGrid w:val="0"/>
        <w:spacing w:line="240" w:lineRule="auto"/>
        <w:ind w:firstLine="0"/>
        <w:jc w:val="center"/>
        <w:outlineLvl w:val="0"/>
        <w:rPr>
          <w:rFonts w:eastAsia="方正小标宋简体"/>
          <w:sz w:val="44"/>
          <w:szCs w:val="44"/>
        </w:rPr>
      </w:pPr>
      <w:bookmarkStart w:id="332" w:name="_Toc28153"/>
      <w:bookmarkStart w:id="333" w:name="_Toc15960"/>
      <w:bookmarkStart w:id="334" w:name="_Toc32327"/>
      <w:bookmarkStart w:id="335" w:name="_Toc16844"/>
      <w:bookmarkStart w:id="336" w:name="_Toc29401"/>
      <w:r>
        <w:rPr>
          <w:rFonts w:hint="eastAsia" w:eastAsia="方正小标宋简体"/>
          <w:sz w:val="44"/>
          <w:szCs w:val="44"/>
          <w:highlight w:val="none"/>
        </w:rPr>
        <w:t>四川航天燎原科技有限公司</w:t>
      </w:r>
      <w:bookmarkEnd w:id="332"/>
      <w:bookmarkEnd w:id="333"/>
      <w:bookmarkEnd w:id="334"/>
      <w:bookmarkEnd w:id="335"/>
      <w:bookmarkEnd w:id="336"/>
    </w:p>
    <w:p w14:paraId="45101812">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1311"/>
        <w:gridCol w:w="253"/>
        <w:gridCol w:w="2024"/>
      </w:tblGrid>
      <w:tr w14:paraId="4C65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691CBDF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gridSpan w:val="2"/>
            <w:shd w:val="clear" w:color="000000" w:fill="FFFFFF"/>
            <w:noWrap/>
            <w:vAlign w:val="center"/>
          </w:tcPr>
          <w:p w14:paraId="1904F667">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78" w:type="dxa"/>
            <w:gridSpan w:val="2"/>
            <w:shd w:val="clear" w:color="auto" w:fill="E7E6E6" w:themeFill="background2"/>
            <w:noWrap/>
            <w:vAlign w:val="center"/>
          </w:tcPr>
          <w:p w14:paraId="7E6C7D3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6" w:type="dxa"/>
            <w:gridSpan w:val="2"/>
            <w:shd w:val="clear" w:color="000000" w:fill="FFFFFF"/>
            <w:noWrap/>
            <w:vAlign w:val="center"/>
          </w:tcPr>
          <w:p w14:paraId="6CC14BC9">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64" w:type="dxa"/>
            <w:gridSpan w:val="2"/>
            <w:shd w:val="clear" w:color="auto" w:fill="E7E6E6" w:themeFill="background2"/>
            <w:noWrap/>
            <w:vAlign w:val="center"/>
          </w:tcPr>
          <w:p w14:paraId="66640E7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024" w:type="dxa"/>
            <w:shd w:val="clear" w:color="000000" w:fill="FFFFFF"/>
            <w:noWrap/>
            <w:vAlign w:val="center"/>
          </w:tcPr>
          <w:p w14:paraId="704F7723">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E27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298CA5B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14:paraId="0525581E">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四川省成都市龙泉驿区</w:t>
            </w:r>
          </w:p>
        </w:tc>
      </w:tr>
      <w:tr w14:paraId="692C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300" w:type="dxa"/>
            <w:shd w:val="clear" w:color="auto" w:fill="E7E6E6" w:themeFill="background2"/>
            <w:noWrap/>
            <w:vAlign w:val="center"/>
          </w:tcPr>
          <w:p w14:paraId="1CD58D1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14:paraId="084118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航天燎原科技有限公司隶属于中国航天科技集团公司第七研究院，是同行业中综合实力强、技术密集的航天重点骨干企业，目前拥有1家独资公司和1家参股公司，资产近40亿，在岗职工2000余人。公司长期承担以高新工程为代表的国家重点装备型号和以载人航天工程为代表的航天电子产品批产任务，复合抗干扰、信息融合等核心技术国内领先。公司经批准于2013年成为成都经济技术开发区博士后科研工作站下属国家级分站，先后引进5名博士后进站从事科研开发，其中4名已出战，1名在站，引育的博士后人才为公司技术攻坚克难发挥了重要作用，解决了多个难题，实现经济效益5亿元以上。</w:t>
            </w:r>
          </w:p>
        </w:tc>
      </w:tr>
      <w:tr w14:paraId="196A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300" w:type="dxa"/>
            <w:shd w:val="clear" w:color="auto" w:fill="E7E6E6" w:themeFill="background2"/>
            <w:noWrap/>
            <w:vAlign w:val="center"/>
          </w:tcPr>
          <w:p w14:paraId="14D9398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14:paraId="611C7D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在站期间的工资待遇，参照公司薪酬及绩效管理制度执行或按双方协议执行，对表现优秀、研究成果突出、为公司解决重要技术难题可给予特别奖励；享受与公司员工同等的社会保险、补充保险、住房公积金、体检以及各种休息休假等福利待遇。</w:t>
            </w:r>
          </w:p>
        </w:tc>
      </w:tr>
      <w:tr w14:paraId="3E0F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56" w:type="dxa"/>
            <w:gridSpan w:val="2"/>
            <w:shd w:val="clear" w:color="auto" w:fill="E7E6E6" w:themeFill="background2"/>
            <w:noWrap/>
            <w:vAlign w:val="center"/>
          </w:tcPr>
          <w:p w14:paraId="7944FA7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vAlign w:val="center"/>
          </w:tcPr>
          <w:p w14:paraId="183DECC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9" w:type="dxa"/>
            <w:shd w:val="clear" w:color="auto" w:fill="E7E6E6" w:themeFill="background2"/>
            <w:vAlign w:val="center"/>
          </w:tcPr>
          <w:p w14:paraId="18F31C3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62" w:type="dxa"/>
            <w:gridSpan w:val="2"/>
            <w:shd w:val="clear" w:color="auto" w:fill="E7E6E6" w:themeFill="background2"/>
            <w:vAlign w:val="center"/>
          </w:tcPr>
          <w:p w14:paraId="65890CC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17D09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64" w:type="dxa"/>
            <w:gridSpan w:val="2"/>
            <w:shd w:val="clear" w:color="auto" w:fill="E7E6E6" w:themeFill="background2"/>
            <w:vAlign w:val="center"/>
          </w:tcPr>
          <w:p w14:paraId="711FBB4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BAA9DE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77" w:type="dxa"/>
            <w:gridSpan w:val="2"/>
            <w:shd w:val="clear" w:color="auto" w:fill="E7E6E6" w:themeFill="background2"/>
            <w:vAlign w:val="center"/>
          </w:tcPr>
          <w:p w14:paraId="20D1DD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6FA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56" w:type="dxa"/>
            <w:gridSpan w:val="2"/>
            <w:vMerge w:val="restart"/>
            <w:shd w:val="clear" w:color="000000" w:fill="FFFFFF"/>
            <w:noWrap/>
            <w:vAlign w:val="center"/>
          </w:tcPr>
          <w:p w14:paraId="5D8B11B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基于雷达/红外图像的海面目标检测、识别评测技术</w:t>
            </w:r>
          </w:p>
        </w:tc>
        <w:tc>
          <w:tcPr>
            <w:tcW w:w="1203" w:type="dxa"/>
            <w:shd w:val="clear" w:color="000000" w:fill="FFFFFF"/>
            <w:vAlign w:val="center"/>
          </w:tcPr>
          <w:p w14:paraId="0334E81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89" w:type="dxa"/>
            <w:shd w:val="clear" w:color="000000" w:fill="FFFFFF"/>
            <w:vAlign w:val="center"/>
          </w:tcPr>
          <w:p w14:paraId="30E2C2A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62" w:type="dxa"/>
            <w:gridSpan w:val="2"/>
            <w:shd w:val="clear" w:color="000000" w:fill="FFFFFF"/>
            <w:vAlign w:val="center"/>
          </w:tcPr>
          <w:p w14:paraId="3F75FCC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电子信息/</w:t>
            </w:r>
            <w:r>
              <w:rPr>
                <w:rFonts w:hint="default" w:ascii="Times New Roman" w:hAnsi="Times New Roman" w:cs="Times New Roman" w:eastAsiaTheme="minorEastAsia"/>
                <w:sz w:val="21"/>
                <w:szCs w:val="21"/>
              </w:rPr>
              <w:t>信息与通信工程</w:t>
            </w:r>
          </w:p>
        </w:tc>
        <w:tc>
          <w:tcPr>
            <w:tcW w:w="1764" w:type="dxa"/>
            <w:gridSpan w:val="2"/>
            <w:shd w:val="clear" w:color="000000" w:fill="FFFFFF"/>
            <w:vAlign w:val="center"/>
          </w:tcPr>
          <w:p w14:paraId="60C7ED9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年薪</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万</w:t>
            </w:r>
            <w:r>
              <w:rPr>
                <w:rFonts w:hint="default" w:ascii="Times New Roman" w:hAnsi="Times New Roman" w:cs="Times New Roman" w:eastAsiaTheme="minorEastAsia"/>
                <w:sz w:val="21"/>
                <w:szCs w:val="21"/>
                <w:lang w:val="en-US" w:eastAsia="zh-CN"/>
              </w:rPr>
              <w:t>元以上</w:t>
            </w:r>
            <w:r>
              <w:rPr>
                <w:rFonts w:hint="default" w:ascii="Times New Roman" w:hAnsi="Times New Roman" w:cs="Times New Roman" w:eastAsiaTheme="minorEastAsia"/>
                <w:sz w:val="21"/>
                <w:szCs w:val="21"/>
              </w:rPr>
              <w:t>，一次性安家费</w:t>
            </w: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50万</w:t>
            </w:r>
          </w:p>
        </w:tc>
        <w:tc>
          <w:tcPr>
            <w:tcW w:w="2277" w:type="dxa"/>
            <w:gridSpan w:val="2"/>
            <w:vMerge w:val="restart"/>
            <w:shd w:val="clear" w:color="000000" w:fill="FFFFFF"/>
            <w:vAlign w:val="center"/>
          </w:tcPr>
          <w:p w14:paraId="201A562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985、211、双一流高校</w:t>
            </w:r>
          </w:p>
        </w:tc>
      </w:tr>
      <w:tr w14:paraId="5D10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56" w:type="dxa"/>
            <w:gridSpan w:val="2"/>
            <w:vMerge w:val="continue"/>
            <w:shd w:val="clear" w:color="000000" w:fill="FFFFFF"/>
            <w:noWrap/>
            <w:vAlign w:val="center"/>
          </w:tcPr>
          <w:p w14:paraId="7841FB6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p>
        </w:tc>
        <w:tc>
          <w:tcPr>
            <w:tcW w:w="1203" w:type="dxa"/>
            <w:shd w:val="clear" w:color="000000" w:fill="FFFFFF"/>
            <w:vAlign w:val="center"/>
          </w:tcPr>
          <w:p w14:paraId="4BBD5374">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9" w:type="dxa"/>
            <w:shd w:val="clear" w:color="000000" w:fill="FFFFFF"/>
            <w:vAlign w:val="center"/>
          </w:tcPr>
          <w:p w14:paraId="5CFCF817">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default" w:ascii="Times New Roman" w:hAnsi="Times New Roman" w:cs="Times New Roman" w:eastAsiaTheme="minorEastAsia"/>
                <w:kern w:val="0"/>
                <w:sz w:val="21"/>
                <w:szCs w:val="21"/>
              </w:rPr>
              <w:t>BSH00</w:t>
            </w:r>
            <w:r>
              <w:rPr>
                <w:rFonts w:hint="eastAsia" w:ascii="Times New Roman" w:hAnsi="Times New Roman" w:cs="Times New Roman" w:eastAsiaTheme="minorEastAsia"/>
                <w:kern w:val="0"/>
                <w:sz w:val="21"/>
                <w:szCs w:val="21"/>
                <w:lang w:val="en-US" w:eastAsia="zh-CN"/>
              </w:rPr>
              <w:t>2</w:t>
            </w:r>
          </w:p>
        </w:tc>
        <w:tc>
          <w:tcPr>
            <w:tcW w:w="1762" w:type="dxa"/>
            <w:gridSpan w:val="2"/>
            <w:shd w:val="clear" w:color="000000" w:fill="FFFFFF"/>
            <w:vAlign w:val="center"/>
          </w:tcPr>
          <w:p w14:paraId="51382F9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信号与信息处理</w:t>
            </w:r>
          </w:p>
        </w:tc>
        <w:tc>
          <w:tcPr>
            <w:tcW w:w="1764" w:type="dxa"/>
            <w:gridSpan w:val="2"/>
            <w:shd w:val="clear" w:color="000000" w:fill="FFFFFF"/>
            <w:vAlign w:val="center"/>
          </w:tcPr>
          <w:p w14:paraId="5167ED81">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年薪</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万</w:t>
            </w:r>
            <w:r>
              <w:rPr>
                <w:rFonts w:hint="default" w:ascii="Times New Roman" w:hAnsi="Times New Roman" w:cs="Times New Roman" w:eastAsiaTheme="minorEastAsia"/>
                <w:sz w:val="21"/>
                <w:szCs w:val="21"/>
                <w:lang w:val="en-US" w:eastAsia="zh-CN"/>
              </w:rPr>
              <w:t>元以上</w:t>
            </w:r>
            <w:r>
              <w:rPr>
                <w:rFonts w:hint="default" w:ascii="Times New Roman" w:hAnsi="Times New Roman" w:cs="Times New Roman" w:eastAsiaTheme="minorEastAsia"/>
                <w:sz w:val="21"/>
                <w:szCs w:val="21"/>
              </w:rPr>
              <w:t>，一次性安家费</w:t>
            </w: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50万</w:t>
            </w:r>
          </w:p>
        </w:tc>
        <w:tc>
          <w:tcPr>
            <w:tcW w:w="2277" w:type="dxa"/>
            <w:gridSpan w:val="2"/>
            <w:vMerge w:val="continue"/>
            <w:shd w:val="clear" w:color="000000" w:fill="FFFFFF"/>
            <w:vAlign w:val="center"/>
          </w:tcPr>
          <w:p w14:paraId="61696C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0A15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56" w:type="dxa"/>
            <w:gridSpan w:val="2"/>
            <w:vMerge w:val="restart"/>
            <w:shd w:val="clear" w:color="000000" w:fill="FFFFFF"/>
            <w:noWrap/>
            <w:vAlign w:val="center"/>
          </w:tcPr>
          <w:p w14:paraId="183710A3">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复杂场景下SAR图像预处理技术研究</w:t>
            </w:r>
          </w:p>
        </w:tc>
        <w:tc>
          <w:tcPr>
            <w:tcW w:w="1203" w:type="dxa"/>
            <w:shd w:val="clear" w:color="000000" w:fill="FFFFFF"/>
            <w:vAlign w:val="center"/>
          </w:tcPr>
          <w:p w14:paraId="5E33FD35">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9" w:type="dxa"/>
            <w:shd w:val="clear" w:color="000000" w:fill="FFFFFF"/>
            <w:vAlign w:val="center"/>
          </w:tcPr>
          <w:p w14:paraId="24974E59">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default" w:ascii="Times New Roman" w:hAnsi="Times New Roman" w:cs="Times New Roman" w:eastAsiaTheme="minorEastAsia"/>
                <w:kern w:val="0"/>
                <w:sz w:val="21"/>
                <w:szCs w:val="21"/>
              </w:rPr>
              <w:t>BSH00</w:t>
            </w:r>
            <w:r>
              <w:rPr>
                <w:rFonts w:hint="eastAsia" w:ascii="Times New Roman" w:hAnsi="Times New Roman" w:cs="Times New Roman" w:eastAsiaTheme="minorEastAsia"/>
                <w:kern w:val="0"/>
                <w:sz w:val="21"/>
                <w:szCs w:val="21"/>
                <w:lang w:val="en-US" w:eastAsia="zh-CN"/>
              </w:rPr>
              <w:t>3</w:t>
            </w:r>
          </w:p>
        </w:tc>
        <w:tc>
          <w:tcPr>
            <w:tcW w:w="1762" w:type="dxa"/>
            <w:gridSpan w:val="2"/>
            <w:shd w:val="clear" w:color="000000" w:fill="FFFFFF"/>
            <w:vAlign w:val="center"/>
          </w:tcPr>
          <w:p w14:paraId="4A6E412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电子信息/</w:t>
            </w:r>
            <w:r>
              <w:rPr>
                <w:rFonts w:hint="default" w:ascii="Times New Roman" w:hAnsi="Times New Roman" w:cs="Times New Roman" w:eastAsiaTheme="minorEastAsia"/>
                <w:sz w:val="21"/>
                <w:szCs w:val="21"/>
              </w:rPr>
              <w:t>信息与通信工程</w:t>
            </w:r>
          </w:p>
        </w:tc>
        <w:tc>
          <w:tcPr>
            <w:tcW w:w="1764" w:type="dxa"/>
            <w:gridSpan w:val="2"/>
            <w:shd w:val="clear" w:color="000000" w:fill="FFFFFF"/>
            <w:vAlign w:val="center"/>
          </w:tcPr>
          <w:p w14:paraId="2C60B10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年薪</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万</w:t>
            </w:r>
            <w:r>
              <w:rPr>
                <w:rFonts w:hint="default" w:ascii="Times New Roman" w:hAnsi="Times New Roman" w:cs="Times New Roman" w:eastAsiaTheme="minorEastAsia"/>
                <w:sz w:val="21"/>
                <w:szCs w:val="21"/>
                <w:lang w:val="en-US" w:eastAsia="zh-CN"/>
              </w:rPr>
              <w:t>元以上</w:t>
            </w:r>
            <w:r>
              <w:rPr>
                <w:rFonts w:hint="default" w:ascii="Times New Roman" w:hAnsi="Times New Roman" w:cs="Times New Roman" w:eastAsiaTheme="minorEastAsia"/>
                <w:sz w:val="21"/>
                <w:szCs w:val="21"/>
              </w:rPr>
              <w:t>，一次性安家费</w:t>
            </w: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50万</w:t>
            </w:r>
          </w:p>
        </w:tc>
        <w:tc>
          <w:tcPr>
            <w:tcW w:w="2277" w:type="dxa"/>
            <w:gridSpan w:val="2"/>
            <w:vMerge w:val="continue"/>
            <w:shd w:val="clear" w:color="000000" w:fill="FFFFFF"/>
            <w:vAlign w:val="center"/>
          </w:tcPr>
          <w:p w14:paraId="13453F2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5A2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56" w:type="dxa"/>
            <w:gridSpan w:val="2"/>
            <w:vMerge w:val="continue"/>
            <w:shd w:val="clear" w:color="000000" w:fill="FFFFFF"/>
            <w:noWrap/>
            <w:vAlign w:val="center"/>
          </w:tcPr>
          <w:p w14:paraId="7663AF8A">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03" w:type="dxa"/>
            <w:shd w:val="clear" w:color="000000" w:fill="FFFFFF"/>
            <w:vAlign w:val="center"/>
          </w:tcPr>
          <w:p w14:paraId="7A3A7D02">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89" w:type="dxa"/>
            <w:shd w:val="clear" w:color="000000" w:fill="FFFFFF"/>
            <w:vAlign w:val="center"/>
          </w:tcPr>
          <w:p w14:paraId="28477702">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eastAsia="zh-CN"/>
              </w:rPr>
            </w:pPr>
            <w:r>
              <w:rPr>
                <w:rFonts w:hint="default" w:ascii="Times New Roman" w:hAnsi="Times New Roman" w:cs="Times New Roman" w:eastAsiaTheme="minorEastAsia"/>
                <w:kern w:val="0"/>
                <w:sz w:val="21"/>
                <w:szCs w:val="21"/>
              </w:rPr>
              <w:t>BSH00</w:t>
            </w:r>
            <w:r>
              <w:rPr>
                <w:rFonts w:hint="eastAsia" w:ascii="Times New Roman" w:hAnsi="Times New Roman" w:cs="Times New Roman" w:eastAsiaTheme="minorEastAsia"/>
                <w:kern w:val="0"/>
                <w:sz w:val="21"/>
                <w:szCs w:val="21"/>
                <w:lang w:val="en-US" w:eastAsia="zh-CN"/>
              </w:rPr>
              <w:t>4</w:t>
            </w:r>
          </w:p>
        </w:tc>
        <w:tc>
          <w:tcPr>
            <w:tcW w:w="1762" w:type="dxa"/>
            <w:gridSpan w:val="2"/>
            <w:shd w:val="clear" w:color="000000" w:fill="FFFFFF"/>
            <w:vAlign w:val="center"/>
          </w:tcPr>
          <w:p w14:paraId="7C720A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信号与信息处理</w:t>
            </w:r>
          </w:p>
        </w:tc>
        <w:tc>
          <w:tcPr>
            <w:tcW w:w="1764" w:type="dxa"/>
            <w:gridSpan w:val="2"/>
            <w:shd w:val="clear" w:color="000000" w:fill="FFFFFF"/>
            <w:vAlign w:val="center"/>
          </w:tcPr>
          <w:p w14:paraId="4CD8275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年薪</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万</w:t>
            </w:r>
            <w:r>
              <w:rPr>
                <w:rFonts w:hint="default" w:ascii="Times New Roman" w:hAnsi="Times New Roman" w:cs="Times New Roman" w:eastAsiaTheme="minorEastAsia"/>
                <w:sz w:val="21"/>
                <w:szCs w:val="21"/>
                <w:lang w:val="en-US" w:eastAsia="zh-CN"/>
              </w:rPr>
              <w:t>元以上</w:t>
            </w:r>
            <w:r>
              <w:rPr>
                <w:rFonts w:hint="default" w:ascii="Times New Roman" w:hAnsi="Times New Roman" w:cs="Times New Roman" w:eastAsiaTheme="minorEastAsia"/>
                <w:sz w:val="21"/>
                <w:szCs w:val="21"/>
              </w:rPr>
              <w:t>，一次性安家费</w:t>
            </w: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50万</w:t>
            </w:r>
          </w:p>
        </w:tc>
        <w:tc>
          <w:tcPr>
            <w:tcW w:w="2277" w:type="dxa"/>
            <w:gridSpan w:val="2"/>
            <w:vMerge w:val="continue"/>
            <w:shd w:val="clear" w:color="000000" w:fill="FFFFFF"/>
            <w:vAlign w:val="center"/>
          </w:tcPr>
          <w:p w14:paraId="701CFA5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006EAFFB">
      <w:pPr>
        <w:pStyle w:val="5"/>
        <w:adjustRightInd w:val="0"/>
        <w:snapToGrid w:val="0"/>
        <w:spacing w:line="240" w:lineRule="auto"/>
        <w:ind w:firstLine="0"/>
        <w:jc w:val="center"/>
        <w:rPr>
          <w:rFonts w:eastAsia="方正小标宋简体"/>
          <w:sz w:val="44"/>
          <w:szCs w:val="44"/>
          <w:highlight w:val="yellow"/>
        </w:rPr>
      </w:pPr>
    </w:p>
    <w:p w14:paraId="562E0A39">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337" w:name="_Toc7705"/>
      <w:bookmarkStart w:id="338" w:name="_Toc22865"/>
      <w:bookmarkStart w:id="339" w:name="_Toc12303"/>
      <w:bookmarkStart w:id="340" w:name="_Toc11586"/>
      <w:bookmarkStart w:id="341" w:name="_Toc31884"/>
      <w:r>
        <w:rPr>
          <w:rFonts w:hint="eastAsia" w:ascii="Times New Roman" w:hAnsi="Times New Roman" w:eastAsia="方正小标宋简体" w:cs="Times New Roman"/>
          <w:sz w:val="44"/>
          <w:szCs w:val="44"/>
          <w:highlight w:val="none"/>
        </w:rPr>
        <w:t>四川宏华石油设备有限公司</w:t>
      </w:r>
      <w:bookmarkEnd w:id="337"/>
      <w:bookmarkEnd w:id="338"/>
      <w:bookmarkEnd w:id="339"/>
      <w:bookmarkEnd w:id="340"/>
      <w:bookmarkEnd w:id="341"/>
    </w:p>
    <w:p w14:paraId="0E9B33A4">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782"/>
        <w:gridCol w:w="1822"/>
      </w:tblGrid>
      <w:tr w14:paraId="0196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8B3EEF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5E203C1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0CA0FF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95010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908" w:type="dxa"/>
            <w:gridSpan w:val="2"/>
            <w:shd w:val="clear" w:color="auto" w:fill="E7E6E6" w:themeFill="background2"/>
            <w:noWrap/>
            <w:vAlign w:val="center"/>
          </w:tcPr>
          <w:p w14:paraId="4E3E0C5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779" w:type="dxa"/>
            <w:shd w:val="clear" w:color="000000" w:fill="FFFFFF"/>
            <w:noWrap/>
            <w:vAlign w:val="center"/>
          </w:tcPr>
          <w:p w14:paraId="73AE6EC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成都/广汉</w:t>
            </w:r>
          </w:p>
        </w:tc>
      </w:tr>
      <w:tr w14:paraId="1C4F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F0A608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7345D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四川省广汉市中山大道南段</w:t>
            </w:r>
          </w:p>
        </w:tc>
      </w:tr>
      <w:tr w14:paraId="0F2B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jc w:val="center"/>
        </w:trPr>
        <w:tc>
          <w:tcPr>
            <w:tcW w:w="1271" w:type="dxa"/>
            <w:shd w:val="clear" w:color="auto" w:fill="E7E6E6" w:themeFill="background2"/>
            <w:noWrap/>
            <w:vAlign w:val="center"/>
          </w:tcPr>
          <w:p w14:paraId="5C697FC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2CDB768E">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宏华石油设备有限公司是中国东方电气集团下属核心骨干企业。企业始建于1997年，是我国知名的石油钻探装备研究、设计、制造、成套和服务的大型国际化高新技术企业，是中国最大的石油钻机成套出口企业和全球最大的陆地石油钻机制造商。2008年3月，宏华集团在香港联交所主板上市（HK0196），成为中国首家上市的钻机制造商。</w:t>
            </w:r>
          </w:p>
          <w:p w14:paraId="4D6A9A59">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企业建有国家企业技术中心、国家示范院士专家工作站，省工程技术研究中心、省工程实验室和博士后工作站等科技创新及人才发展平台，获国家知识产权局“国家知识产权示范企业”及工信部“制造业单项冠军示范企业”称号。</w:t>
            </w:r>
          </w:p>
          <w:p w14:paraId="4D7695EE">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eastAsiaTheme="minorEastAsia"/>
                <w:sz w:val="21"/>
                <w:szCs w:val="21"/>
              </w:rPr>
            </w:pPr>
            <w:r>
              <w:rPr>
                <w:rFonts w:hint="eastAsia" w:eastAsiaTheme="minorEastAsia"/>
                <w:sz w:val="21"/>
                <w:szCs w:val="21"/>
              </w:rPr>
              <w:t>企业主要产品涵盖1000至12000米的陆地钻机以及与钻机配套主要部件。产品80%以上出口海外，遍布美洲、非洲、欧洲、中东、中亚、东南亚、俄罗斯等全球30多个国家和地区，多年出口创汇位居行业首位，其中“一带一路”国家产品出口累计达60亿美元。</w:t>
            </w:r>
          </w:p>
        </w:tc>
      </w:tr>
      <w:tr w14:paraId="1B4B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1271" w:type="dxa"/>
            <w:shd w:val="clear" w:color="auto" w:fill="E7E6E6" w:themeFill="background2"/>
            <w:noWrap/>
            <w:vAlign w:val="center"/>
          </w:tcPr>
          <w:p w14:paraId="65CEB5B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23120537">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1.根据专业与方向施行“一人一策”协议薪酬制，提供货币化住房补贴；</w:t>
            </w:r>
          </w:p>
          <w:p w14:paraId="3229843C">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2.可选择与企业签订固定劳动合同或项目工作合同；</w:t>
            </w:r>
          </w:p>
          <w:p w14:paraId="0D563162">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3.根据科研项目，配套相关科研经费，对公司作出一定贡献的，按照相关制度给予奖励；</w:t>
            </w:r>
          </w:p>
          <w:p w14:paraId="3DE3810D">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4.支持博士后研究人员申报国、省级博新计划；</w:t>
            </w:r>
          </w:p>
          <w:p w14:paraId="32B94598">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5.支持博士后研究人员申报省、市、集团公司相关科研项目、人才计划、各类奖补项目；</w:t>
            </w:r>
          </w:p>
          <w:p w14:paraId="41959253">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6.各类培训机会、出国交流学习机会，参与相关项目获取相关项目成果的事业平台。</w:t>
            </w:r>
          </w:p>
        </w:tc>
      </w:tr>
      <w:tr w14:paraId="3C09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6E70C27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7E67BBF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51F65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3562F2E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5D98B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41" w:type="dxa"/>
            <w:shd w:val="clear" w:color="auto" w:fill="E7E6E6" w:themeFill="background2"/>
            <w:vAlign w:val="center"/>
          </w:tcPr>
          <w:p w14:paraId="526ED7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B420BE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9" w:type="dxa"/>
            <w:shd w:val="clear" w:color="auto" w:fill="E7E6E6" w:themeFill="background2"/>
            <w:vAlign w:val="center"/>
          </w:tcPr>
          <w:p w14:paraId="2C8B0DF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D537DF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CE4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A02DA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钻台多功能机器人原理和功能研究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AE51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F3893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E0D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机械工程、控制工程</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7CB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面议</w:t>
            </w:r>
          </w:p>
        </w:tc>
        <w:tc>
          <w:tcPr>
            <w:tcW w:w="177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7E64E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相关高校及科研院所</w:t>
            </w:r>
          </w:p>
        </w:tc>
      </w:tr>
      <w:tr w14:paraId="5DC7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6590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大扭矩高稳定性直驱顶驱系统研制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130C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77F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CFC6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机械工程</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63B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面议</w:t>
            </w:r>
          </w:p>
        </w:tc>
        <w:tc>
          <w:tcPr>
            <w:tcW w:w="1779" w:type="dxa"/>
            <w:vMerge w:val="continue"/>
            <w:tcBorders>
              <w:left w:val="single" w:color="auto" w:sz="4" w:space="0"/>
              <w:right w:val="single" w:color="auto" w:sz="4" w:space="0"/>
              <w:tl2br w:val="nil"/>
              <w:tr2bl w:val="nil"/>
            </w:tcBorders>
            <w:shd w:val="clear" w:color="auto" w:fill="FFFFFF"/>
            <w:vAlign w:val="center"/>
          </w:tcPr>
          <w:p w14:paraId="20BD8B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p>
        </w:tc>
      </w:tr>
      <w:tr w14:paraId="5DFF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7581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海洋工程船舶研究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555A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26F9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3A6E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船舶与海洋工程</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7B3AB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面议</w:t>
            </w:r>
          </w:p>
        </w:tc>
        <w:tc>
          <w:tcPr>
            <w:tcW w:w="1779" w:type="dxa"/>
            <w:vMerge w:val="continue"/>
            <w:tcBorders>
              <w:left w:val="single" w:color="auto" w:sz="4" w:space="0"/>
              <w:right w:val="single" w:color="auto" w:sz="4" w:space="0"/>
              <w:tl2br w:val="nil"/>
              <w:tr2bl w:val="nil"/>
            </w:tcBorders>
            <w:shd w:val="clear" w:color="auto" w:fill="FFFFFF"/>
            <w:vAlign w:val="center"/>
          </w:tcPr>
          <w:p w14:paraId="460BA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p>
        </w:tc>
      </w:tr>
      <w:tr w14:paraId="1881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8748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海上油气田生产系统</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3A4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0D2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BSH00</w:t>
            </w:r>
            <w:r>
              <w:rPr>
                <w:rFonts w:hint="eastAsia" w:cs="Times New Roman" w:eastAsiaTheme="minorEastAsia"/>
                <w:sz w:val="21"/>
                <w:szCs w:val="21"/>
                <w:lang w:val="en-US" w:eastAsia="zh-CN"/>
              </w:rPr>
              <w:t>4</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BB5B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石油与天然气工程</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CFA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面议</w:t>
            </w:r>
          </w:p>
        </w:tc>
        <w:tc>
          <w:tcPr>
            <w:tcW w:w="1779" w:type="dxa"/>
            <w:vMerge w:val="continue"/>
            <w:tcBorders>
              <w:left w:val="single" w:color="auto" w:sz="4" w:space="0"/>
              <w:right w:val="single" w:color="auto" w:sz="4" w:space="0"/>
              <w:tl2br w:val="nil"/>
              <w:tr2bl w:val="nil"/>
            </w:tcBorders>
            <w:shd w:val="clear" w:color="auto" w:fill="FFFFFF"/>
            <w:vAlign w:val="center"/>
          </w:tcPr>
          <w:p w14:paraId="580A4B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p>
        </w:tc>
      </w:tr>
    </w:tbl>
    <w:p w14:paraId="6C80C20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25CD4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42" w:name="_Toc32426"/>
      <w:bookmarkStart w:id="343" w:name="_Toc17065"/>
      <w:bookmarkStart w:id="344" w:name="_Toc21285"/>
      <w:bookmarkStart w:id="345" w:name="_Toc11016"/>
      <w:bookmarkStart w:id="346" w:name="_Toc13661"/>
      <w:r>
        <w:rPr>
          <w:rFonts w:hint="eastAsia" w:eastAsia="方正小标宋简体"/>
          <w:sz w:val="44"/>
          <w:szCs w:val="44"/>
          <w:highlight w:val="none"/>
        </w:rPr>
        <w:t>四川华川工业股份有限公司</w:t>
      </w:r>
      <w:bookmarkEnd w:id="342"/>
      <w:bookmarkEnd w:id="343"/>
      <w:bookmarkEnd w:id="344"/>
      <w:bookmarkEnd w:id="345"/>
      <w:bookmarkEnd w:id="346"/>
    </w:p>
    <w:p w14:paraId="49F1A0F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4819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B08293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2872437">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50" w:type="dxa"/>
            <w:gridSpan w:val="2"/>
            <w:shd w:val="clear" w:color="auto" w:fill="E7E6E6" w:themeFill="background2"/>
            <w:noWrap/>
            <w:vAlign w:val="center"/>
          </w:tcPr>
          <w:p w14:paraId="3C7F58D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50DCE5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17C249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7A673C6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4C4C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DB2C77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74C7ABEF">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四川省成都市龙泉驿区柏合街道合文西路99号</w:t>
            </w:r>
          </w:p>
        </w:tc>
      </w:tr>
      <w:tr w14:paraId="53B7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6" w:hRule="atLeast"/>
          <w:jc w:val="center"/>
        </w:trPr>
        <w:tc>
          <w:tcPr>
            <w:tcW w:w="1271" w:type="dxa"/>
            <w:shd w:val="clear" w:color="auto" w:fill="E7E6E6" w:themeFill="background2"/>
            <w:noWrap/>
            <w:vAlign w:val="center"/>
          </w:tcPr>
          <w:p w14:paraId="1BB469D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7D27F4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华川工业股份有限公司始建于1966年，是中国兵器装备集团有限公司旗下一家专业从事火工品、引信、反恐特种产品研发、生产的企业，四川省高新技术企业，拥有省级技术中心资质。公司践行“强军报国、强企富民”使命，以建设国内一流科技创新型火工企业为愿景目标，紧跟武器装备升级换代需求，坚持“市场牵引、技术驱动”,定位“专精特新”,规模效益连续创造历史新高。</w:t>
            </w:r>
          </w:p>
        </w:tc>
      </w:tr>
      <w:tr w14:paraId="042E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1271" w:type="dxa"/>
            <w:shd w:val="clear" w:color="auto" w:fill="E7E6E6" w:themeFill="background2"/>
            <w:noWrap/>
            <w:vAlign w:val="center"/>
          </w:tcPr>
          <w:p w14:paraId="26584D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4FF914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1.在站期间享受职工公寓；2.配置科研团队；3.与正式职工福利一致。</w:t>
            </w:r>
          </w:p>
        </w:tc>
      </w:tr>
      <w:tr w14:paraId="72D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546686F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25C2017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298B196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339A994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1ADDD8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41D07BA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85CCA5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33B58C2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6E4065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362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61" w:type="dxa"/>
            <w:gridSpan w:val="2"/>
            <w:shd w:val="clear" w:color="000000" w:fill="FFFFFF"/>
            <w:noWrap/>
            <w:vAlign w:val="center"/>
          </w:tcPr>
          <w:p w14:paraId="150E580F">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火工技术</w:t>
            </w:r>
          </w:p>
        </w:tc>
        <w:tc>
          <w:tcPr>
            <w:tcW w:w="1116" w:type="dxa"/>
            <w:gridSpan w:val="2"/>
            <w:shd w:val="clear" w:color="000000" w:fill="FFFFFF"/>
            <w:vAlign w:val="center"/>
          </w:tcPr>
          <w:p w14:paraId="6B27EE05">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0204C5C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26A0244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兵器科学与技术</w:t>
            </w:r>
          </w:p>
        </w:tc>
        <w:tc>
          <w:tcPr>
            <w:tcW w:w="1428" w:type="dxa"/>
            <w:gridSpan w:val="2"/>
            <w:shd w:val="clear" w:color="000000" w:fill="FFFFFF"/>
            <w:vAlign w:val="center"/>
          </w:tcPr>
          <w:p w14:paraId="0134575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715" w:type="dxa"/>
            <w:shd w:val="clear" w:color="000000" w:fill="FFFFFF"/>
            <w:vAlign w:val="center"/>
          </w:tcPr>
          <w:p w14:paraId="197DD49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985、211高校毕业</w:t>
            </w:r>
          </w:p>
        </w:tc>
      </w:tr>
    </w:tbl>
    <w:p w14:paraId="0626BF4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8B8599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BFE5A2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B2D014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471CAC9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47" w:name="_Toc29272"/>
      <w:bookmarkStart w:id="348" w:name="_Toc11509"/>
      <w:bookmarkStart w:id="349" w:name="_Toc17363"/>
      <w:bookmarkStart w:id="350" w:name="_Toc28311"/>
      <w:bookmarkStart w:id="351" w:name="_Toc4366"/>
      <w:r>
        <w:rPr>
          <w:rFonts w:hint="eastAsia" w:eastAsia="方正小标宋简体"/>
          <w:sz w:val="44"/>
          <w:szCs w:val="44"/>
          <w:highlight w:val="none"/>
        </w:rPr>
        <w:t>四川汇宇制药股份有限公司</w:t>
      </w:r>
      <w:bookmarkEnd w:id="347"/>
      <w:bookmarkEnd w:id="348"/>
      <w:bookmarkEnd w:id="349"/>
      <w:bookmarkEnd w:id="350"/>
      <w:bookmarkEnd w:id="351"/>
    </w:p>
    <w:p w14:paraId="1E571FC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6FD1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08E335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2A7D02EC">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民营企业</w:t>
            </w:r>
          </w:p>
        </w:tc>
        <w:tc>
          <w:tcPr>
            <w:tcW w:w="1650" w:type="dxa"/>
            <w:gridSpan w:val="2"/>
            <w:shd w:val="clear" w:color="auto" w:fill="E7E6E6" w:themeFill="background2"/>
            <w:noWrap/>
            <w:vAlign w:val="center"/>
          </w:tcPr>
          <w:p w14:paraId="715C103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6949F21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15240FA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0F59FC9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内江、成都</w:t>
            </w:r>
          </w:p>
        </w:tc>
      </w:tr>
      <w:tr w14:paraId="52FA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A8E767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3A00D805">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四川省内江市市中区汉阳路333号3幢</w:t>
            </w:r>
          </w:p>
        </w:tc>
      </w:tr>
      <w:tr w14:paraId="65D0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jc w:val="center"/>
        </w:trPr>
        <w:tc>
          <w:tcPr>
            <w:tcW w:w="1271" w:type="dxa"/>
            <w:shd w:val="clear" w:color="auto" w:fill="E7E6E6" w:themeFill="background2"/>
            <w:noWrap/>
            <w:vAlign w:val="center"/>
          </w:tcPr>
          <w:p w14:paraId="2FA8D04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0FA91E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汇宇制药成立于2010年，是一家研发驱动的综合制药企业，主要从事抗肿瘤和注射剂药物的研发、生产和销售；生产基地位于内江经开区，研发中心坐落于成都天府国际生物城。研发团队以经验丰富的海归博士为核心，研发人员超过500人，占全员比例超40%，在研项目100多个，包含14个一类创新药项目，管线以肿瘤及相关领域为主，同时覆盖其它领域。目前汇宇在英国有16个一线抗肿瘤注射剂及2个其他领域制剂获得上市批准，并在海外超过1000家医疗机构上市销售。公司在生产线通过中国、芬兰（欧盟）GMP、美国FDA认证， 在国内30多个药品获批上市，均通过一致性评价，产品已覆盖国内2000多家医院。</w:t>
            </w:r>
          </w:p>
          <w:p w14:paraId="466FBA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公司建有国家企业技术中心，获评“国家企业技术创新示范企业”、 国家“绿色工厂”、国家博士后科研工作站、“英国最佳抗肿瘤注射剂生产企业奖”等殊荣，入选“中国化药TOP100”、“中国医药工业最具成长力企业”、“中国医药研发产品线最佳工业企业”等知名行业榜单，2021年在科创板上市。目前，公司年产值过十亿元，年研发投入近4亿元，税收过亿元。</w:t>
            </w:r>
          </w:p>
        </w:tc>
      </w:tr>
      <w:tr w14:paraId="6C48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1271" w:type="dxa"/>
            <w:shd w:val="clear" w:color="auto" w:fill="E7E6E6" w:themeFill="background2"/>
            <w:noWrap/>
            <w:vAlign w:val="center"/>
          </w:tcPr>
          <w:p w14:paraId="1A49CBC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4A94BC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研发软硬件：已在成都天府国际生物城建成投运88000平方米的研发总部。已有专职研发团队超过500人，创新药团队领衔人均为具有多年新药研发经验的资深外籍华裔科学家，在研创新药项目14个，团队和项目持续扩增中；</w:t>
            </w:r>
          </w:p>
          <w:p w14:paraId="01BF53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2、人才激励：竞争力薪酬+绩效奖励+项目奖励+入职奖励+期权（视具体岗位）</w:t>
            </w:r>
            <w:r>
              <w:rPr>
                <w:rFonts w:hint="eastAsia" w:eastAsiaTheme="minorEastAsia"/>
                <w:sz w:val="21"/>
                <w:szCs w:val="21"/>
                <w:lang w:eastAsia="zh-CN"/>
              </w:rPr>
              <w:t>；</w:t>
            </w:r>
          </w:p>
          <w:p w14:paraId="44050C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lang w:val="en-US" w:eastAsia="zh-CN"/>
              </w:rPr>
              <w:t>3</w:t>
            </w:r>
            <w:r>
              <w:rPr>
                <w:rFonts w:hint="eastAsia" w:eastAsiaTheme="minorEastAsia"/>
                <w:sz w:val="21"/>
                <w:szCs w:val="21"/>
              </w:rPr>
              <w:t>、政府人才政策及补助项目申请；</w:t>
            </w:r>
          </w:p>
          <w:p w14:paraId="118DB8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lang w:val="en-US" w:eastAsia="zh-CN"/>
              </w:rPr>
              <w:t>4</w:t>
            </w:r>
            <w:r>
              <w:rPr>
                <w:rFonts w:hint="eastAsia" w:eastAsiaTheme="minorEastAsia"/>
                <w:sz w:val="21"/>
                <w:szCs w:val="21"/>
              </w:rPr>
              <w:t>、人才公寓购买及租赁支持（视具体岗位）；</w:t>
            </w:r>
          </w:p>
          <w:p w14:paraId="461760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lang w:val="en-US" w:eastAsia="zh-CN"/>
              </w:rPr>
              <w:t>5</w:t>
            </w:r>
            <w:r>
              <w:rPr>
                <w:rFonts w:hint="eastAsia" w:eastAsiaTheme="minorEastAsia"/>
                <w:sz w:val="21"/>
                <w:szCs w:val="21"/>
              </w:rPr>
              <w:t>、人才子女教育支持（生物城公立幼儿园及小学）；</w:t>
            </w:r>
          </w:p>
          <w:p w14:paraId="12C758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lang w:val="en-US" w:eastAsia="zh-CN"/>
              </w:rPr>
              <w:t>6</w:t>
            </w:r>
            <w:r>
              <w:rPr>
                <w:rFonts w:hint="eastAsia" w:eastAsiaTheme="minorEastAsia"/>
                <w:sz w:val="21"/>
                <w:szCs w:val="21"/>
              </w:rPr>
              <w:t>、其它支持。</w:t>
            </w:r>
          </w:p>
        </w:tc>
      </w:tr>
      <w:tr w14:paraId="6131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461" w:type="dxa"/>
            <w:gridSpan w:val="2"/>
            <w:shd w:val="clear" w:color="auto" w:fill="E7E6E6" w:themeFill="background2"/>
            <w:noWrap/>
            <w:vAlign w:val="center"/>
          </w:tcPr>
          <w:p w14:paraId="5D9DC37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45564B0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2DB0FB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5730435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68EC79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57A98CB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0EABC5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07AB8F8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6AE1D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A4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61" w:type="dxa"/>
            <w:gridSpan w:val="2"/>
            <w:shd w:val="clear" w:color="000000" w:fill="FFFFFF"/>
            <w:noWrap/>
            <w:vAlign w:val="center"/>
          </w:tcPr>
          <w:p w14:paraId="28176269">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抗肿瘤生物药产业化开发项目</w:t>
            </w:r>
          </w:p>
        </w:tc>
        <w:tc>
          <w:tcPr>
            <w:tcW w:w="1116" w:type="dxa"/>
            <w:gridSpan w:val="2"/>
            <w:shd w:val="clear" w:color="000000" w:fill="FFFFFF"/>
            <w:vAlign w:val="center"/>
          </w:tcPr>
          <w:p w14:paraId="6C6D394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13319041">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2ECB4057">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免疫学</w:t>
            </w:r>
          </w:p>
        </w:tc>
        <w:tc>
          <w:tcPr>
            <w:tcW w:w="1428" w:type="dxa"/>
            <w:gridSpan w:val="2"/>
            <w:shd w:val="clear" w:color="000000" w:fill="FFFFFF"/>
            <w:vAlign w:val="center"/>
          </w:tcPr>
          <w:p w14:paraId="1B32C76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项目：5000-10000</w:t>
            </w:r>
          </w:p>
          <w:p w14:paraId="59E0AA2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个人：40-45</w:t>
            </w:r>
          </w:p>
        </w:tc>
        <w:tc>
          <w:tcPr>
            <w:tcW w:w="1715" w:type="dxa"/>
            <w:shd w:val="clear" w:color="000000" w:fill="FFFFFF"/>
            <w:vAlign w:val="center"/>
          </w:tcPr>
          <w:p w14:paraId="28FB89E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4A4C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61" w:type="dxa"/>
            <w:gridSpan w:val="2"/>
            <w:shd w:val="clear" w:color="000000" w:fill="FFFFFF"/>
            <w:noWrap/>
            <w:vAlign w:val="center"/>
          </w:tcPr>
          <w:p w14:paraId="43CD528F">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抗肿瘤生物药产业化开发项目</w:t>
            </w:r>
          </w:p>
        </w:tc>
        <w:tc>
          <w:tcPr>
            <w:tcW w:w="1116" w:type="dxa"/>
            <w:gridSpan w:val="2"/>
            <w:shd w:val="clear" w:color="000000" w:fill="FFFFFF"/>
            <w:vAlign w:val="center"/>
          </w:tcPr>
          <w:p w14:paraId="12F869B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2AF3B63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704" w:type="dxa"/>
            <w:gridSpan w:val="2"/>
            <w:shd w:val="clear" w:color="000000" w:fill="FFFFFF"/>
            <w:vAlign w:val="center"/>
          </w:tcPr>
          <w:p w14:paraId="78DE847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药学/药代动力学</w:t>
            </w:r>
          </w:p>
        </w:tc>
        <w:tc>
          <w:tcPr>
            <w:tcW w:w="1428" w:type="dxa"/>
            <w:gridSpan w:val="2"/>
            <w:shd w:val="clear" w:color="000000" w:fill="FFFFFF"/>
            <w:vAlign w:val="center"/>
          </w:tcPr>
          <w:p w14:paraId="051E041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项目：5000-10000</w:t>
            </w:r>
          </w:p>
          <w:p w14:paraId="578B1D2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个人：40-45</w:t>
            </w:r>
          </w:p>
        </w:tc>
        <w:tc>
          <w:tcPr>
            <w:tcW w:w="1715" w:type="dxa"/>
            <w:shd w:val="clear" w:color="000000" w:fill="FFFFFF"/>
            <w:vAlign w:val="center"/>
          </w:tcPr>
          <w:p w14:paraId="6AD9426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bl>
    <w:p w14:paraId="37ECEEA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eastAsia="方正小标宋简体"/>
          <w:sz w:val="44"/>
          <w:szCs w:val="44"/>
          <w:highlight w:val="none"/>
        </w:rPr>
      </w:pPr>
    </w:p>
    <w:p w14:paraId="42777E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52" w:name="_Toc22111"/>
      <w:bookmarkStart w:id="353" w:name="_Toc25853"/>
      <w:bookmarkStart w:id="354" w:name="_Toc28117"/>
      <w:bookmarkStart w:id="355" w:name="_Toc23227"/>
      <w:bookmarkStart w:id="356" w:name="_Toc23610"/>
      <w:r>
        <w:rPr>
          <w:rFonts w:eastAsia="方正小标宋简体"/>
          <w:sz w:val="44"/>
          <w:szCs w:val="44"/>
          <w:highlight w:val="none"/>
        </w:rPr>
        <w:t>四川剑南春（集团）有限责任公司</w:t>
      </w:r>
      <w:bookmarkEnd w:id="352"/>
      <w:bookmarkEnd w:id="353"/>
      <w:bookmarkEnd w:id="354"/>
      <w:bookmarkEnd w:id="355"/>
      <w:bookmarkEnd w:id="356"/>
    </w:p>
    <w:p w14:paraId="3DEFEC09">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74"/>
        <w:gridCol w:w="54"/>
        <w:gridCol w:w="1041"/>
        <w:gridCol w:w="759"/>
        <w:gridCol w:w="301"/>
        <w:gridCol w:w="1200"/>
        <w:gridCol w:w="600"/>
        <w:gridCol w:w="1220"/>
        <w:gridCol w:w="279"/>
        <w:gridCol w:w="1650"/>
      </w:tblGrid>
      <w:tr w14:paraId="72A1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3" w:type="dxa"/>
            <w:shd w:val="clear" w:color="auto" w:fill="E7E6E6" w:themeFill="background2"/>
            <w:noWrap/>
            <w:vAlign w:val="center"/>
          </w:tcPr>
          <w:p w14:paraId="5AB701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单位性质</w:t>
            </w:r>
          </w:p>
        </w:tc>
        <w:tc>
          <w:tcPr>
            <w:tcW w:w="1328" w:type="dxa"/>
            <w:gridSpan w:val="2"/>
            <w:shd w:val="clear" w:color="auto" w:fill="auto"/>
            <w:noWrap/>
            <w:vAlign w:val="center"/>
          </w:tcPr>
          <w:p w14:paraId="36542C5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民营企业</w:t>
            </w:r>
          </w:p>
        </w:tc>
        <w:tc>
          <w:tcPr>
            <w:tcW w:w="1800" w:type="dxa"/>
            <w:gridSpan w:val="2"/>
            <w:shd w:val="clear" w:color="auto" w:fill="E7E6E6" w:themeFill="background2"/>
            <w:noWrap/>
            <w:vAlign w:val="center"/>
          </w:tcPr>
          <w:p w14:paraId="46DD85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设站单位类型</w:t>
            </w:r>
          </w:p>
        </w:tc>
        <w:tc>
          <w:tcPr>
            <w:tcW w:w="1501" w:type="dxa"/>
            <w:gridSpan w:val="2"/>
            <w:shd w:val="clear" w:color="auto" w:fill="auto"/>
            <w:noWrap/>
            <w:vAlign w:val="center"/>
          </w:tcPr>
          <w:p w14:paraId="37689BE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工作站</w:t>
            </w:r>
          </w:p>
        </w:tc>
        <w:tc>
          <w:tcPr>
            <w:tcW w:w="1820" w:type="dxa"/>
            <w:gridSpan w:val="2"/>
            <w:shd w:val="clear" w:color="auto" w:fill="E7E6E6" w:themeFill="background2"/>
            <w:noWrap/>
            <w:vAlign w:val="center"/>
          </w:tcPr>
          <w:p w14:paraId="57F0020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单位所在城市</w:t>
            </w:r>
          </w:p>
        </w:tc>
        <w:tc>
          <w:tcPr>
            <w:tcW w:w="1929" w:type="dxa"/>
            <w:gridSpan w:val="2"/>
            <w:shd w:val="clear" w:color="auto" w:fill="auto"/>
            <w:noWrap/>
            <w:vAlign w:val="center"/>
          </w:tcPr>
          <w:p w14:paraId="10F9A6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绵竹</w:t>
            </w:r>
          </w:p>
        </w:tc>
      </w:tr>
      <w:tr w14:paraId="6111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73" w:type="dxa"/>
            <w:shd w:val="clear" w:color="auto" w:fill="E7E6E6" w:themeFill="background2"/>
            <w:noWrap/>
            <w:vAlign w:val="center"/>
          </w:tcPr>
          <w:p w14:paraId="4912D68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通讯地址</w:t>
            </w:r>
          </w:p>
        </w:tc>
        <w:tc>
          <w:tcPr>
            <w:tcW w:w="8378" w:type="dxa"/>
            <w:gridSpan w:val="10"/>
            <w:shd w:val="clear" w:color="auto" w:fill="auto"/>
            <w:noWrap/>
            <w:vAlign w:val="center"/>
          </w:tcPr>
          <w:p w14:paraId="6068F10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eastAsiaTheme="minorEastAsia"/>
                <w:sz w:val="21"/>
                <w:szCs w:val="21"/>
              </w:rPr>
              <w:t>四川绵竹市春溢街289号</w:t>
            </w:r>
          </w:p>
        </w:tc>
      </w:tr>
      <w:tr w14:paraId="13DE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3" w:hRule="atLeast"/>
          <w:jc w:val="center"/>
        </w:trPr>
        <w:tc>
          <w:tcPr>
            <w:tcW w:w="1373" w:type="dxa"/>
            <w:shd w:val="clear" w:color="auto" w:fill="E7E6E6" w:themeFill="background2"/>
            <w:noWrap/>
            <w:vAlign w:val="center"/>
          </w:tcPr>
          <w:p w14:paraId="28A4F57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78" w:type="dxa"/>
            <w:gridSpan w:val="10"/>
            <w:shd w:val="clear" w:color="auto" w:fill="auto"/>
            <w:noWrap/>
            <w:vAlign w:val="center"/>
          </w:tcPr>
          <w:p w14:paraId="2EA986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 xml:space="preserve"> 四川剑南春集团有限责任公司是以生产销售中国名优白酒为主的中国知名大型白酒企业，多年来，剑南春产品销量处于行业前列，品牌影响力、品牌美誉度有口皆碑。公司剑南春名酒技术研究中心下设酒类技术研究所、微生物研究所、检测中心、博士后科研工作站、国家级技能大师室。中心大楼建筑面积3800平方米，核心技术研究中试车间960平方米，拥有国际先进的科研实验检测仪器，硬件设施及开发试验的能力在全国同行业乃至科研机构中独树一帜。中心在应用基础研究、酒体风味质量研究和产品质量控制与提升中取得了“五大突破，五大创新，五大特色”重大科技成果，为剑南春核心技术的形成和中国白酒行业技术创新做出了重大贡献。</w:t>
            </w:r>
          </w:p>
        </w:tc>
      </w:tr>
      <w:tr w14:paraId="1B28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1373" w:type="dxa"/>
            <w:shd w:val="clear" w:color="auto" w:fill="E7E6E6" w:themeFill="background2"/>
            <w:noWrap/>
            <w:vAlign w:val="center"/>
          </w:tcPr>
          <w:p w14:paraId="648D0EA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78" w:type="dxa"/>
            <w:gridSpan w:val="10"/>
            <w:shd w:val="clear" w:color="auto" w:fill="auto"/>
            <w:noWrap/>
            <w:vAlign w:val="center"/>
          </w:tcPr>
          <w:p w14:paraId="0181F8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按照国家人社部、全国博士后管理委员会颁布的《博士后工作管理规定》执行，按需要可办理户口迁出和落户等手续，对考核合格的在站博士按月支付每人每月10000.00元的津贴直至在站期满出站止，提供人才公寓免费食宿，在站科研项目按实际需要提供足额科研经费。</w:t>
            </w:r>
          </w:p>
        </w:tc>
      </w:tr>
      <w:tr w14:paraId="0A78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647" w:type="dxa"/>
            <w:gridSpan w:val="2"/>
            <w:shd w:val="clear" w:color="auto" w:fill="E7E6E6" w:themeFill="background2"/>
            <w:noWrap/>
            <w:vAlign w:val="center"/>
          </w:tcPr>
          <w:p w14:paraId="5EC2169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5" w:type="dxa"/>
            <w:gridSpan w:val="2"/>
            <w:shd w:val="clear" w:color="auto" w:fill="E7E6E6" w:themeFill="background2"/>
            <w:noWrap/>
            <w:vAlign w:val="center"/>
          </w:tcPr>
          <w:p w14:paraId="1797D78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0" w:type="dxa"/>
            <w:gridSpan w:val="2"/>
            <w:shd w:val="clear" w:color="auto" w:fill="E7E6E6" w:themeFill="background2"/>
            <w:noWrap/>
            <w:vAlign w:val="center"/>
          </w:tcPr>
          <w:p w14:paraId="127001C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686175F7">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800" w:type="dxa"/>
            <w:gridSpan w:val="2"/>
            <w:shd w:val="clear" w:color="auto" w:fill="E7E6E6" w:themeFill="background2"/>
            <w:noWrap/>
            <w:vAlign w:val="center"/>
          </w:tcPr>
          <w:p w14:paraId="47DE1EF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9E230C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99" w:type="dxa"/>
            <w:gridSpan w:val="2"/>
            <w:shd w:val="clear" w:color="auto" w:fill="E7E6E6" w:themeFill="background2"/>
            <w:noWrap/>
            <w:vAlign w:val="center"/>
          </w:tcPr>
          <w:p w14:paraId="2E5AAA5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BFD92B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50" w:type="dxa"/>
            <w:shd w:val="clear" w:color="auto" w:fill="E7E6E6" w:themeFill="background2"/>
            <w:noWrap/>
            <w:vAlign w:val="center"/>
          </w:tcPr>
          <w:p w14:paraId="79E2593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6ADF54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EC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647" w:type="dxa"/>
            <w:gridSpan w:val="2"/>
            <w:shd w:val="clear" w:color="auto" w:fill="auto"/>
            <w:noWrap/>
            <w:vAlign w:val="center"/>
          </w:tcPr>
          <w:p w14:paraId="51DBA09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中国白酒检验检测技术研究　</w:t>
            </w:r>
          </w:p>
        </w:tc>
        <w:tc>
          <w:tcPr>
            <w:tcW w:w="1095" w:type="dxa"/>
            <w:gridSpan w:val="2"/>
            <w:shd w:val="clear" w:color="auto" w:fill="auto"/>
            <w:noWrap/>
            <w:vAlign w:val="center"/>
          </w:tcPr>
          <w:p w14:paraId="0B59884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0" w:type="dxa"/>
            <w:gridSpan w:val="2"/>
            <w:shd w:val="clear" w:color="auto" w:fill="auto"/>
            <w:noWrap/>
            <w:vAlign w:val="center"/>
          </w:tcPr>
          <w:p w14:paraId="3C9685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800" w:type="dxa"/>
            <w:gridSpan w:val="2"/>
            <w:shd w:val="clear" w:color="auto" w:fill="auto"/>
            <w:noWrap/>
            <w:vAlign w:val="center"/>
          </w:tcPr>
          <w:p w14:paraId="1AA27C8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食品科学与工程</w:t>
            </w:r>
          </w:p>
        </w:tc>
        <w:tc>
          <w:tcPr>
            <w:tcW w:w="1499" w:type="dxa"/>
            <w:gridSpan w:val="2"/>
            <w:shd w:val="clear" w:color="auto" w:fill="auto"/>
            <w:noWrap/>
            <w:vAlign w:val="center"/>
          </w:tcPr>
          <w:p w14:paraId="1EBEFA9E">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1650" w:type="dxa"/>
            <w:vMerge w:val="restart"/>
            <w:shd w:val="clear" w:color="auto" w:fill="auto"/>
            <w:noWrap/>
            <w:vAlign w:val="center"/>
          </w:tcPr>
          <w:p w14:paraId="6BABC10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主要以科研院所为主</w:t>
            </w:r>
          </w:p>
        </w:tc>
      </w:tr>
      <w:tr w14:paraId="37AF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647" w:type="dxa"/>
            <w:gridSpan w:val="2"/>
            <w:shd w:val="clear" w:color="auto" w:fill="auto"/>
            <w:noWrap/>
            <w:vAlign w:val="center"/>
          </w:tcPr>
          <w:p w14:paraId="25E9EC2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中国白酒自然生态微生物发酵技术研究　</w:t>
            </w:r>
          </w:p>
        </w:tc>
        <w:tc>
          <w:tcPr>
            <w:tcW w:w="1095" w:type="dxa"/>
            <w:gridSpan w:val="2"/>
            <w:shd w:val="clear" w:color="auto" w:fill="auto"/>
            <w:noWrap/>
            <w:vAlign w:val="center"/>
          </w:tcPr>
          <w:p w14:paraId="0B49314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0" w:type="dxa"/>
            <w:gridSpan w:val="2"/>
            <w:shd w:val="clear" w:color="auto" w:fill="auto"/>
            <w:noWrap/>
            <w:vAlign w:val="center"/>
          </w:tcPr>
          <w:p w14:paraId="54E820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800" w:type="dxa"/>
            <w:gridSpan w:val="2"/>
            <w:shd w:val="clear" w:color="auto" w:fill="auto"/>
            <w:noWrap/>
            <w:vAlign w:val="center"/>
          </w:tcPr>
          <w:p w14:paraId="51EBDBC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食品科学与工程</w:t>
            </w:r>
          </w:p>
        </w:tc>
        <w:tc>
          <w:tcPr>
            <w:tcW w:w="1499" w:type="dxa"/>
            <w:gridSpan w:val="2"/>
            <w:shd w:val="clear" w:color="auto" w:fill="auto"/>
            <w:noWrap/>
            <w:vAlign w:val="center"/>
          </w:tcPr>
          <w:p w14:paraId="6675BCF1">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50</w:t>
            </w:r>
          </w:p>
        </w:tc>
        <w:tc>
          <w:tcPr>
            <w:tcW w:w="1650" w:type="dxa"/>
            <w:vMerge w:val="continue"/>
            <w:shd w:val="clear" w:color="auto" w:fill="auto"/>
            <w:noWrap/>
            <w:vAlign w:val="center"/>
          </w:tcPr>
          <w:p w14:paraId="6F9C9B84">
            <w:pPr>
              <w:adjustRightInd w:val="0"/>
              <w:snapToGrid w:val="0"/>
              <w:spacing w:line="240" w:lineRule="auto"/>
              <w:ind w:firstLine="0"/>
              <w:rPr>
                <w:rFonts w:hint="default" w:ascii="Times New Roman" w:hAnsi="Times New Roman" w:cs="Times New Roman" w:eastAsiaTheme="minorEastAsia"/>
                <w:sz w:val="21"/>
                <w:szCs w:val="21"/>
              </w:rPr>
            </w:pPr>
          </w:p>
        </w:tc>
      </w:tr>
    </w:tbl>
    <w:p w14:paraId="2FA0336D">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5CB7F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sz w:val="44"/>
          <w:szCs w:val="44"/>
        </w:rPr>
      </w:pPr>
    </w:p>
    <w:p w14:paraId="19568B5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eastAsia="方正小标宋简体"/>
          <w:kern w:val="0"/>
          <w:sz w:val="44"/>
          <w:szCs w:val="44"/>
        </w:rPr>
      </w:pPr>
      <w:bookmarkStart w:id="357" w:name="_Toc12979"/>
      <w:bookmarkStart w:id="358" w:name="_Toc22999"/>
      <w:bookmarkStart w:id="359" w:name="_Toc4524"/>
      <w:bookmarkStart w:id="360" w:name="_Toc23953"/>
      <w:bookmarkStart w:id="361" w:name="_Toc11996"/>
      <w:r>
        <w:rPr>
          <w:rFonts w:eastAsia="方正小标宋简体"/>
          <w:kern w:val="0"/>
          <w:sz w:val="44"/>
          <w:szCs w:val="44"/>
          <w:highlight w:val="none"/>
        </w:rPr>
        <w:t>四川九洲投资控股集团有限公司</w:t>
      </w:r>
      <w:bookmarkEnd w:id="357"/>
      <w:bookmarkEnd w:id="358"/>
      <w:bookmarkEnd w:id="359"/>
      <w:bookmarkEnd w:id="360"/>
      <w:bookmarkEnd w:id="361"/>
    </w:p>
    <w:p w14:paraId="0E6A4C92">
      <w:pPr>
        <w:pStyle w:val="33"/>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ascii="Times New Roman" w:hAnsi="Times New Roman"/>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019B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7FB027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ECD913C">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7FAE38F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81ABF9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5DE3C3D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5B9647D1">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326A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DBCA4E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453A1438">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四川省绵阳市九华路6号</w:t>
            </w:r>
          </w:p>
        </w:tc>
      </w:tr>
      <w:tr w14:paraId="3DE7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6" w:hRule="atLeast"/>
          <w:jc w:val="center"/>
        </w:trPr>
        <w:tc>
          <w:tcPr>
            <w:tcW w:w="1271" w:type="dxa"/>
            <w:shd w:val="clear" w:color="auto" w:fill="E7E6E6" w:themeFill="background2"/>
            <w:noWrap/>
            <w:vAlign w:val="center"/>
          </w:tcPr>
          <w:p w14:paraId="3EF2188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94090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eastAsiaTheme="minorEastAsia"/>
                <w:sz w:val="21"/>
                <w:szCs w:val="21"/>
              </w:rPr>
            </w:pPr>
            <w:r>
              <w:rPr>
                <w:rFonts w:hint="eastAsia" w:eastAsiaTheme="minorEastAsia"/>
                <w:sz w:val="21"/>
                <w:szCs w:val="21"/>
              </w:rPr>
              <w:t>四川九洲投资控股集团有限公司（以下称“九洲集团”）位于中国科技城四川省绵阳市，前身为国营涪江机器厂，始建于1958年，为国家“一五”期间156项重点工程之一，现已发展成为聚焦电子信息和数字智能生态的大型高科技企业集团，是服务制造强国战略和区域产业发展的国有资本投资集团。九洲集团现有资产458亿元，员工25000余人，2023年实现营业收入438亿元，利税总额20亿元。公司是全国先进基层党组织和全国文明单位；荣列中国电子信息竞争力百强第29位，中国制造业企业500强第275位，中国企业500强，中国500最具价值品牌第178位。2023年作为四川唯一地方国资企业，入围全国创建世界一流专业领军示范企业。</w:t>
            </w:r>
          </w:p>
        </w:tc>
      </w:tr>
      <w:tr w14:paraId="1094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1271" w:type="dxa"/>
            <w:shd w:val="clear" w:color="auto" w:fill="E7E6E6" w:themeFill="background2"/>
            <w:noWrap/>
            <w:vAlign w:val="center"/>
          </w:tcPr>
          <w:p w14:paraId="140B28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6EE7A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1.博士后研究人员在站期间，与博士后研究人员签订《项目合作协议》，为博士后研究人员提供相关研究经费。</w:t>
            </w:r>
          </w:p>
          <w:p w14:paraId="43D782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2.博士后研究人员的研究成果达到公司考核标准，并创造显著经济效益的，可另行约定专项奖励。</w:t>
            </w:r>
          </w:p>
          <w:p w14:paraId="61FA69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3.对博士后研究人员阶段性、中期和出站考核优秀的进行专项奖励。</w:t>
            </w:r>
          </w:p>
          <w:p w14:paraId="7A677F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4.博士后研究人员在站期间对公司技术发展、管理创新或产业领域的拓展做出重大贡献的，另行约定奖励</w:t>
            </w:r>
            <w:r>
              <w:rPr>
                <w:rFonts w:eastAsiaTheme="minorEastAsia"/>
                <w:sz w:val="21"/>
                <w:szCs w:val="21"/>
              </w:rPr>
              <w:t>。</w:t>
            </w:r>
          </w:p>
        </w:tc>
      </w:tr>
      <w:tr w14:paraId="798C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0E47E2DB">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5B4D9AE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778540E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66854AB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1F144F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156170C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5502F3">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2109036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D44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1619" w:type="dxa"/>
            <w:gridSpan w:val="2"/>
            <w:shd w:val="clear" w:color="000000" w:fill="FFFFFF"/>
            <w:noWrap/>
            <w:vAlign w:val="center"/>
          </w:tcPr>
          <w:p w14:paraId="30334E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下一代防撞ACAS X技术研究</w:t>
            </w:r>
          </w:p>
        </w:tc>
        <w:tc>
          <w:tcPr>
            <w:tcW w:w="1176" w:type="dxa"/>
            <w:shd w:val="clear" w:color="000000" w:fill="FFFFFF"/>
            <w:vAlign w:val="center"/>
          </w:tcPr>
          <w:p w14:paraId="1043D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3B2C7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BSH001</w:t>
            </w:r>
          </w:p>
        </w:tc>
        <w:tc>
          <w:tcPr>
            <w:tcW w:w="1722" w:type="dxa"/>
            <w:gridSpan w:val="2"/>
            <w:shd w:val="clear" w:color="000000" w:fill="FFFFFF"/>
            <w:vAlign w:val="center"/>
          </w:tcPr>
          <w:p w14:paraId="5884D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计算机、通信工程、电子信息等相关领域</w:t>
            </w:r>
          </w:p>
        </w:tc>
        <w:tc>
          <w:tcPr>
            <w:tcW w:w="1399" w:type="dxa"/>
            <w:gridSpan w:val="2"/>
            <w:shd w:val="clear" w:color="000000" w:fill="FFFFFF"/>
            <w:vAlign w:val="center"/>
          </w:tcPr>
          <w:p w14:paraId="78E22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550" w:type="dxa"/>
            <w:gridSpan w:val="2"/>
            <w:vMerge w:val="restart"/>
            <w:shd w:val="clear" w:color="000000" w:fill="FFFFFF"/>
            <w:vAlign w:val="center"/>
          </w:tcPr>
          <w:p w14:paraId="5C378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双一流高校/科研院所全日制或在职博士</w:t>
            </w:r>
          </w:p>
        </w:tc>
      </w:tr>
      <w:tr w14:paraId="257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65934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无人机探测与避让（DAA）技术研究</w:t>
            </w:r>
          </w:p>
        </w:tc>
        <w:tc>
          <w:tcPr>
            <w:tcW w:w="1176" w:type="dxa"/>
            <w:shd w:val="clear" w:color="000000" w:fill="FFFFFF"/>
            <w:vAlign w:val="center"/>
          </w:tcPr>
          <w:p w14:paraId="2EEFF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5A0A48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BSH002</w:t>
            </w:r>
          </w:p>
        </w:tc>
        <w:tc>
          <w:tcPr>
            <w:tcW w:w="1722" w:type="dxa"/>
            <w:gridSpan w:val="2"/>
            <w:shd w:val="clear" w:color="000000" w:fill="FFFFFF"/>
            <w:vAlign w:val="center"/>
          </w:tcPr>
          <w:p w14:paraId="7BE7E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计算机、通信工程、电子信息等相关领域</w:t>
            </w:r>
          </w:p>
        </w:tc>
        <w:tc>
          <w:tcPr>
            <w:tcW w:w="1399" w:type="dxa"/>
            <w:gridSpan w:val="2"/>
            <w:shd w:val="clear" w:color="000000" w:fill="FFFFFF"/>
            <w:vAlign w:val="center"/>
          </w:tcPr>
          <w:p w14:paraId="79020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550" w:type="dxa"/>
            <w:gridSpan w:val="2"/>
            <w:vMerge w:val="continue"/>
            <w:shd w:val="clear" w:color="000000" w:fill="FFFFFF"/>
            <w:vAlign w:val="center"/>
          </w:tcPr>
          <w:p w14:paraId="328F49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AF2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000000" w:fill="E7E6E6" w:themeFill="background2"/>
            <w:noWrap/>
            <w:vAlign w:val="center"/>
          </w:tcPr>
          <w:p w14:paraId="78A20DF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1176" w:type="dxa"/>
            <w:shd w:val="clear" w:color="000000" w:fill="E7E6E6" w:themeFill="background2"/>
            <w:vAlign w:val="center"/>
          </w:tcPr>
          <w:p w14:paraId="7C3772B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064" w:type="dxa"/>
            <w:shd w:val="clear" w:color="000000" w:fill="E7E6E6" w:themeFill="background2"/>
            <w:vAlign w:val="center"/>
          </w:tcPr>
          <w:p w14:paraId="5F72CAC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岗位编号</w:t>
            </w:r>
          </w:p>
        </w:tc>
        <w:tc>
          <w:tcPr>
            <w:tcW w:w="1722" w:type="dxa"/>
            <w:gridSpan w:val="2"/>
            <w:shd w:val="clear" w:color="000000" w:fill="E7E6E6" w:themeFill="background2"/>
            <w:vAlign w:val="center"/>
          </w:tcPr>
          <w:p w14:paraId="08DA3A8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F11CF6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000000" w:fill="E7E6E6" w:themeFill="background2"/>
            <w:vAlign w:val="center"/>
          </w:tcPr>
          <w:p w14:paraId="5A7B6E8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2E5F78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000000" w:fill="E7E6E6" w:themeFill="background2"/>
            <w:vAlign w:val="center"/>
          </w:tcPr>
          <w:p w14:paraId="486546DA">
            <w:pPr>
              <w:adjustRightInd w:val="0"/>
              <w:snapToGrid w:val="0"/>
              <w:spacing w:line="240" w:lineRule="auto"/>
              <w:ind w:firstLine="0"/>
              <w:jc w:val="center"/>
              <w:rPr>
                <w:rFonts w:hint="default" w:ascii="Times New Roman" w:hAnsi="Times New Roman" w:cs="Times New Roman" w:eastAsiaTheme="minorEastAsia"/>
                <w:sz w:val="21"/>
                <w:szCs w:val="21"/>
              </w:rPr>
            </w:pPr>
            <w:r>
              <w:rPr>
                <w:rFonts w:eastAsiaTheme="minorEastAsia"/>
                <w:b/>
                <w:bCs/>
                <w:sz w:val="21"/>
                <w:szCs w:val="21"/>
              </w:rPr>
              <w:t>博士生源单位等要求</w:t>
            </w:r>
          </w:p>
        </w:tc>
      </w:tr>
      <w:tr w14:paraId="0812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4" w:hRule="atLeast"/>
          <w:jc w:val="center"/>
        </w:trPr>
        <w:tc>
          <w:tcPr>
            <w:tcW w:w="1619" w:type="dxa"/>
            <w:gridSpan w:val="2"/>
            <w:shd w:val="clear" w:color="000000" w:fill="FFFFFF"/>
            <w:noWrap/>
            <w:vAlign w:val="center"/>
          </w:tcPr>
          <w:p w14:paraId="19E67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相控阵雷达数字收发组件关键技术研究</w:t>
            </w:r>
          </w:p>
        </w:tc>
        <w:tc>
          <w:tcPr>
            <w:tcW w:w="1176" w:type="dxa"/>
            <w:shd w:val="clear" w:color="000000" w:fill="FFFFFF"/>
            <w:vAlign w:val="center"/>
          </w:tcPr>
          <w:p w14:paraId="3E6FF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04E14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BSH003</w:t>
            </w:r>
          </w:p>
        </w:tc>
        <w:tc>
          <w:tcPr>
            <w:tcW w:w="1722" w:type="dxa"/>
            <w:gridSpan w:val="2"/>
            <w:shd w:val="clear" w:color="000000" w:fill="FFFFFF"/>
            <w:vAlign w:val="center"/>
          </w:tcPr>
          <w:p w14:paraId="6ACA8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电子与科学技术/信息与通信工程</w:t>
            </w:r>
          </w:p>
        </w:tc>
        <w:tc>
          <w:tcPr>
            <w:tcW w:w="1399" w:type="dxa"/>
            <w:gridSpan w:val="2"/>
            <w:shd w:val="clear" w:color="000000" w:fill="FFFFFF"/>
            <w:vAlign w:val="center"/>
          </w:tcPr>
          <w:p w14:paraId="38F9E3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40-50（在职博士后）</w:t>
            </w:r>
          </w:p>
        </w:tc>
        <w:tc>
          <w:tcPr>
            <w:tcW w:w="2550" w:type="dxa"/>
            <w:gridSpan w:val="2"/>
            <w:shd w:val="clear" w:color="000000" w:fill="FFFFFF"/>
            <w:vAlign w:val="center"/>
          </w:tcPr>
          <w:p w14:paraId="1D2C01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1.具有丰富的雷达/电子/通信等系统架构经验和数字信号处理基础知识；</w:t>
            </w:r>
          </w:p>
          <w:p w14:paraId="1EE4A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2.深入了解本专业的技术发展趋势，对前瞻性技术进行探索，提出解决方案；</w:t>
            </w:r>
          </w:p>
          <w:p w14:paraId="5A462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3.具备产品技术路线定义和整体架构设计的能力，具有工程化项目的实际设计和大型系统级项目设计统筹者优先；</w:t>
            </w:r>
          </w:p>
          <w:p w14:paraId="642F2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4.博士学历，年龄35周岁以下。</w:t>
            </w:r>
          </w:p>
        </w:tc>
      </w:tr>
      <w:tr w14:paraId="7B36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1619" w:type="dxa"/>
            <w:gridSpan w:val="2"/>
            <w:shd w:val="clear" w:color="000000" w:fill="FFFFFF"/>
            <w:noWrap/>
            <w:vAlign w:val="center"/>
          </w:tcPr>
          <w:p w14:paraId="4C627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数字收发前端关键技术研究</w:t>
            </w:r>
          </w:p>
        </w:tc>
        <w:tc>
          <w:tcPr>
            <w:tcW w:w="1176" w:type="dxa"/>
            <w:shd w:val="clear" w:color="000000" w:fill="FFFFFF"/>
            <w:vAlign w:val="center"/>
          </w:tcPr>
          <w:p w14:paraId="00D92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3269A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BSH004</w:t>
            </w:r>
          </w:p>
        </w:tc>
        <w:tc>
          <w:tcPr>
            <w:tcW w:w="1722" w:type="dxa"/>
            <w:gridSpan w:val="2"/>
            <w:shd w:val="clear" w:color="000000" w:fill="FFFFFF"/>
            <w:vAlign w:val="center"/>
          </w:tcPr>
          <w:p w14:paraId="5B0EC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电子与科学技术/信息与通信工程</w:t>
            </w:r>
          </w:p>
        </w:tc>
        <w:tc>
          <w:tcPr>
            <w:tcW w:w="1399" w:type="dxa"/>
            <w:gridSpan w:val="2"/>
            <w:shd w:val="clear" w:color="000000" w:fill="FFFFFF"/>
            <w:vAlign w:val="center"/>
          </w:tcPr>
          <w:p w14:paraId="3C1A8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15-20（全日制博士后）</w:t>
            </w:r>
          </w:p>
        </w:tc>
        <w:tc>
          <w:tcPr>
            <w:tcW w:w="2550" w:type="dxa"/>
            <w:gridSpan w:val="2"/>
            <w:shd w:val="clear" w:color="000000" w:fill="FFFFFF"/>
            <w:vAlign w:val="center"/>
          </w:tcPr>
          <w:p w14:paraId="7F960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1.具有扎实的雷达/电子/通信等系统架构和数字信号处理基础知识；</w:t>
            </w:r>
          </w:p>
          <w:p w14:paraId="7C9D2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2.熟悉本专业的技术发展趋势，对前瞻性技术进行探索，具有提出解决方案的能力；</w:t>
            </w:r>
          </w:p>
          <w:p w14:paraId="1024CB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3.具备产品技术路线定义和整体架构设计的能力；</w:t>
            </w:r>
          </w:p>
          <w:p w14:paraId="7AFA5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4.全日制博士。</w:t>
            </w:r>
          </w:p>
        </w:tc>
      </w:tr>
      <w:tr w14:paraId="4C05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619" w:type="dxa"/>
            <w:gridSpan w:val="2"/>
            <w:shd w:val="clear" w:color="000000" w:fill="FFFFFF"/>
            <w:noWrap/>
            <w:vAlign w:val="center"/>
          </w:tcPr>
          <w:p w14:paraId="79059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高品质驱动器智能、自适应、容错控制技术研究</w:t>
            </w:r>
          </w:p>
        </w:tc>
        <w:tc>
          <w:tcPr>
            <w:tcW w:w="1176" w:type="dxa"/>
            <w:shd w:val="clear" w:color="000000" w:fill="FFFFFF"/>
            <w:vAlign w:val="center"/>
          </w:tcPr>
          <w:p w14:paraId="264FB4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w:t>
            </w:r>
          </w:p>
        </w:tc>
        <w:tc>
          <w:tcPr>
            <w:tcW w:w="1064" w:type="dxa"/>
            <w:shd w:val="clear" w:color="000000" w:fill="FFFFFF"/>
            <w:vAlign w:val="center"/>
          </w:tcPr>
          <w:p w14:paraId="4FBF8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BSH005</w:t>
            </w:r>
          </w:p>
        </w:tc>
        <w:tc>
          <w:tcPr>
            <w:tcW w:w="1722" w:type="dxa"/>
            <w:gridSpan w:val="2"/>
            <w:shd w:val="clear" w:color="000000" w:fill="FFFFFF"/>
            <w:vAlign w:val="center"/>
          </w:tcPr>
          <w:p w14:paraId="0B35C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电力电子与电力传动/控制理论与控制工程</w:t>
            </w:r>
          </w:p>
        </w:tc>
        <w:tc>
          <w:tcPr>
            <w:tcW w:w="1399" w:type="dxa"/>
            <w:gridSpan w:val="2"/>
            <w:shd w:val="clear" w:color="000000" w:fill="FFFFFF"/>
            <w:vAlign w:val="center"/>
          </w:tcPr>
          <w:p w14:paraId="715E01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10</w:t>
            </w:r>
          </w:p>
        </w:tc>
        <w:tc>
          <w:tcPr>
            <w:tcW w:w="2550" w:type="dxa"/>
            <w:gridSpan w:val="2"/>
            <w:shd w:val="clear" w:color="000000" w:fill="FFFFFF"/>
            <w:vAlign w:val="center"/>
          </w:tcPr>
          <w:p w14:paraId="334858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eastAsia="zh-CN"/>
              </w:rPr>
              <w:t>具有</w:t>
            </w:r>
            <w:r>
              <w:rPr>
                <w:rFonts w:hint="default" w:ascii="Times New Roman" w:hAnsi="Times New Roman" w:cs="Times New Roman" w:eastAsiaTheme="minorEastAsia"/>
                <w:sz w:val="21"/>
                <w:szCs w:val="21"/>
              </w:rPr>
              <w:t>电气工程、电力电子、自动化控制、机电一体化等相关领域博士学位</w:t>
            </w:r>
            <w:r>
              <w:rPr>
                <w:rFonts w:hint="eastAsia" w:ascii="Times New Roman" w:hAnsi="Times New Roman" w:cs="Times New Roman" w:eastAsiaTheme="minorEastAsia"/>
                <w:sz w:val="21"/>
                <w:szCs w:val="21"/>
                <w:lang w:eastAsia="zh-CN"/>
              </w:rPr>
              <w:t>；</w:t>
            </w:r>
          </w:p>
          <w:p w14:paraId="11A1F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具备扎实的理论基础和研究能力，</w:t>
            </w:r>
            <w:r>
              <w:rPr>
                <w:rFonts w:hint="eastAsia" w:ascii="Times New Roman" w:hAnsi="Times New Roman" w:cs="Times New Roman" w:eastAsiaTheme="minorEastAsia"/>
                <w:sz w:val="21"/>
                <w:szCs w:val="21"/>
                <w:lang w:eastAsia="zh-CN"/>
              </w:rPr>
              <w:t>具有</w:t>
            </w:r>
            <w:r>
              <w:rPr>
                <w:rFonts w:hint="default" w:ascii="Times New Roman" w:hAnsi="Times New Roman" w:cs="Times New Roman" w:eastAsiaTheme="minorEastAsia"/>
                <w:sz w:val="21"/>
                <w:szCs w:val="21"/>
              </w:rPr>
              <w:t>电机控制和驱动器相关领域研究经验。</w:t>
            </w:r>
          </w:p>
          <w:p w14:paraId="03EDA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具有电机驱动器、功率电子器件、控制系统设计和优化等相关领域的研究经验，</w:t>
            </w:r>
            <w:r>
              <w:rPr>
                <w:rFonts w:hint="eastAsia" w:ascii="Times New Roman" w:hAnsi="Times New Roman" w:cs="Times New Roman" w:eastAsiaTheme="minorEastAsia"/>
                <w:sz w:val="21"/>
                <w:szCs w:val="21"/>
                <w:lang w:eastAsia="zh-CN"/>
              </w:rPr>
              <w:t>掌握</w:t>
            </w:r>
            <w:r>
              <w:rPr>
                <w:rFonts w:hint="default" w:ascii="Times New Roman" w:hAnsi="Times New Roman" w:cs="Times New Roman" w:eastAsiaTheme="minorEastAsia"/>
                <w:sz w:val="21"/>
                <w:szCs w:val="21"/>
              </w:rPr>
              <w:t>实际应用中的驱动控制技术。</w:t>
            </w:r>
          </w:p>
          <w:p w14:paraId="2E0B3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掌握电力电子转换技术，如逆变器、PWM控制和功率因数校正技术</w:t>
            </w:r>
            <w:r>
              <w:rPr>
                <w:rFonts w:hint="eastAsia"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熟悉自适应控制、模型预测控制、模糊控制等电机驱动控制算法，能够开发和优化驱动控制策略。</w:t>
            </w:r>
          </w:p>
          <w:p w14:paraId="5C63D4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能够独立设计和执行科研项目，具备良好的问题解决能力和创新能力。</w:t>
            </w:r>
          </w:p>
        </w:tc>
      </w:tr>
    </w:tbl>
    <w:p w14:paraId="10834930">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64AB095A">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方正小标宋简体"/>
          <w:kern w:val="0"/>
          <w:sz w:val="44"/>
          <w:szCs w:val="44"/>
        </w:rPr>
      </w:pPr>
    </w:p>
    <w:p w14:paraId="3CDBB377">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362" w:name="_Toc23163"/>
      <w:bookmarkStart w:id="363" w:name="_Toc31049"/>
      <w:bookmarkStart w:id="364" w:name="_Toc14985"/>
      <w:bookmarkStart w:id="365" w:name="_Toc30777"/>
      <w:bookmarkStart w:id="366" w:name="_Toc8891"/>
      <w:r>
        <w:rPr>
          <w:rFonts w:hint="eastAsia" w:ascii="Times New Roman" w:hAnsi="Times New Roman" w:eastAsia="方正小标宋简体" w:cs="Times New Roman"/>
          <w:sz w:val="44"/>
          <w:szCs w:val="44"/>
          <w:highlight w:val="none"/>
        </w:rPr>
        <w:t>四川科伦药业股份有限公司</w:t>
      </w:r>
      <w:bookmarkEnd w:id="362"/>
      <w:bookmarkEnd w:id="363"/>
      <w:bookmarkEnd w:id="364"/>
      <w:bookmarkEnd w:id="365"/>
      <w:bookmarkEnd w:id="366"/>
    </w:p>
    <w:p w14:paraId="011AAFB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782"/>
        <w:gridCol w:w="1822"/>
      </w:tblGrid>
      <w:tr w14:paraId="4254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A80A2B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559F774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085E7EF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2AB50B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908" w:type="dxa"/>
            <w:gridSpan w:val="2"/>
            <w:shd w:val="clear" w:color="auto" w:fill="E7E6E6" w:themeFill="background2"/>
            <w:noWrap/>
            <w:vAlign w:val="center"/>
          </w:tcPr>
          <w:p w14:paraId="07E5250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779" w:type="dxa"/>
            <w:shd w:val="clear" w:color="000000" w:fill="FFFFFF"/>
            <w:noWrap/>
            <w:vAlign w:val="center"/>
          </w:tcPr>
          <w:p w14:paraId="63308E8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27F3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660598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309F3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四川省成都市新都卫星城工业开发区南二路520号</w:t>
            </w:r>
          </w:p>
        </w:tc>
      </w:tr>
      <w:tr w14:paraId="7998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1271" w:type="dxa"/>
            <w:shd w:val="clear" w:color="auto" w:fill="E7E6E6" w:themeFill="background2"/>
            <w:noWrap/>
            <w:vAlign w:val="center"/>
          </w:tcPr>
          <w:p w14:paraId="09FDC9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2F073B4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科伦创立于1996年，现已形成由科伦药业、川宁生物、科伦博泰构成的“品”字型构架运营平台。科伦积极推进“三发驱动创新增长”战略，输液领域已具备高端制造和新型材料双重盈利能力，占据了技术创新和质量标杆的战略高地；凭借成熟的发酵技术和强大的产业化平台，公司稳固抗生素主业基本盘并持续优化产业结构，全面进军合成生物学领域；在研发创新方面，公司专注于优秀仿制药、创新小分子、新型给药系统和生物技术药物等高技术内涵药物的研发，成功搭建了享誉国际的ADC研发平台，开启创新研发和全球化的新征程。</w:t>
            </w:r>
          </w:p>
        </w:tc>
      </w:tr>
      <w:tr w14:paraId="66F1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2" w:hRule="atLeast"/>
          <w:jc w:val="center"/>
        </w:trPr>
        <w:tc>
          <w:tcPr>
            <w:tcW w:w="1271" w:type="dxa"/>
            <w:shd w:val="clear" w:color="auto" w:fill="E7E6E6" w:themeFill="background2"/>
            <w:noWrap/>
            <w:vAlign w:val="center"/>
          </w:tcPr>
          <w:p w14:paraId="6B6CA42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6C9AC05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根据全国博士后管理委员会（以下简称“博管会”）《博士后管理工作规定》（人发〔20</w:t>
            </w:r>
            <w:r>
              <w:rPr>
                <w:rFonts w:hint="eastAsia" w:eastAsiaTheme="minorEastAsia"/>
                <w:sz w:val="21"/>
                <w:szCs w:val="21"/>
                <w:lang w:val="en-US" w:eastAsia="zh-CN"/>
              </w:rPr>
              <w:t>06</w:t>
            </w:r>
            <w:r>
              <w:rPr>
                <w:rFonts w:hint="eastAsia" w:eastAsiaTheme="minorEastAsia"/>
                <w:sz w:val="21"/>
                <w:szCs w:val="21"/>
                <w:lang w:eastAsia="zh-CN"/>
              </w:rPr>
              <w:t>〕149号）、《企业博士后工作管理暂行规定》（博管发〔</w:t>
            </w:r>
            <w:r>
              <w:rPr>
                <w:rFonts w:hint="eastAsia" w:eastAsiaTheme="minorEastAsia"/>
                <w:sz w:val="21"/>
                <w:szCs w:val="21"/>
                <w:lang w:val="en-US" w:eastAsia="zh-CN"/>
              </w:rPr>
              <w:t>1997</w:t>
            </w:r>
            <w:r>
              <w:rPr>
                <w:rFonts w:hint="eastAsia" w:eastAsiaTheme="minorEastAsia"/>
                <w:sz w:val="21"/>
                <w:szCs w:val="21"/>
                <w:lang w:eastAsia="zh-CN"/>
              </w:rPr>
              <w:t>〕5号）和四川省人事厅的有关文件精神，结合实际，公司制定了《四川科伦药业股份有限公司博士后科研工作站管理办法》。工作站在管理体系、立项决策机制、研发经费保障机制、产学研合作机制、研发质量管理体系、知识产权保护体制、人才培养和激励等七个方面逐步建立和完善了相关管理制度，形成了研发管理、财务管理、知识产权、人才激励四大块管理制度文件体系，明确和清晰了工作站个人与企业在各方面的权利与义务，确保工作站各方面工作的有条不紊顺畅运行。</w:t>
            </w:r>
          </w:p>
        </w:tc>
      </w:tr>
      <w:tr w14:paraId="7D6B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51DF5C4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79EF0C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273D13E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174282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AE287C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41" w:type="dxa"/>
            <w:shd w:val="clear" w:color="auto" w:fill="E7E6E6" w:themeFill="background2"/>
            <w:vAlign w:val="center"/>
          </w:tcPr>
          <w:p w14:paraId="05A883B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D117B8">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9" w:type="dxa"/>
            <w:shd w:val="clear" w:color="auto" w:fill="E7E6E6" w:themeFill="background2"/>
            <w:vAlign w:val="center"/>
          </w:tcPr>
          <w:p w14:paraId="2C2105B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DC2F4D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504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019C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在研项目</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64942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8367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AB6F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药学</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1C0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2.4</w:t>
            </w:r>
          </w:p>
        </w:tc>
        <w:tc>
          <w:tcPr>
            <w:tcW w:w="1779" w:type="dxa"/>
            <w:tcBorders>
              <w:top w:val="single" w:color="auto" w:sz="4" w:space="0"/>
              <w:left w:val="single" w:color="auto" w:sz="4" w:space="0"/>
              <w:right w:val="single" w:color="auto" w:sz="4" w:space="0"/>
              <w:tl2br w:val="nil"/>
              <w:tr2bl w:val="nil"/>
            </w:tcBorders>
            <w:shd w:val="clear" w:color="auto" w:fill="FFFFFF"/>
            <w:vAlign w:val="center"/>
          </w:tcPr>
          <w:p w14:paraId="3B9E64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无</w:t>
            </w:r>
          </w:p>
        </w:tc>
      </w:tr>
    </w:tbl>
    <w:p w14:paraId="7A23518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19EB92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eastAsia="方正小标宋简体"/>
          <w:kern w:val="0"/>
          <w:sz w:val="44"/>
          <w:szCs w:val="44"/>
        </w:rPr>
      </w:pPr>
      <w:bookmarkStart w:id="367" w:name="_Toc5096"/>
      <w:bookmarkStart w:id="368" w:name="_Toc1734"/>
      <w:bookmarkStart w:id="369" w:name="_Toc29798"/>
      <w:bookmarkStart w:id="370" w:name="_Toc16850"/>
      <w:bookmarkStart w:id="371" w:name="_Toc10728"/>
      <w:r>
        <w:rPr>
          <w:rFonts w:eastAsia="方正小标宋简体"/>
          <w:kern w:val="0"/>
          <w:sz w:val="44"/>
          <w:szCs w:val="44"/>
          <w:highlight w:val="none"/>
        </w:rPr>
        <w:t>四川灵通电讯有限公司</w:t>
      </w:r>
      <w:bookmarkEnd w:id="367"/>
      <w:bookmarkEnd w:id="368"/>
      <w:bookmarkEnd w:id="369"/>
      <w:bookmarkEnd w:id="370"/>
      <w:bookmarkEnd w:id="371"/>
    </w:p>
    <w:p w14:paraId="094E019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eastAsia="方正小标宋简体"/>
          <w:kern w:val="0"/>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6B5F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511402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C446E9E">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47C5D9A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7FEE1D1E">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7724353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18AC53F7">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4CBF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C67408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47E062B8">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绵阳市高新区普明南路东段111号</w:t>
            </w:r>
          </w:p>
        </w:tc>
      </w:tr>
      <w:tr w14:paraId="3CFF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4" w:hRule="atLeast"/>
          <w:jc w:val="center"/>
        </w:trPr>
        <w:tc>
          <w:tcPr>
            <w:tcW w:w="1271" w:type="dxa"/>
            <w:shd w:val="clear" w:color="auto" w:fill="E7E6E6" w:themeFill="background2"/>
            <w:noWrap/>
            <w:vAlign w:val="center"/>
          </w:tcPr>
          <w:p w14:paraId="4816F4D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3F45E7B">
            <w:pPr>
              <w:adjustRightInd w:val="0"/>
              <w:snapToGrid w:val="0"/>
              <w:spacing w:line="360" w:lineRule="auto"/>
              <w:ind w:firstLine="420" w:firstLineChars="200"/>
              <w:jc w:val="left"/>
              <w:rPr>
                <w:rFonts w:eastAsiaTheme="minorEastAsia"/>
                <w:sz w:val="21"/>
                <w:szCs w:val="21"/>
              </w:rPr>
            </w:pPr>
            <w:r>
              <w:rPr>
                <w:rFonts w:eastAsiaTheme="minorEastAsia"/>
                <w:sz w:val="21"/>
                <w:szCs w:val="21"/>
              </w:rPr>
              <w:t>四川灵通电讯有限公司是一家高科技军工企业，隶属于中央直接管理的国有特大型高科技企业——中国航天科工集团有限公司。</w:t>
            </w:r>
          </w:p>
          <w:p w14:paraId="5B9B9779">
            <w:pPr>
              <w:adjustRightInd w:val="0"/>
              <w:snapToGrid w:val="0"/>
              <w:spacing w:line="360" w:lineRule="auto"/>
              <w:ind w:firstLine="420" w:firstLineChars="200"/>
              <w:jc w:val="left"/>
              <w:rPr>
                <w:rFonts w:eastAsiaTheme="minorEastAsia"/>
                <w:sz w:val="21"/>
                <w:szCs w:val="21"/>
              </w:rPr>
            </w:pPr>
            <w:r>
              <w:rPr>
                <w:rFonts w:eastAsiaTheme="minorEastAsia"/>
                <w:sz w:val="21"/>
                <w:szCs w:val="21"/>
              </w:rPr>
              <w:t>公司主要从事军用通信系统的研发和集成，是被复线、PCM等设备军用标准的主要起草单位，先后研制开发了军用和民用通信产品一百余种。公司自主研制的通信指挥系统、有线通信设备、无线接入设备、网络交换设备、卫星、数字光纤设备等产品大量装备陆、海、空、火、战支等各兵种以及电力、交通等民用领域，是享誉通信行业的通信设备研发、制造专业厂家。</w:t>
            </w:r>
          </w:p>
          <w:p w14:paraId="7500D153">
            <w:pPr>
              <w:adjustRightInd w:val="0"/>
              <w:snapToGrid w:val="0"/>
              <w:spacing w:line="360" w:lineRule="auto"/>
              <w:ind w:firstLine="420" w:firstLineChars="200"/>
              <w:jc w:val="left"/>
              <w:rPr>
                <w:rFonts w:eastAsiaTheme="minorEastAsia"/>
                <w:sz w:val="21"/>
                <w:szCs w:val="21"/>
              </w:rPr>
            </w:pPr>
            <w:r>
              <w:rPr>
                <w:rFonts w:eastAsiaTheme="minorEastAsia"/>
                <w:sz w:val="21"/>
                <w:szCs w:val="21"/>
              </w:rPr>
              <w:t>公司拥有实力雄厚的研发团队和技术服务团队，有享受国务院政府特殊津贴专家2人，专业技术带头人3人，正高级职称7人，副高级职称44人，“4+3”高端成长型产业领军人才2人。</w:t>
            </w:r>
          </w:p>
          <w:p w14:paraId="1FA3CA76">
            <w:pPr>
              <w:adjustRightInd w:val="0"/>
              <w:snapToGrid w:val="0"/>
              <w:spacing w:line="360" w:lineRule="auto"/>
              <w:ind w:firstLine="420" w:firstLineChars="200"/>
              <w:jc w:val="left"/>
              <w:rPr>
                <w:rFonts w:eastAsiaTheme="minorEastAsia"/>
                <w:sz w:val="21"/>
                <w:szCs w:val="21"/>
              </w:rPr>
            </w:pPr>
            <w:r>
              <w:rPr>
                <w:rFonts w:eastAsiaTheme="minorEastAsia"/>
                <w:sz w:val="21"/>
                <w:szCs w:val="21"/>
              </w:rPr>
              <w:t>公司获得国家高新技术企业、省科技创新型企业、省级企业技术中心、省知识产权试点企业、军民融合创新发展示范企业等认定；设立了博士后科研工作站；具备全套军品科研生产资质、信息化系统集成资质、建筑智能化资质和相关体系认证。</w:t>
            </w:r>
          </w:p>
        </w:tc>
      </w:tr>
      <w:tr w14:paraId="2FD3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271" w:type="dxa"/>
            <w:shd w:val="clear" w:color="auto" w:fill="E7E6E6" w:themeFill="background2"/>
            <w:noWrap/>
            <w:vAlign w:val="center"/>
          </w:tcPr>
          <w:p w14:paraId="5A13FDA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013A409">
            <w:pPr>
              <w:adjustRightInd w:val="0"/>
              <w:snapToGrid w:val="0"/>
              <w:spacing w:line="360" w:lineRule="auto"/>
              <w:ind w:firstLine="0"/>
              <w:jc w:val="left"/>
              <w:rPr>
                <w:rFonts w:eastAsiaTheme="minorEastAsia"/>
                <w:sz w:val="21"/>
                <w:szCs w:val="21"/>
              </w:rPr>
            </w:pPr>
            <w:r>
              <w:rPr>
                <w:rFonts w:eastAsiaTheme="minorEastAsia"/>
                <w:sz w:val="21"/>
                <w:szCs w:val="21"/>
              </w:rPr>
              <w:t>公司为科研工作提供良好的科研场所、试验场地，为博士科研人员提供良好的食宿环境。</w:t>
            </w:r>
          </w:p>
        </w:tc>
      </w:tr>
      <w:tr w14:paraId="620C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6CF5B7A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74A9548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6D517E4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6FDA396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60E760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21AAC78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4CE93C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7B803E4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792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1619" w:type="dxa"/>
            <w:gridSpan w:val="2"/>
            <w:shd w:val="clear" w:color="000000" w:fill="FFFFFF"/>
            <w:noWrap/>
            <w:vAlign w:val="center"/>
          </w:tcPr>
          <w:p w14:paraId="4E7D4EC8">
            <w:pPr>
              <w:adjustRightInd w:val="0"/>
              <w:snapToGrid w:val="0"/>
              <w:spacing w:line="240" w:lineRule="auto"/>
              <w:ind w:firstLine="0"/>
              <w:rPr>
                <w:rFonts w:eastAsiaTheme="minorEastAsia"/>
                <w:sz w:val="21"/>
                <w:szCs w:val="21"/>
              </w:rPr>
            </w:pPr>
            <w:r>
              <w:rPr>
                <w:rFonts w:eastAsiaTheme="minorEastAsia"/>
                <w:sz w:val="21"/>
                <w:szCs w:val="21"/>
              </w:rPr>
              <w:t>先进通信系统装备关键技术研发</w:t>
            </w:r>
          </w:p>
        </w:tc>
        <w:tc>
          <w:tcPr>
            <w:tcW w:w="1176" w:type="dxa"/>
            <w:shd w:val="clear" w:color="000000" w:fill="FFFFFF"/>
            <w:vAlign w:val="center"/>
          </w:tcPr>
          <w:p w14:paraId="7E30EDEA">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14:paraId="6F08026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BSH001</w:t>
            </w:r>
          </w:p>
        </w:tc>
        <w:tc>
          <w:tcPr>
            <w:tcW w:w="1722" w:type="dxa"/>
            <w:gridSpan w:val="2"/>
            <w:shd w:val="clear" w:color="000000" w:fill="FFFFFF"/>
            <w:vAlign w:val="center"/>
          </w:tcPr>
          <w:p w14:paraId="0FBE2B7C">
            <w:pPr>
              <w:adjustRightInd w:val="0"/>
              <w:snapToGrid w:val="0"/>
              <w:spacing w:line="240" w:lineRule="auto"/>
              <w:ind w:firstLine="0"/>
              <w:jc w:val="both"/>
              <w:rPr>
                <w:rFonts w:eastAsiaTheme="minorEastAsia"/>
                <w:sz w:val="21"/>
                <w:szCs w:val="21"/>
              </w:rPr>
            </w:pPr>
            <w:r>
              <w:rPr>
                <w:rFonts w:eastAsiaTheme="minorEastAsia"/>
                <w:sz w:val="21"/>
                <w:szCs w:val="21"/>
              </w:rPr>
              <w:t>信息与通信工程/电子科学与技术/计算机科学与技术</w:t>
            </w:r>
          </w:p>
        </w:tc>
        <w:tc>
          <w:tcPr>
            <w:tcW w:w="1399" w:type="dxa"/>
            <w:gridSpan w:val="2"/>
            <w:shd w:val="clear" w:color="000000" w:fill="FFFFFF"/>
            <w:vAlign w:val="center"/>
          </w:tcPr>
          <w:p w14:paraId="1550165E">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2550" w:type="dxa"/>
            <w:gridSpan w:val="2"/>
            <w:shd w:val="clear" w:color="000000" w:fill="FFFFFF"/>
            <w:vAlign w:val="center"/>
          </w:tcPr>
          <w:p w14:paraId="47CF0DEC">
            <w:pPr>
              <w:adjustRightInd w:val="0"/>
              <w:snapToGrid w:val="0"/>
              <w:spacing w:line="240" w:lineRule="auto"/>
              <w:ind w:firstLine="0"/>
              <w:rPr>
                <w:rFonts w:eastAsiaTheme="minorEastAsia"/>
                <w:sz w:val="21"/>
                <w:szCs w:val="21"/>
              </w:rPr>
            </w:pPr>
            <w:r>
              <w:rPr>
                <w:rFonts w:eastAsiaTheme="minorEastAsia"/>
                <w:sz w:val="21"/>
                <w:szCs w:val="21"/>
              </w:rPr>
              <w:t>熟练掌握MATLAB等仿真工具；熟悉调制、解调通信信号处理算法，会使用DSP完成信号处理编程；熟悉SDN、SR、PTN/OTN等技术。</w:t>
            </w:r>
          </w:p>
        </w:tc>
      </w:tr>
    </w:tbl>
    <w:p w14:paraId="50754560">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0CCA18D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eastAsia="方正小标宋简体"/>
          <w:kern w:val="0"/>
          <w:sz w:val="44"/>
          <w:szCs w:val="44"/>
        </w:rPr>
      </w:pPr>
    </w:p>
    <w:p w14:paraId="2D185EB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72" w:name="_Toc26329"/>
      <w:bookmarkStart w:id="373" w:name="_Toc6668"/>
      <w:bookmarkStart w:id="374" w:name="_Toc11046"/>
      <w:bookmarkStart w:id="375" w:name="_Toc12233"/>
      <w:bookmarkStart w:id="376" w:name="_Toc9791"/>
      <w:r>
        <w:rPr>
          <w:rFonts w:hint="eastAsia" w:eastAsia="方正小标宋简体"/>
          <w:sz w:val="44"/>
          <w:szCs w:val="44"/>
          <w:highlight w:val="none"/>
        </w:rPr>
        <w:t>四川普什宁江机床有限公司</w:t>
      </w:r>
      <w:bookmarkEnd w:id="372"/>
      <w:bookmarkEnd w:id="373"/>
      <w:bookmarkEnd w:id="374"/>
      <w:bookmarkEnd w:id="375"/>
      <w:bookmarkEnd w:id="376"/>
    </w:p>
    <w:p w14:paraId="7E706C4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0767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7F6592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431ABBD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650" w:type="dxa"/>
            <w:gridSpan w:val="2"/>
            <w:shd w:val="clear" w:color="auto" w:fill="E7E6E6" w:themeFill="background2"/>
            <w:noWrap/>
            <w:vAlign w:val="center"/>
          </w:tcPr>
          <w:p w14:paraId="35C576E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37DE233A">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B8C2E4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1CC69B2D">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都江堰</w:t>
            </w:r>
          </w:p>
        </w:tc>
      </w:tr>
      <w:tr w14:paraId="5108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D571B3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2AAEF385">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四川省都江堰市永安大道南一段179号</w:t>
            </w:r>
          </w:p>
        </w:tc>
      </w:tr>
      <w:tr w14:paraId="1830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1271" w:type="dxa"/>
            <w:shd w:val="clear" w:color="auto" w:fill="E7E6E6" w:themeFill="background2"/>
            <w:noWrap/>
            <w:vAlign w:val="center"/>
          </w:tcPr>
          <w:p w14:paraId="6D368A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6087C98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普什宁江机床有限公司坐落于——都江堰市，始建于1965年，其前身为国营宁江机床厂，现是五粮液集团旗下的国家级专精特新“小巨人”企业，公司长期坚持“精密、高效、成套、智能化”技术产品研发定位。公司建有国家级博士后科研工作站、四川省专家工作站、四川省级技术中心、四川省高端数控机床智能装备工程技术研究中心等创新研发平台，具有雄厚的开发和生产能力，中国中小型精密机床研发制造龙头企业。</w:t>
            </w:r>
          </w:p>
        </w:tc>
      </w:tr>
      <w:tr w14:paraId="6C98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4" w:hRule="atLeast"/>
          <w:jc w:val="center"/>
        </w:trPr>
        <w:tc>
          <w:tcPr>
            <w:tcW w:w="1271" w:type="dxa"/>
            <w:shd w:val="clear" w:color="auto" w:fill="E7E6E6" w:themeFill="background2"/>
            <w:noWrap/>
            <w:vAlign w:val="center"/>
          </w:tcPr>
          <w:p w14:paraId="4D81854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2CA731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为保证公司博士后科研工作站的正常运行管理，成立了博士后科研工作站领导小组、专家组、办公室，建立健全博士后科研工作站领导机构和工作机构。制定了《博士后工作管理暂行办法》、《博士后科研项目管理办法》、《博士后考核管理办法》、《博士后经费及工资福利考核管理办法》等一系列工作制度，为博士后研究人员提供充足的科研经费和良好的福利待遇。</w:t>
            </w:r>
          </w:p>
          <w:p w14:paraId="453688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研究人员在工作站期间取得的科研成果及专利，所有权属公司。如公司和博士后共同合作完成博士后研究项目，研究成果双方共享。成果及专利未经所有权方的许可，参与科研项目的研究人员不得泄漏其技术秘密，违者按有关规定追究责任。</w:t>
            </w:r>
          </w:p>
        </w:tc>
      </w:tr>
      <w:tr w14:paraId="4F4A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1AF74CA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62DC1D5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F4F13C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711A48F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42AD0E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7DFBC54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E42E88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76656DE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F59FDC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FBB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61" w:type="dxa"/>
            <w:gridSpan w:val="2"/>
            <w:shd w:val="clear" w:color="000000" w:fill="FFFFFF"/>
            <w:noWrap/>
            <w:vAlign w:val="center"/>
          </w:tcPr>
          <w:p w14:paraId="2AD57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机床动态性能智能主动控制研究</w:t>
            </w:r>
          </w:p>
        </w:tc>
        <w:tc>
          <w:tcPr>
            <w:tcW w:w="1116" w:type="dxa"/>
            <w:gridSpan w:val="2"/>
            <w:shd w:val="clear" w:color="000000" w:fill="FFFFFF"/>
            <w:vAlign w:val="center"/>
          </w:tcPr>
          <w:p w14:paraId="0B7BF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116" w:type="dxa"/>
            <w:gridSpan w:val="2"/>
            <w:shd w:val="clear" w:color="000000" w:fill="FFFFFF"/>
            <w:vAlign w:val="center"/>
          </w:tcPr>
          <w:p w14:paraId="5F3E2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bidi="ar"/>
              </w:rPr>
              <w:t>BSH001</w:t>
            </w:r>
          </w:p>
        </w:tc>
        <w:tc>
          <w:tcPr>
            <w:tcW w:w="1704" w:type="dxa"/>
            <w:gridSpan w:val="2"/>
            <w:shd w:val="clear" w:color="000000" w:fill="FFFFFF"/>
            <w:vAlign w:val="center"/>
          </w:tcPr>
          <w:p w14:paraId="60A03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机械工程</w:t>
            </w:r>
          </w:p>
        </w:tc>
        <w:tc>
          <w:tcPr>
            <w:tcW w:w="1428" w:type="dxa"/>
            <w:gridSpan w:val="2"/>
            <w:shd w:val="clear" w:color="000000" w:fill="FFFFFF"/>
            <w:vAlign w:val="center"/>
          </w:tcPr>
          <w:p w14:paraId="66342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3</w:t>
            </w:r>
            <w:r>
              <w:rPr>
                <w:rFonts w:hint="default" w:ascii="Times New Roman" w:hAnsi="Times New Roman" w:cs="Times New Roman" w:eastAsiaTheme="minorEastAsia"/>
                <w:sz w:val="21"/>
                <w:szCs w:val="21"/>
                <w:lang w:val="en-US" w:eastAsia="zh-CN" w:bidi="ar"/>
              </w:rPr>
              <w:t>5</w:t>
            </w:r>
          </w:p>
        </w:tc>
        <w:tc>
          <w:tcPr>
            <w:tcW w:w="1715" w:type="dxa"/>
            <w:shd w:val="clear" w:color="000000" w:fill="FFFFFF"/>
            <w:vAlign w:val="center"/>
          </w:tcPr>
          <w:p w14:paraId="5E9E0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四川大学或其他985/211院校</w:t>
            </w:r>
          </w:p>
        </w:tc>
      </w:tr>
    </w:tbl>
    <w:p w14:paraId="349ACCC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0BA9C32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0B4E5D1F">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Times New Roman" w:hAnsi="Times New Roman" w:eastAsia="方正小标宋简体"/>
          <w:sz w:val="44"/>
          <w:szCs w:val="44"/>
        </w:rPr>
      </w:pPr>
      <w:bookmarkStart w:id="377" w:name="_Toc30930"/>
      <w:bookmarkStart w:id="378" w:name="_Toc4239"/>
      <w:bookmarkStart w:id="379" w:name="_Toc311"/>
      <w:bookmarkStart w:id="380" w:name="_Toc30412"/>
      <w:bookmarkStart w:id="381" w:name="_Toc6815"/>
      <w:r>
        <w:rPr>
          <w:rFonts w:ascii="Times New Roman" w:hAnsi="Times New Roman" w:eastAsia="方正小标宋简体"/>
          <w:sz w:val="44"/>
          <w:szCs w:val="44"/>
          <w:highlight w:val="none"/>
        </w:rPr>
        <w:t>四川省安全科学技术研究院</w:t>
      </w:r>
      <w:bookmarkEnd w:id="377"/>
      <w:bookmarkEnd w:id="378"/>
      <w:bookmarkEnd w:id="379"/>
      <w:bookmarkEnd w:id="380"/>
      <w:bookmarkEnd w:id="381"/>
    </w:p>
    <w:p w14:paraId="469C83D1">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52BE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71" w:type="dxa"/>
            <w:shd w:val="clear" w:color="auto" w:fill="E7E6E6" w:themeFill="background2"/>
            <w:noWrap/>
            <w:vAlign w:val="center"/>
          </w:tcPr>
          <w:p w14:paraId="0527F8C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87FDE59">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14:paraId="6B49E06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3B748F12">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4375392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7DFAF398">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DA3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71" w:type="dxa"/>
            <w:shd w:val="clear" w:color="auto" w:fill="E7E6E6" w:themeFill="background2"/>
            <w:noWrap/>
            <w:vAlign w:val="center"/>
          </w:tcPr>
          <w:p w14:paraId="1053E17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5E1DE8FB">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成都市武侯区武科西四路18号安全科技大厦</w:t>
            </w:r>
          </w:p>
        </w:tc>
      </w:tr>
      <w:tr w14:paraId="58BF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2" w:hRule="atLeast"/>
          <w:jc w:val="center"/>
        </w:trPr>
        <w:tc>
          <w:tcPr>
            <w:tcW w:w="1271" w:type="dxa"/>
            <w:shd w:val="clear" w:color="auto" w:fill="E7E6E6" w:themeFill="background2"/>
            <w:noWrap/>
            <w:vAlign w:val="center"/>
          </w:tcPr>
          <w:p w14:paraId="02AD803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0DBEC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四川省安全科学技术研究院（以下简称四川省安科院）成立于1981年10月，是四川省应急管理厅直属的公益二类科研事业单位，现为一套机构、四块牌子，分别是四川省安全科学技术研究院、四川省安全宣传教育培训中心、四川省危险化学品登记注册中心、四川省安全生产检测检验中心。同时按照四川省应急管理厅统一安排，加挂四川省地震与地质灾害应急技术保障中心牌子，承担四川省安全生产考试中心、四川省安全专业高级工程师职称评审委员会办公室、四川省应急管理厅工程技术系列中级职称评审委员会和四川省应急管理标准化技术委员会秘书处日常工作。</w:t>
            </w:r>
          </w:p>
          <w:p w14:paraId="65630FF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四川省安科院聚焦党的二十大提出的“建立大安全大应急框架”，聚力实现《四川省“十四五”应急体系规划》中的“建强四川省安全科学技术研究院”目标任务，不断深化科研事业单位职能定位，以“科技引领，在创新突破中服务发展全局”为工作总基调，聚焦前瞻性与关键性技术研究，通过持续研发并推广可落地见效的“专业化+信息化”产品，为政府提供技术支撑，为企业提供技术服务，以高水平安全服务高质量发展，以新安全格局保障新发展格局，为全面建设社会主义现代化四川营造良好安全环境。</w:t>
            </w:r>
          </w:p>
          <w:p w14:paraId="20EC7BB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省安科院（含参股公司）有职工近300人，其中正高级职称10人、高级职称60人、中级职称95人；1人入选中国安全生产协会专家库，1人入选全国危险化学品管理标准化技术委员会委员，2人入选全国非煤矿山安全生产专家库，4人入选四川省安全生产委员会行业专业委员会委员，14人入选国家矿山安全监察局四川局专家库，24人入选四川省自然资源专家库，21人入选四川省经济和信息化厅工业发展资金项目评审专家库，58人入选四川省应急管理专家库，17人入选四川省科技专家库，2人入选四川省地方志专家库，31人入选四川省安全生产考试专家库。</w:t>
            </w:r>
          </w:p>
        </w:tc>
      </w:tr>
      <w:tr w14:paraId="234E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271" w:type="dxa"/>
            <w:shd w:val="clear" w:color="auto" w:fill="E7E6E6" w:themeFill="background2"/>
            <w:noWrap/>
            <w:vAlign w:val="center"/>
          </w:tcPr>
          <w:p w14:paraId="105AEE6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2DE9BFF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eastAsiaTheme="minorEastAsia"/>
                <w:sz w:val="21"/>
                <w:szCs w:val="21"/>
              </w:rPr>
            </w:pPr>
            <w:r>
              <w:rPr>
                <w:rFonts w:hint="eastAsia" w:eastAsiaTheme="minorEastAsia"/>
                <w:sz w:val="21"/>
                <w:szCs w:val="21"/>
              </w:rPr>
              <w:t>《四川省安全科学技术研究院博士后科研工作站及创新实践基地管理办法（试行）》（川安科办〔2024〕9号）</w:t>
            </w:r>
          </w:p>
        </w:tc>
      </w:tr>
      <w:tr w14:paraId="413B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3E397C3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1283987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2141EE0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2365769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C93D19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5C6B061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A20751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2AA3D58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EE9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19" w:type="dxa"/>
            <w:gridSpan w:val="2"/>
            <w:shd w:val="clear" w:color="000000" w:fill="FFFFFF"/>
            <w:noWrap/>
            <w:vAlign w:val="center"/>
          </w:tcPr>
          <w:p w14:paraId="4E9A8D7E">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危险气体泄漏态势预测及应急救援双向路径智能化规划关键技术研究</w:t>
            </w:r>
          </w:p>
        </w:tc>
        <w:tc>
          <w:tcPr>
            <w:tcW w:w="1176" w:type="dxa"/>
            <w:shd w:val="clear" w:color="000000" w:fill="FFFFFF"/>
            <w:vAlign w:val="center"/>
          </w:tcPr>
          <w:p w14:paraId="761E4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064" w:type="dxa"/>
            <w:shd w:val="clear" w:color="000000" w:fill="FFFFFF"/>
            <w:vAlign w:val="center"/>
          </w:tcPr>
          <w:p w14:paraId="027AD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22" w:type="dxa"/>
            <w:gridSpan w:val="2"/>
            <w:shd w:val="clear" w:color="000000" w:fill="FFFFFF"/>
            <w:vAlign w:val="center"/>
          </w:tcPr>
          <w:p w14:paraId="4FD7F1B0">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软件工程、安全科学与工程、化学工程与技术</w:t>
            </w:r>
          </w:p>
        </w:tc>
        <w:tc>
          <w:tcPr>
            <w:tcW w:w="1399" w:type="dxa"/>
            <w:gridSpan w:val="2"/>
            <w:shd w:val="clear" w:color="000000" w:fill="FFFFFF"/>
            <w:vAlign w:val="center"/>
          </w:tcPr>
          <w:p w14:paraId="0C0E5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2550" w:type="dxa"/>
            <w:gridSpan w:val="2"/>
            <w:shd w:val="clear" w:color="000000" w:fill="FFFFFF"/>
            <w:vAlign w:val="center"/>
          </w:tcPr>
          <w:p w14:paraId="4F280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高等院校、科研院所、国有企业</w:t>
            </w:r>
          </w:p>
        </w:tc>
      </w:tr>
      <w:tr w14:paraId="54D2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19" w:type="dxa"/>
            <w:gridSpan w:val="2"/>
            <w:shd w:val="clear" w:color="000000" w:fill="FFFFFF"/>
            <w:noWrap/>
            <w:vAlign w:val="center"/>
          </w:tcPr>
          <w:p w14:paraId="1E07F8A4">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化工园区安全风险智能化管控关键设备研发及应用研究</w:t>
            </w:r>
          </w:p>
        </w:tc>
        <w:tc>
          <w:tcPr>
            <w:tcW w:w="1176" w:type="dxa"/>
            <w:shd w:val="clear" w:color="000000" w:fill="FFFFFF"/>
            <w:vAlign w:val="center"/>
          </w:tcPr>
          <w:p w14:paraId="58FC9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064" w:type="dxa"/>
            <w:shd w:val="clear" w:color="000000" w:fill="FFFFFF"/>
            <w:vAlign w:val="center"/>
          </w:tcPr>
          <w:p w14:paraId="099CF1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722" w:type="dxa"/>
            <w:gridSpan w:val="2"/>
            <w:shd w:val="clear" w:color="000000" w:fill="FFFFFF"/>
            <w:vAlign w:val="center"/>
          </w:tcPr>
          <w:p w14:paraId="2479F8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电子科学与技术</w:t>
            </w:r>
          </w:p>
        </w:tc>
        <w:tc>
          <w:tcPr>
            <w:tcW w:w="1399" w:type="dxa"/>
            <w:gridSpan w:val="2"/>
            <w:shd w:val="clear" w:color="000000" w:fill="FFFFFF"/>
            <w:vAlign w:val="center"/>
          </w:tcPr>
          <w:p w14:paraId="3581F4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2550" w:type="dxa"/>
            <w:gridSpan w:val="2"/>
            <w:shd w:val="clear" w:color="000000" w:fill="FFFFFF"/>
            <w:vAlign w:val="center"/>
          </w:tcPr>
          <w:p w14:paraId="7855D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高等院校、科研院所、国有企业、民营企业、股份制企业、外/合资企业、其他</w:t>
            </w:r>
          </w:p>
        </w:tc>
      </w:tr>
      <w:tr w14:paraId="2814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19" w:type="dxa"/>
            <w:gridSpan w:val="2"/>
            <w:shd w:val="clear" w:color="000000" w:fill="FFFFFF"/>
            <w:noWrap/>
            <w:vAlign w:val="center"/>
          </w:tcPr>
          <w:p w14:paraId="0FAAB8C0">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高危工艺本质安全关键技术研究及装备研发</w:t>
            </w:r>
          </w:p>
        </w:tc>
        <w:tc>
          <w:tcPr>
            <w:tcW w:w="1176" w:type="dxa"/>
            <w:shd w:val="clear" w:color="000000" w:fill="FFFFFF"/>
            <w:vAlign w:val="center"/>
          </w:tcPr>
          <w:p w14:paraId="7139A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19D8CD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722" w:type="dxa"/>
            <w:gridSpan w:val="2"/>
            <w:shd w:val="clear" w:color="000000" w:fill="FFFFFF"/>
            <w:vAlign w:val="center"/>
          </w:tcPr>
          <w:p w14:paraId="37172BC6">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化学工程与技术，电子、通信与自动控制技术，安全科学与工程</w:t>
            </w:r>
          </w:p>
        </w:tc>
        <w:tc>
          <w:tcPr>
            <w:tcW w:w="1399" w:type="dxa"/>
            <w:gridSpan w:val="2"/>
            <w:shd w:val="clear" w:color="000000" w:fill="FFFFFF"/>
            <w:vAlign w:val="center"/>
          </w:tcPr>
          <w:p w14:paraId="7E887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2550" w:type="dxa"/>
            <w:gridSpan w:val="2"/>
            <w:shd w:val="clear" w:color="000000" w:fill="FFFFFF"/>
            <w:vAlign w:val="center"/>
          </w:tcPr>
          <w:p w14:paraId="34887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高等院校、科研院所、国有企业、民营企业、股份制企业、外/合资企业、其他</w:t>
            </w:r>
          </w:p>
        </w:tc>
      </w:tr>
    </w:tbl>
    <w:p w14:paraId="70981013">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77447E94">
      <w:pPr>
        <w:jc w:val="center"/>
        <w:rPr>
          <w:rFonts w:eastAsia="方正小标宋简体"/>
          <w:sz w:val="44"/>
          <w:szCs w:val="44"/>
        </w:rPr>
      </w:pPr>
    </w:p>
    <w:p w14:paraId="5CD71F6D">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382" w:name="_Toc32137"/>
      <w:bookmarkStart w:id="383" w:name="_Toc29380"/>
      <w:bookmarkStart w:id="384" w:name="_Toc10488"/>
      <w:bookmarkStart w:id="385" w:name="_Toc15589"/>
      <w:bookmarkStart w:id="386" w:name="_Toc15201"/>
      <w:r>
        <w:rPr>
          <w:rFonts w:hint="eastAsia" w:eastAsia="方正小标宋简体"/>
          <w:sz w:val="44"/>
          <w:szCs w:val="44"/>
          <w:highlight w:val="none"/>
        </w:rPr>
        <w:t>四川省川威集团有限公司</w:t>
      </w:r>
      <w:bookmarkEnd w:id="382"/>
      <w:bookmarkEnd w:id="383"/>
      <w:bookmarkEnd w:id="384"/>
      <w:bookmarkEnd w:id="385"/>
      <w:bookmarkEnd w:id="386"/>
    </w:p>
    <w:p w14:paraId="1445975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7EDE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461B6C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1F57A85D">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其他</w:t>
            </w:r>
          </w:p>
        </w:tc>
        <w:tc>
          <w:tcPr>
            <w:tcW w:w="1650" w:type="dxa"/>
            <w:gridSpan w:val="2"/>
            <w:shd w:val="clear" w:color="auto" w:fill="E7E6E6" w:themeFill="background2"/>
            <w:noWrap/>
            <w:vAlign w:val="center"/>
          </w:tcPr>
          <w:p w14:paraId="29844CB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66543A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E2312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69DE1781">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内江</w:t>
            </w:r>
          </w:p>
        </w:tc>
      </w:tr>
      <w:tr w14:paraId="65D9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CE7FE6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7640DB86">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四川省内江市威远县连界镇</w:t>
            </w:r>
          </w:p>
        </w:tc>
      </w:tr>
      <w:tr w14:paraId="0246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jc w:val="center"/>
        </w:trPr>
        <w:tc>
          <w:tcPr>
            <w:tcW w:w="1271" w:type="dxa"/>
            <w:shd w:val="clear" w:color="auto" w:fill="E7E6E6" w:themeFill="background2"/>
            <w:noWrap/>
            <w:vAlign w:val="center"/>
          </w:tcPr>
          <w:p w14:paraId="01F322B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196EA8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四川省川威集团有限公司（简称川威集团）的前身是威远钢铁厂，始建于1929年，被誉为四川冶金工业鼻祖。目前川威集团是四川省委省政府重点支持的大企业大集团，是西南地区建筑钢材生产规模最大、各类建材产品配套最齐、建筑集成领域唯一具备完整产业链优势的综合性企业。川威集团拥有钒钛磁铁矿资源，具有钒钛磁铁矿开发、冶炼、深加工及发展钒钛新材料全套技术及产业线。</w:t>
            </w:r>
          </w:p>
          <w:p w14:paraId="2B02E4A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目前具备年产钒钛铁精粉290万吨、普通铁精粉30万吨、钛精粉30万吨、铁500万吨、钢600万吨、钢材700万吨、五氧二钒2万吨、焦炭300万吨、电12亿度、钒电解液2000立方米及其他相关产品能力。</w:t>
            </w:r>
          </w:p>
        </w:tc>
      </w:tr>
      <w:tr w14:paraId="5DD0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1271" w:type="dxa"/>
            <w:shd w:val="clear" w:color="auto" w:fill="E7E6E6" w:themeFill="background2"/>
            <w:noWrap/>
            <w:vAlign w:val="center"/>
          </w:tcPr>
          <w:p w14:paraId="0323F8C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10C8FD5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1.劳务薪资5000——7000元/月；</w:t>
            </w:r>
          </w:p>
          <w:p w14:paraId="57513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2.按标准承担博士后差旅、住宿、餐饮等会议或考察期间费用；</w:t>
            </w:r>
          </w:p>
          <w:p w14:paraId="554B3E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3.项目经费单列；</w:t>
            </w:r>
          </w:p>
          <w:p w14:paraId="74AF12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4.争取国家面上基金；</w:t>
            </w:r>
          </w:p>
          <w:p w14:paraId="79A810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5.其他政府专项经费。</w:t>
            </w:r>
          </w:p>
        </w:tc>
      </w:tr>
      <w:tr w14:paraId="27D2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572C5A4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4C1B7968">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229FB67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6895101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6F7C47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4BC0B87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98E2F3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47F88B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B1187F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A83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2461" w:type="dxa"/>
            <w:gridSpan w:val="2"/>
            <w:shd w:val="clear" w:color="000000" w:fill="FFFFFF"/>
            <w:noWrap/>
            <w:vAlign w:val="center"/>
          </w:tcPr>
          <w:p w14:paraId="2CA7210C">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含钛高炉渣提钛项目</w:t>
            </w:r>
          </w:p>
        </w:tc>
        <w:tc>
          <w:tcPr>
            <w:tcW w:w="1116" w:type="dxa"/>
            <w:gridSpan w:val="2"/>
            <w:shd w:val="clear" w:color="000000" w:fill="FFFFFF"/>
            <w:vAlign w:val="center"/>
          </w:tcPr>
          <w:p w14:paraId="3B276C9A">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57B105BC">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58DFED3E">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化工、材料</w:t>
            </w:r>
          </w:p>
        </w:tc>
        <w:tc>
          <w:tcPr>
            <w:tcW w:w="1428" w:type="dxa"/>
            <w:gridSpan w:val="2"/>
            <w:shd w:val="clear" w:color="000000" w:fill="FFFFFF"/>
            <w:vAlign w:val="center"/>
          </w:tcPr>
          <w:p w14:paraId="76B470A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10—20万</w:t>
            </w:r>
          </w:p>
        </w:tc>
        <w:tc>
          <w:tcPr>
            <w:tcW w:w="1715" w:type="dxa"/>
            <w:shd w:val="clear" w:color="000000" w:fill="FFFFFF"/>
            <w:vAlign w:val="center"/>
          </w:tcPr>
          <w:p w14:paraId="7C50110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双一流</w:t>
            </w:r>
          </w:p>
        </w:tc>
      </w:tr>
    </w:tbl>
    <w:p w14:paraId="7AA9984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41D09A3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none"/>
        </w:rPr>
      </w:pPr>
    </w:p>
    <w:p w14:paraId="572AD43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none"/>
        </w:rPr>
      </w:pPr>
    </w:p>
    <w:p w14:paraId="1D52C94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69BABCDC">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87" w:name="_Toc30461"/>
      <w:bookmarkStart w:id="388" w:name="_Toc31698"/>
      <w:bookmarkStart w:id="389" w:name="_Toc11741"/>
      <w:bookmarkStart w:id="390" w:name="_Toc28778"/>
      <w:bookmarkStart w:id="391" w:name="_Toc5792"/>
      <w:r>
        <w:rPr>
          <w:rFonts w:eastAsia="方正小标宋简体"/>
          <w:sz w:val="44"/>
          <w:szCs w:val="44"/>
          <w:highlight w:val="none"/>
        </w:rPr>
        <w:t>四川省妇幼保健院</w:t>
      </w:r>
      <w:bookmarkEnd w:id="387"/>
      <w:bookmarkEnd w:id="388"/>
      <w:bookmarkEnd w:id="389"/>
      <w:bookmarkEnd w:id="390"/>
      <w:bookmarkEnd w:id="391"/>
    </w:p>
    <w:p w14:paraId="3C845B63">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6"/>
        <w:gridCol w:w="1203"/>
        <w:gridCol w:w="1125"/>
        <w:gridCol w:w="555"/>
        <w:gridCol w:w="1042"/>
        <w:gridCol w:w="585"/>
        <w:gridCol w:w="742"/>
        <w:gridCol w:w="823"/>
        <w:gridCol w:w="2019"/>
      </w:tblGrid>
      <w:tr w14:paraId="1C7A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1F839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22A61E44">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1" w:type="dxa"/>
            <w:gridSpan w:val="2"/>
            <w:shd w:val="clear" w:color="auto" w:fill="E7E6E6" w:themeFill="background2"/>
            <w:noWrap/>
            <w:vAlign w:val="center"/>
          </w:tcPr>
          <w:p w14:paraId="2CAE3842">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4F4CC5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0A8B796">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3302EE2E">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C08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70540A2">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3EBAAF06">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成都市武侯区沙堰西二街290号</w:t>
            </w:r>
          </w:p>
        </w:tc>
      </w:tr>
      <w:tr w14:paraId="4FD4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8" w:hRule="atLeast"/>
          <w:jc w:val="center"/>
        </w:trPr>
        <w:tc>
          <w:tcPr>
            <w:tcW w:w="1271" w:type="dxa"/>
            <w:shd w:val="clear" w:color="auto" w:fill="E7E6E6" w:themeFill="background2"/>
            <w:noWrap/>
            <w:vAlign w:val="center"/>
          </w:tcPr>
          <w:p w14:paraId="051624E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29A80662">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四川省妇幼保健院建于1988年，系四川省卫生健康委直属非营利性事业单位和成都医学院附属妇女儿童医院，是集医疗、保健、公共卫生、教学、科研等职能为一体的三级甲等妇幼保健机构，四川省妇幼健康和计划生育研究所、四川省产前诊断中心等机构均设于我院。</w:t>
            </w:r>
          </w:p>
          <w:p w14:paraId="231673A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医院现有晋阳、天府和抚琴三个院区，设有临床医技医辅科室34个，拥有1个国家临床重点专科建设项目，5个国家级妇幼保健特色专科，4个省级临床重点专科建设项目，10个省级医学重点学科/重点实验室。2015年以来，医院承担包括国家科技部重点研发计划项目课题等各级纵向科研项目250项，获各级科技成果奖15项；参编专著115部；获得发明专利6项，实用新型专利332项，计算机软件著作权15项。</w:t>
            </w:r>
          </w:p>
        </w:tc>
      </w:tr>
      <w:tr w14:paraId="15A2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3" w:hRule="atLeast"/>
          <w:jc w:val="center"/>
        </w:trPr>
        <w:tc>
          <w:tcPr>
            <w:tcW w:w="1271" w:type="dxa"/>
            <w:shd w:val="clear" w:color="auto" w:fill="E7E6E6" w:themeFill="background2"/>
            <w:noWrap/>
            <w:vAlign w:val="center"/>
          </w:tcPr>
          <w:p w14:paraId="75DC9D9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3BBD4AA7">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1.人事、组织关系、福利待遇、工资、绩效等均按在职职工执行；</w:t>
            </w:r>
          </w:p>
          <w:p w14:paraId="16284BD2">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2.发放博士后津贴2000元/月，在站期间获批省级博士后项目的，从获批次月起津贴调整为3000元/月，获批国家级博士后项目的，从获批次月起津贴调整为4000元/月；</w:t>
            </w:r>
          </w:p>
          <w:p w14:paraId="37C95FCB">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3.发放租房补助1000元/月；</w:t>
            </w:r>
          </w:p>
          <w:p w14:paraId="3348EF8D">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4.提供科研启动经费10万元；</w:t>
            </w:r>
          </w:p>
          <w:p w14:paraId="45C0704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5.博士后在站期间取得的科研成果，以我院为申报人或作者单位的，纳入医院科研成果奖励范围。对获得博士后相关项目的医院按相关规定给予配套资助。</w:t>
            </w:r>
          </w:p>
        </w:tc>
      </w:tr>
      <w:tr w14:paraId="3ED4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auto" w:fill="E7E6E6" w:themeFill="background2"/>
            <w:noWrap/>
            <w:vAlign w:val="center"/>
          </w:tcPr>
          <w:p w14:paraId="191FB8E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57E9053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9" w:type="dxa"/>
            <w:shd w:val="clear" w:color="auto" w:fill="E7E6E6" w:themeFill="background2"/>
            <w:vAlign w:val="center"/>
          </w:tcPr>
          <w:p w14:paraId="32A210E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60" w:type="dxa"/>
            <w:gridSpan w:val="2"/>
            <w:shd w:val="clear" w:color="auto" w:fill="E7E6E6" w:themeFill="background2"/>
            <w:vAlign w:val="center"/>
          </w:tcPr>
          <w:p w14:paraId="63F5E0E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FD50AE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0573B4E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74B7223">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775" w:type="dxa"/>
            <w:gridSpan w:val="2"/>
            <w:shd w:val="clear" w:color="auto" w:fill="E7E6E6" w:themeFill="background2"/>
            <w:vAlign w:val="center"/>
          </w:tcPr>
          <w:p w14:paraId="2673FE8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506B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619" w:type="dxa"/>
            <w:gridSpan w:val="2"/>
            <w:shd w:val="clear" w:color="000000" w:fill="FFFFFF"/>
            <w:noWrap/>
            <w:vAlign w:val="center"/>
          </w:tcPr>
          <w:p w14:paraId="52E0251B">
            <w:pPr>
              <w:pStyle w:val="16"/>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妇科肿瘤应用基础研究</w:t>
            </w:r>
          </w:p>
        </w:tc>
        <w:tc>
          <w:tcPr>
            <w:tcW w:w="1175" w:type="dxa"/>
            <w:shd w:val="clear" w:color="000000" w:fill="FFFFFF"/>
            <w:vAlign w:val="center"/>
          </w:tcPr>
          <w:p w14:paraId="27EDD274">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1</w:t>
            </w:r>
          </w:p>
        </w:tc>
        <w:tc>
          <w:tcPr>
            <w:tcW w:w="1099" w:type="dxa"/>
            <w:shd w:val="clear" w:color="000000" w:fill="FFFFFF"/>
            <w:vAlign w:val="center"/>
          </w:tcPr>
          <w:p w14:paraId="2347CBA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60" w:type="dxa"/>
            <w:gridSpan w:val="2"/>
            <w:shd w:val="clear" w:color="000000" w:fill="FFFFFF"/>
            <w:vAlign w:val="center"/>
          </w:tcPr>
          <w:p w14:paraId="2614D5A2">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临床医学</w:t>
            </w:r>
          </w:p>
        </w:tc>
        <w:tc>
          <w:tcPr>
            <w:tcW w:w="1296" w:type="dxa"/>
            <w:gridSpan w:val="2"/>
            <w:shd w:val="clear" w:color="000000" w:fill="FFFFFF"/>
            <w:vAlign w:val="center"/>
          </w:tcPr>
          <w:p w14:paraId="233F9EA4">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30-40</w:t>
            </w:r>
          </w:p>
        </w:tc>
        <w:tc>
          <w:tcPr>
            <w:tcW w:w="2775" w:type="dxa"/>
            <w:gridSpan w:val="2"/>
            <w:shd w:val="clear" w:color="000000" w:fill="FFFFFF"/>
            <w:vAlign w:val="center"/>
          </w:tcPr>
          <w:p w14:paraId="5D587E22">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1.须为全职博士后，年龄不超过35周岁；</w:t>
            </w:r>
          </w:p>
          <w:p w14:paraId="16304382">
            <w:pPr>
              <w:pStyle w:val="16"/>
              <w:numPr>
                <w:ilvl w:val="0"/>
                <w:numId w:val="0"/>
              </w:numPr>
              <w:jc w:val="both"/>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2.近三年立项厅局级及以上科研课题一项或以上近三年发表SCI收录论文至少1篇；</w:t>
            </w:r>
          </w:p>
          <w:p w14:paraId="10D55D4E">
            <w:pPr>
              <w:pStyle w:val="16"/>
              <w:numPr>
                <w:ilvl w:val="0"/>
                <w:numId w:val="0"/>
              </w:numPr>
              <w:jc w:val="both"/>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3.具有良好的英文听、说、读、写能力达到大学英语六级水平；</w:t>
            </w:r>
          </w:p>
          <w:p w14:paraId="16A848A1">
            <w:pPr>
              <w:pStyle w:val="16"/>
              <w:numPr>
                <w:ilvl w:val="0"/>
                <w:numId w:val="0"/>
              </w:numPr>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4.博士期间研究方向与该项目吻合，优先考虑肿瘤微环境、干细胞相关方向。</w:t>
            </w:r>
          </w:p>
        </w:tc>
      </w:tr>
      <w:tr w14:paraId="5463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619" w:type="dxa"/>
            <w:gridSpan w:val="2"/>
            <w:shd w:val="clear" w:color="000000" w:fill="FFFFFF"/>
            <w:noWrap/>
            <w:vAlign w:val="center"/>
          </w:tcPr>
          <w:p w14:paraId="206ECF06">
            <w:pPr>
              <w:pStyle w:val="16"/>
              <w:ind w:left="0" w:leftChars="0" w:firstLine="0" w:firstLineChars="0"/>
              <w:jc w:val="both"/>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rPr>
              <w:t>女性生育力保存的临床与基础研究</w:t>
            </w:r>
          </w:p>
        </w:tc>
        <w:tc>
          <w:tcPr>
            <w:tcW w:w="1175" w:type="dxa"/>
            <w:shd w:val="clear" w:color="000000" w:fill="FFFFFF"/>
            <w:vAlign w:val="center"/>
          </w:tcPr>
          <w:p w14:paraId="0F46DCAA">
            <w:pPr>
              <w:pStyle w:val="16"/>
              <w:ind w:left="0" w:leftChars="0"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rPr>
              <w:t>1</w:t>
            </w:r>
          </w:p>
        </w:tc>
        <w:tc>
          <w:tcPr>
            <w:tcW w:w="1099" w:type="dxa"/>
            <w:shd w:val="clear" w:color="000000" w:fill="FFFFFF"/>
            <w:vAlign w:val="center"/>
          </w:tcPr>
          <w:p w14:paraId="57A99BD0">
            <w:pPr>
              <w:adjustRightInd w:val="0"/>
              <w:snapToGrid w:val="0"/>
              <w:spacing w:line="240" w:lineRule="auto"/>
              <w:ind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kern w:val="0"/>
                <w:sz w:val="21"/>
                <w:szCs w:val="21"/>
              </w:rPr>
              <w:t>BSH002</w:t>
            </w:r>
          </w:p>
        </w:tc>
        <w:tc>
          <w:tcPr>
            <w:tcW w:w="1560" w:type="dxa"/>
            <w:gridSpan w:val="2"/>
            <w:shd w:val="clear" w:color="000000" w:fill="FFFFFF"/>
            <w:vAlign w:val="center"/>
          </w:tcPr>
          <w:p w14:paraId="50D06DD7">
            <w:pPr>
              <w:pStyle w:val="16"/>
              <w:ind w:left="0" w:leftChars="0" w:firstLine="0" w:firstLineChars="0"/>
              <w:jc w:val="both"/>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rPr>
              <w:t>临床医学/基础医学/生物学</w:t>
            </w:r>
          </w:p>
        </w:tc>
        <w:tc>
          <w:tcPr>
            <w:tcW w:w="1296" w:type="dxa"/>
            <w:gridSpan w:val="2"/>
            <w:shd w:val="clear" w:color="000000" w:fill="FFFFFF"/>
            <w:vAlign w:val="center"/>
          </w:tcPr>
          <w:p w14:paraId="7D8D6D4C">
            <w:pPr>
              <w:pStyle w:val="16"/>
              <w:ind w:left="0" w:leftChars="0"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30-40</w:t>
            </w:r>
          </w:p>
        </w:tc>
        <w:tc>
          <w:tcPr>
            <w:tcW w:w="2775" w:type="dxa"/>
            <w:gridSpan w:val="2"/>
            <w:shd w:val="clear" w:color="000000" w:fill="FFFFFF"/>
            <w:vAlign w:val="center"/>
          </w:tcPr>
          <w:p w14:paraId="4604EA00">
            <w:pPr>
              <w:pStyle w:val="16"/>
              <w:numPr>
                <w:ilvl w:val="0"/>
                <w:numId w:val="0"/>
              </w:numPr>
              <w:ind w:left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须为全职博士后，年龄不超过35周岁；</w:t>
            </w:r>
          </w:p>
          <w:p w14:paraId="0E537EB1">
            <w:pPr>
              <w:pStyle w:val="16"/>
              <w:numPr>
                <w:ilvl w:val="0"/>
                <w:numId w:val="0"/>
              </w:numPr>
              <w:ind w:left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2.近三年立项厅局级及以上科研课题一项或以第一作者(共一需排第一)发表影响因子3.0以上的 SCI收录论著1篇或中科院2区以上论著1篇；</w:t>
            </w:r>
          </w:p>
          <w:p w14:paraId="25BC72E2">
            <w:pPr>
              <w:pStyle w:val="16"/>
              <w:ind w:left="0" w:leftChars="0" w:firstLine="0" w:firstLineChars="0"/>
              <w:jc w:val="both"/>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3.具有良好的英文听、说、读、写能力</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达到大学英语六级水平；</w:t>
            </w:r>
          </w:p>
          <w:p w14:paraId="0FF41DD2">
            <w:pPr>
              <w:pStyle w:val="16"/>
              <w:ind w:left="0" w:leftChars="0" w:firstLine="0" w:firstLineChars="0"/>
              <w:jc w:val="both"/>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color w:val="auto"/>
                <w:sz w:val="21"/>
                <w:szCs w:val="21"/>
              </w:rPr>
              <w:t>4.博士期间研究方向与该项目吻合，优先考虑生育力保存、生殖医学的临床和基础研究方向。</w:t>
            </w:r>
          </w:p>
        </w:tc>
      </w:tr>
      <w:tr w14:paraId="5E13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619" w:type="dxa"/>
            <w:gridSpan w:val="2"/>
            <w:shd w:val="clear" w:color="000000" w:fill="FFFFFF"/>
            <w:noWrap/>
            <w:vAlign w:val="center"/>
          </w:tcPr>
          <w:p w14:paraId="71201CC8">
            <w:pPr>
              <w:pStyle w:val="16"/>
              <w:ind w:left="0" w:leftChars="0" w:firstLine="0" w:firstLineChars="0"/>
              <w:jc w:val="both"/>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儿童肾脏病的基础与临床研究</w:t>
            </w:r>
          </w:p>
        </w:tc>
        <w:tc>
          <w:tcPr>
            <w:tcW w:w="1175" w:type="dxa"/>
            <w:shd w:val="clear" w:color="000000" w:fill="FFFFFF"/>
            <w:vAlign w:val="center"/>
          </w:tcPr>
          <w:p w14:paraId="44DEC13D">
            <w:pPr>
              <w:pStyle w:val="16"/>
              <w:ind w:left="0" w:leftChars="0"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1</w:t>
            </w:r>
          </w:p>
        </w:tc>
        <w:tc>
          <w:tcPr>
            <w:tcW w:w="1099" w:type="dxa"/>
            <w:shd w:val="clear" w:color="000000" w:fill="FFFFFF"/>
            <w:vAlign w:val="center"/>
          </w:tcPr>
          <w:p w14:paraId="102ED01C">
            <w:pPr>
              <w:adjustRightInd w:val="0"/>
              <w:snapToGrid w:val="0"/>
              <w:spacing w:line="240" w:lineRule="auto"/>
              <w:ind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kern w:val="0"/>
                <w:sz w:val="21"/>
                <w:szCs w:val="21"/>
              </w:rPr>
              <w:t>BSH003</w:t>
            </w:r>
          </w:p>
        </w:tc>
        <w:tc>
          <w:tcPr>
            <w:tcW w:w="1560" w:type="dxa"/>
            <w:gridSpan w:val="2"/>
            <w:shd w:val="clear" w:color="000000" w:fill="FFFFFF"/>
            <w:vAlign w:val="center"/>
          </w:tcPr>
          <w:p w14:paraId="51BDC758">
            <w:pPr>
              <w:pStyle w:val="16"/>
              <w:ind w:left="0" w:leftChars="0"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临床医学</w:t>
            </w:r>
          </w:p>
        </w:tc>
        <w:tc>
          <w:tcPr>
            <w:tcW w:w="1296" w:type="dxa"/>
            <w:gridSpan w:val="2"/>
            <w:shd w:val="clear" w:color="000000" w:fill="FFFFFF"/>
            <w:vAlign w:val="center"/>
          </w:tcPr>
          <w:p w14:paraId="37AA276E">
            <w:pPr>
              <w:pStyle w:val="16"/>
              <w:ind w:left="0" w:leftChars="0" w:firstLine="0" w:firstLine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30-40</w:t>
            </w:r>
          </w:p>
        </w:tc>
        <w:tc>
          <w:tcPr>
            <w:tcW w:w="2775" w:type="dxa"/>
            <w:gridSpan w:val="2"/>
            <w:shd w:val="clear" w:color="000000" w:fill="FFFFFF"/>
            <w:vAlign w:val="center"/>
          </w:tcPr>
          <w:p w14:paraId="5774EAD6">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1.须为全职博士后，年龄不超过35周岁；</w:t>
            </w:r>
          </w:p>
          <w:p w14:paraId="52A9331F">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2.近三年立项厅局级及以上科研课题一项或以上近三年发表SCI收录论文至少1篇；</w:t>
            </w:r>
          </w:p>
          <w:p w14:paraId="4FD48389">
            <w:pPr>
              <w:pStyle w:val="16"/>
              <w:ind w:left="0" w:leftChars="0" w:firstLine="0" w:firstLineChars="0"/>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3.具有良好的英文听、说、读、写能力，达到大学英语六级水平；</w:t>
            </w:r>
          </w:p>
          <w:p w14:paraId="35CF8BD6">
            <w:pPr>
              <w:pStyle w:val="16"/>
              <w:ind w:left="0" w:leftChars="0" w:firstLine="0" w:firstLineChars="0"/>
              <w:jc w:val="left"/>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sz w:val="21"/>
                <w:szCs w:val="21"/>
                <w:vertAlign w:val="baseline"/>
                <w:lang w:val="en-US" w:eastAsia="zh-CN"/>
              </w:rPr>
              <w:t>4.博士期间研究方向与该项目吻合。</w:t>
            </w:r>
          </w:p>
        </w:tc>
      </w:tr>
      <w:tr w14:paraId="0D7C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619" w:type="dxa"/>
            <w:gridSpan w:val="2"/>
            <w:shd w:val="clear" w:color="000000" w:fill="FFFFFF"/>
            <w:noWrap/>
            <w:vAlign w:val="center"/>
          </w:tcPr>
          <w:p w14:paraId="6B8685C3">
            <w:pPr>
              <w:pStyle w:val="16"/>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复杂性双胎的发生机制</w:t>
            </w:r>
          </w:p>
        </w:tc>
        <w:tc>
          <w:tcPr>
            <w:tcW w:w="1175" w:type="dxa"/>
            <w:shd w:val="clear" w:color="000000" w:fill="FFFFFF"/>
            <w:vAlign w:val="center"/>
          </w:tcPr>
          <w:p w14:paraId="54107E33">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1</w:t>
            </w:r>
          </w:p>
        </w:tc>
        <w:tc>
          <w:tcPr>
            <w:tcW w:w="1099" w:type="dxa"/>
            <w:shd w:val="clear" w:color="000000" w:fill="FFFFFF"/>
            <w:vAlign w:val="center"/>
          </w:tcPr>
          <w:p w14:paraId="1E7D67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560" w:type="dxa"/>
            <w:gridSpan w:val="2"/>
            <w:shd w:val="clear" w:color="000000" w:fill="FFFFFF"/>
            <w:vAlign w:val="center"/>
          </w:tcPr>
          <w:p w14:paraId="49191D69">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临床医学</w:t>
            </w:r>
          </w:p>
        </w:tc>
        <w:tc>
          <w:tcPr>
            <w:tcW w:w="1296" w:type="dxa"/>
            <w:gridSpan w:val="2"/>
            <w:shd w:val="clear" w:color="000000" w:fill="FFFFFF"/>
            <w:vAlign w:val="center"/>
          </w:tcPr>
          <w:p w14:paraId="17C05AB4">
            <w:pPr>
              <w:pStyle w:val="16"/>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30-40</w:t>
            </w:r>
          </w:p>
        </w:tc>
        <w:tc>
          <w:tcPr>
            <w:tcW w:w="2775" w:type="dxa"/>
            <w:gridSpan w:val="2"/>
            <w:shd w:val="clear" w:color="000000" w:fill="FFFFFF"/>
            <w:vAlign w:val="center"/>
          </w:tcPr>
          <w:p w14:paraId="73F7E9CA">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1.须为全职博士后，年龄不超过35周岁；</w:t>
            </w:r>
          </w:p>
          <w:p w14:paraId="77D3BB04">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2.近三年立项厅局级及以上科研课题一项或以上近三年发表SCI收录论文至少1篇;</w:t>
            </w:r>
          </w:p>
          <w:p w14:paraId="68B4EE7F">
            <w:pPr>
              <w:pStyle w:val="16"/>
              <w:numPr>
                <w:ilvl w:val="0"/>
                <w:numId w:val="0"/>
              </w:numPr>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3.具有良好的英文听、说、读、写能力，达到大学英语六级水平;</w:t>
            </w:r>
          </w:p>
          <w:p w14:paraId="61FA0E93">
            <w:pPr>
              <w:pStyle w:val="16"/>
              <w:ind w:left="0" w:leftChars="0"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vertAlign w:val="baseline"/>
                <w:lang w:val="en-US" w:eastAsia="zh-CN"/>
              </w:rPr>
              <w:t>4.博士期间研究方向与该项目吻合。</w:t>
            </w:r>
          </w:p>
        </w:tc>
      </w:tr>
    </w:tbl>
    <w:p w14:paraId="20C1013C">
      <w:pPr>
        <w:pStyle w:val="5"/>
        <w:adjustRightInd w:val="0"/>
        <w:snapToGrid w:val="0"/>
        <w:spacing w:line="240" w:lineRule="auto"/>
        <w:ind w:firstLine="0"/>
        <w:jc w:val="center"/>
        <w:rPr>
          <w:rFonts w:eastAsia="方正小标宋简体"/>
          <w:sz w:val="44"/>
          <w:szCs w:val="44"/>
        </w:rPr>
      </w:pPr>
    </w:p>
    <w:p w14:paraId="068FD70F">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eastAsia="方正小标宋简体"/>
          <w:sz w:val="44"/>
          <w:szCs w:val="44"/>
          <w:highlight w:val="yellow"/>
        </w:rPr>
      </w:pPr>
      <w:bookmarkStart w:id="392" w:name="_Toc22753"/>
      <w:bookmarkStart w:id="393" w:name="_Toc484"/>
      <w:bookmarkStart w:id="394" w:name="_Toc25969"/>
      <w:bookmarkStart w:id="395" w:name="_Toc30217"/>
      <w:bookmarkStart w:id="396" w:name="_Toc23501"/>
      <w:r>
        <w:rPr>
          <w:rFonts w:eastAsia="方正小标宋简体"/>
          <w:sz w:val="44"/>
          <w:szCs w:val="44"/>
          <w:highlight w:val="none"/>
        </w:rPr>
        <w:t>四川省公路规划勘察设计研究院有限公司</w:t>
      </w:r>
      <w:bookmarkEnd w:id="392"/>
      <w:bookmarkEnd w:id="393"/>
      <w:bookmarkEnd w:id="394"/>
      <w:bookmarkEnd w:id="395"/>
      <w:bookmarkEnd w:id="396"/>
    </w:p>
    <w:p w14:paraId="6184FFE2">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方正小标宋简体"/>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516"/>
        <w:gridCol w:w="1042"/>
        <w:gridCol w:w="111"/>
        <w:gridCol w:w="1116"/>
        <w:gridCol w:w="449"/>
        <w:gridCol w:w="1171"/>
        <w:gridCol w:w="453"/>
        <w:gridCol w:w="859"/>
        <w:gridCol w:w="704"/>
        <w:gridCol w:w="2015"/>
        <w:gridCol w:w="16"/>
      </w:tblGrid>
      <w:tr w14:paraId="28FD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7" w:hRule="atLeast"/>
          <w:jc w:val="center"/>
        </w:trPr>
        <w:tc>
          <w:tcPr>
            <w:tcW w:w="1271" w:type="dxa"/>
            <w:shd w:val="clear" w:color="auto" w:fill="E7E6E6" w:themeFill="background2"/>
            <w:noWrap/>
            <w:vAlign w:val="center"/>
          </w:tcPr>
          <w:p w14:paraId="7EEA0C5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79483487">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3"/>
            <w:shd w:val="clear" w:color="auto" w:fill="E7E6E6" w:themeFill="background2"/>
            <w:noWrap/>
            <w:vAlign w:val="center"/>
          </w:tcPr>
          <w:p w14:paraId="35DC119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8C79BCB">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5733AA2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14:paraId="438285B7">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CBA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012AFCA">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1"/>
            <w:shd w:val="clear" w:color="000000" w:fill="FFFFFF"/>
            <w:noWrap/>
            <w:vAlign w:val="center"/>
          </w:tcPr>
          <w:p w14:paraId="7668AB31">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四川省成都市武侯区武侯祠横街1号</w:t>
            </w:r>
          </w:p>
        </w:tc>
      </w:tr>
      <w:tr w14:paraId="526C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6" w:hRule="atLeast"/>
          <w:jc w:val="center"/>
        </w:trPr>
        <w:tc>
          <w:tcPr>
            <w:tcW w:w="1271" w:type="dxa"/>
            <w:shd w:val="clear" w:color="auto" w:fill="E7E6E6" w:themeFill="background2"/>
            <w:noWrap/>
            <w:vAlign w:val="center"/>
          </w:tcPr>
          <w:p w14:paraId="00DFF6B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1"/>
            <w:shd w:val="clear" w:color="000000" w:fill="FFFFFF"/>
            <w:vAlign w:val="center"/>
          </w:tcPr>
          <w:p w14:paraId="78ECA194">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eastAsiaTheme="minorEastAsia"/>
                <w:sz w:val="21"/>
                <w:szCs w:val="21"/>
              </w:rPr>
            </w:pPr>
            <w:r>
              <w:rPr>
                <w:rFonts w:hint="eastAsia" w:eastAsiaTheme="minorEastAsia"/>
                <w:sz w:val="21"/>
                <w:szCs w:val="21"/>
              </w:rPr>
              <w:t>四川省公路规划勘察设计研究院有限公司成立于1953年，是集设计、科研于一体的大型甲级设计研究院，主要从事各等级公路、桥梁、隧道、工业民用建筑、市政工程等的规划、勘察、设计、试验检测与科研等业务，历经70余年发展，截至2023年底，公司累计完成7万多公里普通公路、7000多公里高速公路、600多座大型桥梁、1300多座隧道的勘察设计，造就了大批超级工程、经典项目，形成了公路测设、桥梁建造、山岭超特长隧道、公路抗震减灾、科研试验检测、交通数字化等6个方面核心技术。获得国家科技进步一等奖、国家优秀设计金奖、詹天佑土木工程大奖，以及国际桥梁、隧道、BIM大奖等科技奖质量奖920多项，获得国家专利350多项，编制各类标准规范120多部。长期以来，公司高度重视科技创新工作，在科研平台创建、科技人才培养、科技项目研究、科研成果获奖等方面均取得了长足的发展，奠定了良好的创新底蕴和研发后劲，整体科技实力在国内交通勘察设计单位中居于全国前列。2018年10月，公司经人社部、全国博管办批准，设立博士后科研工作站。公司网站：www.schdri.com.cn。</w:t>
            </w:r>
          </w:p>
        </w:tc>
      </w:tr>
      <w:tr w14:paraId="55F5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1271" w:type="dxa"/>
            <w:shd w:val="clear" w:color="auto" w:fill="E7E6E6" w:themeFill="background2"/>
            <w:noWrap/>
            <w:vAlign w:val="center"/>
          </w:tcPr>
          <w:p w14:paraId="45CB871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1"/>
            <w:shd w:val="clear" w:color="000000" w:fill="FFFFFF"/>
            <w:vAlign w:val="center"/>
          </w:tcPr>
          <w:p w14:paraId="10F27B03">
            <w:pPr>
              <w:keepNext w:val="0"/>
              <w:keepLines w:val="0"/>
              <w:pageBreakBefore w:val="0"/>
              <w:widowControl w:val="0"/>
              <w:kinsoku/>
              <w:wordWrap/>
              <w:overflowPunct/>
              <w:topLinePunct w:val="0"/>
              <w:autoSpaceDE/>
              <w:autoSpaceDN/>
              <w:bidi w:val="0"/>
              <w:adjustRightInd w:val="0"/>
              <w:snapToGrid w:val="0"/>
              <w:spacing w:line="312" w:lineRule="auto"/>
              <w:ind w:firstLine="420" w:firstLineChars="200"/>
              <w:textAlignment w:val="auto"/>
              <w:rPr>
                <w:rFonts w:eastAsiaTheme="minorEastAsia"/>
                <w:sz w:val="21"/>
                <w:szCs w:val="21"/>
              </w:rPr>
            </w:pPr>
            <w:r>
              <w:rPr>
                <w:rFonts w:hint="eastAsia" w:eastAsiaTheme="minorEastAsia"/>
                <w:sz w:val="21"/>
                <w:szCs w:val="21"/>
              </w:rPr>
              <w:t>全职博士后薪酬待遇参照在职人员管理，缴纳五险一金，开展职称评聘，提供工作用餐保证，优先支持在科研项目立项申报，在职博士后研究人员优先支持科研项目立项申报。</w:t>
            </w:r>
          </w:p>
        </w:tc>
      </w:tr>
      <w:tr w14:paraId="7239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776" w:type="dxa"/>
            <w:gridSpan w:val="2"/>
            <w:shd w:val="clear" w:color="auto" w:fill="E7E6E6" w:themeFill="background2"/>
            <w:noWrap/>
            <w:vAlign w:val="center"/>
          </w:tcPr>
          <w:p w14:paraId="08F00B8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14:paraId="6254FB58">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14:paraId="070C24F2">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85" w:type="dxa"/>
            <w:gridSpan w:val="2"/>
            <w:shd w:val="clear" w:color="auto" w:fill="E7E6E6" w:themeFill="background2"/>
            <w:vAlign w:val="center"/>
          </w:tcPr>
          <w:p w14:paraId="1DFA443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E51A12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3" w:type="dxa"/>
            <w:gridSpan w:val="2"/>
            <w:shd w:val="clear" w:color="auto" w:fill="E7E6E6" w:themeFill="background2"/>
            <w:vAlign w:val="center"/>
          </w:tcPr>
          <w:p w14:paraId="1FA6535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D305FF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675" w:type="dxa"/>
            <w:gridSpan w:val="3"/>
            <w:shd w:val="clear" w:color="auto" w:fill="E7E6E6" w:themeFill="background2"/>
            <w:vAlign w:val="center"/>
          </w:tcPr>
          <w:p w14:paraId="5F0BC0F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41E2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6F5E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横断山区近、跨断层桥梁震损模式及抗震韧性设计方法研究</w:t>
            </w:r>
          </w:p>
        </w:tc>
        <w:tc>
          <w:tcPr>
            <w:tcW w:w="11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38CD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092" w:type="dxa"/>
            <w:tcBorders>
              <w:top w:val="single" w:color="auto" w:sz="4" w:space="0"/>
              <w:left w:val="single" w:color="auto" w:sz="4" w:space="0"/>
              <w:bottom w:val="single" w:color="auto" w:sz="4" w:space="0"/>
              <w:right w:val="single" w:color="auto" w:sz="4" w:space="0"/>
            </w:tcBorders>
            <w:shd w:val="clear" w:color="auto" w:fill="FFFFFF"/>
            <w:vAlign w:val="center"/>
          </w:tcPr>
          <w:p w14:paraId="5CFE7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C0665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土木工程</w:t>
            </w:r>
          </w:p>
        </w:tc>
        <w:tc>
          <w:tcPr>
            <w:tcW w:w="1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7091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10-20</w:t>
            </w:r>
          </w:p>
        </w:tc>
        <w:tc>
          <w:tcPr>
            <w:tcW w:w="2675" w:type="dxa"/>
            <w:gridSpan w:val="3"/>
            <w:vMerge w:val="restart"/>
            <w:shd w:val="clear" w:color="000000" w:fill="FFFFFF"/>
            <w:vAlign w:val="center"/>
          </w:tcPr>
          <w:p w14:paraId="289970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rPr>
              <w:t>具有良好的政治素质和道德修养，品行端正，无违法违纪等不良记录；</w:t>
            </w:r>
          </w:p>
          <w:p w14:paraId="09FD39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rPr>
              <w:t>已获得相关专业博士学位，或已完成博士论文答辩的应届博士毕业生，获得博士学位一般不超过3年。年龄在35周岁以下，身体健康；</w:t>
            </w:r>
          </w:p>
          <w:p w14:paraId="298AB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r>
              <w:rPr>
                <w:rFonts w:hint="eastAsia" w:cs="Times New Roman" w:eastAsiaTheme="minorEastAsia"/>
                <w:sz w:val="21"/>
                <w:szCs w:val="21"/>
                <w:lang w:eastAsia="zh-CN"/>
              </w:rPr>
              <w:t>.</w:t>
            </w:r>
            <w:r>
              <w:rPr>
                <w:rFonts w:hint="default" w:ascii="Times New Roman" w:hAnsi="Times New Roman" w:cs="Times New Roman" w:eastAsiaTheme="minorEastAsia"/>
                <w:sz w:val="21"/>
                <w:szCs w:val="21"/>
              </w:rPr>
              <w:t>具有扎实的理论基础和专业知识，具备较高的外语阅读能力和交流水平,具有良好的团队合作精神和突出的科研业绩，组织协调能力较强。</w:t>
            </w:r>
          </w:p>
        </w:tc>
      </w:tr>
      <w:tr w14:paraId="0078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ECDA9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四川公路山地灾害风险预警系统研发与应用</w:t>
            </w:r>
          </w:p>
        </w:tc>
        <w:tc>
          <w:tcPr>
            <w:tcW w:w="11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1057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092" w:type="dxa"/>
            <w:tcBorders>
              <w:top w:val="single" w:color="auto" w:sz="4" w:space="0"/>
              <w:left w:val="single" w:color="auto" w:sz="4" w:space="0"/>
              <w:bottom w:val="single" w:color="auto" w:sz="4" w:space="0"/>
              <w:right w:val="single" w:color="auto" w:sz="4" w:space="0"/>
            </w:tcBorders>
            <w:shd w:val="clear" w:color="auto" w:fill="FFFFFF"/>
            <w:vAlign w:val="center"/>
          </w:tcPr>
          <w:p w14:paraId="32C17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3C4F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土木工程</w:t>
            </w:r>
          </w:p>
        </w:tc>
        <w:tc>
          <w:tcPr>
            <w:tcW w:w="1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0E2B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10-20</w:t>
            </w:r>
          </w:p>
        </w:tc>
        <w:tc>
          <w:tcPr>
            <w:tcW w:w="2675" w:type="dxa"/>
            <w:gridSpan w:val="3"/>
            <w:vMerge w:val="continue"/>
            <w:shd w:val="clear" w:color="000000" w:fill="FFFFFF"/>
            <w:vAlign w:val="center"/>
          </w:tcPr>
          <w:p w14:paraId="3D37C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r>
      <w:tr w14:paraId="19BA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776"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E870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久马高速公路隧道大变形协同支护设计与高效施工技术专题</w:t>
            </w:r>
          </w:p>
        </w:tc>
        <w:tc>
          <w:tcPr>
            <w:tcW w:w="112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D27F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092" w:type="dxa"/>
            <w:tcBorders>
              <w:top w:val="single" w:color="auto" w:sz="4" w:space="0"/>
              <w:left w:val="single" w:color="auto" w:sz="4" w:space="0"/>
              <w:bottom w:val="single" w:color="auto" w:sz="4" w:space="0"/>
              <w:right w:val="single" w:color="auto" w:sz="4" w:space="0"/>
            </w:tcBorders>
            <w:shd w:val="clear" w:color="auto" w:fill="FFFFFF"/>
            <w:vAlign w:val="center"/>
          </w:tcPr>
          <w:p w14:paraId="1637A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85"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4771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土木工程</w:t>
            </w:r>
          </w:p>
        </w:tc>
        <w:tc>
          <w:tcPr>
            <w:tcW w:w="128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5436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10-20</w:t>
            </w:r>
          </w:p>
        </w:tc>
        <w:tc>
          <w:tcPr>
            <w:tcW w:w="2675" w:type="dxa"/>
            <w:gridSpan w:val="3"/>
            <w:vMerge w:val="continue"/>
            <w:shd w:val="clear" w:color="000000" w:fill="FFFFFF"/>
            <w:vAlign w:val="center"/>
          </w:tcPr>
          <w:p w14:paraId="7376D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r>
    </w:tbl>
    <w:p w14:paraId="7C3DA7C4">
      <w:pPr>
        <w:widowControl/>
        <w:spacing w:line="240" w:lineRule="auto"/>
        <w:ind w:firstLine="0"/>
        <w:jc w:val="left"/>
        <w:rPr>
          <w:rFonts w:eastAsia="方正小标宋简体"/>
          <w:sz w:val="21"/>
          <w:szCs w:val="21"/>
        </w:rPr>
      </w:pPr>
      <w:r>
        <w:rPr>
          <w:rFonts w:eastAsia="方正小标宋简体"/>
          <w:sz w:val="21"/>
          <w:szCs w:val="21"/>
        </w:rPr>
        <w:br w:type="page"/>
      </w:r>
    </w:p>
    <w:p w14:paraId="17944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方正小标宋简体"/>
          <w:sz w:val="44"/>
          <w:szCs w:val="44"/>
        </w:rPr>
      </w:pPr>
    </w:p>
    <w:p w14:paraId="40C39396">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397" w:name="_Toc1384"/>
      <w:bookmarkStart w:id="398" w:name="_Toc26454"/>
      <w:bookmarkStart w:id="399" w:name="_Toc22460"/>
      <w:bookmarkStart w:id="400" w:name="_Toc25872"/>
      <w:bookmarkStart w:id="401" w:name="_Toc18265"/>
      <w:r>
        <w:rPr>
          <w:rFonts w:eastAsia="方正小标宋简体"/>
          <w:sz w:val="44"/>
          <w:szCs w:val="44"/>
          <w:highlight w:val="none"/>
        </w:rPr>
        <w:t>四川省建筑设计研究院有限公司</w:t>
      </w:r>
      <w:bookmarkEnd w:id="397"/>
      <w:bookmarkEnd w:id="398"/>
      <w:bookmarkEnd w:id="399"/>
      <w:bookmarkEnd w:id="400"/>
      <w:bookmarkEnd w:id="401"/>
    </w:p>
    <w:p w14:paraId="3F6A8DE9">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66"/>
        <w:gridCol w:w="693"/>
        <w:gridCol w:w="560"/>
        <w:gridCol w:w="1120"/>
        <w:gridCol w:w="1627"/>
        <w:gridCol w:w="312"/>
        <w:gridCol w:w="1253"/>
        <w:gridCol w:w="160"/>
        <w:gridCol w:w="1859"/>
      </w:tblGrid>
      <w:tr w14:paraId="2410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E7F959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27ECD61E">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14:paraId="71BD0DF9">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7CB2ADD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55DFF694">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1DB68BB4">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298B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FB6C9A4">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1B9B63CF">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成都市高新区天府大道中段688号</w:t>
            </w:r>
          </w:p>
        </w:tc>
      </w:tr>
      <w:tr w14:paraId="5189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4" w:hRule="atLeast"/>
          <w:jc w:val="center"/>
        </w:trPr>
        <w:tc>
          <w:tcPr>
            <w:tcW w:w="1271" w:type="dxa"/>
            <w:shd w:val="clear" w:color="auto" w:fill="E7E6E6" w:themeFill="background2"/>
            <w:noWrap/>
            <w:vAlign w:val="center"/>
          </w:tcPr>
          <w:p w14:paraId="4281B4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5BE5FECF">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我院成立于1953年，是省国资委直接管理的一级企业，近年来先后获评当代中国建筑设计百家名院、全国工程勘察设计先进企业、全国勘察设计创新型优秀企业。各类资质50项，形成“4+X”业务体系，包括创意设计、工程管理与咨询、工程勘察、数字业务和以投资带动的其他培育业务。累计设计完成海内外大中型项目10000余项。在大型城市综合体、教育、办公、酒店、商业、交通、旅游、园林、大型住宅小区等领域建成了一批有社会影响力的项目。我院高度重视科技创新工作，是国家高新技术企业、搭建了科技创新平台，先后约有850余项次工程项目获得国家级、部省级优秀设计奖、重大科技成果及科技进步奖。</w:t>
            </w:r>
          </w:p>
        </w:tc>
      </w:tr>
      <w:tr w14:paraId="0302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1271" w:type="dxa"/>
            <w:shd w:val="clear" w:color="auto" w:fill="E7E6E6" w:themeFill="background2"/>
            <w:noWrap/>
            <w:vAlign w:val="center"/>
          </w:tcPr>
          <w:p w14:paraId="5FAC5C6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20B6967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为进站博士后提供年薪25-30万，提供六险一金、住房补贴、餐补、注册补贴、年度体检等全方位员工福利。由院总（省大师）直接指导，匹配科研项目。</w:t>
            </w:r>
          </w:p>
        </w:tc>
      </w:tr>
      <w:tr w14:paraId="7BD0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17" w:type="dxa"/>
            <w:gridSpan w:val="2"/>
            <w:shd w:val="clear" w:color="auto" w:fill="E7E6E6" w:themeFill="background2"/>
            <w:noWrap/>
            <w:vAlign w:val="center"/>
          </w:tcPr>
          <w:p w14:paraId="780A9BC3">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14:paraId="6E545CA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14:paraId="6EB6647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14:paraId="3DF5794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7397D0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0" w:type="dxa"/>
            <w:gridSpan w:val="2"/>
            <w:shd w:val="clear" w:color="auto" w:fill="E7E6E6" w:themeFill="background2"/>
            <w:vAlign w:val="center"/>
          </w:tcPr>
          <w:p w14:paraId="62D5D8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4FB8AF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5" w:type="dxa"/>
            <w:shd w:val="clear" w:color="auto" w:fill="E7E6E6" w:themeFill="background2"/>
            <w:vAlign w:val="center"/>
          </w:tcPr>
          <w:p w14:paraId="2A205A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424382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85D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169F5A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水环境治理/低碳水环境/海绵城市</w:t>
            </w:r>
          </w:p>
        </w:tc>
        <w:tc>
          <w:tcPr>
            <w:tcW w:w="1224" w:type="dxa"/>
            <w:gridSpan w:val="2"/>
            <w:shd w:val="clear" w:color="000000" w:fill="FFFFFF"/>
            <w:vAlign w:val="center"/>
          </w:tcPr>
          <w:p w14:paraId="6A9EF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4B821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894" w:type="dxa"/>
            <w:gridSpan w:val="2"/>
            <w:shd w:val="clear" w:color="000000" w:fill="FFFFFF"/>
            <w:vAlign w:val="center"/>
          </w:tcPr>
          <w:p w14:paraId="0C641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市政工程/环境工程/给水排水工程</w:t>
            </w:r>
          </w:p>
        </w:tc>
        <w:tc>
          <w:tcPr>
            <w:tcW w:w="1380" w:type="dxa"/>
            <w:gridSpan w:val="2"/>
            <w:shd w:val="clear" w:color="000000" w:fill="FFFFFF"/>
            <w:vAlign w:val="center"/>
          </w:tcPr>
          <w:p w14:paraId="53BEE3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815" w:type="dxa"/>
            <w:shd w:val="clear" w:color="000000" w:fill="FFFFFF"/>
            <w:vAlign w:val="center"/>
          </w:tcPr>
          <w:p w14:paraId="478C8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211或985高校</w:t>
            </w:r>
          </w:p>
        </w:tc>
      </w:tr>
      <w:tr w14:paraId="7ED9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5A5906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低碳城市设计/TOD设计规划</w:t>
            </w:r>
          </w:p>
        </w:tc>
        <w:tc>
          <w:tcPr>
            <w:tcW w:w="1224" w:type="dxa"/>
            <w:gridSpan w:val="2"/>
            <w:shd w:val="clear" w:color="000000" w:fill="FFFFFF"/>
            <w:vAlign w:val="center"/>
          </w:tcPr>
          <w:p w14:paraId="48AD5A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37AC1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894" w:type="dxa"/>
            <w:gridSpan w:val="2"/>
            <w:shd w:val="clear" w:color="000000" w:fill="FFFFFF"/>
            <w:vAlign w:val="center"/>
          </w:tcPr>
          <w:p w14:paraId="1B6F7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建筑学/规划</w:t>
            </w:r>
          </w:p>
        </w:tc>
        <w:tc>
          <w:tcPr>
            <w:tcW w:w="1380" w:type="dxa"/>
            <w:gridSpan w:val="2"/>
            <w:shd w:val="clear" w:color="000000" w:fill="FFFFFF"/>
            <w:vAlign w:val="center"/>
          </w:tcPr>
          <w:p w14:paraId="18A18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815" w:type="dxa"/>
            <w:shd w:val="clear" w:color="000000" w:fill="FFFFFF"/>
            <w:vAlign w:val="center"/>
          </w:tcPr>
          <w:p w14:paraId="093AC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无</w:t>
            </w:r>
          </w:p>
        </w:tc>
      </w:tr>
      <w:tr w14:paraId="39EF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40593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建筑能源系统优化/节能潜力挖掘/节能降碳</w:t>
            </w:r>
          </w:p>
        </w:tc>
        <w:tc>
          <w:tcPr>
            <w:tcW w:w="1224" w:type="dxa"/>
            <w:gridSpan w:val="2"/>
            <w:shd w:val="clear" w:color="000000" w:fill="FFFFFF"/>
            <w:vAlign w:val="center"/>
          </w:tcPr>
          <w:p w14:paraId="1E121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2ECD5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894" w:type="dxa"/>
            <w:gridSpan w:val="2"/>
            <w:shd w:val="clear" w:color="000000" w:fill="FFFFFF"/>
            <w:vAlign w:val="center"/>
          </w:tcPr>
          <w:p w14:paraId="00A53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暖通空调</w:t>
            </w:r>
          </w:p>
        </w:tc>
        <w:tc>
          <w:tcPr>
            <w:tcW w:w="1380" w:type="dxa"/>
            <w:gridSpan w:val="2"/>
            <w:shd w:val="clear" w:color="000000" w:fill="FFFFFF"/>
            <w:vAlign w:val="center"/>
          </w:tcPr>
          <w:p w14:paraId="0B8787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815" w:type="dxa"/>
            <w:shd w:val="clear" w:color="000000" w:fill="FFFFFF"/>
            <w:vAlign w:val="center"/>
          </w:tcPr>
          <w:p w14:paraId="48302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211或985高校</w:t>
            </w:r>
          </w:p>
        </w:tc>
      </w:tr>
    </w:tbl>
    <w:p w14:paraId="3ECD67A5">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73A9FD9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eastAsia="方正小标宋简体"/>
          <w:kern w:val="0"/>
          <w:sz w:val="44"/>
          <w:szCs w:val="44"/>
        </w:rPr>
      </w:pPr>
      <w:bookmarkStart w:id="402" w:name="_Toc10713"/>
      <w:bookmarkStart w:id="403" w:name="_Toc13821"/>
      <w:bookmarkStart w:id="404" w:name="_Toc6103"/>
      <w:bookmarkStart w:id="405" w:name="_Toc31416"/>
      <w:bookmarkStart w:id="406" w:name="_Toc30245"/>
      <w:r>
        <w:rPr>
          <w:rFonts w:eastAsia="方正小标宋简体"/>
          <w:kern w:val="0"/>
          <w:sz w:val="44"/>
          <w:szCs w:val="44"/>
          <w:highlight w:val="none"/>
        </w:rPr>
        <w:t>四川省农业科学院</w:t>
      </w:r>
      <w:bookmarkEnd w:id="402"/>
      <w:bookmarkEnd w:id="403"/>
      <w:bookmarkEnd w:id="404"/>
      <w:bookmarkEnd w:id="405"/>
      <w:bookmarkEnd w:id="406"/>
    </w:p>
    <w:p w14:paraId="466EADF5">
      <w:pPr>
        <w:pStyle w:val="33"/>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ascii="Times New Roman" w:hAnsi="Times New Roman"/>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76D2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71A8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4A72D937">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14:paraId="5FC48E9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6CDF123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58B455B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25A643AC">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C66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30CAB4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0BB8C93F">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成都市锦江区静平路666号</w:t>
            </w:r>
          </w:p>
        </w:tc>
      </w:tr>
      <w:tr w14:paraId="56A1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6" w:hRule="atLeast"/>
          <w:jc w:val="center"/>
        </w:trPr>
        <w:tc>
          <w:tcPr>
            <w:tcW w:w="1271" w:type="dxa"/>
            <w:shd w:val="clear" w:color="auto" w:fill="E7E6E6" w:themeFill="background2"/>
            <w:noWrap/>
            <w:vAlign w:val="center"/>
          </w:tcPr>
          <w:p w14:paraId="2C20A0F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18E4E82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我院是省政府直属正厅级综合性农业科研事业单位，主要开展农业基础、农业应用基础、农业应用、农业装备和软科学研究，提供农业公共科技供给和应急科技支撑；开展重大农业科技创新，组织农业科技力量协同攻关；开展农业新技术研发、科技成果示范与转移转化、技术培训与普及，组织管理和实施承担的农业科技工程项目；开展国内外科技合作交流、技术贸易活动；开展科技宣传和人才培养；开展“三农”战略问题研究，参与全省“三农”决策咨询；完成省委、省政府及农业农村厅交办的其他任务。</w:t>
            </w:r>
          </w:p>
          <w:p w14:paraId="0FD296A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目前，全院设有12个职能处室和机关党委、18个科研机构和1个所级科研保障机构，并在海南省设有海南分院。研究和开发领域涵盖粮、经、饲作物、畜禽与水产，涉及80余个学科和领域。建有国际、国家、部、省级科研平台101个，国家博士后科研工作站1个、省博士后创新实践基地1个；现代农业科技示范综合实验站12个、现代农业科技示范农场750家；国省引智引才等基地10个；与南充、绵阳、攀枝花等13个市州共建13个分院。在新都、郫都、彭州、马尔康及海南陵水、云南西双版纳等地建有科研试验基地100余个，其中有土地产权基地总面积7150.77亩。</w:t>
            </w:r>
          </w:p>
        </w:tc>
      </w:tr>
      <w:tr w14:paraId="6CE8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1271" w:type="dxa"/>
            <w:shd w:val="clear" w:color="auto" w:fill="E7E6E6" w:themeFill="background2"/>
            <w:noWrap/>
            <w:vAlign w:val="center"/>
          </w:tcPr>
          <w:p w14:paraId="40C53C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34755CB4">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博士后管理主要参照《四川省农业科学院博士后工作管理暂行办法》（农院委发〔2023〕97号），正常在站期内，实行年薪工作制，16万元-20万元（税前，共发放2年）；科研启动费5万元/年，连续支持2年；按照国家相关政策予以认定中级职称，可申请使用院高端人才公寓；未成年子女流动、户口管理和入托入学等事宜按照国家、四川省有关规定办理。</w:t>
            </w:r>
          </w:p>
        </w:tc>
      </w:tr>
      <w:tr w14:paraId="69CA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2FEB669C">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495EDBF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4B9DE25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0F9A5BA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9DC393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10E0E4D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8FCE98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0DBCE88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81A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619" w:type="dxa"/>
            <w:gridSpan w:val="2"/>
            <w:shd w:val="clear" w:color="000000" w:fill="FFFFFF"/>
            <w:noWrap/>
            <w:vAlign w:val="center"/>
          </w:tcPr>
          <w:p w14:paraId="3A5A46B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玉米抗黄曲霉菌穗腐病基因挖掘</w:t>
            </w:r>
          </w:p>
        </w:tc>
        <w:tc>
          <w:tcPr>
            <w:tcW w:w="1176" w:type="dxa"/>
            <w:shd w:val="clear" w:color="000000" w:fill="FFFFFF"/>
            <w:vAlign w:val="center"/>
          </w:tcPr>
          <w:p w14:paraId="6F83FD7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1FBEB99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22" w:type="dxa"/>
            <w:gridSpan w:val="2"/>
            <w:shd w:val="clear" w:color="000000" w:fill="FFFFFF"/>
            <w:vAlign w:val="center"/>
          </w:tcPr>
          <w:p w14:paraId="393D976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农学</w:t>
            </w:r>
          </w:p>
        </w:tc>
        <w:tc>
          <w:tcPr>
            <w:tcW w:w="1399" w:type="dxa"/>
            <w:gridSpan w:val="2"/>
            <w:shd w:val="clear" w:color="000000" w:fill="FFFFFF"/>
            <w:vAlign w:val="center"/>
          </w:tcPr>
          <w:p w14:paraId="2A9FB1C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2550" w:type="dxa"/>
            <w:gridSpan w:val="2"/>
            <w:shd w:val="clear" w:color="000000" w:fill="FFFFFF"/>
            <w:vAlign w:val="center"/>
          </w:tcPr>
          <w:p w14:paraId="713256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985大学或国家级研究院所</w:t>
            </w:r>
          </w:p>
        </w:tc>
      </w:tr>
      <w:tr w14:paraId="1ED7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000000" w:fill="E7E6E6" w:themeFill="background2"/>
            <w:noWrap/>
            <w:vAlign w:val="center"/>
          </w:tcPr>
          <w:p w14:paraId="74237C4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项目名称</w:t>
            </w:r>
          </w:p>
        </w:tc>
        <w:tc>
          <w:tcPr>
            <w:tcW w:w="1176" w:type="dxa"/>
            <w:shd w:val="clear" w:color="000000" w:fill="E7E6E6" w:themeFill="background2"/>
            <w:vAlign w:val="center"/>
          </w:tcPr>
          <w:p w14:paraId="01E8201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需求人数</w:t>
            </w:r>
          </w:p>
        </w:tc>
        <w:tc>
          <w:tcPr>
            <w:tcW w:w="1064" w:type="dxa"/>
            <w:shd w:val="clear" w:color="000000" w:fill="E7E6E6" w:themeFill="background2"/>
            <w:vAlign w:val="center"/>
          </w:tcPr>
          <w:p w14:paraId="60C2477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eastAsiaTheme="minorEastAsia"/>
                <w:b/>
                <w:bCs/>
                <w:sz w:val="21"/>
                <w:szCs w:val="21"/>
              </w:rPr>
              <w:t>岗位编号</w:t>
            </w:r>
          </w:p>
        </w:tc>
        <w:tc>
          <w:tcPr>
            <w:tcW w:w="1722" w:type="dxa"/>
            <w:gridSpan w:val="2"/>
            <w:shd w:val="clear" w:color="000000" w:fill="E7E6E6" w:themeFill="background2"/>
            <w:vAlign w:val="center"/>
          </w:tcPr>
          <w:p w14:paraId="589464F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5C02822">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000000" w:fill="E7E6E6" w:themeFill="background2"/>
            <w:vAlign w:val="center"/>
          </w:tcPr>
          <w:p w14:paraId="41DA60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4CD967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000000" w:fill="E7E6E6" w:themeFill="background2"/>
            <w:vAlign w:val="center"/>
          </w:tcPr>
          <w:p w14:paraId="6BCFF815">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博士生源单位等要求</w:t>
            </w:r>
          </w:p>
        </w:tc>
      </w:tr>
      <w:tr w14:paraId="3FA7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619" w:type="dxa"/>
            <w:gridSpan w:val="2"/>
            <w:shd w:val="clear" w:color="000000" w:fill="FFFFFF"/>
            <w:noWrap/>
            <w:vAlign w:val="center"/>
          </w:tcPr>
          <w:p w14:paraId="5FBB492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油菜抗逆基因挖掘与利用</w:t>
            </w:r>
          </w:p>
        </w:tc>
        <w:tc>
          <w:tcPr>
            <w:tcW w:w="1176" w:type="dxa"/>
            <w:shd w:val="clear" w:color="000000" w:fill="FFFFFF"/>
            <w:vAlign w:val="center"/>
          </w:tcPr>
          <w:p w14:paraId="58DF0FF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463CA2E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2</w:t>
            </w:r>
          </w:p>
        </w:tc>
        <w:tc>
          <w:tcPr>
            <w:tcW w:w="1722" w:type="dxa"/>
            <w:gridSpan w:val="2"/>
            <w:shd w:val="clear" w:color="000000" w:fill="FFFFFF"/>
            <w:vAlign w:val="center"/>
          </w:tcPr>
          <w:p w14:paraId="1EE3748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农学</w:t>
            </w:r>
          </w:p>
        </w:tc>
        <w:tc>
          <w:tcPr>
            <w:tcW w:w="1399" w:type="dxa"/>
            <w:gridSpan w:val="2"/>
            <w:shd w:val="clear" w:color="000000" w:fill="FFFFFF"/>
            <w:vAlign w:val="center"/>
          </w:tcPr>
          <w:p w14:paraId="64DAD4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2550" w:type="dxa"/>
            <w:gridSpan w:val="2"/>
            <w:shd w:val="clear" w:color="000000" w:fill="FFFFFF"/>
            <w:vAlign w:val="center"/>
          </w:tcPr>
          <w:p w14:paraId="3499EEE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985大学或国家级科研院所</w:t>
            </w:r>
          </w:p>
        </w:tc>
      </w:tr>
      <w:tr w14:paraId="636D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619" w:type="dxa"/>
            <w:gridSpan w:val="2"/>
            <w:shd w:val="clear" w:color="000000" w:fill="FFFFFF"/>
            <w:noWrap/>
            <w:vAlign w:val="center"/>
          </w:tcPr>
          <w:p w14:paraId="755DABE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水稻生物信息与大数据育种研究</w:t>
            </w:r>
          </w:p>
        </w:tc>
        <w:tc>
          <w:tcPr>
            <w:tcW w:w="1176" w:type="dxa"/>
            <w:shd w:val="clear" w:color="000000" w:fill="FFFFFF"/>
            <w:vAlign w:val="center"/>
          </w:tcPr>
          <w:p w14:paraId="08293AF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4683A44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722" w:type="dxa"/>
            <w:gridSpan w:val="2"/>
            <w:shd w:val="clear" w:color="000000" w:fill="FFFFFF"/>
            <w:vAlign w:val="center"/>
          </w:tcPr>
          <w:p w14:paraId="2EB279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生物信息学</w:t>
            </w:r>
          </w:p>
        </w:tc>
        <w:tc>
          <w:tcPr>
            <w:tcW w:w="1399" w:type="dxa"/>
            <w:gridSpan w:val="2"/>
            <w:shd w:val="clear" w:color="000000" w:fill="FFFFFF"/>
            <w:vAlign w:val="center"/>
          </w:tcPr>
          <w:p w14:paraId="7BD05D9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2550" w:type="dxa"/>
            <w:gridSpan w:val="2"/>
            <w:shd w:val="clear" w:color="000000" w:fill="FFFFFF"/>
            <w:vAlign w:val="center"/>
          </w:tcPr>
          <w:p w14:paraId="6F3AA3F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双一流单位或学科</w:t>
            </w:r>
          </w:p>
        </w:tc>
      </w:tr>
      <w:tr w14:paraId="232D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619" w:type="dxa"/>
            <w:gridSpan w:val="2"/>
            <w:shd w:val="clear" w:color="000000" w:fill="FFFFFF"/>
            <w:noWrap/>
            <w:vAlign w:val="center"/>
          </w:tcPr>
          <w:p w14:paraId="3B4DBBA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茶树遗传育种</w:t>
            </w:r>
          </w:p>
        </w:tc>
        <w:tc>
          <w:tcPr>
            <w:tcW w:w="1176" w:type="dxa"/>
            <w:shd w:val="clear" w:color="000000" w:fill="FFFFFF"/>
            <w:vAlign w:val="center"/>
          </w:tcPr>
          <w:p w14:paraId="4943D23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7AE41B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722" w:type="dxa"/>
            <w:gridSpan w:val="2"/>
            <w:shd w:val="clear" w:color="000000" w:fill="FFFFFF"/>
            <w:vAlign w:val="center"/>
          </w:tcPr>
          <w:p w14:paraId="281096A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农学</w:t>
            </w:r>
          </w:p>
        </w:tc>
        <w:tc>
          <w:tcPr>
            <w:tcW w:w="1399" w:type="dxa"/>
            <w:gridSpan w:val="2"/>
            <w:shd w:val="clear" w:color="000000" w:fill="FFFFFF"/>
            <w:vAlign w:val="center"/>
          </w:tcPr>
          <w:p w14:paraId="4571989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2550" w:type="dxa"/>
            <w:gridSpan w:val="2"/>
            <w:shd w:val="clear" w:color="000000" w:fill="FFFFFF"/>
            <w:vAlign w:val="center"/>
          </w:tcPr>
          <w:p w14:paraId="18E612FF">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985大学或国家级研究院所</w:t>
            </w:r>
          </w:p>
          <w:p w14:paraId="064CD64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双一流单位或学科</w:t>
            </w:r>
          </w:p>
        </w:tc>
      </w:tr>
      <w:tr w14:paraId="1C32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619" w:type="dxa"/>
            <w:gridSpan w:val="2"/>
            <w:shd w:val="clear" w:color="000000" w:fill="FFFFFF"/>
            <w:noWrap/>
            <w:vAlign w:val="center"/>
          </w:tcPr>
          <w:p w14:paraId="66F17CD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高产小麦根际土壤微生态互作适应性及其有益微生物招募机制研究</w:t>
            </w:r>
          </w:p>
        </w:tc>
        <w:tc>
          <w:tcPr>
            <w:tcW w:w="1176" w:type="dxa"/>
            <w:shd w:val="clear" w:color="000000" w:fill="FFFFFF"/>
            <w:vAlign w:val="center"/>
          </w:tcPr>
          <w:p w14:paraId="277FB17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5286363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722" w:type="dxa"/>
            <w:gridSpan w:val="2"/>
            <w:shd w:val="clear" w:color="000000" w:fill="FFFFFF"/>
            <w:vAlign w:val="center"/>
          </w:tcPr>
          <w:p w14:paraId="00E5E59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农学</w:t>
            </w:r>
          </w:p>
        </w:tc>
        <w:tc>
          <w:tcPr>
            <w:tcW w:w="1399" w:type="dxa"/>
            <w:gridSpan w:val="2"/>
            <w:shd w:val="clear" w:color="000000" w:fill="FFFFFF"/>
            <w:vAlign w:val="center"/>
          </w:tcPr>
          <w:p w14:paraId="508A1CD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 xml:space="preserve"> </w:t>
            </w:r>
          </w:p>
        </w:tc>
        <w:tc>
          <w:tcPr>
            <w:tcW w:w="2550" w:type="dxa"/>
            <w:gridSpan w:val="2"/>
            <w:shd w:val="clear" w:color="000000" w:fill="FFFFFF"/>
            <w:vAlign w:val="center"/>
          </w:tcPr>
          <w:p w14:paraId="683E9F9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bl>
    <w:p w14:paraId="5BE992FD">
      <w:pPr>
        <w:pStyle w:val="5"/>
        <w:adjustRightInd w:val="0"/>
        <w:snapToGrid w:val="0"/>
        <w:spacing w:line="240" w:lineRule="auto"/>
        <w:ind w:firstLine="0"/>
        <w:rPr>
          <w:rFonts w:eastAsia="方正小标宋简体"/>
          <w:sz w:val="44"/>
          <w:szCs w:val="44"/>
        </w:rPr>
      </w:pPr>
      <w:r>
        <w:br w:type="page"/>
      </w:r>
    </w:p>
    <w:p w14:paraId="61FF018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eastAsia="方正小标宋简体"/>
          <w:kern w:val="0"/>
          <w:sz w:val="44"/>
          <w:szCs w:val="44"/>
        </w:rPr>
      </w:pPr>
    </w:p>
    <w:p w14:paraId="77B818A4">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outlineLvl w:val="0"/>
        <w:rPr>
          <w:rFonts w:eastAsia="方正小标宋简体"/>
          <w:sz w:val="44"/>
          <w:szCs w:val="44"/>
        </w:rPr>
      </w:pPr>
      <w:bookmarkStart w:id="407" w:name="_Toc15231"/>
      <w:bookmarkStart w:id="408" w:name="_Toc8682"/>
      <w:bookmarkStart w:id="409" w:name="_Toc24049"/>
      <w:bookmarkStart w:id="410" w:name="_Toc25903"/>
      <w:bookmarkStart w:id="411" w:name="_Toc9733"/>
      <w:r>
        <w:rPr>
          <w:rFonts w:eastAsia="方正小标宋简体"/>
          <w:sz w:val="44"/>
          <w:szCs w:val="44"/>
          <w:highlight w:val="none"/>
        </w:rPr>
        <w:t>四川省社会科学院</w:t>
      </w:r>
      <w:bookmarkEnd w:id="407"/>
      <w:bookmarkEnd w:id="408"/>
      <w:bookmarkEnd w:id="409"/>
      <w:bookmarkEnd w:id="410"/>
      <w:bookmarkEnd w:id="411"/>
    </w:p>
    <w:p w14:paraId="29C09E10">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589"/>
        <w:gridCol w:w="1710"/>
        <w:gridCol w:w="1657"/>
        <w:gridCol w:w="1594"/>
        <w:gridCol w:w="1876"/>
      </w:tblGrid>
      <w:tr w14:paraId="6DC2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8486FD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14:paraId="06FF49EB">
            <w:pPr>
              <w:adjustRightInd w:val="0"/>
              <w:snapToGrid w:val="0"/>
              <w:spacing w:line="240" w:lineRule="auto"/>
              <w:ind w:firstLine="0"/>
              <w:jc w:val="center"/>
              <w:rPr>
                <w:rFonts w:eastAsiaTheme="minorEastAsia"/>
                <w:sz w:val="21"/>
                <w:szCs w:val="21"/>
              </w:rPr>
            </w:pPr>
            <w:r>
              <w:rPr>
                <w:rFonts w:hint="eastAsia" w:asciiTheme="minorEastAsia" w:hAnsiTheme="minorEastAsia" w:eastAsiaTheme="minorEastAsia" w:cstheme="minorEastAsia"/>
                <w:sz w:val="21"/>
                <w:szCs w:val="21"/>
              </w:rPr>
              <w:t>科研院所</w:t>
            </w:r>
          </w:p>
        </w:tc>
        <w:tc>
          <w:tcPr>
            <w:tcW w:w="1640" w:type="dxa"/>
            <w:shd w:val="clear" w:color="auto" w:fill="E7E6E6" w:themeFill="background2"/>
            <w:noWrap/>
            <w:vAlign w:val="center"/>
          </w:tcPr>
          <w:p w14:paraId="6887435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101F0506">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14:paraId="6A0A50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shd w:val="clear" w:color="000000" w:fill="FFFFFF"/>
            <w:noWrap/>
            <w:vAlign w:val="center"/>
          </w:tcPr>
          <w:p w14:paraId="1C8EF5B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2FE0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A93213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14:paraId="6048EB6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成都市一环路西一段155号</w:t>
            </w:r>
          </w:p>
          <w:p w14:paraId="77D14B0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成都市新都区斑竹园街道踏水社区103号</w:t>
            </w:r>
          </w:p>
        </w:tc>
      </w:tr>
      <w:tr w14:paraId="6B08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6" w:hRule="atLeast"/>
          <w:jc w:val="center"/>
        </w:trPr>
        <w:tc>
          <w:tcPr>
            <w:tcW w:w="1271" w:type="dxa"/>
            <w:shd w:val="clear" w:color="auto" w:fill="E7E6E6" w:themeFill="background2"/>
            <w:noWrap/>
            <w:vAlign w:val="center"/>
          </w:tcPr>
          <w:p w14:paraId="59B7021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14:paraId="6C2BD406">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省社会科学院是西南地区规模最大，集科研、教育、编辑、咨询服务于一体的综合性专业化社会科学研究机构。建院以来，在省委、省政府的领导下，充分发挥马克思主义理论阵地作用，以基础研究推动理论体系建设与创新，以应用研究服务经济和社会发展。我院现有16个研究所，目前在职职工数453人，正高级职称77人，副高级职称142人，拥有博士学位的人员有193人。四川省社会科学院博士后科研工作站成立于2015年9月，目前与四川大学、西南财经大学、西南政法大学、四川师范大学、中国社会科学院等单位联合开展博士后招收培养工作。我院现有博士后合作导师27名，2015年设站以来，共招收博士后53名。</w:t>
            </w:r>
          </w:p>
        </w:tc>
      </w:tr>
      <w:tr w14:paraId="2E06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1271" w:type="dxa"/>
            <w:shd w:val="clear" w:color="auto" w:fill="E7E6E6" w:themeFill="background2"/>
            <w:noWrap/>
            <w:vAlign w:val="center"/>
          </w:tcPr>
          <w:p w14:paraId="797C621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14:paraId="4C047C9C">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招收条件：在国内外已获博士学位或能在进站半年后提供国家承认的博士学位证书的申请人；近五年独立或以第一作者身份至少公开发表过与申请学科方向相关的CSSCI（或SCI、SSCI）来源期刊学术论文2篇；能够全职从事博士后研究工作。</w:t>
            </w:r>
          </w:p>
          <w:p w14:paraId="7D0C9FA1">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扶持政策：在站期间享受3万元科研资助和3万元生活资助，以及省市区的博士后相关资助，在站期间申请课题、发表论文和申报成果与我院在职人员同等待遇。</w:t>
            </w:r>
          </w:p>
          <w:p w14:paraId="781A395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出站要求：满足进站当年我院博士后招收公告出站要求。</w:t>
            </w:r>
          </w:p>
        </w:tc>
      </w:tr>
    </w:tbl>
    <w:p w14:paraId="6CF5D162">
      <w:pPr>
        <w:adjustRightInd w:val="0"/>
        <w:snapToGrid w:val="0"/>
        <w:spacing w:line="20" w:lineRule="exact"/>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1189"/>
        <w:gridCol w:w="1289"/>
        <w:gridCol w:w="1739"/>
        <w:gridCol w:w="1477"/>
        <w:gridCol w:w="1877"/>
      </w:tblGrid>
      <w:tr w14:paraId="53B9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2091" w:type="dxa"/>
            <w:shd w:val="clear" w:color="auto" w:fill="E7E6E6" w:themeFill="background2"/>
            <w:noWrap/>
            <w:vAlign w:val="center"/>
          </w:tcPr>
          <w:p w14:paraId="5DF4750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14:paraId="6AE40CB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14:paraId="2DD6B76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68" w:type="dxa"/>
            <w:shd w:val="clear" w:color="auto" w:fill="E7E6E6" w:themeFill="background2"/>
            <w:vAlign w:val="center"/>
          </w:tcPr>
          <w:p w14:paraId="2B92C0C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58082D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6" w:type="dxa"/>
            <w:shd w:val="clear" w:color="auto" w:fill="E7E6E6" w:themeFill="background2"/>
            <w:vAlign w:val="center"/>
          </w:tcPr>
          <w:p w14:paraId="6CE54B6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C2641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00" w:type="dxa"/>
            <w:shd w:val="clear" w:color="auto" w:fill="E7E6E6" w:themeFill="background2"/>
            <w:vAlign w:val="center"/>
          </w:tcPr>
          <w:p w14:paraId="3E830DC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B8A2A3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409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9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4819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三重特征下的耕地“非粮化”分类治理策略研究</w:t>
            </w:r>
          </w:p>
        </w:tc>
        <w:tc>
          <w:tcPr>
            <w:tcW w:w="1140" w:type="dxa"/>
            <w:tcBorders>
              <w:top w:val="single" w:color="auto" w:sz="4" w:space="0"/>
              <w:left w:val="nil"/>
              <w:bottom w:val="single" w:color="auto" w:sz="4" w:space="0"/>
              <w:right w:val="single" w:color="auto" w:sz="4" w:space="0"/>
            </w:tcBorders>
            <w:shd w:val="clear" w:color="auto" w:fill="FFFFFF"/>
            <w:vAlign w:val="center"/>
          </w:tcPr>
          <w:p w14:paraId="454D52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36" w:type="dxa"/>
            <w:tcBorders>
              <w:top w:val="single" w:color="auto" w:sz="4" w:space="0"/>
              <w:left w:val="nil"/>
              <w:bottom w:val="single" w:color="auto" w:sz="4" w:space="0"/>
              <w:right w:val="single" w:color="auto" w:sz="4" w:space="0"/>
            </w:tcBorders>
            <w:shd w:val="clear" w:color="auto" w:fill="FFFFFF"/>
            <w:vAlign w:val="center"/>
          </w:tcPr>
          <w:p w14:paraId="6934FC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BSH001</w:t>
            </w:r>
          </w:p>
        </w:tc>
        <w:tc>
          <w:tcPr>
            <w:tcW w:w="1668" w:type="dxa"/>
            <w:tcBorders>
              <w:top w:val="single" w:color="auto" w:sz="4" w:space="0"/>
              <w:left w:val="nil"/>
              <w:bottom w:val="single" w:color="auto" w:sz="4" w:space="0"/>
              <w:right w:val="single" w:color="auto" w:sz="4" w:space="0"/>
            </w:tcBorders>
            <w:shd w:val="clear" w:color="auto" w:fill="FFFFFF"/>
            <w:vAlign w:val="center"/>
          </w:tcPr>
          <w:p w14:paraId="759352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应用经济学</w:t>
            </w:r>
          </w:p>
        </w:tc>
        <w:tc>
          <w:tcPr>
            <w:tcW w:w="1416" w:type="dxa"/>
            <w:tcBorders>
              <w:top w:val="single" w:color="auto" w:sz="4" w:space="0"/>
              <w:left w:val="nil"/>
              <w:bottom w:val="single" w:color="auto" w:sz="4" w:space="0"/>
              <w:right w:val="single" w:color="auto" w:sz="4" w:space="0"/>
            </w:tcBorders>
            <w:shd w:val="clear" w:color="auto" w:fill="FFFFFF"/>
            <w:vAlign w:val="center"/>
          </w:tcPr>
          <w:p w14:paraId="13636E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待遇面议</w:t>
            </w:r>
          </w:p>
        </w:tc>
        <w:tc>
          <w:tcPr>
            <w:tcW w:w="1800" w:type="dxa"/>
            <w:vMerge w:val="restart"/>
            <w:tcBorders>
              <w:top w:val="single" w:color="auto" w:sz="4" w:space="0"/>
              <w:left w:val="nil"/>
              <w:right w:val="single" w:color="auto" w:sz="4" w:space="0"/>
            </w:tcBorders>
            <w:shd w:val="clear" w:color="auto" w:fill="FFFFFF"/>
            <w:vAlign w:val="center"/>
          </w:tcPr>
          <w:p w14:paraId="65643E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双一流高校</w:t>
            </w:r>
          </w:p>
        </w:tc>
      </w:tr>
      <w:tr w14:paraId="1058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9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8757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val="en-US" w:eastAsia="zh-CN"/>
              </w:rPr>
              <w:t>“数字+文化+价值”赋能框架下农业产业化联合体协同发展研究</w:t>
            </w:r>
          </w:p>
        </w:tc>
        <w:tc>
          <w:tcPr>
            <w:tcW w:w="1140" w:type="dxa"/>
            <w:tcBorders>
              <w:top w:val="single" w:color="auto" w:sz="4" w:space="0"/>
              <w:left w:val="nil"/>
              <w:bottom w:val="single" w:color="auto" w:sz="4" w:space="0"/>
              <w:right w:val="single" w:color="auto" w:sz="4" w:space="0"/>
            </w:tcBorders>
            <w:shd w:val="clear" w:color="auto" w:fill="FFFFFF"/>
            <w:vAlign w:val="center"/>
          </w:tcPr>
          <w:p w14:paraId="78E550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36" w:type="dxa"/>
            <w:tcBorders>
              <w:top w:val="single" w:color="auto" w:sz="4" w:space="0"/>
              <w:left w:val="nil"/>
              <w:bottom w:val="single" w:color="auto" w:sz="4" w:space="0"/>
              <w:right w:val="single" w:color="auto" w:sz="4" w:space="0"/>
            </w:tcBorders>
            <w:shd w:val="clear" w:color="auto" w:fill="FFFFFF"/>
            <w:vAlign w:val="center"/>
          </w:tcPr>
          <w:p w14:paraId="407238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BSH002</w:t>
            </w:r>
          </w:p>
        </w:tc>
        <w:tc>
          <w:tcPr>
            <w:tcW w:w="1668" w:type="dxa"/>
            <w:tcBorders>
              <w:top w:val="single" w:color="auto" w:sz="4" w:space="0"/>
              <w:left w:val="nil"/>
              <w:bottom w:val="single" w:color="auto" w:sz="4" w:space="0"/>
              <w:right w:val="single" w:color="auto" w:sz="4" w:space="0"/>
            </w:tcBorders>
            <w:shd w:val="clear" w:color="auto" w:fill="FFFFFF"/>
            <w:vAlign w:val="center"/>
          </w:tcPr>
          <w:p w14:paraId="5945AE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应用经济学</w:t>
            </w:r>
          </w:p>
        </w:tc>
        <w:tc>
          <w:tcPr>
            <w:tcW w:w="1416" w:type="dxa"/>
            <w:tcBorders>
              <w:top w:val="single" w:color="auto" w:sz="4" w:space="0"/>
              <w:left w:val="nil"/>
              <w:bottom w:val="single" w:color="auto" w:sz="4" w:space="0"/>
              <w:right w:val="single" w:color="auto" w:sz="4" w:space="0"/>
            </w:tcBorders>
            <w:shd w:val="clear" w:color="auto" w:fill="FFFFFF"/>
            <w:vAlign w:val="center"/>
          </w:tcPr>
          <w:p w14:paraId="7E3C14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待遇面议</w:t>
            </w:r>
          </w:p>
        </w:tc>
        <w:tc>
          <w:tcPr>
            <w:tcW w:w="1800" w:type="dxa"/>
            <w:vMerge w:val="continue"/>
            <w:tcBorders>
              <w:left w:val="nil"/>
              <w:right w:val="single" w:color="auto" w:sz="4" w:space="0"/>
            </w:tcBorders>
            <w:shd w:val="clear" w:color="auto" w:fill="FFFFFF"/>
            <w:vAlign w:val="center"/>
          </w:tcPr>
          <w:p w14:paraId="3E41A1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p>
        </w:tc>
      </w:tr>
      <w:tr w14:paraId="4C12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9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C699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凉山彝区易地扶贫搬迁社区治理转型的创新研究</w:t>
            </w:r>
          </w:p>
        </w:tc>
        <w:tc>
          <w:tcPr>
            <w:tcW w:w="1140" w:type="dxa"/>
            <w:tcBorders>
              <w:top w:val="single" w:color="auto" w:sz="4" w:space="0"/>
              <w:left w:val="nil"/>
              <w:bottom w:val="single" w:color="auto" w:sz="4" w:space="0"/>
              <w:right w:val="single" w:color="auto" w:sz="4" w:space="0"/>
            </w:tcBorders>
            <w:shd w:val="clear" w:color="auto" w:fill="FFFFFF"/>
            <w:vAlign w:val="center"/>
          </w:tcPr>
          <w:p w14:paraId="43A629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36" w:type="dxa"/>
            <w:tcBorders>
              <w:top w:val="single" w:color="auto" w:sz="4" w:space="0"/>
              <w:left w:val="nil"/>
              <w:bottom w:val="single" w:color="auto" w:sz="4" w:space="0"/>
              <w:right w:val="single" w:color="auto" w:sz="4" w:space="0"/>
            </w:tcBorders>
            <w:shd w:val="clear" w:color="auto" w:fill="FFFFFF"/>
            <w:vAlign w:val="center"/>
          </w:tcPr>
          <w:p w14:paraId="40C2F3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BSH003</w:t>
            </w:r>
          </w:p>
        </w:tc>
        <w:tc>
          <w:tcPr>
            <w:tcW w:w="1668" w:type="dxa"/>
            <w:tcBorders>
              <w:top w:val="single" w:color="auto" w:sz="4" w:space="0"/>
              <w:left w:val="nil"/>
              <w:bottom w:val="single" w:color="auto" w:sz="4" w:space="0"/>
              <w:right w:val="single" w:color="auto" w:sz="4" w:space="0"/>
            </w:tcBorders>
            <w:shd w:val="clear" w:color="auto" w:fill="FFFFFF"/>
            <w:vAlign w:val="center"/>
          </w:tcPr>
          <w:p w14:paraId="2DEBE6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政治学</w:t>
            </w:r>
          </w:p>
        </w:tc>
        <w:tc>
          <w:tcPr>
            <w:tcW w:w="1416" w:type="dxa"/>
            <w:tcBorders>
              <w:top w:val="single" w:color="auto" w:sz="4" w:space="0"/>
              <w:left w:val="nil"/>
              <w:bottom w:val="single" w:color="auto" w:sz="4" w:space="0"/>
              <w:right w:val="single" w:color="auto" w:sz="4" w:space="0"/>
            </w:tcBorders>
            <w:shd w:val="clear" w:color="auto" w:fill="FFFFFF"/>
            <w:vAlign w:val="center"/>
          </w:tcPr>
          <w:p w14:paraId="236F71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待遇面议</w:t>
            </w:r>
          </w:p>
        </w:tc>
        <w:tc>
          <w:tcPr>
            <w:tcW w:w="1800" w:type="dxa"/>
            <w:vMerge w:val="continue"/>
            <w:tcBorders>
              <w:left w:val="nil"/>
              <w:bottom w:val="single" w:color="auto" w:sz="4" w:space="0"/>
              <w:right w:val="single" w:color="auto" w:sz="4" w:space="0"/>
            </w:tcBorders>
            <w:shd w:val="clear" w:color="auto" w:fill="FFFFFF"/>
            <w:vAlign w:val="center"/>
          </w:tcPr>
          <w:p w14:paraId="326EB1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p>
        </w:tc>
      </w:tr>
    </w:tbl>
    <w:p w14:paraId="03B323CC">
      <w:pPr>
        <w:spacing w:line="240" w:lineRule="auto"/>
      </w:pPr>
      <w:r>
        <w:br w:type="page"/>
      </w:r>
    </w:p>
    <w:p w14:paraId="37B877BA">
      <w:pPr>
        <w:pStyle w:val="5"/>
        <w:adjustRightInd w:val="0"/>
        <w:snapToGrid w:val="0"/>
        <w:spacing w:line="240" w:lineRule="auto"/>
        <w:ind w:left="1060" w:hanging="420"/>
        <w:jc w:val="center"/>
        <w:rPr>
          <w:rFonts w:eastAsia="方正小标宋简体"/>
          <w:sz w:val="44"/>
          <w:szCs w:val="44"/>
        </w:rPr>
      </w:pPr>
    </w:p>
    <w:p w14:paraId="53631D23">
      <w:pPr>
        <w:pStyle w:val="5"/>
        <w:adjustRightInd w:val="0"/>
        <w:snapToGrid w:val="0"/>
        <w:spacing w:line="240" w:lineRule="auto"/>
        <w:ind w:firstLine="0"/>
        <w:jc w:val="center"/>
        <w:outlineLvl w:val="0"/>
        <w:rPr>
          <w:rFonts w:eastAsia="方正小标宋简体"/>
          <w:sz w:val="44"/>
          <w:szCs w:val="44"/>
          <w:highlight w:val="yellow"/>
        </w:rPr>
      </w:pPr>
      <w:bookmarkStart w:id="412" w:name="_Toc17107"/>
      <w:bookmarkStart w:id="413" w:name="_Toc13358"/>
      <w:bookmarkStart w:id="414" w:name="_Toc7265"/>
      <w:bookmarkStart w:id="415" w:name="_Toc1295"/>
      <w:bookmarkStart w:id="416" w:name="_Toc19240"/>
      <w:r>
        <w:rPr>
          <w:rFonts w:eastAsia="方正小标宋简体"/>
          <w:sz w:val="44"/>
          <w:szCs w:val="44"/>
          <w:highlight w:val="none"/>
        </w:rPr>
        <w:t>四川省文物考古研究院</w:t>
      </w:r>
      <w:bookmarkEnd w:id="412"/>
      <w:bookmarkEnd w:id="413"/>
      <w:bookmarkEnd w:id="414"/>
      <w:bookmarkEnd w:id="415"/>
      <w:bookmarkEnd w:id="416"/>
    </w:p>
    <w:p w14:paraId="2D2626AB">
      <w:pPr>
        <w:pStyle w:val="5"/>
        <w:adjustRightInd w:val="0"/>
        <w:snapToGrid w:val="0"/>
        <w:spacing w:line="240" w:lineRule="auto"/>
        <w:ind w:left="1060" w:hanging="42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363"/>
        <w:gridCol w:w="1226"/>
        <w:gridCol w:w="1219"/>
        <w:gridCol w:w="491"/>
        <w:gridCol w:w="1195"/>
        <w:gridCol w:w="462"/>
        <w:gridCol w:w="997"/>
        <w:gridCol w:w="598"/>
        <w:gridCol w:w="1875"/>
      </w:tblGrid>
      <w:tr w14:paraId="0870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79F11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24" w:type="dxa"/>
            <w:gridSpan w:val="2"/>
            <w:shd w:val="clear" w:color="000000" w:fill="FFFFFF"/>
            <w:noWrap/>
            <w:vAlign w:val="center"/>
          </w:tcPr>
          <w:p w14:paraId="60DB21C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w:t>
            </w:r>
          </w:p>
        </w:tc>
        <w:tc>
          <w:tcPr>
            <w:tcW w:w="1640" w:type="dxa"/>
            <w:gridSpan w:val="2"/>
            <w:shd w:val="clear" w:color="auto" w:fill="E7E6E6" w:themeFill="background2"/>
            <w:noWrap/>
            <w:vAlign w:val="center"/>
          </w:tcPr>
          <w:p w14:paraId="1238046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589" w:type="dxa"/>
            <w:gridSpan w:val="2"/>
            <w:shd w:val="clear" w:color="000000" w:fill="FFFFFF"/>
            <w:noWrap/>
            <w:vAlign w:val="center"/>
          </w:tcPr>
          <w:p w14:paraId="71498A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工作站</w:t>
            </w:r>
          </w:p>
        </w:tc>
        <w:tc>
          <w:tcPr>
            <w:tcW w:w="1529" w:type="dxa"/>
            <w:gridSpan w:val="2"/>
            <w:shd w:val="clear" w:color="auto" w:fill="E7E6E6" w:themeFill="background2"/>
            <w:noWrap/>
            <w:vAlign w:val="center"/>
          </w:tcPr>
          <w:p w14:paraId="4E8AB6E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1798" w:type="dxa"/>
            <w:shd w:val="clear" w:color="000000" w:fill="FFFFFF"/>
            <w:noWrap/>
            <w:vAlign w:val="center"/>
          </w:tcPr>
          <w:p w14:paraId="3C955C1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2E79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B147E9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080" w:type="dxa"/>
            <w:gridSpan w:val="9"/>
            <w:shd w:val="clear" w:color="000000" w:fill="FFFFFF"/>
            <w:noWrap/>
            <w:vAlign w:val="center"/>
          </w:tcPr>
          <w:p w14:paraId="74F731D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四川省成都市武侯区人民南路四段5号</w:t>
            </w:r>
          </w:p>
        </w:tc>
      </w:tr>
      <w:tr w14:paraId="28EA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1271" w:type="dxa"/>
            <w:shd w:val="clear" w:color="auto" w:fill="E7E6E6" w:themeFill="background2"/>
            <w:noWrap/>
            <w:vAlign w:val="center"/>
          </w:tcPr>
          <w:p w14:paraId="1F0BF1C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9"/>
            <w:shd w:val="clear" w:color="000000" w:fill="FFFFFF"/>
            <w:vAlign w:val="center"/>
          </w:tcPr>
          <w:p w14:paraId="6725901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四川省文物考古研究院为四川省文物局直属公益一类事业单位，核定事业编制242名，负责全省地下文物的调查、勘探、发掘和研究工作，地面文物的调查、维修保护和研究，出土文物保护、修复和研究，承担各级文物科研项目，开展文物鉴定、文物保护科研咨询，是全国门类最全的文物科研单位之一。</w:t>
            </w:r>
          </w:p>
          <w:p w14:paraId="119506C0">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近年来，我院以建设世界一流考古机构为目标，厚植人才沃土，打造人才高地，不拘一格、广纳贤才，科研水平不断提升，有力推动以三星堆为代表的古蜀文明耀眼全球，为世界更好认识源远流长博大精深的中华文明贡献了四川力量。现面向海内外公开招收优秀学者，我们将为您提供自由的学术环境、良好的工作条件和优厚的薪酬待遇，助您施展才华、成就学术梦想！</w:t>
            </w:r>
          </w:p>
        </w:tc>
      </w:tr>
      <w:tr w14:paraId="542D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1271" w:type="dxa"/>
            <w:shd w:val="clear" w:color="auto" w:fill="E7E6E6" w:themeFill="background2"/>
            <w:noWrap/>
            <w:vAlign w:val="center"/>
          </w:tcPr>
          <w:p w14:paraId="4BC4B79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9"/>
            <w:shd w:val="clear" w:color="000000" w:fill="FFFFFF"/>
            <w:vAlign w:val="center"/>
          </w:tcPr>
          <w:p w14:paraId="41F0DAA5">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1.博士后进站人员享受编制内正式职工同等待遇。进站即享受五险一金、国家法定假期、工会福利、带薪年休假、单位提供午餐等福利。</w:t>
            </w:r>
          </w:p>
          <w:p w14:paraId="4603A64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2.博士后入站，可给予相应科研经费资助；可申报专业技术职务职称。</w:t>
            </w:r>
          </w:p>
          <w:p w14:paraId="1AF8340F">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3.博士后人员期满出站，就业实行双向选择、自主择业；在站期间表现优异的博士后人员，可通过考核录用为本院编制内正式职工。</w:t>
            </w:r>
          </w:p>
          <w:p w14:paraId="0975B66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4.鼓励和支持博士后申报省级、国家级博士后专项人才项目和各级科研课题，所获资助补贴不计入单位发放薪酬，另外发放。</w:t>
            </w:r>
          </w:p>
        </w:tc>
      </w:tr>
      <w:tr w14:paraId="64BC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19" w:type="dxa"/>
            <w:gridSpan w:val="2"/>
            <w:shd w:val="clear" w:color="auto" w:fill="E7E6E6" w:themeFill="background2"/>
            <w:noWrap/>
            <w:vAlign w:val="center"/>
          </w:tcPr>
          <w:p w14:paraId="50677F04">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4922BBD9">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9" w:type="dxa"/>
            <w:shd w:val="clear" w:color="auto" w:fill="E7E6E6" w:themeFill="background2"/>
            <w:vAlign w:val="center"/>
          </w:tcPr>
          <w:p w14:paraId="6ED972D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17" w:type="dxa"/>
            <w:gridSpan w:val="2"/>
            <w:shd w:val="clear" w:color="auto" w:fill="E7E6E6" w:themeFill="background2"/>
            <w:vAlign w:val="center"/>
          </w:tcPr>
          <w:p w14:paraId="7F9FD6A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57B40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0E1FA3B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AFBA6F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71" w:type="dxa"/>
            <w:gridSpan w:val="2"/>
            <w:shd w:val="clear" w:color="auto" w:fill="E7E6E6" w:themeFill="background2"/>
            <w:vAlign w:val="center"/>
          </w:tcPr>
          <w:p w14:paraId="57F052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B97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3E0976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成都平原先秦时期玉石器研究</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3B7A2C0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69" w:type="dxa"/>
            <w:tcBorders>
              <w:top w:val="single" w:color="auto" w:sz="4" w:space="0"/>
              <w:left w:val="nil"/>
              <w:bottom w:val="single" w:color="auto" w:sz="4" w:space="0"/>
              <w:right w:val="single" w:color="auto" w:sz="4" w:space="0"/>
            </w:tcBorders>
            <w:shd w:val="clear" w:color="auto" w:fill="FFFFFF"/>
            <w:vAlign w:val="center"/>
          </w:tcPr>
          <w:p w14:paraId="1D9291F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17" w:type="dxa"/>
            <w:gridSpan w:val="2"/>
            <w:tcBorders>
              <w:top w:val="single" w:color="auto" w:sz="4" w:space="0"/>
              <w:left w:val="nil"/>
              <w:bottom w:val="single" w:color="auto" w:sz="4" w:space="0"/>
              <w:right w:val="single" w:color="auto" w:sz="4" w:space="0"/>
            </w:tcBorders>
            <w:shd w:val="clear" w:color="auto" w:fill="FFFFFF"/>
            <w:vAlign w:val="center"/>
          </w:tcPr>
          <w:p w14:paraId="2E437C4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考古学</w:t>
            </w:r>
          </w:p>
        </w:tc>
        <w:tc>
          <w:tcPr>
            <w:tcW w:w="1399" w:type="dxa"/>
            <w:gridSpan w:val="2"/>
            <w:tcBorders>
              <w:top w:val="single" w:color="auto" w:sz="4" w:space="0"/>
              <w:left w:val="nil"/>
              <w:bottom w:val="single" w:color="auto" w:sz="4" w:space="0"/>
              <w:right w:val="single" w:color="auto" w:sz="4" w:space="0"/>
            </w:tcBorders>
            <w:shd w:val="clear" w:color="auto" w:fill="FFFFFF"/>
            <w:vAlign w:val="center"/>
          </w:tcPr>
          <w:p w14:paraId="726CD34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w:t>
            </w:r>
          </w:p>
        </w:tc>
        <w:tc>
          <w:tcPr>
            <w:tcW w:w="2371" w:type="dxa"/>
            <w:gridSpan w:val="2"/>
            <w:tcBorders>
              <w:top w:val="single" w:color="auto" w:sz="4" w:space="0"/>
              <w:left w:val="nil"/>
              <w:bottom w:val="single" w:color="auto" w:sz="4" w:space="0"/>
              <w:right w:val="single" w:color="auto" w:sz="4" w:space="0"/>
            </w:tcBorders>
            <w:shd w:val="clear" w:color="auto" w:fill="FFFFFF"/>
            <w:vAlign w:val="center"/>
          </w:tcPr>
          <w:p w14:paraId="2612EB2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双一流大学A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、A、A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类学科或2024QS世界大学排名前500高校学科，新石器考古、商周考古等方向。</w:t>
            </w:r>
          </w:p>
        </w:tc>
      </w:tr>
      <w:tr w14:paraId="7474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4EDE31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罗家坝战国巫觋墓葬整理与研究</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43AA81A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69" w:type="dxa"/>
            <w:tcBorders>
              <w:top w:val="single" w:color="auto" w:sz="4" w:space="0"/>
              <w:left w:val="nil"/>
              <w:bottom w:val="single" w:color="auto" w:sz="4" w:space="0"/>
              <w:right w:val="single" w:color="auto" w:sz="4" w:space="0"/>
            </w:tcBorders>
            <w:shd w:val="clear" w:color="auto" w:fill="FFFFFF"/>
            <w:vAlign w:val="center"/>
          </w:tcPr>
          <w:p w14:paraId="4AFCECF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17" w:type="dxa"/>
            <w:gridSpan w:val="2"/>
            <w:tcBorders>
              <w:top w:val="single" w:color="auto" w:sz="4" w:space="0"/>
              <w:left w:val="nil"/>
              <w:bottom w:val="single" w:color="auto" w:sz="4" w:space="0"/>
              <w:right w:val="single" w:color="auto" w:sz="4" w:space="0"/>
            </w:tcBorders>
            <w:shd w:val="clear" w:color="auto" w:fill="FFFFFF"/>
            <w:vAlign w:val="center"/>
          </w:tcPr>
          <w:p w14:paraId="34C4F06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考古学</w:t>
            </w:r>
          </w:p>
        </w:tc>
        <w:tc>
          <w:tcPr>
            <w:tcW w:w="1399" w:type="dxa"/>
            <w:gridSpan w:val="2"/>
            <w:tcBorders>
              <w:top w:val="single" w:color="auto" w:sz="4" w:space="0"/>
              <w:left w:val="nil"/>
              <w:bottom w:val="single" w:color="auto" w:sz="4" w:space="0"/>
              <w:right w:val="single" w:color="auto" w:sz="4" w:space="0"/>
            </w:tcBorders>
            <w:shd w:val="clear" w:color="auto" w:fill="FFFFFF"/>
            <w:vAlign w:val="center"/>
          </w:tcPr>
          <w:p w14:paraId="2E26B23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w:t>
            </w:r>
          </w:p>
        </w:tc>
        <w:tc>
          <w:tcPr>
            <w:tcW w:w="2371" w:type="dxa"/>
            <w:gridSpan w:val="2"/>
            <w:tcBorders>
              <w:top w:val="single" w:color="auto" w:sz="4" w:space="0"/>
              <w:left w:val="nil"/>
              <w:bottom w:val="single" w:color="auto" w:sz="4" w:space="0"/>
              <w:right w:val="single" w:color="auto" w:sz="4" w:space="0"/>
            </w:tcBorders>
            <w:shd w:val="clear" w:color="auto" w:fill="FFFFFF"/>
            <w:vAlign w:val="center"/>
          </w:tcPr>
          <w:p w14:paraId="0EBE070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双一流大学A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、A、A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类学科或2024QS世界大学排名前500高校学科，商周考古、先秦考古、植物考古、动物考古</w:t>
            </w:r>
            <w:r>
              <w:rPr>
                <w:rFonts w:hint="default" w:ascii="Times New Roman" w:hAnsi="Times New Roman" w:cs="Times New Roman" w:eastAsiaTheme="minorEastAsia"/>
                <w:sz w:val="21"/>
                <w:szCs w:val="21"/>
                <w:lang w:eastAsia="zh-CN"/>
              </w:rPr>
              <w:t>、同位素考古</w:t>
            </w:r>
            <w:r>
              <w:rPr>
                <w:rFonts w:hint="default" w:ascii="Times New Roman" w:hAnsi="Times New Roman" w:cs="Times New Roman" w:eastAsiaTheme="minorEastAsia"/>
                <w:sz w:val="21"/>
                <w:szCs w:val="21"/>
              </w:rPr>
              <w:t>等方向。</w:t>
            </w:r>
          </w:p>
        </w:tc>
      </w:tr>
      <w:tr w14:paraId="6658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2FA96C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嘉陵江流域新石器时代文化与区域互动研究</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43A48A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69" w:type="dxa"/>
            <w:tcBorders>
              <w:top w:val="single" w:color="auto" w:sz="4" w:space="0"/>
              <w:left w:val="nil"/>
              <w:bottom w:val="single" w:color="auto" w:sz="4" w:space="0"/>
              <w:right w:val="single" w:color="auto" w:sz="4" w:space="0"/>
            </w:tcBorders>
            <w:shd w:val="clear" w:color="auto" w:fill="FFFFFF"/>
            <w:vAlign w:val="center"/>
          </w:tcPr>
          <w:p w14:paraId="29257EE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17" w:type="dxa"/>
            <w:gridSpan w:val="2"/>
            <w:tcBorders>
              <w:top w:val="single" w:color="auto" w:sz="4" w:space="0"/>
              <w:left w:val="nil"/>
              <w:bottom w:val="single" w:color="auto" w:sz="4" w:space="0"/>
              <w:right w:val="single" w:color="auto" w:sz="4" w:space="0"/>
            </w:tcBorders>
            <w:shd w:val="clear" w:color="auto" w:fill="FFFFFF"/>
            <w:vAlign w:val="center"/>
          </w:tcPr>
          <w:p w14:paraId="73E2C0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考古学</w:t>
            </w:r>
          </w:p>
        </w:tc>
        <w:tc>
          <w:tcPr>
            <w:tcW w:w="1399" w:type="dxa"/>
            <w:gridSpan w:val="2"/>
            <w:tcBorders>
              <w:top w:val="single" w:color="auto" w:sz="4" w:space="0"/>
              <w:left w:val="nil"/>
              <w:bottom w:val="single" w:color="auto" w:sz="4" w:space="0"/>
              <w:right w:val="single" w:color="auto" w:sz="4" w:space="0"/>
            </w:tcBorders>
            <w:shd w:val="clear" w:color="auto" w:fill="FFFFFF"/>
            <w:vAlign w:val="center"/>
          </w:tcPr>
          <w:p w14:paraId="60170A3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25-30万</w:t>
            </w:r>
          </w:p>
        </w:tc>
        <w:tc>
          <w:tcPr>
            <w:tcW w:w="2371" w:type="dxa"/>
            <w:gridSpan w:val="2"/>
            <w:tcBorders>
              <w:top w:val="single" w:color="auto" w:sz="4" w:space="0"/>
              <w:left w:val="nil"/>
              <w:bottom w:val="single" w:color="auto" w:sz="4" w:space="0"/>
              <w:right w:val="single" w:color="auto" w:sz="4" w:space="0"/>
            </w:tcBorders>
            <w:shd w:val="clear" w:color="auto" w:fill="FFFFFF"/>
            <w:vAlign w:val="center"/>
          </w:tcPr>
          <w:p w14:paraId="7815C8B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双一流大学A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、A、A</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类学科或2024QS世界大学排名前500高校学科，新石器时代考古、先秦考古等方向</w:t>
            </w:r>
          </w:p>
        </w:tc>
      </w:tr>
    </w:tbl>
    <w:p w14:paraId="56367805">
      <w:pPr>
        <w:adjustRightInd w:val="0"/>
        <w:snapToGrid w:val="0"/>
        <w:spacing w:line="240" w:lineRule="auto"/>
        <w:rPr>
          <w:sz w:val="21"/>
          <w:szCs w:val="21"/>
        </w:rPr>
      </w:pPr>
      <w:r>
        <w:rPr>
          <w:sz w:val="21"/>
          <w:szCs w:val="21"/>
        </w:rPr>
        <w:br w:type="page"/>
      </w:r>
    </w:p>
    <w:p w14:paraId="64ACDFBE">
      <w:pPr>
        <w:adjustRightInd w:val="0"/>
        <w:snapToGrid w:val="0"/>
        <w:spacing w:line="240" w:lineRule="auto"/>
        <w:ind w:firstLine="0"/>
        <w:jc w:val="center"/>
        <w:rPr>
          <w:rFonts w:eastAsia="方正小标宋简体"/>
          <w:sz w:val="44"/>
          <w:szCs w:val="44"/>
        </w:rPr>
      </w:pPr>
    </w:p>
    <w:p w14:paraId="560EBC89">
      <w:pPr>
        <w:pStyle w:val="5"/>
        <w:adjustRightInd w:val="0"/>
        <w:snapToGrid w:val="0"/>
        <w:spacing w:line="240" w:lineRule="auto"/>
        <w:ind w:firstLine="0"/>
        <w:jc w:val="center"/>
        <w:outlineLvl w:val="0"/>
        <w:rPr>
          <w:rFonts w:eastAsia="方正小标宋简体"/>
          <w:sz w:val="44"/>
          <w:szCs w:val="44"/>
        </w:rPr>
      </w:pPr>
      <w:bookmarkStart w:id="417" w:name="_Toc31287"/>
      <w:bookmarkStart w:id="418" w:name="_Toc22599"/>
      <w:bookmarkStart w:id="419" w:name="_Toc1989"/>
      <w:bookmarkStart w:id="420" w:name="_Toc18900"/>
      <w:bookmarkStart w:id="421" w:name="_Toc8949"/>
      <w:r>
        <w:rPr>
          <w:rFonts w:hint="eastAsia" w:eastAsia="方正小标宋简体"/>
          <w:sz w:val="44"/>
          <w:szCs w:val="44"/>
          <w:highlight w:val="none"/>
        </w:rPr>
        <w:t>四川省医学科学院·四川省人民医院</w:t>
      </w:r>
      <w:bookmarkEnd w:id="417"/>
      <w:bookmarkEnd w:id="418"/>
      <w:bookmarkEnd w:id="419"/>
      <w:bookmarkEnd w:id="420"/>
      <w:bookmarkEnd w:id="421"/>
    </w:p>
    <w:p w14:paraId="15A41989">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31C6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7B854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7ED8A2C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14:paraId="05B12AD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44F68E3">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6A138E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03FD0239">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A40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F2F9A3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5EBEC75E">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成都市青羊区一环路西二段32号行政楼705室</w:t>
            </w:r>
          </w:p>
        </w:tc>
      </w:tr>
      <w:tr w14:paraId="5637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7" w:hRule="atLeast"/>
          <w:jc w:val="center"/>
        </w:trPr>
        <w:tc>
          <w:tcPr>
            <w:tcW w:w="1271" w:type="dxa"/>
            <w:shd w:val="clear" w:color="auto" w:fill="E7E6E6" w:themeFill="background2"/>
            <w:noWrap/>
            <w:vAlign w:val="center"/>
          </w:tcPr>
          <w:p w14:paraId="3F0DE9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F11B4D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坐落在成都青羊宫旁、浣花溪畔的四川省医学科学院·四川省人民医院，建于1941年，前身四川省公立医院是中央大学医学院附属医院，1952年命名为四川省人民医院，2002年与四川省医学科学院（前身为中国医学科学院四川分院）合并，成为四川省医学科学院•四川省人民医院。2013年，与电子科技大学合作共建电子科技大学医学院，成为电子科技大学附属医院。</w:t>
            </w:r>
          </w:p>
          <w:p w14:paraId="215E66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医院现有开放病床4300张，在职职工7074人，高级职称专家1100余人。中华医学会现任及候任主委3人。获得省部级各类人才称号200余人次，其中，中国科学院院士1人，国家级人才27人。</w:t>
            </w:r>
          </w:p>
          <w:p w14:paraId="66EF3A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医院现有国家自然科学基金委创新研究群体1个、国家科技部重点领域创新团队1个、中国医学科学院创新单元/重点实验室2个、国家临床医学研究分中心4个、国家中医药管理局二级实验室3个，四川省重点实验室4个、四川省临床医学研究中心7个、四川省科技创新团队13个。近年来，医院获各级各类科研项目2300余项，累计科研经费超过5.9亿元。以第一作者或通讯作者单位发表SCI学术论文2800余篇，包括NEJM、The Lancet、Nature Genetics、Nature Medicine、British Medical Journal等国际顶级学术期刊。</w:t>
            </w:r>
          </w:p>
        </w:tc>
      </w:tr>
      <w:tr w14:paraId="77BA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1271" w:type="dxa"/>
            <w:shd w:val="clear" w:color="auto" w:fill="E7E6E6" w:themeFill="background2"/>
            <w:noWrap/>
            <w:vAlign w:val="center"/>
          </w:tcPr>
          <w:p w14:paraId="68434CB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8F436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我院与电子科技大学联合招收博士后，实行年薪35万元或40万元（税前，含地方资助及单位缴纳五险一金），入选国家“博新计划”、四川省“博新项目”等，待遇更优。享受职工同等的科研奖励。支持申报各级各类博士后基金和国家自然科学基金、院基金等项目。享受电子科技大学教职工和医院职工子女入托入学，博士后子女择校等政策。优秀者出站后，按医院相关规定优先申请留院，享受事业编制。</w:t>
            </w:r>
          </w:p>
        </w:tc>
      </w:tr>
      <w:tr w14:paraId="7900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0CDF34D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314F820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2D00564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144A2D0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68D7E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761C73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EA6F3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06836EE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E3E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1619" w:type="dxa"/>
            <w:gridSpan w:val="2"/>
            <w:shd w:val="clear" w:color="000000" w:fill="FFFFFF"/>
            <w:noWrap/>
            <w:vAlign w:val="center"/>
          </w:tcPr>
          <w:p w14:paraId="67535E47">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国家、省部级</w:t>
            </w:r>
          </w:p>
          <w:p w14:paraId="45C7115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及横向项目</w:t>
            </w:r>
          </w:p>
        </w:tc>
        <w:tc>
          <w:tcPr>
            <w:tcW w:w="1176" w:type="dxa"/>
            <w:shd w:val="clear" w:color="000000" w:fill="FFFFFF"/>
            <w:vAlign w:val="center"/>
          </w:tcPr>
          <w:p w14:paraId="0A1C23A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60</w:t>
            </w:r>
          </w:p>
        </w:tc>
        <w:tc>
          <w:tcPr>
            <w:tcW w:w="1064" w:type="dxa"/>
            <w:shd w:val="clear" w:color="000000" w:fill="FFFFFF"/>
            <w:vAlign w:val="center"/>
          </w:tcPr>
          <w:p w14:paraId="1F5C7E1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722" w:type="dxa"/>
            <w:gridSpan w:val="2"/>
            <w:shd w:val="clear" w:color="000000" w:fill="FFFFFF"/>
            <w:vAlign w:val="center"/>
          </w:tcPr>
          <w:p w14:paraId="43F37C1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生物医学工程</w:t>
            </w:r>
          </w:p>
        </w:tc>
        <w:tc>
          <w:tcPr>
            <w:tcW w:w="1399" w:type="dxa"/>
            <w:gridSpan w:val="2"/>
            <w:shd w:val="clear" w:color="000000" w:fill="FFFFFF"/>
            <w:vAlign w:val="center"/>
          </w:tcPr>
          <w:p w14:paraId="2EC35F9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35-40万元</w:t>
            </w:r>
          </w:p>
        </w:tc>
        <w:tc>
          <w:tcPr>
            <w:tcW w:w="2550" w:type="dxa"/>
            <w:gridSpan w:val="2"/>
            <w:shd w:val="clear" w:color="000000" w:fill="FFFFFF"/>
            <w:vAlign w:val="center"/>
          </w:tcPr>
          <w:p w14:paraId="7C8CB822">
            <w:pPr>
              <w:adjustRightInd w:val="0"/>
              <w:snapToGrid w:val="0"/>
              <w:spacing w:line="240" w:lineRule="auto"/>
              <w:ind w:left="0" w:leftChars="0" w:firstLine="0" w:firstLineChars="0"/>
              <w:rPr>
                <w:rFonts w:hint="default" w:ascii="Times New Roman" w:hAnsi="Times New Roman" w:cs="Times New Roman" w:eastAsiaTheme="minorEastAsia"/>
                <w:sz w:val="21"/>
                <w:szCs w:val="21"/>
                <w:lang w:val="en-US" w:eastAsia="zh-CN"/>
              </w:rPr>
            </w:pPr>
          </w:p>
          <w:p w14:paraId="6DF82C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1.年龄35周岁以下，全日制博士后，获得博士学位不超过三年，品学兼优，身体健康；</w:t>
            </w:r>
          </w:p>
          <w:p w14:paraId="2AF922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2.研究方向与导师一致或有相关交叉，具有良好的沟通协调能力和科研能力，有较强的英文阅读、写作和听说能力，具备良好的学术发展潜力，有志于在课题组既有研究方向上继续深入；</w:t>
            </w:r>
          </w:p>
          <w:p w14:paraId="46C867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3.以第一作者（共一需排第一）在JCR分区Q1/Q2或中科院分区1区/2区发表SCI论文1篇以上。</w:t>
            </w:r>
          </w:p>
          <w:p w14:paraId="604C21C7">
            <w:pPr>
              <w:adjustRightInd w:val="0"/>
              <w:snapToGrid w:val="0"/>
              <w:spacing w:line="240" w:lineRule="auto"/>
              <w:ind w:left="0" w:leftChars="0" w:firstLine="0" w:firstLineChars="0"/>
              <w:rPr>
                <w:rFonts w:hint="default" w:ascii="Times New Roman" w:hAnsi="Times New Roman" w:cs="Times New Roman" w:eastAsiaTheme="minorEastAsia"/>
                <w:sz w:val="21"/>
                <w:szCs w:val="21"/>
              </w:rPr>
            </w:pPr>
          </w:p>
        </w:tc>
      </w:tr>
    </w:tbl>
    <w:p w14:paraId="4D7AE7FF">
      <w:pPr>
        <w:pStyle w:val="5"/>
        <w:adjustRightInd w:val="0"/>
        <w:snapToGrid w:val="0"/>
        <w:spacing w:line="240" w:lineRule="auto"/>
        <w:ind w:firstLine="0"/>
        <w:jc w:val="center"/>
        <w:rPr>
          <w:rFonts w:eastAsia="方正小标宋简体"/>
          <w:sz w:val="44"/>
          <w:szCs w:val="44"/>
        </w:rPr>
      </w:pPr>
      <w:r>
        <w:rPr>
          <w:rFonts w:ascii="Times New Roman" w:hAnsi="Times New Roman"/>
          <w:sz w:val="21"/>
          <w:szCs w:val="21"/>
        </w:rPr>
        <w:br w:type="page"/>
      </w:r>
    </w:p>
    <w:p w14:paraId="202F82F3">
      <w:pPr>
        <w:pStyle w:val="5"/>
        <w:adjustRightInd w:val="0"/>
        <w:snapToGrid w:val="0"/>
        <w:spacing w:line="240" w:lineRule="auto"/>
        <w:ind w:firstLine="0"/>
        <w:jc w:val="center"/>
        <w:rPr>
          <w:rFonts w:eastAsia="方正小标宋简体"/>
          <w:sz w:val="44"/>
          <w:szCs w:val="44"/>
          <w:highlight w:val="yellow"/>
        </w:rPr>
      </w:pPr>
    </w:p>
    <w:p w14:paraId="238F157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422" w:name="_Toc18543"/>
      <w:bookmarkStart w:id="423" w:name="_Toc23114"/>
      <w:bookmarkStart w:id="424" w:name="_Toc5440"/>
      <w:bookmarkStart w:id="425" w:name="_Toc14113"/>
      <w:bookmarkStart w:id="426" w:name="_Toc16473"/>
      <w:r>
        <w:rPr>
          <w:rFonts w:hint="eastAsia" w:eastAsia="方正小标宋简体"/>
          <w:sz w:val="44"/>
          <w:szCs w:val="44"/>
          <w:highlight w:val="none"/>
        </w:rPr>
        <w:t>四川省宜宾五粮液集团有限公司</w:t>
      </w:r>
      <w:bookmarkEnd w:id="422"/>
      <w:bookmarkEnd w:id="423"/>
      <w:bookmarkEnd w:id="424"/>
      <w:bookmarkEnd w:id="425"/>
      <w:bookmarkEnd w:id="426"/>
    </w:p>
    <w:p w14:paraId="04DABB87">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697"/>
        <w:gridCol w:w="1138"/>
        <w:gridCol w:w="1422"/>
        <w:gridCol w:w="142"/>
        <w:gridCol w:w="1402"/>
        <w:gridCol w:w="163"/>
        <w:gridCol w:w="1372"/>
        <w:gridCol w:w="51"/>
        <w:gridCol w:w="1927"/>
        <w:gridCol w:w="6"/>
      </w:tblGrid>
      <w:tr w14:paraId="1B64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1427" w:type="dxa"/>
            <w:shd w:val="clear" w:color="auto" w:fill="E7E6E6" w:themeFill="background2"/>
            <w:noWrap/>
            <w:vAlign w:val="center"/>
          </w:tcPr>
          <w:p w14:paraId="7536FF3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829" w:type="dxa"/>
            <w:gridSpan w:val="2"/>
            <w:shd w:val="clear" w:color="000000" w:fill="FFFFFF"/>
            <w:noWrap/>
            <w:vAlign w:val="center"/>
          </w:tcPr>
          <w:p w14:paraId="245D6522">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559" w:type="dxa"/>
            <w:gridSpan w:val="2"/>
            <w:shd w:val="clear" w:color="auto" w:fill="E7E6E6" w:themeFill="background2"/>
            <w:noWrap/>
            <w:vAlign w:val="center"/>
          </w:tcPr>
          <w:p w14:paraId="66823A0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397" w:type="dxa"/>
            <w:shd w:val="clear" w:color="000000" w:fill="FFFFFF"/>
            <w:noWrap/>
            <w:vAlign w:val="center"/>
          </w:tcPr>
          <w:p w14:paraId="02D5D0C9">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671DB05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2188E0A1">
            <w:pPr>
              <w:adjustRightInd w:val="0"/>
              <w:snapToGrid w:val="0"/>
              <w:spacing w:line="240" w:lineRule="auto"/>
              <w:ind w:firstLine="0"/>
              <w:jc w:val="center"/>
              <w:rPr>
                <w:rFonts w:eastAsiaTheme="minorEastAsia"/>
                <w:sz w:val="21"/>
                <w:szCs w:val="21"/>
              </w:rPr>
            </w:pPr>
            <w:r>
              <w:rPr>
                <w:rFonts w:eastAsiaTheme="minorEastAsia"/>
                <w:sz w:val="21"/>
                <w:szCs w:val="21"/>
              </w:rPr>
              <w:t>宜宾市</w:t>
            </w:r>
          </w:p>
        </w:tc>
      </w:tr>
      <w:tr w14:paraId="1148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56F23786">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91" w:type="dxa"/>
            <w:gridSpan w:val="10"/>
            <w:shd w:val="clear" w:color="000000" w:fill="FFFFFF"/>
            <w:noWrap/>
            <w:vAlign w:val="center"/>
          </w:tcPr>
          <w:p w14:paraId="090C070C">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四川省宜宾市翠屏区岷江西路150号</w:t>
            </w:r>
          </w:p>
        </w:tc>
      </w:tr>
      <w:tr w14:paraId="7BEE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9" w:hRule="atLeast"/>
          <w:jc w:val="center"/>
        </w:trPr>
        <w:tc>
          <w:tcPr>
            <w:tcW w:w="1427" w:type="dxa"/>
            <w:shd w:val="clear" w:color="auto" w:fill="E7E6E6" w:themeFill="background2"/>
            <w:noWrap/>
            <w:vAlign w:val="center"/>
          </w:tcPr>
          <w:p w14:paraId="36BD8F3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91" w:type="dxa"/>
            <w:gridSpan w:val="10"/>
            <w:shd w:val="clear" w:color="000000" w:fill="FFFFFF"/>
            <w:vAlign w:val="center"/>
          </w:tcPr>
          <w:p w14:paraId="5EF6C3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五粮液集团公司博士后科研工作站自2000年建设以来，不断完善博士后科研工作体系，强化博士后在企业创新和科技进步中发挥重要作用，推动科技成果高效转化和企业高质量发展。建站至今，形成了以院士和学科带头人领衔的，由中国酿酒大师、中国白酒大师、正高级工程师等为骨干的专家团队。拥有研发场地2万余平米，科研设备价值超2亿元。与中国科学院、清华大学、四川大学等知名高校或科研院所建立了良好的合作培养机制。</w:t>
            </w:r>
          </w:p>
        </w:tc>
      </w:tr>
      <w:tr w14:paraId="67EF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1427" w:type="dxa"/>
            <w:shd w:val="clear" w:color="auto" w:fill="E7E6E6" w:themeFill="background2"/>
            <w:noWrap/>
            <w:vAlign w:val="center"/>
          </w:tcPr>
          <w:p w14:paraId="7FD644A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91" w:type="dxa"/>
            <w:gridSpan w:val="10"/>
            <w:shd w:val="clear" w:color="000000" w:fill="FFFFFF"/>
            <w:vAlign w:val="center"/>
          </w:tcPr>
          <w:p w14:paraId="4317EB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1.工作站提供博士后在站期间的科研经费、工资和生活补贴等；</w:t>
            </w:r>
          </w:p>
          <w:p w14:paraId="71BF226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2.</w:t>
            </w:r>
            <w:r>
              <w:rPr>
                <w:rFonts w:hint="eastAsia" w:eastAsiaTheme="minorEastAsia"/>
                <w:sz w:val="21"/>
                <w:szCs w:val="21"/>
              </w:rPr>
              <w:t>工作站向在站博士后提供公寓一间</w:t>
            </w:r>
            <w:r>
              <w:rPr>
                <w:rFonts w:hint="eastAsia" w:eastAsiaTheme="minorEastAsia"/>
                <w:sz w:val="21"/>
                <w:szCs w:val="21"/>
                <w:lang w:eastAsia="zh-CN"/>
              </w:rPr>
              <w:t>。</w:t>
            </w:r>
          </w:p>
        </w:tc>
      </w:tr>
      <w:tr w14:paraId="048D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122" w:type="dxa"/>
            <w:gridSpan w:val="2"/>
            <w:shd w:val="clear" w:color="auto" w:fill="E7E6E6" w:themeFill="background2"/>
            <w:noWrap/>
            <w:vAlign w:val="center"/>
          </w:tcPr>
          <w:p w14:paraId="497CD2F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4" w:type="dxa"/>
            <w:shd w:val="clear" w:color="auto" w:fill="E7E6E6" w:themeFill="background2"/>
            <w:vAlign w:val="center"/>
          </w:tcPr>
          <w:p w14:paraId="16EB165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17" w:type="dxa"/>
            <w:shd w:val="clear" w:color="auto" w:fill="E7E6E6" w:themeFill="background2"/>
            <w:vAlign w:val="center"/>
          </w:tcPr>
          <w:p w14:paraId="527ECEC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3"/>
            <w:shd w:val="clear" w:color="auto" w:fill="E7E6E6" w:themeFill="background2"/>
            <w:vAlign w:val="center"/>
          </w:tcPr>
          <w:p w14:paraId="60AEEAA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D2E7D6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8" w:type="dxa"/>
            <w:gridSpan w:val="2"/>
            <w:shd w:val="clear" w:color="auto" w:fill="E7E6E6" w:themeFill="background2"/>
            <w:vAlign w:val="center"/>
          </w:tcPr>
          <w:p w14:paraId="5F3D7D0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C6A996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26" w:type="dxa"/>
            <w:gridSpan w:val="2"/>
            <w:shd w:val="clear" w:color="auto" w:fill="E7E6E6" w:themeFill="background2"/>
            <w:vAlign w:val="center"/>
          </w:tcPr>
          <w:p w14:paraId="104FEA0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29BCCF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2CA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2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8C8EB7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博士后项目</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3B06F5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14:paraId="5FD8254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F0FA34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轻工技术与工程</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C38B77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30-50</w:t>
            </w:r>
          </w:p>
        </w:tc>
        <w:tc>
          <w:tcPr>
            <w:tcW w:w="1926" w:type="dxa"/>
            <w:gridSpan w:val="2"/>
            <w:vMerge w:val="restart"/>
            <w:tcBorders>
              <w:top w:val="single" w:color="auto" w:sz="4" w:space="0"/>
              <w:left w:val="single" w:color="auto" w:sz="4" w:space="0"/>
              <w:right w:val="single" w:color="auto" w:sz="4" w:space="0"/>
            </w:tcBorders>
            <w:shd w:val="clear" w:color="auto" w:fill="FFFFFF"/>
            <w:vAlign w:val="center"/>
          </w:tcPr>
          <w:p w14:paraId="05264831">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235E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2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82AB8F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博士后项目</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AF1430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14:paraId="48D7F8C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7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D45973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生物工程</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99C9ECF">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30-50</w:t>
            </w:r>
          </w:p>
        </w:tc>
        <w:tc>
          <w:tcPr>
            <w:tcW w:w="1926" w:type="dxa"/>
            <w:gridSpan w:val="2"/>
            <w:vMerge w:val="continue"/>
            <w:tcBorders>
              <w:left w:val="single" w:color="auto" w:sz="4" w:space="0"/>
              <w:right w:val="single" w:color="auto" w:sz="4" w:space="0"/>
            </w:tcBorders>
            <w:shd w:val="clear" w:color="auto" w:fill="FFFFFF"/>
            <w:vAlign w:val="center"/>
          </w:tcPr>
          <w:p w14:paraId="1319CE7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131C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22"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6F839B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博士后项目</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2C9F3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14:paraId="3324083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701"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693EFF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食品科学与工程</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2ACF6AC">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30-50</w:t>
            </w:r>
          </w:p>
        </w:tc>
        <w:tc>
          <w:tcPr>
            <w:tcW w:w="1926" w:type="dxa"/>
            <w:gridSpan w:val="2"/>
            <w:vMerge w:val="continue"/>
            <w:tcBorders>
              <w:left w:val="single" w:color="auto" w:sz="4" w:space="0"/>
              <w:bottom w:val="single" w:color="auto" w:sz="4" w:space="0"/>
              <w:right w:val="single" w:color="auto" w:sz="4" w:space="0"/>
            </w:tcBorders>
            <w:shd w:val="clear" w:color="auto" w:fill="FFFFFF"/>
            <w:vAlign w:val="center"/>
          </w:tcPr>
          <w:p w14:paraId="613759D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406AA831">
      <w:pPr>
        <w:pStyle w:val="3"/>
        <w:adjustRightInd w:val="0"/>
        <w:snapToGrid w:val="0"/>
        <w:spacing w:before="0" w:after="0" w:line="240" w:lineRule="auto"/>
        <w:outlineLvl w:val="9"/>
        <w:rPr>
          <w:rFonts w:ascii="Times New Roman" w:hAnsi="Times New Roman" w:eastAsia="方正小标宋简体"/>
          <w:sz w:val="21"/>
          <w:szCs w:val="21"/>
        </w:rPr>
      </w:pPr>
      <w:r>
        <w:rPr>
          <w:rFonts w:ascii="Times New Roman" w:hAnsi="Times New Roman"/>
          <w:sz w:val="21"/>
          <w:szCs w:val="21"/>
        </w:rPr>
        <w:br w:type="page"/>
      </w:r>
    </w:p>
    <w:p w14:paraId="3AAE126E">
      <w:pPr>
        <w:adjustRightInd w:val="0"/>
        <w:snapToGrid w:val="0"/>
        <w:spacing w:line="240" w:lineRule="auto"/>
        <w:ind w:firstLine="0"/>
        <w:jc w:val="center"/>
        <w:rPr>
          <w:rFonts w:eastAsia="方正小标宋简体"/>
          <w:sz w:val="44"/>
          <w:szCs w:val="44"/>
        </w:rPr>
      </w:pPr>
    </w:p>
    <w:p w14:paraId="0C09043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427" w:name="_Toc18957"/>
      <w:bookmarkStart w:id="428" w:name="_Toc17683"/>
      <w:bookmarkStart w:id="429" w:name="_Toc32447"/>
      <w:bookmarkStart w:id="430" w:name="_Toc804"/>
      <w:bookmarkStart w:id="431" w:name="_Toc15802"/>
      <w:r>
        <w:rPr>
          <w:rFonts w:hint="eastAsia" w:eastAsia="方正小标宋简体"/>
          <w:sz w:val="44"/>
          <w:szCs w:val="44"/>
          <w:highlight w:val="none"/>
        </w:rPr>
        <w:t>四川省有色科技集团有限责任公司</w:t>
      </w:r>
      <w:bookmarkEnd w:id="427"/>
      <w:bookmarkEnd w:id="428"/>
      <w:bookmarkEnd w:id="429"/>
      <w:bookmarkEnd w:id="430"/>
      <w:bookmarkEnd w:id="431"/>
    </w:p>
    <w:p w14:paraId="7954FB9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5BB4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40D1F0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861976F">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50" w:type="dxa"/>
            <w:gridSpan w:val="2"/>
            <w:shd w:val="clear" w:color="auto" w:fill="E7E6E6" w:themeFill="background2"/>
            <w:noWrap/>
            <w:vAlign w:val="center"/>
          </w:tcPr>
          <w:p w14:paraId="21E2625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8BAAC3A">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12CE393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312C2763">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41EE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CE0C2A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0C31CEE0">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四川省成都市金牛区蜀两路46号</w:t>
            </w:r>
          </w:p>
        </w:tc>
      </w:tr>
      <w:tr w14:paraId="3C5A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jc w:val="center"/>
        </w:trPr>
        <w:tc>
          <w:tcPr>
            <w:tcW w:w="1271" w:type="dxa"/>
            <w:shd w:val="clear" w:color="auto" w:fill="E7E6E6" w:themeFill="background2"/>
            <w:noWrap/>
            <w:vAlign w:val="center"/>
          </w:tcPr>
          <w:p w14:paraId="16E9E88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312D87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省有色科技集团有限责任公司是四川发展(控股)公司全资控股子公司，是四川省有色金属工业协会会长单位、中国有色金属工业协会特邀理事单位，前身是1960年设立的四川省冶金工业研究所，1999年列为全国首批转制科研院所。公司的核心主业为“有色金属研发、制造、有色金属产业投资及贸易”</w:t>
            </w:r>
            <w:r>
              <w:rPr>
                <w:rFonts w:hint="eastAsia" w:eastAsiaTheme="minorEastAsia"/>
                <w:sz w:val="21"/>
                <w:szCs w:val="21"/>
                <w:lang w:eastAsia="zh-CN"/>
              </w:rPr>
              <w:t>，</w:t>
            </w:r>
            <w:r>
              <w:rPr>
                <w:rFonts w:hint="eastAsia" w:eastAsiaTheme="minorEastAsia"/>
                <w:sz w:val="21"/>
                <w:szCs w:val="21"/>
              </w:rPr>
              <w:t>拥有多个国家、省级科技创新平台，在有色金属新材料制造、科技研发等方面有一定技术积累，公司逐步发展成集工、科、贸为一体的现代创新型有色科技型企业，有力推动四川省有色金属产业转型升级、实现高质量发展，助力四川省打造千亿级有色产业，进一步为四川省擦亮“有色名片”。</w:t>
            </w:r>
          </w:p>
        </w:tc>
      </w:tr>
      <w:tr w14:paraId="4F1D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1271" w:type="dxa"/>
            <w:shd w:val="clear" w:color="auto" w:fill="E7E6E6" w:themeFill="background2"/>
            <w:noWrap/>
            <w:vAlign w:val="center"/>
          </w:tcPr>
          <w:p w14:paraId="30BF50E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593BC2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ascii="Times New Roman" w:hAnsi="Times New Roman" w:cs="Times New Roman" w:eastAsiaTheme="minorEastAsia"/>
                <w:kern w:val="2"/>
                <w:sz w:val="21"/>
                <w:szCs w:val="21"/>
                <w:lang w:val="en-US" w:eastAsia="zh-CN" w:bidi="ar-SA"/>
              </w:rPr>
              <w:t>1.</w:t>
            </w:r>
            <w:r>
              <w:rPr>
                <w:rFonts w:hint="eastAsia" w:eastAsiaTheme="minorEastAsia"/>
                <w:sz w:val="21"/>
                <w:szCs w:val="21"/>
              </w:rPr>
              <w:t>专职博士后：提供与流动站联合培养费；薪资为16.8-50万元，分为岗位工资和绩效工资两部分；签订服务期不少于5年劳动合同人员给予10万元安家补贴；给予20-50万元项目研究经费；支持申请博士后研究人员申请日常经费及各级政策资金，并按规定全部投入项目研究或博士后个人。</w:t>
            </w:r>
          </w:p>
          <w:p w14:paraId="7805EB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2.兼职博士后：提供与流动站联合培养费；支持申请博士后研究人员申请日常经费及各级政策资金，并按规定全部投入项目研究或博士后个人。</w:t>
            </w:r>
          </w:p>
        </w:tc>
      </w:tr>
      <w:tr w14:paraId="007A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18CB247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48975FB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201E3B5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7F5496B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2F9E26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4B2FB4A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D54D20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79324A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7859F9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057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61" w:type="dxa"/>
            <w:gridSpan w:val="2"/>
            <w:shd w:val="clear" w:color="000000" w:fill="FFFFFF"/>
            <w:noWrap/>
            <w:vAlign w:val="center"/>
          </w:tcPr>
          <w:p w14:paraId="66B5BBE6">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有色金属新材料研发</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铝、铜、稀土等</w:t>
            </w:r>
            <w:r>
              <w:rPr>
                <w:rFonts w:hint="eastAsia" w:ascii="Times New Roman" w:hAnsi="Times New Roman" w:cs="Times New Roman" w:eastAsiaTheme="minorEastAsia"/>
                <w:sz w:val="21"/>
                <w:szCs w:val="21"/>
                <w:lang w:val="en-US" w:eastAsia="zh-CN"/>
              </w:rPr>
              <w:t>）</w:t>
            </w:r>
          </w:p>
        </w:tc>
        <w:tc>
          <w:tcPr>
            <w:tcW w:w="1116" w:type="dxa"/>
            <w:gridSpan w:val="2"/>
            <w:shd w:val="clear" w:color="000000" w:fill="FFFFFF"/>
            <w:vAlign w:val="center"/>
          </w:tcPr>
          <w:p w14:paraId="0053D53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41522ADE">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5B340B52">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材料科学与工程、有色金属冶金</w:t>
            </w:r>
          </w:p>
        </w:tc>
        <w:tc>
          <w:tcPr>
            <w:tcW w:w="1428" w:type="dxa"/>
            <w:gridSpan w:val="2"/>
            <w:shd w:val="clear" w:color="000000" w:fill="FFFFFF"/>
            <w:vAlign w:val="center"/>
          </w:tcPr>
          <w:p w14:paraId="35459F1C">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715" w:type="dxa"/>
            <w:vMerge w:val="restart"/>
            <w:shd w:val="clear" w:color="000000" w:fill="FFFFFF"/>
            <w:vAlign w:val="center"/>
          </w:tcPr>
          <w:p w14:paraId="555601B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0EE5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61" w:type="dxa"/>
            <w:gridSpan w:val="2"/>
            <w:shd w:val="clear" w:color="000000" w:fill="FFFFFF"/>
            <w:noWrap/>
            <w:vAlign w:val="center"/>
          </w:tcPr>
          <w:p w14:paraId="60EE7400">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矿产资源综合利用（渣处理）</w:t>
            </w:r>
          </w:p>
        </w:tc>
        <w:tc>
          <w:tcPr>
            <w:tcW w:w="1116" w:type="dxa"/>
            <w:gridSpan w:val="2"/>
            <w:shd w:val="clear" w:color="000000" w:fill="FFFFFF"/>
            <w:vAlign w:val="center"/>
          </w:tcPr>
          <w:p w14:paraId="06BB44B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66CFB19A">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704" w:type="dxa"/>
            <w:gridSpan w:val="2"/>
            <w:shd w:val="clear" w:color="000000" w:fill="FFFFFF"/>
            <w:vAlign w:val="center"/>
          </w:tcPr>
          <w:p w14:paraId="1F14A34E">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矿业工程、冶金工程</w:t>
            </w:r>
          </w:p>
        </w:tc>
        <w:tc>
          <w:tcPr>
            <w:tcW w:w="1428" w:type="dxa"/>
            <w:gridSpan w:val="2"/>
            <w:shd w:val="clear" w:color="000000" w:fill="FFFFFF"/>
            <w:vAlign w:val="center"/>
          </w:tcPr>
          <w:p w14:paraId="6255E78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715" w:type="dxa"/>
            <w:vMerge w:val="continue"/>
            <w:shd w:val="clear" w:color="000000" w:fill="FFFFFF"/>
            <w:vAlign w:val="center"/>
          </w:tcPr>
          <w:p w14:paraId="75911743">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p>
        </w:tc>
      </w:tr>
    </w:tbl>
    <w:p w14:paraId="7E3D7C4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3485B851">
      <w:pPr>
        <w:pStyle w:val="5"/>
        <w:adjustRightInd w:val="0"/>
        <w:snapToGrid w:val="0"/>
        <w:spacing w:line="240" w:lineRule="auto"/>
        <w:ind w:firstLine="0"/>
        <w:jc w:val="center"/>
        <w:outlineLvl w:val="0"/>
        <w:rPr>
          <w:rFonts w:eastAsia="方正小标宋简体"/>
          <w:sz w:val="44"/>
          <w:szCs w:val="44"/>
        </w:rPr>
      </w:pPr>
      <w:bookmarkStart w:id="432" w:name="_Toc9932"/>
      <w:bookmarkStart w:id="433" w:name="_Toc31366"/>
      <w:bookmarkStart w:id="434" w:name="_Toc7545"/>
      <w:bookmarkStart w:id="435" w:name="_Toc15061"/>
      <w:bookmarkStart w:id="436" w:name="_Toc22688"/>
      <w:r>
        <w:rPr>
          <w:rFonts w:hint="eastAsia" w:eastAsia="方正小标宋简体"/>
          <w:sz w:val="44"/>
          <w:szCs w:val="44"/>
          <w:highlight w:val="none"/>
        </w:rPr>
        <w:t>四川省肿瘤医院</w:t>
      </w:r>
      <w:bookmarkEnd w:id="432"/>
      <w:bookmarkEnd w:id="433"/>
      <w:bookmarkEnd w:id="434"/>
      <w:bookmarkEnd w:id="435"/>
      <w:bookmarkEnd w:id="436"/>
    </w:p>
    <w:p w14:paraId="2AC73930">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358"/>
        <w:gridCol w:w="1187"/>
        <w:gridCol w:w="98"/>
        <w:gridCol w:w="1899"/>
      </w:tblGrid>
      <w:tr w14:paraId="01AF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266306E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1292DB62">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医疗机构</w:t>
            </w:r>
          </w:p>
        </w:tc>
        <w:tc>
          <w:tcPr>
            <w:tcW w:w="1640" w:type="dxa"/>
            <w:gridSpan w:val="2"/>
            <w:shd w:val="clear" w:color="auto" w:fill="E7E6E6" w:themeFill="background2"/>
            <w:noWrap/>
            <w:vAlign w:val="center"/>
          </w:tcPr>
          <w:p w14:paraId="69EE9CC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70140E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CE641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7F79F62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6E23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4332A4B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5C8FB1D1">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四川省成都市武侯区人民南路四段55号</w:t>
            </w:r>
          </w:p>
        </w:tc>
      </w:tr>
      <w:tr w14:paraId="416F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0" w:hRule="atLeast"/>
          <w:jc w:val="center"/>
        </w:trPr>
        <w:tc>
          <w:tcPr>
            <w:tcW w:w="1344" w:type="dxa"/>
            <w:shd w:val="clear" w:color="auto" w:fill="E7E6E6" w:themeFill="background2"/>
            <w:noWrap/>
            <w:vAlign w:val="center"/>
          </w:tcPr>
          <w:p w14:paraId="196875B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1405EB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省肿瘤医院（四川省癌症防治中心）·电子科技大学附属肿瘤医院始建于1979年，是我国西部地区综合实力最强的集肿瘤预防、治疗、科研、教学、康复为一体的癌症防治中心、三级甲等肿瘤专科医院、科学研究所和博士后科研工作站。具有肿瘤专业特色和学科优势，是国家恶性肿瘤临床医学研究中心分中心、国家中西医协同“旗舰”医院试点项目建设单位、国家肿瘤学临床重点专科和疑难病症诊治能力提升工程建设单位、西部地区首家获得质子治疗中心建设的单位。医院有放射肿瘤学四川省重点实验室、四川省肿瘤临床医学研究中心、脑科学与类脑智能研究院分院、电子科技大学肿瘤医工研究院、成都中医药大学中西医结合肿瘤研究院等多个科研平台,建有近5000平方米的现代化实验室，研究设备完备，建有分子生物学、细胞生物学、分子病理、蛋白组学与基因芯片等实验室以及动物实验室，拥有西部最大的肿瘤生物样本库（容量500万份）并获批国家科技部人类遗传资源保藏行政许可。亚专业齐全，科研平台完善，学术氛围浓厚，科研实力较强。</w:t>
            </w:r>
          </w:p>
        </w:tc>
      </w:tr>
      <w:tr w14:paraId="6AD5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344" w:type="dxa"/>
            <w:shd w:val="clear" w:color="auto" w:fill="E7E6E6" w:themeFill="background2"/>
            <w:noWrap/>
            <w:vAlign w:val="center"/>
          </w:tcPr>
          <w:p w14:paraId="2DAE1D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071034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年薪40万起（含五险一金）。特别优秀者通过申请“成电博新”计划、国家“博新计划”、四川省“博新项目”等各级博士后人才计划者待遇更优，在职博士后待遇按照省市及单位相关规定执行。全职博士后在站期间，享受医院职工体检、子女入托入学等在职职工同等福利。</w:t>
            </w:r>
          </w:p>
          <w:p w14:paraId="6FCF8C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在站期间取得突出成果的，根据工作站和流动站相关政策，分别给予奖励资助。全职博士后在站期间入选“国家博士后创新人才支持计划”或获国家自然科学基金资助，或取得其他高水平学术成果者，同等条件下可优先选择入职本单位工作。</w:t>
            </w:r>
          </w:p>
        </w:tc>
      </w:tr>
      <w:tr w14:paraId="1202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528722F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176469B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71314DD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59E4FB7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E39E096">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2E6A121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B48D531">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51D9E4A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5E23AAF">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0F38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242E3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sz w:val="21"/>
                <w:szCs w:val="21"/>
              </w:rPr>
              <w:t>肺血栓栓塞症中西医结合防治方案研究—特定人群静脉血栓栓塞症的中西医结合预防方案研究</w:t>
            </w:r>
          </w:p>
        </w:tc>
        <w:tc>
          <w:tcPr>
            <w:tcW w:w="1116" w:type="dxa"/>
            <w:gridSpan w:val="2"/>
            <w:shd w:val="clear" w:color="auto" w:fill="auto"/>
            <w:vAlign w:val="center"/>
          </w:tcPr>
          <w:p w14:paraId="79E3C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1-3</w:t>
            </w:r>
          </w:p>
        </w:tc>
        <w:tc>
          <w:tcPr>
            <w:tcW w:w="1152" w:type="dxa"/>
            <w:gridSpan w:val="2"/>
            <w:shd w:val="clear" w:color="auto" w:fill="auto"/>
            <w:vAlign w:val="center"/>
          </w:tcPr>
          <w:p w14:paraId="07CAFB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BSH001</w:t>
            </w:r>
          </w:p>
        </w:tc>
        <w:tc>
          <w:tcPr>
            <w:tcW w:w="1633" w:type="dxa"/>
            <w:gridSpan w:val="2"/>
            <w:shd w:val="clear" w:color="auto" w:fill="auto"/>
            <w:vAlign w:val="center"/>
          </w:tcPr>
          <w:p w14:paraId="5A27F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流行病学及统计学、肿瘤学、中医学等相关专业</w:t>
            </w:r>
          </w:p>
        </w:tc>
        <w:tc>
          <w:tcPr>
            <w:tcW w:w="1272" w:type="dxa"/>
            <w:gridSpan w:val="2"/>
            <w:shd w:val="clear" w:color="auto" w:fill="auto"/>
            <w:vAlign w:val="center"/>
          </w:tcPr>
          <w:p w14:paraId="34D559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418AF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电子科技大学、四川大学、成都中医药大学</w:t>
            </w:r>
            <w:r>
              <w:rPr>
                <w:rFonts w:hint="default" w:ascii="Times New Roman" w:hAnsi="Times New Roman" w:cs="Times New Roman" w:eastAsiaTheme="minorEastAsia"/>
                <w:sz w:val="21"/>
                <w:szCs w:val="21"/>
                <w:lang w:val="en-US" w:eastAsia="zh-CN"/>
              </w:rPr>
              <w:t>博士生</w:t>
            </w:r>
            <w:r>
              <w:rPr>
                <w:rFonts w:hint="default" w:ascii="Times New Roman" w:hAnsi="Times New Roman" w:cs="Times New Roman" w:eastAsiaTheme="minorEastAsia"/>
                <w:sz w:val="21"/>
                <w:szCs w:val="21"/>
              </w:rPr>
              <w:t>优先</w:t>
            </w:r>
            <w:r>
              <w:rPr>
                <w:rFonts w:hint="default" w:ascii="Times New Roman" w:hAnsi="Times New Roman" w:cs="Times New Roman" w:eastAsiaTheme="minorEastAsia"/>
                <w:sz w:val="21"/>
                <w:szCs w:val="21"/>
                <w:lang w:eastAsia="zh-CN"/>
              </w:rPr>
              <w:t>。</w:t>
            </w:r>
          </w:p>
        </w:tc>
      </w:tr>
      <w:tr w14:paraId="5803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auto"/>
            <w:noWrap/>
            <w:vAlign w:val="center"/>
          </w:tcPr>
          <w:p w14:paraId="7D743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恶性肿瘤精准诊治</w:t>
            </w:r>
          </w:p>
        </w:tc>
        <w:tc>
          <w:tcPr>
            <w:tcW w:w="1116" w:type="dxa"/>
            <w:gridSpan w:val="2"/>
            <w:shd w:val="clear" w:color="auto" w:fill="auto"/>
            <w:vAlign w:val="center"/>
          </w:tcPr>
          <w:p w14:paraId="35BEE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52" w:type="dxa"/>
            <w:gridSpan w:val="2"/>
            <w:shd w:val="clear" w:color="auto" w:fill="auto"/>
            <w:vAlign w:val="center"/>
          </w:tcPr>
          <w:p w14:paraId="56647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633" w:type="dxa"/>
            <w:gridSpan w:val="2"/>
            <w:shd w:val="clear" w:color="auto" w:fill="auto"/>
            <w:vAlign w:val="center"/>
          </w:tcPr>
          <w:p w14:paraId="27254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医学、生命科学等相关专业</w:t>
            </w:r>
          </w:p>
        </w:tc>
        <w:tc>
          <w:tcPr>
            <w:tcW w:w="1272" w:type="dxa"/>
            <w:gridSpan w:val="2"/>
            <w:shd w:val="clear" w:color="auto" w:fill="auto"/>
            <w:vAlign w:val="center"/>
          </w:tcPr>
          <w:p w14:paraId="4D1FE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4E386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无</w:t>
            </w:r>
          </w:p>
        </w:tc>
      </w:tr>
      <w:tr w14:paraId="15C5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auto"/>
            <w:noWrap/>
            <w:vAlign w:val="center"/>
          </w:tcPr>
          <w:p w14:paraId="6583A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肿瘤精确放疗解决方案的应用和临床研究</w:t>
            </w:r>
          </w:p>
        </w:tc>
        <w:tc>
          <w:tcPr>
            <w:tcW w:w="1116" w:type="dxa"/>
            <w:gridSpan w:val="2"/>
            <w:shd w:val="clear" w:color="auto" w:fill="auto"/>
            <w:vAlign w:val="center"/>
          </w:tcPr>
          <w:p w14:paraId="438EB2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52" w:type="dxa"/>
            <w:gridSpan w:val="2"/>
            <w:shd w:val="clear" w:color="auto" w:fill="auto"/>
            <w:vAlign w:val="center"/>
          </w:tcPr>
          <w:p w14:paraId="47EA9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633" w:type="dxa"/>
            <w:gridSpan w:val="2"/>
            <w:shd w:val="clear" w:color="auto" w:fill="auto"/>
            <w:vAlign w:val="center"/>
          </w:tcPr>
          <w:p w14:paraId="7568A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医学、物理学、核科学与技术、生物医学工程等相关专业</w:t>
            </w:r>
          </w:p>
        </w:tc>
        <w:tc>
          <w:tcPr>
            <w:tcW w:w="1272" w:type="dxa"/>
            <w:gridSpan w:val="2"/>
            <w:shd w:val="clear" w:color="auto" w:fill="auto"/>
            <w:vAlign w:val="center"/>
          </w:tcPr>
          <w:p w14:paraId="58A1A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28CA1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无</w:t>
            </w:r>
          </w:p>
        </w:tc>
      </w:tr>
      <w:tr w14:paraId="5FF8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auto"/>
            <w:noWrap/>
            <w:vAlign w:val="center"/>
          </w:tcPr>
          <w:p w14:paraId="3638A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放疗新技术的生物学机制研究</w:t>
            </w:r>
          </w:p>
        </w:tc>
        <w:tc>
          <w:tcPr>
            <w:tcW w:w="1116" w:type="dxa"/>
            <w:gridSpan w:val="2"/>
            <w:shd w:val="clear" w:color="auto" w:fill="auto"/>
            <w:vAlign w:val="center"/>
          </w:tcPr>
          <w:p w14:paraId="542D8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52" w:type="dxa"/>
            <w:gridSpan w:val="2"/>
            <w:shd w:val="clear" w:color="auto" w:fill="auto"/>
            <w:vAlign w:val="center"/>
          </w:tcPr>
          <w:p w14:paraId="3E59C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633" w:type="dxa"/>
            <w:gridSpan w:val="2"/>
            <w:shd w:val="clear" w:color="auto" w:fill="auto"/>
            <w:vAlign w:val="center"/>
          </w:tcPr>
          <w:p w14:paraId="20641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生物学，基础医学，临床医学等相关专业</w:t>
            </w:r>
          </w:p>
        </w:tc>
        <w:tc>
          <w:tcPr>
            <w:tcW w:w="1272" w:type="dxa"/>
            <w:gridSpan w:val="2"/>
            <w:shd w:val="clear" w:color="auto" w:fill="auto"/>
            <w:vAlign w:val="center"/>
          </w:tcPr>
          <w:p w14:paraId="634B0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4C371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无</w:t>
            </w:r>
          </w:p>
        </w:tc>
      </w:tr>
      <w:tr w14:paraId="742A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7A781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PD-1 抑制剂联合 TPF 新辅助治疗局部晚期头颈鳞癌的多中心临床试验及智能化免疫疗效预测的联合创新研究</w:t>
            </w:r>
          </w:p>
        </w:tc>
        <w:tc>
          <w:tcPr>
            <w:tcW w:w="1116" w:type="dxa"/>
            <w:gridSpan w:val="2"/>
            <w:shd w:val="clear" w:color="auto" w:fill="auto"/>
            <w:vAlign w:val="center"/>
          </w:tcPr>
          <w:p w14:paraId="1D56B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52" w:type="dxa"/>
            <w:gridSpan w:val="2"/>
            <w:shd w:val="clear" w:color="auto" w:fill="auto"/>
            <w:vAlign w:val="center"/>
          </w:tcPr>
          <w:p w14:paraId="370A0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633" w:type="dxa"/>
            <w:gridSpan w:val="2"/>
            <w:shd w:val="clear" w:color="auto" w:fill="auto"/>
            <w:vAlign w:val="center"/>
          </w:tcPr>
          <w:p w14:paraId="00B54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基础医学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口腔医学、</w:t>
            </w:r>
            <w:r>
              <w:rPr>
                <w:rFonts w:hint="default" w:ascii="Times New Roman" w:hAnsi="Times New Roman" w:cs="Times New Roman" w:eastAsiaTheme="minorEastAsia"/>
                <w:sz w:val="21"/>
                <w:szCs w:val="21"/>
              </w:rPr>
              <w:t>生物医学工程</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信息软件</w:t>
            </w:r>
            <w:r>
              <w:rPr>
                <w:rFonts w:hint="default" w:ascii="Times New Roman" w:hAnsi="Times New Roman" w:cs="Times New Roman" w:eastAsiaTheme="minorEastAsia"/>
                <w:sz w:val="21"/>
                <w:szCs w:val="21"/>
                <w:lang w:val="en-US" w:eastAsia="zh-CN"/>
              </w:rPr>
              <w:t>等相关专业</w:t>
            </w:r>
          </w:p>
        </w:tc>
        <w:tc>
          <w:tcPr>
            <w:tcW w:w="1272" w:type="dxa"/>
            <w:gridSpan w:val="2"/>
            <w:shd w:val="clear" w:color="auto" w:fill="auto"/>
            <w:vAlign w:val="center"/>
          </w:tcPr>
          <w:p w14:paraId="7D4CED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2EEC6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肿瘤有关基础，临床Rct及医工研究</w:t>
            </w:r>
            <w:r>
              <w:rPr>
                <w:rFonts w:hint="default" w:ascii="Times New Roman" w:hAnsi="Times New Roman" w:cs="Times New Roman" w:eastAsiaTheme="minorEastAsia"/>
                <w:sz w:val="21"/>
                <w:szCs w:val="21"/>
                <w:lang w:val="en-US" w:eastAsia="zh-CN"/>
              </w:rPr>
              <w:t>等</w:t>
            </w:r>
            <w:r>
              <w:rPr>
                <w:rFonts w:hint="default" w:ascii="Times New Roman" w:hAnsi="Times New Roman" w:cs="Times New Roman" w:eastAsiaTheme="minorEastAsia"/>
                <w:sz w:val="21"/>
                <w:szCs w:val="21"/>
              </w:rPr>
              <w:t>有关研究背景</w:t>
            </w:r>
          </w:p>
        </w:tc>
      </w:tr>
      <w:tr w14:paraId="50B4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074995EF">
            <w:pPr>
              <w:adjustRightInd w:val="0"/>
              <w:snapToGrid w:val="0"/>
              <w:spacing w:line="240" w:lineRule="auto"/>
              <w:ind w:firstLine="0" w:firstLineChars="0"/>
              <w:jc w:val="both"/>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免充气腔镜和传统开放手术在低危甲状腺乳头状癌根治疗效及并发症的前瞻性、多中心、全国随机对照临床研究</w:t>
            </w:r>
          </w:p>
        </w:tc>
        <w:tc>
          <w:tcPr>
            <w:tcW w:w="1116" w:type="dxa"/>
            <w:gridSpan w:val="2"/>
            <w:shd w:val="clear" w:color="auto" w:fill="auto"/>
            <w:vAlign w:val="center"/>
          </w:tcPr>
          <w:p w14:paraId="248738A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52" w:type="dxa"/>
            <w:gridSpan w:val="2"/>
            <w:shd w:val="clear" w:color="auto" w:fill="auto"/>
            <w:vAlign w:val="center"/>
          </w:tcPr>
          <w:p w14:paraId="09BE354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633" w:type="dxa"/>
            <w:gridSpan w:val="2"/>
            <w:shd w:val="clear" w:color="auto" w:fill="auto"/>
            <w:vAlign w:val="center"/>
          </w:tcPr>
          <w:p w14:paraId="046ED1E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基础医学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口腔医学、</w:t>
            </w:r>
            <w:r>
              <w:rPr>
                <w:rFonts w:hint="default" w:ascii="Times New Roman" w:hAnsi="Times New Roman" w:cs="Times New Roman" w:eastAsiaTheme="minorEastAsia"/>
                <w:sz w:val="21"/>
                <w:szCs w:val="21"/>
              </w:rPr>
              <w:t>生物医学工程</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信息软件</w:t>
            </w:r>
            <w:r>
              <w:rPr>
                <w:rFonts w:hint="default" w:ascii="Times New Roman" w:hAnsi="Times New Roman" w:cs="Times New Roman" w:eastAsiaTheme="minorEastAsia"/>
                <w:sz w:val="21"/>
                <w:szCs w:val="21"/>
                <w:lang w:val="en-US" w:eastAsia="zh-CN"/>
              </w:rPr>
              <w:t>等相关专业</w:t>
            </w:r>
          </w:p>
        </w:tc>
        <w:tc>
          <w:tcPr>
            <w:tcW w:w="1272" w:type="dxa"/>
            <w:gridSpan w:val="2"/>
            <w:shd w:val="clear" w:color="auto" w:fill="auto"/>
            <w:vAlign w:val="center"/>
          </w:tcPr>
          <w:p w14:paraId="7E76D9AF">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10B4633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肿瘤有关基础，临床Rct及医工研究</w:t>
            </w:r>
            <w:r>
              <w:rPr>
                <w:rFonts w:hint="default" w:ascii="Times New Roman" w:hAnsi="Times New Roman" w:cs="Times New Roman" w:eastAsiaTheme="minorEastAsia"/>
                <w:sz w:val="21"/>
                <w:szCs w:val="21"/>
                <w:lang w:val="en-US" w:eastAsia="zh-CN"/>
              </w:rPr>
              <w:t>等</w:t>
            </w:r>
            <w:r>
              <w:rPr>
                <w:rFonts w:hint="default" w:ascii="Times New Roman" w:hAnsi="Times New Roman" w:cs="Times New Roman" w:eastAsiaTheme="minorEastAsia"/>
                <w:sz w:val="21"/>
                <w:szCs w:val="21"/>
              </w:rPr>
              <w:t>有关研究背景</w:t>
            </w:r>
          </w:p>
        </w:tc>
      </w:tr>
      <w:tr w14:paraId="1FAA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auto"/>
            <w:noWrap/>
            <w:vAlign w:val="center"/>
          </w:tcPr>
          <w:p w14:paraId="16E8346B">
            <w:pPr>
              <w:adjustRightInd w:val="0"/>
              <w:snapToGrid w:val="0"/>
              <w:spacing w:line="240" w:lineRule="auto"/>
              <w:ind w:firstLine="0" w:firstLineChars="0"/>
              <w:jc w:val="both"/>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基于口腔鳞癌类器官探究Ang-2调控血管正常化对免疫治疗疗效的机制研究</w:t>
            </w:r>
          </w:p>
        </w:tc>
        <w:tc>
          <w:tcPr>
            <w:tcW w:w="1116" w:type="dxa"/>
            <w:gridSpan w:val="2"/>
            <w:shd w:val="clear" w:color="auto" w:fill="auto"/>
            <w:vAlign w:val="center"/>
          </w:tcPr>
          <w:p w14:paraId="2F0175B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0F21B90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633" w:type="dxa"/>
            <w:gridSpan w:val="2"/>
            <w:shd w:val="clear" w:color="auto" w:fill="auto"/>
            <w:vAlign w:val="center"/>
          </w:tcPr>
          <w:p w14:paraId="326C2CD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基础医学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口腔医学等相关专业</w:t>
            </w:r>
          </w:p>
        </w:tc>
        <w:tc>
          <w:tcPr>
            <w:tcW w:w="1272" w:type="dxa"/>
            <w:gridSpan w:val="2"/>
            <w:shd w:val="clear" w:color="auto" w:fill="auto"/>
            <w:vAlign w:val="center"/>
          </w:tcPr>
          <w:p w14:paraId="48225339">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25784BB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肿瘤有关基础，临床Rct及医工研究</w:t>
            </w:r>
            <w:r>
              <w:rPr>
                <w:rFonts w:hint="default" w:ascii="Times New Roman" w:hAnsi="Times New Roman" w:cs="Times New Roman" w:eastAsiaTheme="minorEastAsia"/>
                <w:sz w:val="21"/>
                <w:szCs w:val="21"/>
                <w:lang w:val="en-US" w:eastAsia="zh-CN"/>
              </w:rPr>
              <w:t>等</w:t>
            </w:r>
            <w:r>
              <w:rPr>
                <w:rFonts w:hint="default" w:ascii="Times New Roman" w:hAnsi="Times New Roman" w:cs="Times New Roman" w:eastAsiaTheme="minorEastAsia"/>
                <w:sz w:val="21"/>
                <w:szCs w:val="21"/>
              </w:rPr>
              <w:t>有关研究背景</w:t>
            </w:r>
          </w:p>
        </w:tc>
      </w:tr>
      <w:tr w14:paraId="070B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auto"/>
            <w:noWrap/>
            <w:vAlign w:val="center"/>
          </w:tcPr>
          <w:p w14:paraId="2F0CC2B3">
            <w:pPr>
              <w:adjustRightInd w:val="0"/>
              <w:snapToGrid w:val="0"/>
              <w:spacing w:line="240" w:lineRule="auto"/>
              <w:ind w:firstLine="0" w:firstLineChars="0"/>
              <w:jc w:val="both"/>
              <w:rPr>
                <w:rFonts w:hint="default" w:ascii="Times New Roman" w:hAnsi="Times New Roman" w:cs="Times New Roman" w:eastAsiaTheme="minorEastAsia"/>
                <w:color w:val="000000"/>
                <w:kern w:val="0"/>
                <w:sz w:val="21"/>
                <w:szCs w:val="21"/>
                <w:lang w:bidi="ar"/>
              </w:rPr>
            </w:pPr>
            <w:r>
              <w:rPr>
                <w:rFonts w:hint="default" w:ascii="Times New Roman" w:hAnsi="Times New Roman" w:cs="Times New Roman" w:eastAsiaTheme="minorEastAsia"/>
                <w:sz w:val="21"/>
                <w:szCs w:val="21"/>
              </w:rPr>
              <w:t>超声分子影像研究</w:t>
            </w:r>
          </w:p>
        </w:tc>
        <w:tc>
          <w:tcPr>
            <w:tcW w:w="1116" w:type="dxa"/>
            <w:gridSpan w:val="2"/>
            <w:shd w:val="clear" w:color="auto" w:fill="auto"/>
            <w:vAlign w:val="center"/>
          </w:tcPr>
          <w:p w14:paraId="49770FD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004A7DF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633" w:type="dxa"/>
            <w:gridSpan w:val="2"/>
            <w:shd w:val="clear" w:color="auto" w:fill="auto"/>
            <w:vAlign w:val="center"/>
          </w:tcPr>
          <w:p w14:paraId="65346AA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临床医学、影像医学（临床医学）、生物学、生物医学工程等相关专业</w:t>
            </w:r>
          </w:p>
        </w:tc>
        <w:tc>
          <w:tcPr>
            <w:tcW w:w="1272" w:type="dxa"/>
            <w:gridSpan w:val="2"/>
            <w:shd w:val="clear" w:color="auto" w:fill="auto"/>
            <w:vAlign w:val="center"/>
          </w:tcPr>
          <w:p w14:paraId="46834FD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53CCA74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无</w:t>
            </w:r>
          </w:p>
        </w:tc>
      </w:tr>
      <w:tr w14:paraId="4717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FFFFFF"/>
            <w:noWrap/>
            <w:vAlign w:val="center"/>
          </w:tcPr>
          <w:p w14:paraId="63E159F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肿瘤免疫学基础和临床转化研究</w:t>
            </w:r>
          </w:p>
        </w:tc>
        <w:tc>
          <w:tcPr>
            <w:tcW w:w="1116" w:type="dxa"/>
            <w:gridSpan w:val="2"/>
            <w:shd w:val="clear" w:color="auto" w:fill="FFFFFF"/>
            <w:vAlign w:val="center"/>
          </w:tcPr>
          <w:p w14:paraId="36F862F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661A9E5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9</w:t>
            </w:r>
          </w:p>
        </w:tc>
        <w:tc>
          <w:tcPr>
            <w:tcW w:w="1633" w:type="dxa"/>
            <w:gridSpan w:val="2"/>
            <w:shd w:val="clear" w:color="auto" w:fill="FFFFFF"/>
            <w:vAlign w:val="center"/>
          </w:tcPr>
          <w:p w14:paraId="658C377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基础医学（免疫方向）</w:t>
            </w:r>
          </w:p>
        </w:tc>
        <w:tc>
          <w:tcPr>
            <w:tcW w:w="1272" w:type="dxa"/>
            <w:gridSpan w:val="2"/>
            <w:shd w:val="clear" w:color="auto" w:fill="FFFFFF"/>
            <w:vAlign w:val="center"/>
          </w:tcPr>
          <w:p w14:paraId="65BAC05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3AF09D2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双一流建设高校或双一流学科博士</w:t>
            </w:r>
          </w:p>
        </w:tc>
      </w:tr>
      <w:tr w14:paraId="74BC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1F7E0FB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3EF590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640D708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514913C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15264B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35679E9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4175E6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0C0913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DAF616C">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eastAsiaTheme="minorEastAsia"/>
                <w:b/>
                <w:bCs/>
                <w:sz w:val="21"/>
                <w:szCs w:val="21"/>
              </w:rPr>
              <w:t>等要求</w:t>
            </w:r>
          </w:p>
        </w:tc>
      </w:tr>
      <w:tr w14:paraId="61DC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4B1DBB6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肝脏移植方向、肝胆胰肿瘤方向、肿瘤免疫方向</w:t>
            </w:r>
          </w:p>
        </w:tc>
        <w:tc>
          <w:tcPr>
            <w:tcW w:w="1116" w:type="dxa"/>
            <w:gridSpan w:val="2"/>
            <w:shd w:val="clear" w:color="auto" w:fill="FFFFFF"/>
            <w:vAlign w:val="center"/>
          </w:tcPr>
          <w:p w14:paraId="1FA33F8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152" w:type="dxa"/>
            <w:gridSpan w:val="2"/>
            <w:shd w:val="clear" w:color="auto" w:fill="FFFFFF"/>
            <w:vAlign w:val="center"/>
          </w:tcPr>
          <w:p w14:paraId="1B4611E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10</w:t>
            </w:r>
          </w:p>
        </w:tc>
        <w:tc>
          <w:tcPr>
            <w:tcW w:w="1633" w:type="dxa"/>
            <w:gridSpan w:val="2"/>
            <w:shd w:val="clear" w:color="auto" w:fill="FFFFFF"/>
            <w:vAlign w:val="center"/>
          </w:tcPr>
          <w:p w14:paraId="50BBCDBF">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肝胆外科、肿瘤学</w:t>
            </w:r>
          </w:p>
        </w:tc>
        <w:tc>
          <w:tcPr>
            <w:tcW w:w="1272" w:type="dxa"/>
            <w:gridSpan w:val="2"/>
            <w:shd w:val="clear" w:color="auto" w:fill="FFFFFF"/>
            <w:vAlign w:val="center"/>
          </w:tcPr>
          <w:p w14:paraId="1545481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74B3A47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无</w:t>
            </w:r>
          </w:p>
        </w:tc>
      </w:tr>
      <w:tr w14:paraId="4CA2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31F8E4B6">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妇科疾病的临床研究</w:t>
            </w:r>
          </w:p>
        </w:tc>
        <w:tc>
          <w:tcPr>
            <w:tcW w:w="1116" w:type="dxa"/>
            <w:gridSpan w:val="2"/>
            <w:shd w:val="clear" w:color="auto" w:fill="FFFFFF"/>
            <w:vAlign w:val="center"/>
          </w:tcPr>
          <w:p w14:paraId="3C5F924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152" w:type="dxa"/>
            <w:gridSpan w:val="2"/>
            <w:shd w:val="clear" w:color="auto" w:fill="FFFFFF"/>
            <w:vAlign w:val="center"/>
          </w:tcPr>
          <w:p w14:paraId="4404A17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11</w:t>
            </w:r>
          </w:p>
        </w:tc>
        <w:tc>
          <w:tcPr>
            <w:tcW w:w="1633" w:type="dxa"/>
            <w:gridSpan w:val="2"/>
            <w:shd w:val="clear" w:color="auto" w:fill="FFFFFF"/>
            <w:vAlign w:val="center"/>
          </w:tcPr>
          <w:p w14:paraId="385F73E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临床医学等相关专业</w:t>
            </w:r>
          </w:p>
        </w:tc>
        <w:tc>
          <w:tcPr>
            <w:tcW w:w="1272" w:type="dxa"/>
            <w:gridSpan w:val="2"/>
            <w:shd w:val="clear" w:color="auto" w:fill="FFFFFF"/>
            <w:vAlign w:val="center"/>
          </w:tcPr>
          <w:p w14:paraId="3207FED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2B578A7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985、211院校毕业博士优先</w:t>
            </w:r>
          </w:p>
        </w:tc>
      </w:tr>
      <w:tr w14:paraId="1F66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1D2E236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肺癌的微创外科治疗、早期诊断及围手术期症状管理研究</w:t>
            </w:r>
          </w:p>
        </w:tc>
        <w:tc>
          <w:tcPr>
            <w:tcW w:w="1116" w:type="dxa"/>
            <w:gridSpan w:val="2"/>
            <w:shd w:val="clear" w:color="auto" w:fill="auto"/>
            <w:vAlign w:val="center"/>
          </w:tcPr>
          <w:p w14:paraId="3F9495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10FE13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12</w:t>
            </w:r>
          </w:p>
        </w:tc>
        <w:tc>
          <w:tcPr>
            <w:tcW w:w="1633" w:type="dxa"/>
            <w:gridSpan w:val="2"/>
            <w:shd w:val="clear" w:color="auto" w:fill="auto"/>
            <w:vAlign w:val="center"/>
          </w:tcPr>
          <w:p w14:paraId="75F85B8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临床医学等相关专业</w:t>
            </w:r>
          </w:p>
        </w:tc>
        <w:tc>
          <w:tcPr>
            <w:tcW w:w="1272" w:type="dxa"/>
            <w:gridSpan w:val="2"/>
            <w:shd w:val="clear" w:color="auto" w:fill="auto"/>
            <w:vAlign w:val="center"/>
          </w:tcPr>
          <w:p w14:paraId="03797D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5DE297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3DE7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62CFCDD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头颈部肿瘤淋巴引流相关研究</w:t>
            </w:r>
          </w:p>
        </w:tc>
        <w:tc>
          <w:tcPr>
            <w:tcW w:w="1116" w:type="dxa"/>
            <w:gridSpan w:val="2"/>
            <w:shd w:val="clear" w:color="auto" w:fill="auto"/>
            <w:vAlign w:val="center"/>
          </w:tcPr>
          <w:p w14:paraId="10F043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1CDA3C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13</w:t>
            </w:r>
          </w:p>
        </w:tc>
        <w:tc>
          <w:tcPr>
            <w:tcW w:w="1633" w:type="dxa"/>
            <w:gridSpan w:val="2"/>
            <w:shd w:val="clear" w:color="auto" w:fill="auto"/>
            <w:vAlign w:val="center"/>
          </w:tcPr>
          <w:p w14:paraId="04A802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肿瘤学</w:t>
            </w:r>
          </w:p>
        </w:tc>
        <w:tc>
          <w:tcPr>
            <w:tcW w:w="1272" w:type="dxa"/>
            <w:gridSpan w:val="2"/>
            <w:shd w:val="clear" w:color="auto" w:fill="auto"/>
            <w:vAlign w:val="center"/>
          </w:tcPr>
          <w:p w14:paraId="7595B7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4E74E5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1B13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2602" w:type="dxa"/>
            <w:gridSpan w:val="2"/>
            <w:shd w:val="clear" w:color="auto" w:fill="auto"/>
            <w:noWrap/>
            <w:vAlign w:val="center"/>
          </w:tcPr>
          <w:p w14:paraId="3A96EC63">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记忆通胀CD8+ T细胞导致肿瘤免疫治疗抵抗的机制和干预策略探索</w:t>
            </w:r>
          </w:p>
        </w:tc>
        <w:tc>
          <w:tcPr>
            <w:tcW w:w="1116" w:type="dxa"/>
            <w:gridSpan w:val="2"/>
            <w:shd w:val="clear" w:color="auto" w:fill="auto"/>
            <w:vAlign w:val="center"/>
          </w:tcPr>
          <w:p w14:paraId="55F3B9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3319F4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14</w:t>
            </w:r>
          </w:p>
        </w:tc>
        <w:tc>
          <w:tcPr>
            <w:tcW w:w="1633" w:type="dxa"/>
            <w:gridSpan w:val="2"/>
            <w:shd w:val="clear" w:color="auto" w:fill="auto"/>
            <w:vAlign w:val="center"/>
          </w:tcPr>
          <w:p w14:paraId="6D6B18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生物学/免疫学</w:t>
            </w:r>
          </w:p>
        </w:tc>
        <w:tc>
          <w:tcPr>
            <w:tcW w:w="1272" w:type="dxa"/>
            <w:gridSpan w:val="2"/>
            <w:shd w:val="clear" w:color="auto" w:fill="auto"/>
            <w:vAlign w:val="center"/>
          </w:tcPr>
          <w:p w14:paraId="41C916A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239D374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国内双一流大学或海外QS排名前100大学博士学位，国内双一流大学或海外QS排名前100大学博士学位或海外</w:t>
            </w:r>
          </w:p>
        </w:tc>
      </w:tr>
      <w:tr w14:paraId="6084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2602" w:type="dxa"/>
            <w:gridSpan w:val="2"/>
            <w:shd w:val="clear" w:color="auto" w:fill="auto"/>
            <w:noWrap/>
            <w:vAlign w:val="center"/>
          </w:tcPr>
          <w:p w14:paraId="7174CA6D">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特发性肺纤维化的免疫学原理及干预策略</w:t>
            </w:r>
          </w:p>
        </w:tc>
        <w:tc>
          <w:tcPr>
            <w:tcW w:w="1116" w:type="dxa"/>
            <w:gridSpan w:val="2"/>
            <w:shd w:val="clear" w:color="auto" w:fill="auto"/>
            <w:vAlign w:val="center"/>
          </w:tcPr>
          <w:p w14:paraId="5DCBD5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1DACA9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15</w:t>
            </w:r>
          </w:p>
        </w:tc>
        <w:tc>
          <w:tcPr>
            <w:tcW w:w="1633" w:type="dxa"/>
            <w:gridSpan w:val="2"/>
            <w:shd w:val="clear" w:color="auto" w:fill="auto"/>
            <w:vAlign w:val="center"/>
          </w:tcPr>
          <w:p w14:paraId="24BF0E5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生物学/免疫学</w:t>
            </w:r>
          </w:p>
        </w:tc>
        <w:tc>
          <w:tcPr>
            <w:tcW w:w="1272" w:type="dxa"/>
            <w:gridSpan w:val="2"/>
            <w:shd w:val="clear" w:color="auto" w:fill="auto"/>
            <w:vAlign w:val="center"/>
          </w:tcPr>
          <w:p w14:paraId="4AD4CD9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7FA1335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国内双一流大学或海外QS排名前100大学博士学位，国内双一流大学或海外QS排名前100大学博士学位或海外</w:t>
            </w:r>
          </w:p>
        </w:tc>
      </w:tr>
      <w:tr w14:paraId="2F35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2602" w:type="dxa"/>
            <w:gridSpan w:val="2"/>
            <w:shd w:val="clear" w:color="auto" w:fill="auto"/>
            <w:noWrap/>
            <w:vAlign w:val="center"/>
          </w:tcPr>
          <w:p w14:paraId="2D22385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神经自身免疫性疾病的发病机制探索</w:t>
            </w:r>
          </w:p>
        </w:tc>
        <w:tc>
          <w:tcPr>
            <w:tcW w:w="1116" w:type="dxa"/>
            <w:gridSpan w:val="2"/>
            <w:shd w:val="clear" w:color="auto" w:fill="auto"/>
            <w:vAlign w:val="center"/>
          </w:tcPr>
          <w:p w14:paraId="51407587">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6FEADDB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16</w:t>
            </w:r>
          </w:p>
        </w:tc>
        <w:tc>
          <w:tcPr>
            <w:tcW w:w="1633" w:type="dxa"/>
            <w:gridSpan w:val="2"/>
            <w:shd w:val="clear" w:color="auto" w:fill="auto"/>
            <w:vAlign w:val="center"/>
          </w:tcPr>
          <w:p w14:paraId="78219A47">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生物学/免疫学</w:t>
            </w:r>
          </w:p>
        </w:tc>
        <w:tc>
          <w:tcPr>
            <w:tcW w:w="1272" w:type="dxa"/>
            <w:gridSpan w:val="2"/>
            <w:shd w:val="clear" w:color="auto" w:fill="auto"/>
            <w:vAlign w:val="center"/>
          </w:tcPr>
          <w:p w14:paraId="2FAEFB19">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auto"/>
            <w:vAlign w:val="center"/>
          </w:tcPr>
          <w:p w14:paraId="39EF2860">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国内双一流大学或海外QS排名前100大学博士学位，国内双一流大学或海外QS排名前100大学博士学位或海外</w:t>
            </w:r>
          </w:p>
        </w:tc>
      </w:tr>
      <w:tr w14:paraId="70D0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5C477DFC">
            <w:pPr>
              <w:adjustRightInd w:val="0"/>
              <w:snapToGrid w:val="0"/>
              <w:spacing w:line="240" w:lineRule="auto"/>
              <w:ind w:firstLine="0" w:firstLineChars="0"/>
              <w:jc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C5BBEA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44D1149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141077A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089F0C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3419847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39498A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5415144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5142B1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等要求</w:t>
            </w:r>
          </w:p>
        </w:tc>
      </w:tr>
      <w:tr w14:paraId="2A44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FFFFFF"/>
            <w:noWrap/>
            <w:vAlign w:val="center"/>
          </w:tcPr>
          <w:p w14:paraId="011306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肺癌术后智能化症状监测-预警-干预关键技术研发与应用</w:t>
            </w:r>
          </w:p>
        </w:tc>
        <w:tc>
          <w:tcPr>
            <w:tcW w:w="1116" w:type="dxa"/>
            <w:gridSpan w:val="2"/>
            <w:shd w:val="clear" w:color="auto" w:fill="FFFFFF"/>
            <w:vAlign w:val="center"/>
          </w:tcPr>
          <w:p w14:paraId="599A29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50A9C0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17</w:t>
            </w:r>
          </w:p>
        </w:tc>
        <w:tc>
          <w:tcPr>
            <w:tcW w:w="1633" w:type="dxa"/>
            <w:gridSpan w:val="2"/>
            <w:shd w:val="clear" w:color="auto" w:fill="FFFFFF"/>
            <w:vAlign w:val="center"/>
          </w:tcPr>
          <w:p w14:paraId="3E598457">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临床医学、预防医学</w:t>
            </w:r>
          </w:p>
        </w:tc>
        <w:tc>
          <w:tcPr>
            <w:tcW w:w="1272" w:type="dxa"/>
            <w:gridSpan w:val="2"/>
            <w:shd w:val="clear" w:color="auto" w:fill="FFFFFF"/>
            <w:vAlign w:val="center"/>
          </w:tcPr>
          <w:p w14:paraId="2C394D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1880" w:type="dxa"/>
            <w:shd w:val="clear" w:color="auto" w:fill="FFFFFF"/>
            <w:vAlign w:val="center"/>
          </w:tcPr>
          <w:p w14:paraId="12F67336">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最好有2-3年临床研究设计、实施和数据分析相关经验.</w:t>
            </w:r>
          </w:p>
        </w:tc>
      </w:tr>
      <w:tr w14:paraId="6883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FFFFFF"/>
            <w:noWrap/>
            <w:vAlign w:val="center"/>
          </w:tcPr>
          <w:p w14:paraId="1ECF9C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放疗与肿瘤免疫代谢研究</w:t>
            </w:r>
          </w:p>
        </w:tc>
        <w:tc>
          <w:tcPr>
            <w:tcW w:w="1116" w:type="dxa"/>
            <w:gridSpan w:val="2"/>
            <w:shd w:val="clear" w:color="auto" w:fill="FFFFFF"/>
            <w:vAlign w:val="center"/>
          </w:tcPr>
          <w:p w14:paraId="26EFB2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2A5D13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18</w:t>
            </w:r>
          </w:p>
        </w:tc>
        <w:tc>
          <w:tcPr>
            <w:tcW w:w="1633" w:type="dxa"/>
            <w:gridSpan w:val="2"/>
            <w:shd w:val="clear" w:color="auto" w:fill="FFFFFF"/>
            <w:vAlign w:val="center"/>
          </w:tcPr>
          <w:p w14:paraId="0CF5ECF7">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临床医学、基础医学</w:t>
            </w:r>
          </w:p>
        </w:tc>
        <w:tc>
          <w:tcPr>
            <w:tcW w:w="1272" w:type="dxa"/>
            <w:gridSpan w:val="2"/>
            <w:shd w:val="clear" w:color="auto" w:fill="FFFFFF"/>
            <w:vAlign w:val="center"/>
          </w:tcPr>
          <w:p w14:paraId="346491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4A7280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无</w:t>
            </w:r>
          </w:p>
        </w:tc>
      </w:tr>
      <w:tr w14:paraId="3103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FFFFFF"/>
            <w:noWrap/>
            <w:vAlign w:val="center"/>
          </w:tcPr>
          <w:p w14:paraId="77AD91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利用TNBC类器官模型探索NVP-BEZ235下调突变型p53的作用</w:t>
            </w:r>
          </w:p>
        </w:tc>
        <w:tc>
          <w:tcPr>
            <w:tcW w:w="1116" w:type="dxa"/>
            <w:gridSpan w:val="2"/>
            <w:shd w:val="clear" w:color="auto" w:fill="FFFFFF"/>
            <w:vAlign w:val="center"/>
          </w:tcPr>
          <w:p w14:paraId="6575BD0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34141B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19</w:t>
            </w:r>
          </w:p>
        </w:tc>
        <w:tc>
          <w:tcPr>
            <w:tcW w:w="1633" w:type="dxa"/>
            <w:gridSpan w:val="2"/>
            <w:shd w:val="clear" w:color="auto" w:fill="FFFFFF"/>
            <w:vAlign w:val="center"/>
          </w:tcPr>
          <w:p w14:paraId="136CD4B1">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生物化学与分子生物学，化学或临床检验诊断学等相关专业</w:t>
            </w:r>
          </w:p>
        </w:tc>
        <w:tc>
          <w:tcPr>
            <w:tcW w:w="1272" w:type="dxa"/>
            <w:gridSpan w:val="2"/>
            <w:shd w:val="clear" w:color="auto" w:fill="FFFFFF"/>
            <w:vAlign w:val="center"/>
          </w:tcPr>
          <w:p w14:paraId="1BBC34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4BE0E55C">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要求以第一作者发表中科院一区论文至少1篇</w:t>
            </w:r>
          </w:p>
        </w:tc>
      </w:tr>
      <w:tr w14:paraId="0927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602" w:type="dxa"/>
            <w:gridSpan w:val="2"/>
            <w:shd w:val="clear" w:color="auto" w:fill="FFFFFF"/>
            <w:noWrap/>
            <w:vAlign w:val="center"/>
          </w:tcPr>
          <w:p w14:paraId="3A393D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调节性T细胞脂代谢失稳态促进衰老及衰老相关重大疾病的机制及应用转化研究</w:t>
            </w:r>
          </w:p>
        </w:tc>
        <w:tc>
          <w:tcPr>
            <w:tcW w:w="1116" w:type="dxa"/>
            <w:gridSpan w:val="2"/>
            <w:shd w:val="clear" w:color="auto" w:fill="FFFFFF"/>
            <w:vAlign w:val="center"/>
          </w:tcPr>
          <w:p w14:paraId="7DFCA78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152" w:type="dxa"/>
            <w:gridSpan w:val="2"/>
            <w:shd w:val="clear" w:color="auto" w:fill="FFFFFF"/>
            <w:vAlign w:val="center"/>
          </w:tcPr>
          <w:p w14:paraId="052010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20</w:t>
            </w:r>
          </w:p>
        </w:tc>
        <w:tc>
          <w:tcPr>
            <w:tcW w:w="1633" w:type="dxa"/>
            <w:gridSpan w:val="2"/>
            <w:shd w:val="clear" w:color="auto" w:fill="FFFFFF"/>
            <w:vAlign w:val="center"/>
          </w:tcPr>
          <w:p w14:paraId="0C5C46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生物医学</w:t>
            </w:r>
          </w:p>
        </w:tc>
        <w:tc>
          <w:tcPr>
            <w:tcW w:w="1272" w:type="dxa"/>
            <w:gridSpan w:val="2"/>
            <w:shd w:val="clear" w:color="auto" w:fill="FFFFFF"/>
            <w:vAlign w:val="center"/>
          </w:tcPr>
          <w:p w14:paraId="0D740D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214E9E40">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985、211院校或中科院等研究所博士，需具备良好的科研思维及前期基础</w:t>
            </w:r>
          </w:p>
        </w:tc>
      </w:tr>
      <w:tr w14:paraId="1194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208192D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干细胞为基础的胃肠道再生修复及肿瘤防治新技术研究</w:t>
            </w:r>
          </w:p>
        </w:tc>
        <w:tc>
          <w:tcPr>
            <w:tcW w:w="1116" w:type="dxa"/>
            <w:gridSpan w:val="2"/>
            <w:shd w:val="clear" w:color="auto" w:fill="FFFFFF"/>
            <w:vAlign w:val="center"/>
          </w:tcPr>
          <w:p w14:paraId="010AA754">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151F1D3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21</w:t>
            </w:r>
          </w:p>
        </w:tc>
        <w:tc>
          <w:tcPr>
            <w:tcW w:w="1633" w:type="dxa"/>
            <w:gridSpan w:val="2"/>
            <w:shd w:val="clear" w:color="auto" w:fill="FFFFFF"/>
            <w:vAlign w:val="center"/>
          </w:tcPr>
          <w:p w14:paraId="4A22B82D">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化学、生物学、医学</w:t>
            </w:r>
          </w:p>
        </w:tc>
        <w:tc>
          <w:tcPr>
            <w:tcW w:w="1272" w:type="dxa"/>
            <w:gridSpan w:val="2"/>
            <w:shd w:val="clear" w:color="auto" w:fill="FFFFFF"/>
            <w:vAlign w:val="center"/>
          </w:tcPr>
          <w:p w14:paraId="19D4856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162B8D2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985院校毕业博士</w:t>
            </w:r>
          </w:p>
        </w:tc>
      </w:tr>
      <w:tr w14:paraId="58F5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50BC3F13">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放射性核素新药研究</w:t>
            </w:r>
          </w:p>
        </w:tc>
        <w:tc>
          <w:tcPr>
            <w:tcW w:w="1116" w:type="dxa"/>
            <w:gridSpan w:val="2"/>
            <w:shd w:val="clear" w:color="auto" w:fill="FFFFFF"/>
            <w:vAlign w:val="center"/>
          </w:tcPr>
          <w:p w14:paraId="22EF18AE">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710B5FA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22</w:t>
            </w:r>
          </w:p>
        </w:tc>
        <w:tc>
          <w:tcPr>
            <w:tcW w:w="1633" w:type="dxa"/>
            <w:gridSpan w:val="2"/>
            <w:shd w:val="clear" w:color="auto" w:fill="FFFFFF"/>
            <w:vAlign w:val="center"/>
          </w:tcPr>
          <w:p w14:paraId="772DF7C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有机化学</w:t>
            </w:r>
          </w:p>
        </w:tc>
        <w:tc>
          <w:tcPr>
            <w:tcW w:w="1272" w:type="dxa"/>
            <w:gridSpan w:val="2"/>
            <w:shd w:val="clear" w:color="auto" w:fill="FFFFFF"/>
            <w:vAlign w:val="center"/>
          </w:tcPr>
          <w:p w14:paraId="11F821E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4E718B6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无</w:t>
            </w:r>
          </w:p>
        </w:tc>
      </w:tr>
      <w:tr w14:paraId="3005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604BB91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医学影像及介入诊疗研究</w:t>
            </w:r>
          </w:p>
        </w:tc>
        <w:tc>
          <w:tcPr>
            <w:tcW w:w="1116" w:type="dxa"/>
            <w:gridSpan w:val="2"/>
            <w:shd w:val="clear" w:color="auto" w:fill="FFFFFF"/>
            <w:vAlign w:val="center"/>
          </w:tcPr>
          <w:p w14:paraId="61127ABA">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59097B2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23</w:t>
            </w:r>
          </w:p>
        </w:tc>
        <w:tc>
          <w:tcPr>
            <w:tcW w:w="1633" w:type="dxa"/>
            <w:gridSpan w:val="2"/>
            <w:shd w:val="clear" w:color="auto" w:fill="FFFFFF"/>
            <w:vAlign w:val="center"/>
          </w:tcPr>
          <w:p w14:paraId="0799EF6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医学影像及介入诊疗相关专业</w:t>
            </w:r>
          </w:p>
        </w:tc>
        <w:tc>
          <w:tcPr>
            <w:tcW w:w="1272" w:type="dxa"/>
            <w:gridSpan w:val="2"/>
            <w:shd w:val="clear" w:color="auto" w:fill="FFFFFF"/>
            <w:vAlign w:val="center"/>
          </w:tcPr>
          <w:p w14:paraId="383908A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5AE9C13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无</w:t>
            </w:r>
          </w:p>
        </w:tc>
      </w:tr>
      <w:tr w14:paraId="6B78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13B40AE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基于多模态影像和生物特征的头颈部精准诊疗与智能决策体系研究</w:t>
            </w:r>
          </w:p>
        </w:tc>
        <w:tc>
          <w:tcPr>
            <w:tcW w:w="1116" w:type="dxa"/>
            <w:gridSpan w:val="2"/>
            <w:shd w:val="clear" w:color="auto" w:fill="FFFFFF"/>
            <w:vAlign w:val="center"/>
          </w:tcPr>
          <w:p w14:paraId="1D3E7809">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FFFFFF"/>
            <w:vAlign w:val="center"/>
          </w:tcPr>
          <w:p w14:paraId="0DF4EB6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24</w:t>
            </w:r>
          </w:p>
        </w:tc>
        <w:tc>
          <w:tcPr>
            <w:tcW w:w="1633" w:type="dxa"/>
            <w:gridSpan w:val="2"/>
            <w:shd w:val="clear" w:color="auto" w:fill="FFFFFF"/>
            <w:vAlign w:val="center"/>
          </w:tcPr>
          <w:p w14:paraId="3443DE9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肿瘤放射治疗学相关专业</w:t>
            </w:r>
          </w:p>
        </w:tc>
        <w:tc>
          <w:tcPr>
            <w:tcW w:w="1272" w:type="dxa"/>
            <w:gridSpan w:val="2"/>
            <w:shd w:val="clear" w:color="auto" w:fill="FFFFFF"/>
            <w:vAlign w:val="center"/>
          </w:tcPr>
          <w:p w14:paraId="436983C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根据具体情况提供</w:t>
            </w:r>
          </w:p>
        </w:tc>
        <w:tc>
          <w:tcPr>
            <w:tcW w:w="1880" w:type="dxa"/>
            <w:shd w:val="clear" w:color="auto" w:fill="FFFFFF"/>
            <w:vAlign w:val="center"/>
          </w:tcPr>
          <w:p w14:paraId="3F35F7E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985院校毕业博士</w:t>
            </w:r>
          </w:p>
        </w:tc>
      </w:tr>
    </w:tbl>
    <w:p w14:paraId="77877364">
      <w:pPr>
        <w:pStyle w:val="5"/>
        <w:adjustRightInd w:val="0"/>
        <w:snapToGrid w:val="0"/>
        <w:spacing w:line="240" w:lineRule="auto"/>
        <w:ind w:firstLine="0"/>
        <w:jc w:val="both"/>
        <w:rPr>
          <w:rFonts w:eastAsia="方正小标宋简体"/>
          <w:sz w:val="44"/>
          <w:szCs w:val="44"/>
        </w:rPr>
      </w:pPr>
    </w:p>
    <w:p w14:paraId="262D83CF">
      <w:pPr>
        <w:pStyle w:val="5"/>
        <w:adjustRightInd w:val="0"/>
        <w:snapToGrid w:val="0"/>
        <w:spacing w:line="240" w:lineRule="auto"/>
        <w:ind w:firstLine="0"/>
        <w:jc w:val="center"/>
        <w:rPr>
          <w:rFonts w:hint="eastAsia" w:eastAsia="方正小标宋简体"/>
          <w:sz w:val="44"/>
          <w:szCs w:val="44"/>
          <w:highlight w:val="yellow"/>
        </w:rPr>
      </w:pPr>
    </w:p>
    <w:p w14:paraId="0EC2F945">
      <w:pPr>
        <w:pStyle w:val="5"/>
        <w:adjustRightInd w:val="0"/>
        <w:snapToGrid w:val="0"/>
        <w:spacing w:line="240" w:lineRule="auto"/>
        <w:ind w:firstLine="0"/>
        <w:jc w:val="center"/>
        <w:rPr>
          <w:rFonts w:hint="eastAsia" w:eastAsia="方正小标宋简体"/>
          <w:sz w:val="44"/>
          <w:szCs w:val="44"/>
          <w:highlight w:val="yellow"/>
        </w:rPr>
      </w:pPr>
    </w:p>
    <w:p w14:paraId="473D2D7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437" w:name="_Toc31289"/>
      <w:bookmarkStart w:id="438" w:name="_Toc17548"/>
      <w:bookmarkStart w:id="439" w:name="_Toc19064"/>
      <w:bookmarkStart w:id="440" w:name="_Toc5522"/>
      <w:bookmarkStart w:id="441" w:name="_Toc19128"/>
      <w:r>
        <w:rPr>
          <w:rFonts w:hint="eastAsia" w:eastAsia="方正小标宋简体"/>
          <w:color w:val="auto"/>
          <w:sz w:val="44"/>
          <w:szCs w:val="44"/>
          <w:highlight w:val="none"/>
        </w:rPr>
        <w:t>四川特驱农牧科技集团有限公司</w:t>
      </w:r>
      <w:bookmarkEnd w:id="437"/>
      <w:bookmarkEnd w:id="438"/>
      <w:bookmarkEnd w:id="439"/>
      <w:bookmarkEnd w:id="440"/>
      <w:bookmarkEnd w:id="441"/>
    </w:p>
    <w:p w14:paraId="7174F36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1E18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6E912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4E0CD6C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民营企业</w:t>
            </w:r>
          </w:p>
        </w:tc>
        <w:tc>
          <w:tcPr>
            <w:tcW w:w="1650" w:type="dxa"/>
            <w:gridSpan w:val="2"/>
            <w:shd w:val="clear" w:color="auto" w:fill="E7E6E6" w:themeFill="background2"/>
            <w:noWrap/>
            <w:vAlign w:val="center"/>
          </w:tcPr>
          <w:p w14:paraId="0D5FB85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527BF2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2A61DA8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16DB1A8B">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成都</w:t>
            </w:r>
          </w:p>
        </w:tc>
      </w:tr>
      <w:tr w14:paraId="5DDF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29816E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06712144">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四川省成都市双流区西航港经济开发区西航港大道中四段615号</w:t>
            </w:r>
          </w:p>
        </w:tc>
      </w:tr>
      <w:tr w14:paraId="6474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271" w:type="dxa"/>
            <w:shd w:val="clear" w:color="auto" w:fill="E7E6E6" w:themeFill="background2"/>
            <w:noWrap/>
            <w:vAlign w:val="center"/>
          </w:tcPr>
          <w:p w14:paraId="20E480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698577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四川特驱农牧科技集团有限公司，是四川省农牧行业领军的大型农牧企业，全国饲料三十强企业、农业产业化国家重点龙头企业和中国畜牧饲料行业最具投资价值企业，2023年荣登“中国民营企业500强”第432位。公司在全国及越南拥有40余家分子公司，注重技术研发创新以及科研平台建设，已逐步建立了一支由高技术人才组成的核心研发团队，并打造了省级企业技术中心、研发中心、产学研联合实验室、检测中心、疾控中心、技术服务中心、博士工作站等多层次科研平台。截至目前，特驱拥有自主知识产权专利技术120余项，获得了“国家科技进步二等奖”、公司在饲料研发、科技成果转化等方面居国内领先，与各高校开展深度合作，致力推动农牧产业现代化。</w:t>
            </w:r>
          </w:p>
        </w:tc>
      </w:tr>
      <w:tr w14:paraId="415B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4" w:hRule="atLeast"/>
          <w:jc w:val="center"/>
        </w:trPr>
        <w:tc>
          <w:tcPr>
            <w:tcW w:w="1271" w:type="dxa"/>
            <w:shd w:val="clear" w:color="auto" w:fill="E7E6E6" w:themeFill="background2"/>
            <w:noWrap/>
            <w:vAlign w:val="center"/>
          </w:tcPr>
          <w:p w14:paraId="5EEE603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4116F8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为吸引和培养高层次人才，本单位为博士后提供以下政策：提供极具竞争力的年薪，基础工资不低于15万元，另加丰厚的科研绩效奖励；配套科研经费10-50万元；优先考虑职称晋升；定期提供专业培训和学术交流机会；免费提供独立住宿条件；全面覆盖的年度体检及健康关怀服务。致力于为博士后营造卓越的科研氛围，支持其职业成长。</w:t>
            </w:r>
          </w:p>
          <w:p w14:paraId="217027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后期本单位将持续完善政策，为博士后人才提供全方位的支持。</w:t>
            </w:r>
          </w:p>
        </w:tc>
      </w:tr>
      <w:tr w14:paraId="0EB5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0B90D8F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18794AF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5A16A5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39BBA4F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050F48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67B2BB4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95B4E8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4EE3BF4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99FD42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6D2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61" w:type="dxa"/>
            <w:gridSpan w:val="2"/>
            <w:shd w:val="clear" w:color="000000" w:fill="FFFFFF"/>
            <w:noWrap/>
            <w:vAlign w:val="center"/>
          </w:tcPr>
          <w:p w14:paraId="78D20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养殖有害气体源头营养 减排配方综合技术研究</w:t>
            </w:r>
          </w:p>
        </w:tc>
        <w:tc>
          <w:tcPr>
            <w:tcW w:w="1116" w:type="dxa"/>
            <w:gridSpan w:val="2"/>
            <w:shd w:val="clear" w:color="000000" w:fill="FFFFFF"/>
            <w:vAlign w:val="center"/>
          </w:tcPr>
          <w:p w14:paraId="2216C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116" w:type="dxa"/>
            <w:gridSpan w:val="2"/>
            <w:shd w:val="clear" w:color="000000" w:fill="FFFFFF"/>
            <w:vAlign w:val="center"/>
          </w:tcPr>
          <w:p w14:paraId="23FC7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BSH001</w:t>
            </w:r>
          </w:p>
        </w:tc>
        <w:tc>
          <w:tcPr>
            <w:tcW w:w="1704" w:type="dxa"/>
            <w:gridSpan w:val="2"/>
            <w:shd w:val="clear" w:color="000000" w:fill="FFFFFF"/>
            <w:vAlign w:val="center"/>
          </w:tcPr>
          <w:p w14:paraId="46C56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动物营养与饲料科学</w:t>
            </w:r>
          </w:p>
        </w:tc>
        <w:tc>
          <w:tcPr>
            <w:tcW w:w="1428" w:type="dxa"/>
            <w:gridSpan w:val="2"/>
            <w:shd w:val="clear" w:color="000000" w:fill="FFFFFF"/>
            <w:vAlign w:val="center"/>
          </w:tcPr>
          <w:p w14:paraId="11FA6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10-50</w:t>
            </w:r>
          </w:p>
        </w:tc>
        <w:tc>
          <w:tcPr>
            <w:tcW w:w="1715" w:type="dxa"/>
            <w:shd w:val="clear" w:color="000000" w:fill="FFFFFF"/>
            <w:vAlign w:val="center"/>
          </w:tcPr>
          <w:p w14:paraId="1C5BB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无</w:t>
            </w:r>
          </w:p>
        </w:tc>
      </w:tr>
    </w:tbl>
    <w:p w14:paraId="70A05A2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3FFC27A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55A4EAB9">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442" w:name="_Toc8471"/>
      <w:bookmarkStart w:id="443" w:name="_Toc20759"/>
      <w:bookmarkStart w:id="444" w:name="_Toc31719"/>
      <w:bookmarkStart w:id="445" w:name="_Toc20135"/>
      <w:bookmarkStart w:id="446" w:name="_Toc25606"/>
      <w:r>
        <w:rPr>
          <w:rFonts w:hint="eastAsia" w:ascii="Times New Roman" w:hAnsi="Times New Roman" w:eastAsia="方正小标宋简体" w:cs="Times New Roman"/>
          <w:sz w:val="44"/>
          <w:szCs w:val="44"/>
          <w:highlight w:val="none"/>
        </w:rPr>
        <w:t>四川英创力电子科技股份有限公司</w:t>
      </w:r>
      <w:bookmarkEnd w:id="442"/>
      <w:bookmarkEnd w:id="443"/>
      <w:bookmarkEnd w:id="444"/>
      <w:bookmarkEnd w:id="445"/>
      <w:bookmarkEnd w:id="446"/>
    </w:p>
    <w:p w14:paraId="4FA2E6D1">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7C03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72E93E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12376E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股份制企业</w:t>
            </w:r>
          </w:p>
        </w:tc>
        <w:tc>
          <w:tcPr>
            <w:tcW w:w="1513" w:type="dxa"/>
            <w:gridSpan w:val="2"/>
            <w:shd w:val="clear" w:color="auto" w:fill="E7E6E6" w:themeFill="background2"/>
            <w:noWrap/>
            <w:vAlign w:val="center"/>
          </w:tcPr>
          <w:p w14:paraId="151E40B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69B9494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776" w:type="dxa"/>
            <w:gridSpan w:val="2"/>
            <w:shd w:val="clear" w:color="auto" w:fill="E7E6E6" w:themeFill="background2"/>
            <w:noWrap/>
            <w:vAlign w:val="center"/>
          </w:tcPr>
          <w:p w14:paraId="1986963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7276CA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遂宁</w:t>
            </w:r>
          </w:p>
        </w:tc>
      </w:tr>
      <w:tr w14:paraId="79E0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321F77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6F20AF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四川省遂宁市经济开发区樟树林路1号</w:t>
            </w:r>
          </w:p>
        </w:tc>
      </w:tr>
      <w:tr w14:paraId="72F4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2B933A7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079C0DC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四川英创力电子科技股份有限公司成立于 2011 年，总部位于国家级遂宁经济技术开发区，占地面积 212 亩，现有员工 1800 余人。我们是一家专业提供 PCB 设计、印制电路板加工、电子组装一站式服务的科技型制造企业。公司拥有多品种、快交期的军民产品生产基地、载板生产基地，是西南地区规模最大的电子企业。连续八年荣登中国电子电路行业百强，四川省行业民营企业规模第一。我们的产品广泛应用于通讯网络、消费电子、汽车电子、LED 显示、工业控制、军工电子等众多领域。</w:t>
            </w:r>
          </w:p>
        </w:tc>
      </w:tr>
      <w:tr w14:paraId="7D89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1" w:type="dxa"/>
            <w:shd w:val="clear" w:color="auto" w:fill="E7E6E6" w:themeFill="background2"/>
            <w:noWrap/>
            <w:vAlign w:val="center"/>
          </w:tcPr>
          <w:p w14:paraId="2822728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2893AD2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1、为入站博士后每年匹配生活费10万元。</w:t>
            </w:r>
          </w:p>
          <w:p w14:paraId="11AEB9A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2、支付博士后培养经费不低于5万元。</w:t>
            </w:r>
          </w:p>
          <w:p w14:paraId="4AED993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val="en-US" w:eastAsia="zh-CN"/>
              </w:rPr>
              <w:t>3、</w:t>
            </w:r>
            <w:r>
              <w:rPr>
                <w:rFonts w:hint="eastAsia" w:eastAsiaTheme="minorEastAsia"/>
                <w:sz w:val="21"/>
                <w:szCs w:val="21"/>
                <w:lang w:eastAsia="zh-CN"/>
              </w:rPr>
              <w:t>以项目形式匹配研发经费35万元。</w:t>
            </w:r>
          </w:p>
        </w:tc>
      </w:tr>
      <w:tr w14:paraId="4122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233B971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9D29C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F6206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0AAF988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2F3754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5B2A229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96902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7FDEB2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E912E0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58F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4D707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兼容卫星通信的智能边缘计算系统研发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DD95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D7F4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80DE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信息与通信工程、信号与信息处理</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FA6A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200万元</w:t>
            </w:r>
          </w:p>
        </w:tc>
        <w:tc>
          <w:tcPr>
            <w:tcW w:w="1911" w:type="dxa"/>
            <w:tcBorders>
              <w:top w:val="single" w:color="auto" w:sz="4" w:space="0"/>
              <w:left w:val="single" w:color="auto" w:sz="4" w:space="0"/>
              <w:right w:val="single" w:color="auto" w:sz="4" w:space="0"/>
              <w:tl2br w:val="nil"/>
              <w:tr2bl w:val="nil"/>
            </w:tcBorders>
            <w:shd w:val="clear" w:color="auto" w:fill="FFFFFF"/>
            <w:vAlign w:val="center"/>
          </w:tcPr>
          <w:p w14:paraId="0459D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“985”高校、中国科学院大学</w:t>
            </w:r>
          </w:p>
        </w:tc>
      </w:tr>
    </w:tbl>
    <w:p w14:paraId="64AF54D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F1B47D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1C9331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7379D6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7F0FA9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9D4965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22CF76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64363C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447" w:name="_Toc29711"/>
      <w:bookmarkStart w:id="448" w:name="_Toc31614"/>
      <w:bookmarkStart w:id="449" w:name="_Toc11221"/>
      <w:bookmarkStart w:id="450" w:name="_Toc531"/>
      <w:bookmarkStart w:id="451" w:name="_Toc16215"/>
      <w:r>
        <w:rPr>
          <w:rFonts w:hint="eastAsia" w:eastAsia="方正小标宋简体"/>
          <w:sz w:val="44"/>
          <w:szCs w:val="44"/>
          <w:highlight w:val="none"/>
        </w:rPr>
        <w:t>太行国家实验室</w:t>
      </w:r>
      <w:bookmarkEnd w:id="447"/>
      <w:bookmarkEnd w:id="448"/>
      <w:bookmarkEnd w:id="449"/>
      <w:bookmarkEnd w:id="450"/>
      <w:bookmarkEnd w:id="451"/>
    </w:p>
    <w:p w14:paraId="5CEA3775">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5"/>
        <w:gridCol w:w="847"/>
        <w:gridCol w:w="1117"/>
        <w:gridCol w:w="478"/>
        <w:gridCol w:w="1535"/>
        <w:gridCol w:w="91"/>
        <w:gridCol w:w="1248"/>
        <w:gridCol w:w="316"/>
        <w:gridCol w:w="2024"/>
      </w:tblGrid>
      <w:tr w14:paraId="5756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E7ACE2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14:paraId="10F798C1">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科研院所</w:t>
            </w:r>
          </w:p>
        </w:tc>
        <w:tc>
          <w:tcPr>
            <w:tcW w:w="1559" w:type="dxa"/>
            <w:gridSpan w:val="2"/>
            <w:shd w:val="clear" w:color="auto" w:fill="E7E6E6" w:themeFill="background2"/>
            <w:noWrap/>
            <w:vAlign w:val="center"/>
          </w:tcPr>
          <w:p w14:paraId="09202C4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BBAD4C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7C472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304D40F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1EC7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E47696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6E744633">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四川省成都市天府新区太平街道东山大道二段607号</w:t>
            </w:r>
          </w:p>
        </w:tc>
      </w:tr>
      <w:tr w14:paraId="7203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3" w:hRule="atLeast"/>
          <w:jc w:val="center"/>
        </w:trPr>
        <w:tc>
          <w:tcPr>
            <w:tcW w:w="1271" w:type="dxa"/>
            <w:shd w:val="clear" w:color="auto" w:fill="E7E6E6" w:themeFill="background2"/>
            <w:noWrap/>
            <w:vAlign w:val="center"/>
          </w:tcPr>
          <w:p w14:paraId="0DC1345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1FBEE7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太行实验室是中央批准成立的新型科研事业单位，位于四川成都。实验室坚持全球视野，凝聚和培育高水平人才队伍,开展战略性、前瞻性、基础性重大科学问题研究和关键技术攻关,着力打造“突破型、引领型、平台型”一体化的大型综合性研究基地。具有独立招收博士后研究人员资格。</w:t>
            </w:r>
          </w:p>
        </w:tc>
      </w:tr>
      <w:tr w14:paraId="4110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0" w:hRule="atLeast"/>
          <w:jc w:val="center"/>
        </w:trPr>
        <w:tc>
          <w:tcPr>
            <w:tcW w:w="1271" w:type="dxa"/>
            <w:shd w:val="clear" w:color="auto" w:fill="E7E6E6" w:themeFill="background2"/>
            <w:noWrap/>
            <w:vAlign w:val="center"/>
          </w:tcPr>
          <w:p w14:paraId="55CD257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24B71D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1.平台优势</w:t>
            </w:r>
          </w:p>
          <w:p w14:paraId="4BFBBF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国家级科研事业单位，新的科研组织和管理模式。</w:t>
            </w:r>
          </w:p>
          <w:p w14:paraId="358199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2.资源支持</w:t>
            </w:r>
          </w:p>
          <w:p w14:paraId="51528A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稳定充足的科研经费，科研条件、科研团队配备充分；合作导师均为行业内知名专家</w:t>
            </w:r>
            <w:r>
              <w:rPr>
                <w:rFonts w:hint="eastAsia" w:cs="Times New Roman" w:eastAsiaTheme="minorEastAsia"/>
                <w:sz w:val="21"/>
                <w:szCs w:val="21"/>
                <w:lang w:eastAsia="zh-CN"/>
              </w:rPr>
              <w:t>。</w:t>
            </w:r>
          </w:p>
          <w:p w14:paraId="7A85185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3.薪酬福利</w:t>
            </w:r>
          </w:p>
          <w:p w14:paraId="0E429F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全职博士后研究人员参照实验室单聘员工享受相关薪酬福利；具有市场竞争力的薪酬待遇；人才安居、子女入学、健康医疗等全方位福利保障；出站后入职人员择优给予事业编制。</w:t>
            </w:r>
          </w:p>
          <w:p w14:paraId="79A15E8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4.人才政策</w:t>
            </w:r>
          </w:p>
          <w:p w14:paraId="0D9DCE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择优推荐申报国家、省级等各类人才计划、项目支持计划；出站人员在符合相关条件基础上，当年可直接认定为副高职称。</w:t>
            </w:r>
          </w:p>
        </w:tc>
      </w:tr>
      <w:tr w14:paraId="72C6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8" w:type="dxa"/>
            <w:gridSpan w:val="2"/>
            <w:shd w:val="clear" w:color="auto" w:fill="E7E6E6" w:themeFill="background2"/>
            <w:noWrap/>
            <w:vAlign w:val="center"/>
          </w:tcPr>
          <w:p w14:paraId="40515EFD">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283F47A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14:paraId="3134074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67" w:type="dxa"/>
            <w:gridSpan w:val="2"/>
            <w:shd w:val="clear" w:color="auto" w:fill="E7E6E6" w:themeFill="background2"/>
            <w:vAlign w:val="center"/>
          </w:tcPr>
          <w:p w14:paraId="009E32B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7DB74B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09" w:type="dxa"/>
            <w:gridSpan w:val="2"/>
            <w:shd w:val="clear" w:color="auto" w:fill="E7E6E6" w:themeFill="background2"/>
            <w:vAlign w:val="center"/>
          </w:tcPr>
          <w:p w14:paraId="319CE3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EF70AB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6" w:type="dxa"/>
            <w:gridSpan w:val="2"/>
            <w:shd w:val="clear" w:color="auto" w:fill="E7E6E6" w:themeFill="background2"/>
            <w:vAlign w:val="center"/>
          </w:tcPr>
          <w:p w14:paraId="3A70F00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496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2048" w:type="dxa"/>
            <w:gridSpan w:val="2"/>
            <w:shd w:val="clear" w:color="000000" w:fill="FFFFFF"/>
            <w:noWrap/>
            <w:vAlign w:val="center"/>
          </w:tcPr>
          <w:p w14:paraId="722916A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太行实验室博士后人才专项</w:t>
            </w:r>
          </w:p>
        </w:tc>
        <w:tc>
          <w:tcPr>
            <w:tcW w:w="828" w:type="dxa"/>
            <w:shd w:val="clear" w:color="000000" w:fill="FFFFFF"/>
            <w:vAlign w:val="center"/>
          </w:tcPr>
          <w:p w14:paraId="6803A18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若干</w:t>
            </w:r>
          </w:p>
        </w:tc>
        <w:tc>
          <w:tcPr>
            <w:tcW w:w="1092" w:type="dxa"/>
            <w:shd w:val="clear" w:color="000000" w:fill="FFFFFF"/>
            <w:vAlign w:val="center"/>
          </w:tcPr>
          <w:p w14:paraId="0773347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67" w:type="dxa"/>
            <w:gridSpan w:val="2"/>
            <w:shd w:val="clear" w:color="000000" w:fill="FFFFFF"/>
            <w:vAlign w:val="center"/>
          </w:tcPr>
          <w:p w14:paraId="29302B8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航空宇航科学与技术；动力工程及工程热物理；力学；机械工程；材料科学与工程；控制科学与工程等相关专业方向</w:t>
            </w:r>
          </w:p>
        </w:tc>
        <w:tc>
          <w:tcPr>
            <w:tcW w:w="1309" w:type="dxa"/>
            <w:gridSpan w:val="2"/>
            <w:shd w:val="clear" w:color="000000" w:fill="FFFFFF"/>
            <w:vAlign w:val="center"/>
          </w:tcPr>
          <w:p w14:paraId="3783507A">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2286" w:type="dxa"/>
            <w:gridSpan w:val="2"/>
            <w:shd w:val="clear" w:color="000000" w:fill="FFFFFF"/>
            <w:vAlign w:val="center"/>
          </w:tcPr>
          <w:p w14:paraId="0DCD4816">
            <w:pPr>
              <w:adjustRightInd w:val="0"/>
              <w:snapToGrid w:val="0"/>
              <w:spacing w:line="240" w:lineRule="auto"/>
              <w:ind w:firstLine="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1.具有</w:t>
            </w:r>
            <w:r>
              <w:rPr>
                <w:rFonts w:hint="default" w:ascii="Times New Roman" w:hAnsi="Times New Roman" w:cs="Times New Roman" w:eastAsiaTheme="minorEastAsia"/>
                <w:sz w:val="21"/>
                <w:szCs w:val="21"/>
                <w:lang w:eastAsia="zh-CN"/>
              </w:rPr>
              <w:t>国内外一流高校或科研机构学习及工作经历</w:t>
            </w:r>
          </w:p>
          <w:p w14:paraId="3721AB37">
            <w:pPr>
              <w:adjustRightInd w:val="0"/>
              <w:snapToGrid w:val="0"/>
              <w:spacing w:line="240" w:lineRule="auto"/>
              <w:ind w:firstLine="0" w:firstLineChars="0"/>
              <w:jc w:val="both"/>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lang w:val="en-US" w:eastAsia="zh-CN"/>
              </w:rPr>
              <w:t>2.原则上取得博士学位不超过3年，</w:t>
            </w:r>
            <w:r>
              <w:rPr>
                <w:rFonts w:hint="default" w:ascii="Times New Roman" w:hAnsi="Times New Roman" w:cs="Times New Roman" w:eastAsiaTheme="minorEastAsia"/>
                <w:sz w:val="21"/>
                <w:szCs w:val="21"/>
                <w:lang w:eastAsia="zh-CN"/>
              </w:rPr>
              <w:t>年龄</w:t>
            </w:r>
            <w:r>
              <w:rPr>
                <w:rFonts w:hint="default" w:ascii="Times New Roman" w:hAnsi="Times New Roman" w:cs="Times New Roman" w:eastAsiaTheme="minorEastAsia"/>
                <w:sz w:val="21"/>
                <w:szCs w:val="21"/>
                <w:lang w:val="en-US" w:eastAsia="zh-CN"/>
              </w:rPr>
              <w:t>35周岁以下</w:t>
            </w:r>
          </w:p>
        </w:tc>
      </w:tr>
    </w:tbl>
    <w:p w14:paraId="45F4858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6CF7D4F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452" w:name="_Toc5900"/>
      <w:bookmarkStart w:id="453" w:name="_Toc3435"/>
      <w:bookmarkStart w:id="454" w:name="_Toc18545"/>
      <w:bookmarkStart w:id="455" w:name="_Toc1016"/>
      <w:bookmarkStart w:id="456" w:name="_Toc8287"/>
      <w:r>
        <w:rPr>
          <w:rFonts w:hint="eastAsia" w:eastAsia="方正小标宋简体"/>
          <w:sz w:val="44"/>
          <w:szCs w:val="44"/>
          <w:highlight w:val="none"/>
        </w:rPr>
        <w:t>天府兴隆湖实验室</w:t>
      </w:r>
      <w:bookmarkEnd w:id="452"/>
      <w:bookmarkEnd w:id="453"/>
      <w:bookmarkEnd w:id="454"/>
      <w:bookmarkEnd w:id="455"/>
      <w:bookmarkEnd w:id="456"/>
    </w:p>
    <w:tbl>
      <w:tblPr>
        <w:tblStyle w:val="25"/>
        <w:tblpPr w:leftFromText="180" w:rightFromText="180" w:vertAnchor="text" w:horzAnchor="page" w:tblpXSpec="center" w:tblpY="227"/>
        <w:tblOverlap w:val="never"/>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443"/>
        <w:gridCol w:w="1115"/>
        <w:gridCol w:w="1154"/>
        <w:gridCol w:w="533"/>
        <w:gridCol w:w="1111"/>
        <w:gridCol w:w="513"/>
        <w:gridCol w:w="1008"/>
        <w:gridCol w:w="555"/>
        <w:gridCol w:w="2021"/>
      </w:tblGrid>
      <w:tr w14:paraId="2AEA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968E0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5AC7223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科研院所</w:t>
            </w:r>
          </w:p>
        </w:tc>
        <w:tc>
          <w:tcPr>
            <w:tcW w:w="1650" w:type="dxa"/>
            <w:gridSpan w:val="2"/>
            <w:shd w:val="clear" w:color="auto" w:fill="E7E6E6" w:themeFill="background2"/>
            <w:noWrap/>
            <w:vAlign w:val="center"/>
          </w:tcPr>
          <w:p w14:paraId="6404C39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0380312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240C84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1C506738">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成都</w:t>
            </w:r>
          </w:p>
        </w:tc>
      </w:tr>
      <w:tr w14:paraId="7EBB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0F722F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9"/>
            <w:shd w:val="clear" w:color="000000" w:fill="FFFFFF"/>
            <w:noWrap/>
            <w:vAlign w:val="center"/>
          </w:tcPr>
          <w:p w14:paraId="5BA00F04">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四川省成都市天府新区科智路999号</w:t>
            </w:r>
          </w:p>
        </w:tc>
      </w:tr>
      <w:tr w14:paraId="4767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1271" w:type="dxa"/>
            <w:shd w:val="clear" w:color="auto" w:fill="E7E6E6" w:themeFill="background2"/>
            <w:noWrap/>
            <w:vAlign w:val="center"/>
          </w:tcPr>
          <w:p w14:paraId="62766D7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9"/>
            <w:shd w:val="clear" w:color="000000" w:fill="FFFFFF"/>
            <w:vAlign w:val="center"/>
          </w:tcPr>
          <w:p w14:paraId="5B9B1E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天府兴隆湖实验室于2021年6月挂牌成立，坐落于成都科学城鹿溪智谷科学中心。实验室由地方政府举办，聚焦能量光子学、信息光子学、材料光子学、生医光子学和光子科学仪器设施，开展颠覆性的光电材料、光电器件及光电系统研究。实验室以满足国家重大战略需求为目标，服务于地方经济发展，正全力打造世界一流的光学工程研究中心。</w:t>
            </w:r>
          </w:p>
        </w:tc>
      </w:tr>
      <w:tr w14:paraId="1D7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1271" w:type="dxa"/>
            <w:shd w:val="clear" w:color="auto" w:fill="E7E6E6" w:themeFill="background2"/>
            <w:noWrap/>
            <w:vAlign w:val="center"/>
          </w:tcPr>
          <w:p w14:paraId="54271E8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9"/>
            <w:shd w:val="clear" w:color="000000" w:fill="FFFFFF"/>
            <w:vAlign w:val="center"/>
          </w:tcPr>
          <w:p w14:paraId="0C96DD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提供与实验室其他科研人员同等薪酬福利待遇；</w:t>
            </w:r>
          </w:p>
          <w:p w14:paraId="1B7833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根据申请人科研规划提供足够的实验、办公场所等；</w:t>
            </w:r>
          </w:p>
          <w:p w14:paraId="0C3DBE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支持博士后研究人员申报职称、参加国内外高水平学术会议；</w:t>
            </w:r>
          </w:p>
          <w:p w14:paraId="4CF54A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为博士后配备1对1合作导师。支持博士后研究人员参与国家重大任务和重大研究计划，积极申报“博新计划”等人才项目，充分结合实验室现有资源，保障博士后研究人员研发经费；</w:t>
            </w:r>
          </w:p>
          <w:p w14:paraId="78E355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提供职工食堂、青年公寓等后勤条件，积极为博士后研究人员申请人才安居资格，协助申请子女入学资格。</w:t>
            </w:r>
          </w:p>
        </w:tc>
      </w:tr>
      <w:tr w14:paraId="6705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704" w:type="dxa"/>
            <w:gridSpan w:val="2"/>
            <w:shd w:val="clear" w:color="auto" w:fill="E7E6E6" w:themeFill="background2"/>
            <w:noWrap/>
            <w:vAlign w:val="center"/>
          </w:tcPr>
          <w:p w14:paraId="46EE076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1" w:type="dxa"/>
            <w:shd w:val="clear" w:color="auto" w:fill="E7E6E6" w:themeFill="background2"/>
            <w:vAlign w:val="center"/>
          </w:tcPr>
          <w:p w14:paraId="45E864A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9" w:type="dxa"/>
            <w:shd w:val="clear" w:color="auto" w:fill="E7E6E6" w:themeFill="background2"/>
            <w:vAlign w:val="center"/>
          </w:tcPr>
          <w:p w14:paraId="00DCEDF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08" w:type="dxa"/>
            <w:gridSpan w:val="2"/>
            <w:shd w:val="clear" w:color="auto" w:fill="E7E6E6" w:themeFill="background2"/>
            <w:vAlign w:val="center"/>
          </w:tcPr>
          <w:p w14:paraId="0F741A5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EDBC07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5FABCAF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CA2BA4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20" w:type="dxa"/>
            <w:gridSpan w:val="2"/>
            <w:shd w:val="clear" w:color="auto" w:fill="E7E6E6" w:themeFill="background2"/>
            <w:vAlign w:val="center"/>
          </w:tcPr>
          <w:p w14:paraId="6C7679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B9C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jc w:val="center"/>
        </w:trPr>
        <w:tc>
          <w:tcPr>
            <w:tcW w:w="1704" w:type="dxa"/>
            <w:gridSpan w:val="2"/>
            <w:shd w:val="clear" w:color="000000" w:fill="FFFFFF"/>
            <w:noWrap/>
            <w:vAlign w:val="center"/>
          </w:tcPr>
          <w:p w14:paraId="097C2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面向5G网络的自由空间物理层安全通信</w:t>
            </w:r>
          </w:p>
        </w:tc>
        <w:tc>
          <w:tcPr>
            <w:tcW w:w="1091" w:type="dxa"/>
            <w:shd w:val="clear" w:color="000000" w:fill="FFFFFF"/>
            <w:vAlign w:val="center"/>
          </w:tcPr>
          <w:p w14:paraId="468E6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2</w:t>
            </w:r>
          </w:p>
        </w:tc>
        <w:tc>
          <w:tcPr>
            <w:tcW w:w="1129" w:type="dxa"/>
            <w:shd w:val="clear" w:color="000000" w:fill="FFFFFF"/>
            <w:vAlign w:val="center"/>
          </w:tcPr>
          <w:p w14:paraId="324930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kern w:val="0"/>
                <w:sz w:val="21"/>
                <w:szCs w:val="21"/>
              </w:rPr>
              <w:t>BSH001</w:t>
            </w:r>
          </w:p>
        </w:tc>
        <w:tc>
          <w:tcPr>
            <w:tcW w:w="1608" w:type="dxa"/>
            <w:gridSpan w:val="2"/>
            <w:shd w:val="clear" w:color="000000" w:fill="FFFFFF"/>
            <w:vAlign w:val="center"/>
          </w:tcPr>
          <w:p w14:paraId="03D64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信息与通信工程、光学工程、</w:t>
            </w:r>
          </w:p>
        </w:tc>
        <w:tc>
          <w:tcPr>
            <w:tcW w:w="1488" w:type="dxa"/>
            <w:gridSpan w:val="2"/>
            <w:shd w:val="clear" w:color="000000" w:fill="FFFFFF"/>
            <w:vAlign w:val="center"/>
          </w:tcPr>
          <w:p w14:paraId="234D5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35-45W/年（工资待遇）</w:t>
            </w:r>
          </w:p>
        </w:tc>
        <w:tc>
          <w:tcPr>
            <w:tcW w:w="2520" w:type="dxa"/>
            <w:gridSpan w:val="2"/>
            <w:shd w:val="clear" w:color="000000" w:fill="FFFFFF"/>
            <w:vAlign w:val="center"/>
          </w:tcPr>
          <w:p w14:paraId="611DC15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生源高校：电子科技大学、西安电子科技大学、中国科学技术大学、长春光机所、长春理工大学、华中科技大学、西北工业大学。</w:t>
            </w:r>
          </w:p>
          <w:p w14:paraId="50CB1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熟悉激光通信原理及技术，具有空间光通信、光纤通信、相干通信、混沌通信等相关方向研究经验者优先</w:t>
            </w:r>
            <w:r>
              <w:rPr>
                <w:rFonts w:hint="default" w:ascii="Times New Roman" w:hAnsi="Times New Roman" w:cs="Times New Roman" w:eastAsiaTheme="minorEastAsia"/>
                <w:sz w:val="21"/>
                <w:szCs w:val="21"/>
                <w:lang w:eastAsia="zh-CN"/>
              </w:rPr>
              <w:t>。</w:t>
            </w:r>
          </w:p>
        </w:tc>
      </w:tr>
      <w:tr w14:paraId="7CF9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704" w:type="dxa"/>
            <w:gridSpan w:val="2"/>
            <w:shd w:val="clear" w:color="auto" w:fill="E7E6E6" w:themeFill="background2"/>
            <w:noWrap/>
            <w:vAlign w:val="center"/>
          </w:tcPr>
          <w:p w14:paraId="1245E018">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091" w:type="dxa"/>
            <w:shd w:val="clear" w:color="auto" w:fill="E7E6E6" w:themeFill="background2"/>
            <w:vAlign w:val="center"/>
          </w:tcPr>
          <w:p w14:paraId="179F13A2">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需求人数</w:t>
            </w:r>
          </w:p>
        </w:tc>
        <w:tc>
          <w:tcPr>
            <w:tcW w:w="1129" w:type="dxa"/>
            <w:shd w:val="clear" w:color="auto" w:fill="E7E6E6" w:themeFill="background2"/>
            <w:vAlign w:val="center"/>
          </w:tcPr>
          <w:p w14:paraId="19122AE8">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岗位编号</w:t>
            </w:r>
          </w:p>
        </w:tc>
        <w:tc>
          <w:tcPr>
            <w:tcW w:w="1608" w:type="dxa"/>
            <w:gridSpan w:val="2"/>
            <w:shd w:val="clear" w:color="auto" w:fill="E7E6E6" w:themeFill="background2"/>
            <w:vAlign w:val="center"/>
          </w:tcPr>
          <w:p w14:paraId="3D3DF67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5DC3487">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060660D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B42884C">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20" w:type="dxa"/>
            <w:gridSpan w:val="2"/>
            <w:shd w:val="clear" w:color="auto" w:fill="E7E6E6" w:themeFill="background2"/>
            <w:vAlign w:val="center"/>
          </w:tcPr>
          <w:p w14:paraId="09C8F6B4">
            <w:pPr>
              <w:adjustRightInd w:val="0"/>
              <w:snapToGrid w:val="0"/>
              <w:spacing w:line="240" w:lineRule="auto"/>
              <w:ind w:firstLine="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20B9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4" w:type="dxa"/>
            <w:gridSpan w:val="2"/>
            <w:shd w:val="clear" w:color="000000" w:fill="FFFFFF"/>
            <w:noWrap/>
            <w:vAlign w:val="center"/>
          </w:tcPr>
          <w:p w14:paraId="07E35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基于光谱调控的热管理技术研究</w:t>
            </w:r>
          </w:p>
        </w:tc>
        <w:tc>
          <w:tcPr>
            <w:tcW w:w="1091" w:type="dxa"/>
            <w:shd w:val="clear" w:color="000000" w:fill="FFFFFF"/>
            <w:vAlign w:val="center"/>
          </w:tcPr>
          <w:p w14:paraId="58A56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2</w:t>
            </w:r>
          </w:p>
        </w:tc>
        <w:tc>
          <w:tcPr>
            <w:tcW w:w="1129" w:type="dxa"/>
            <w:shd w:val="clear" w:color="000000" w:fill="FFFFFF"/>
            <w:vAlign w:val="center"/>
          </w:tcPr>
          <w:p w14:paraId="7484C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kern w:val="0"/>
                <w:sz w:val="21"/>
                <w:szCs w:val="21"/>
              </w:rPr>
              <w:t>BSH002</w:t>
            </w:r>
          </w:p>
        </w:tc>
        <w:tc>
          <w:tcPr>
            <w:tcW w:w="1608" w:type="dxa"/>
            <w:gridSpan w:val="2"/>
            <w:shd w:val="clear" w:color="000000" w:fill="FFFFFF"/>
            <w:vAlign w:val="center"/>
          </w:tcPr>
          <w:p w14:paraId="34682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光学工程、物理学、电子科学与技术、化学</w:t>
            </w:r>
          </w:p>
        </w:tc>
        <w:tc>
          <w:tcPr>
            <w:tcW w:w="1488" w:type="dxa"/>
            <w:gridSpan w:val="2"/>
            <w:shd w:val="clear" w:color="000000" w:fill="FFFFFF"/>
            <w:vAlign w:val="center"/>
          </w:tcPr>
          <w:p w14:paraId="75DA0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35-45W/年（工资待遇）</w:t>
            </w:r>
          </w:p>
        </w:tc>
        <w:tc>
          <w:tcPr>
            <w:tcW w:w="2520" w:type="dxa"/>
            <w:gridSpan w:val="2"/>
            <w:shd w:val="clear" w:color="000000" w:fill="FFFFFF"/>
            <w:vAlign w:val="center"/>
          </w:tcPr>
          <w:p w14:paraId="7F40D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生源高校：上海交通大学等；</w:t>
            </w:r>
          </w:p>
          <w:p w14:paraId="44145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熟悉Comsol Multiphysics、FDTD等电磁仿真软件的使用，能够独立设计相关器件；具有辐射制冷、电致变色、智能窗户、红外物理学、电加热、光热转换等及纤维制备、加工等经验者优先；掌握刮涂、静电纺丝、丝网印刷等相关工艺者优先</w:t>
            </w:r>
            <w:r>
              <w:rPr>
                <w:rFonts w:hint="default" w:ascii="Times New Roman" w:hAnsi="Times New Roman" w:cs="Times New Roman" w:eastAsiaTheme="minorEastAsia"/>
                <w:sz w:val="21"/>
                <w:szCs w:val="21"/>
                <w:lang w:eastAsia="zh-CN"/>
              </w:rPr>
              <w:t>。</w:t>
            </w:r>
          </w:p>
        </w:tc>
      </w:tr>
      <w:tr w14:paraId="0D96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4" w:type="dxa"/>
            <w:gridSpan w:val="2"/>
            <w:shd w:val="clear" w:color="000000" w:fill="FFFFFF"/>
            <w:noWrap/>
            <w:vAlign w:val="center"/>
          </w:tcPr>
          <w:p w14:paraId="26221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集成光子器件研究</w:t>
            </w:r>
          </w:p>
        </w:tc>
        <w:tc>
          <w:tcPr>
            <w:tcW w:w="1091" w:type="dxa"/>
            <w:shd w:val="clear" w:color="000000" w:fill="FFFFFF"/>
            <w:vAlign w:val="center"/>
          </w:tcPr>
          <w:p w14:paraId="39A6C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2</w:t>
            </w:r>
          </w:p>
        </w:tc>
        <w:tc>
          <w:tcPr>
            <w:tcW w:w="1129" w:type="dxa"/>
            <w:shd w:val="clear" w:color="000000" w:fill="FFFFFF"/>
            <w:vAlign w:val="center"/>
          </w:tcPr>
          <w:p w14:paraId="22C0A6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kern w:val="0"/>
                <w:sz w:val="21"/>
                <w:szCs w:val="21"/>
              </w:rPr>
              <w:t>BSH003</w:t>
            </w:r>
          </w:p>
        </w:tc>
        <w:tc>
          <w:tcPr>
            <w:tcW w:w="1608" w:type="dxa"/>
            <w:gridSpan w:val="2"/>
            <w:shd w:val="clear" w:color="000000" w:fill="FFFFFF"/>
            <w:vAlign w:val="center"/>
          </w:tcPr>
          <w:p w14:paraId="13EE8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光学工程、通信工程、仪器科学与技术</w:t>
            </w:r>
          </w:p>
        </w:tc>
        <w:tc>
          <w:tcPr>
            <w:tcW w:w="1488" w:type="dxa"/>
            <w:gridSpan w:val="2"/>
            <w:shd w:val="clear" w:color="000000" w:fill="FFFFFF"/>
            <w:vAlign w:val="center"/>
          </w:tcPr>
          <w:p w14:paraId="6BB297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35-45W/年（工资待遇）</w:t>
            </w:r>
          </w:p>
        </w:tc>
        <w:tc>
          <w:tcPr>
            <w:tcW w:w="2520" w:type="dxa"/>
            <w:gridSpan w:val="2"/>
            <w:shd w:val="clear" w:color="000000" w:fill="FFFFFF"/>
            <w:vAlign w:val="center"/>
          </w:tcPr>
          <w:p w14:paraId="37E0688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生源高校：上海交通大学、北京邮电大学、西南交通大学、浙江大学。</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rPr>
              <w:t>具有集成光子器件与系统等方面的研究经历，熟悉片上系统的布局规则，具备高速光电芯片设计和测试经验；</w:t>
            </w:r>
          </w:p>
          <w:p w14:paraId="301469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熟悉和掌握不限于Lumerical、COMSOL等设计和仿真软件，以及Ipkiss、Klayout和L-edit等布局软件</w:t>
            </w:r>
            <w:r>
              <w:rPr>
                <w:rFonts w:hint="default" w:ascii="Times New Roman" w:hAnsi="Times New Roman" w:cs="Times New Roman" w:eastAsiaTheme="minorEastAsia"/>
                <w:sz w:val="21"/>
                <w:szCs w:val="21"/>
                <w:lang w:eastAsia="zh-CN"/>
              </w:rPr>
              <w:t>。</w:t>
            </w:r>
          </w:p>
        </w:tc>
      </w:tr>
      <w:tr w14:paraId="5D6C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4" w:type="dxa"/>
            <w:gridSpan w:val="2"/>
            <w:shd w:val="clear" w:color="000000" w:fill="FFFFFF"/>
            <w:noWrap/>
            <w:vAlign w:val="center"/>
          </w:tcPr>
          <w:p w14:paraId="11BBD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激光与物质作用机理研究</w:t>
            </w:r>
          </w:p>
        </w:tc>
        <w:tc>
          <w:tcPr>
            <w:tcW w:w="1091" w:type="dxa"/>
            <w:shd w:val="clear" w:color="000000" w:fill="FFFFFF"/>
            <w:vAlign w:val="center"/>
          </w:tcPr>
          <w:p w14:paraId="3B09A2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2</w:t>
            </w:r>
          </w:p>
        </w:tc>
        <w:tc>
          <w:tcPr>
            <w:tcW w:w="1129" w:type="dxa"/>
            <w:shd w:val="clear" w:color="000000" w:fill="FFFFFF"/>
            <w:vAlign w:val="center"/>
          </w:tcPr>
          <w:p w14:paraId="7B9FA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608" w:type="dxa"/>
            <w:gridSpan w:val="2"/>
            <w:shd w:val="clear" w:color="000000" w:fill="FFFFFF"/>
            <w:vAlign w:val="center"/>
          </w:tcPr>
          <w:p w14:paraId="20CCC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光学工程、物理学</w:t>
            </w:r>
          </w:p>
        </w:tc>
        <w:tc>
          <w:tcPr>
            <w:tcW w:w="1488" w:type="dxa"/>
            <w:gridSpan w:val="2"/>
            <w:shd w:val="clear" w:color="000000" w:fill="FFFFFF"/>
            <w:vAlign w:val="center"/>
          </w:tcPr>
          <w:p w14:paraId="35C45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35-45W/年（工资待遇）</w:t>
            </w:r>
          </w:p>
        </w:tc>
        <w:tc>
          <w:tcPr>
            <w:tcW w:w="2520" w:type="dxa"/>
            <w:gridSpan w:val="2"/>
            <w:shd w:val="clear" w:color="000000" w:fill="FFFFFF"/>
            <w:vAlign w:val="center"/>
          </w:tcPr>
          <w:p w14:paraId="37D418E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生源高校：同济大学等。</w:t>
            </w:r>
          </w:p>
          <w:p w14:paraId="4D359B1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对连续激光和脉冲激光与材料相互作用机理有深入的理论理解；</w:t>
            </w:r>
          </w:p>
          <w:p w14:paraId="3F5F9C7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具备独立开展激光与材料相互作用实验研究的能力；</w:t>
            </w:r>
          </w:p>
          <w:p w14:paraId="3B9822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rPr>
              <w:t>具备激光大气传输研究经验者或激光光场时空调制经验者优先</w:t>
            </w:r>
            <w:r>
              <w:rPr>
                <w:rFonts w:hint="default" w:ascii="Times New Roman" w:hAnsi="Times New Roman" w:cs="Times New Roman" w:eastAsiaTheme="minorEastAsia"/>
                <w:sz w:val="21"/>
                <w:szCs w:val="21"/>
                <w:lang w:eastAsia="zh-CN"/>
              </w:rPr>
              <w:t>。</w:t>
            </w:r>
          </w:p>
        </w:tc>
      </w:tr>
      <w:tr w14:paraId="45CB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704" w:type="dxa"/>
            <w:gridSpan w:val="2"/>
            <w:shd w:val="clear" w:color="000000" w:fill="FFFFFF"/>
            <w:noWrap/>
            <w:vAlign w:val="center"/>
          </w:tcPr>
          <w:p w14:paraId="55AAF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光学薄膜</w:t>
            </w:r>
          </w:p>
        </w:tc>
        <w:tc>
          <w:tcPr>
            <w:tcW w:w="1091" w:type="dxa"/>
            <w:shd w:val="clear" w:color="000000" w:fill="FFFFFF"/>
            <w:vAlign w:val="center"/>
          </w:tcPr>
          <w:p w14:paraId="35137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2</w:t>
            </w:r>
          </w:p>
        </w:tc>
        <w:tc>
          <w:tcPr>
            <w:tcW w:w="1129" w:type="dxa"/>
            <w:shd w:val="clear" w:color="000000" w:fill="FFFFFF"/>
            <w:vAlign w:val="center"/>
          </w:tcPr>
          <w:p w14:paraId="0F9AB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608" w:type="dxa"/>
            <w:gridSpan w:val="2"/>
            <w:shd w:val="clear" w:color="000000" w:fill="FFFFFF"/>
            <w:vAlign w:val="center"/>
          </w:tcPr>
          <w:p w14:paraId="54EC7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凝聚态物理、材料学、光学工程等</w:t>
            </w:r>
          </w:p>
        </w:tc>
        <w:tc>
          <w:tcPr>
            <w:tcW w:w="1488" w:type="dxa"/>
            <w:gridSpan w:val="2"/>
            <w:shd w:val="clear" w:color="000000" w:fill="FFFFFF"/>
            <w:vAlign w:val="center"/>
          </w:tcPr>
          <w:p w14:paraId="210727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35-45W/年（工资待遇）</w:t>
            </w:r>
          </w:p>
        </w:tc>
        <w:tc>
          <w:tcPr>
            <w:tcW w:w="2520" w:type="dxa"/>
            <w:gridSpan w:val="2"/>
            <w:shd w:val="clear" w:color="000000" w:fill="FFFFFF"/>
            <w:vAlign w:val="center"/>
          </w:tcPr>
          <w:p w14:paraId="4D3BD1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default" w:ascii="Times New Roman" w:hAnsi="Times New Roman" w:cs="Times New Roman" w:eastAsiaTheme="minorEastAsia"/>
                <w:sz w:val="21"/>
                <w:szCs w:val="21"/>
                <w:lang w:val="en-US" w:eastAsia="zh-CN"/>
              </w:rPr>
              <w:t>生源高校：中国科学院长光所、统计的阿雪、长春理工大学</w:t>
            </w:r>
          </w:p>
        </w:tc>
      </w:tr>
    </w:tbl>
    <w:p w14:paraId="718035B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p w14:paraId="00C7653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1E0A1D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7C926AC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2469B06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D3FA22D">
      <w:pPr>
        <w:pStyle w:val="5"/>
        <w:adjustRightInd w:val="0"/>
        <w:snapToGrid w:val="0"/>
        <w:spacing w:line="240" w:lineRule="auto"/>
        <w:ind w:firstLine="0"/>
        <w:jc w:val="center"/>
        <w:outlineLvl w:val="0"/>
        <w:rPr>
          <w:rFonts w:eastAsia="方正小标宋简体"/>
          <w:sz w:val="44"/>
          <w:szCs w:val="44"/>
          <w:highlight w:val="yellow"/>
        </w:rPr>
      </w:pPr>
      <w:bookmarkStart w:id="457" w:name="_Toc30708"/>
      <w:bookmarkStart w:id="458" w:name="_Toc20926"/>
      <w:bookmarkStart w:id="459" w:name="_Toc16866"/>
      <w:bookmarkStart w:id="460" w:name="_Toc2148"/>
      <w:bookmarkStart w:id="461" w:name="_Toc20487"/>
      <w:r>
        <w:rPr>
          <w:rFonts w:eastAsia="方正小标宋简体"/>
          <w:sz w:val="44"/>
          <w:szCs w:val="44"/>
          <w:highlight w:val="none"/>
        </w:rPr>
        <w:t>西南医科大学附属医院</w:t>
      </w:r>
      <w:bookmarkEnd w:id="457"/>
      <w:bookmarkEnd w:id="458"/>
      <w:bookmarkEnd w:id="459"/>
      <w:bookmarkEnd w:id="460"/>
      <w:bookmarkEnd w:id="461"/>
    </w:p>
    <w:p w14:paraId="03DD72D2">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589"/>
        <w:gridCol w:w="1710"/>
        <w:gridCol w:w="1657"/>
        <w:gridCol w:w="1594"/>
        <w:gridCol w:w="1876"/>
      </w:tblGrid>
      <w:tr w14:paraId="37A7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B10B60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14:paraId="0745FF05">
            <w:pPr>
              <w:adjustRightInd w:val="0"/>
              <w:snapToGrid w:val="0"/>
              <w:spacing w:line="240" w:lineRule="auto"/>
              <w:ind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医疗机构</w:t>
            </w:r>
          </w:p>
        </w:tc>
        <w:tc>
          <w:tcPr>
            <w:tcW w:w="1640" w:type="dxa"/>
            <w:shd w:val="clear" w:color="auto" w:fill="E7E6E6" w:themeFill="background2"/>
            <w:noWrap/>
            <w:vAlign w:val="center"/>
          </w:tcPr>
          <w:p w14:paraId="03420DBB">
            <w:pPr>
              <w:adjustRightInd w:val="0"/>
              <w:snapToGrid w:val="0"/>
              <w:spacing w:line="240" w:lineRule="auto"/>
              <w:ind w:firstLine="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设站单位类型</w:t>
            </w:r>
          </w:p>
        </w:tc>
        <w:tc>
          <w:tcPr>
            <w:tcW w:w="1589" w:type="dxa"/>
            <w:shd w:val="clear" w:color="000000" w:fill="FFFFFF"/>
            <w:noWrap/>
            <w:vAlign w:val="center"/>
          </w:tcPr>
          <w:p w14:paraId="0BC034A3">
            <w:pPr>
              <w:adjustRightInd w:val="0"/>
              <w:snapToGrid w:val="0"/>
              <w:spacing w:line="240" w:lineRule="auto"/>
              <w:ind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工作站</w:t>
            </w:r>
          </w:p>
        </w:tc>
        <w:tc>
          <w:tcPr>
            <w:tcW w:w="1529" w:type="dxa"/>
            <w:shd w:val="clear" w:color="auto" w:fill="E7E6E6" w:themeFill="background2"/>
            <w:noWrap/>
            <w:vAlign w:val="center"/>
          </w:tcPr>
          <w:p w14:paraId="39384BCE">
            <w:pPr>
              <w:adjustRightInd w:val="0"/>
              <w:snapToGrid w:val="0"/>
              <w:spacing w:line="240" w:lineRule="auto"/>
              <w:ind w:firstLine="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单位所在城市</w:t>
            </w:r>
          </w:p>
        </w:tc>
        <w:tc>
          <w:tcPr>
            <w:tcW w:w="1798" w:type="dxa"/>
            <w:shd w:val="clear" w:color="000000" w:fill="FFFFFF"/>
            <w:noWrap/>
            <w:vAlign w:val="center"/>
          </w:tcPr>
          <w:p w14:paraId="293DC79B">
            <w:pPr>
              <w:adjustRightInd w:val="0"/>
              <w:snapToGrid w:val="0"/>
              <w:spacing w:line="240" w:lineRule="auto"/>
              <w:ind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泸州</w:t>
            </w:r>
          </w:p>
        </w:tc>
      </w:tr>
      <w:tr w14:paraId="3F87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1930C0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14:paraId="0E8AC2F7">
            <w:pPr>
              <w:adjustRightInd w:val="0"/>
              <w:snapToGrid w:val="0"/>
              <w:spacing w:line="240" w:lineRule="auto"/>
              <w:ind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四川省泸州市江阳区太平街</w:t>
            </w:r>
            <w:r>
              <w:rPr>
                <w:rFonts w:hint="eastAsia" w:asciiTheme="minorEastAsia" w:hAnsiTheme="minorEastAsia" w:eastAsiaTheme="minorEastAsia" w:cstheme="minorEastAsia"/>
                <w:sz w:val="21"/>
                <w:szCs w:val="21"/>
                <w:lang w:val="en-US" w:eastAsia="zh-CN"/>
              </w:rPr>
              <w:t>25号</w:t>
            </w:r>
          </w:p>
        </w:tc>
      </w:tr>
      <w:tr w14:paraId="6ECC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6" w:hRule="atLeast"/>
          <w:jc w:val="center"/>
        </w:trPr>
        <w:tc>
          <w:tcPr>
            <w:tcW w:w="1271" w:type="dxa"/>
            <w:shd w:val="clear" w:color="auto" w:fill="E7E6E6" w:themeFill="background2"/>
            <w:noWrap/>
            <w:vAlign w:val="center"/>
          </w:tcPr>
          <w:p w14:paraId="1EDDE9F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14:paraId="339008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西南医科大学附属医院创建于1950年8月，是四川省卫生健康委员会直属三级甲等综合医院。医院现有忠山、康健中心两个院区，两院区获批编制床位4200张，设有临床、医技科室65个，2023年全年门急诊278.1万余人次，出院15.1万余人次，手术5.4万余人次，是集医疗、教学、科研为一体的综合性临床教学医院。医院有职工近4600人，其中专业技术人员4200余人，博士、硕士1500余人，高级职称600余人，省级学术和技术带头人14人、后备人才82人，享受国务院政府特殊津贴专家23人，天府名医7人，教育部“新世纪优秀人才支持计划”1人，四川省突出贡献优秀专家15人，省卫生健康首席专家3人，省卫生健康领军人才5人，全职引进外籍专家11人。</w:t>
            </w:r>
          </w:p>
        </w:tc>
      </w:tr>
      <w:tr w14:paraId="1AA3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71" w:type="dxa"/>
            <w:shd w:val="clear" w:color="auto" w:fill="E7E6E6" w:themeFill="background2"/>
            <w:noWrap/>
            <w:vAlign w:val="center"/>
          </w:tcPr>
          <w:p w14:paraId="1B34DF4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14:paraId="6DBCE256">
            <w:pPr>
              <w:pStyle w:val="33"/>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Theme="minorEastAsia"/>
                <w:sz w:val="21"/>
                <w:szCs w:val="21"/>
                <w:lang w:eastAsia="zh-CN"/>
              </w:rPr>
            </w:pPr>
            <w:r>
              <w:rPr>
                <w:rFonts w:hint="eastAsia" w:ascii="Times New Roman" w:hAnsi="Times New Roman" w:eastAsiaTheme="minorEastAsia"/>
                <w:sz w:val="21"/>
                <w:szCs w:val="21"/>
              </w:rPr>
              <w:t>1.单位政策：25或35万元/年（底薪）+10万（安家费）+20万元（科研启动金）+购买“五险”一金+享受职工体检、工会福利</w:t>
            </w:r>
            <w:r>
              <w:rPr>
                <w:rFonts w:hint="eastAsia" w:ascii="Times New Roman" w:hAnsi="Times New Roman" w:eastAsiaTheme="minorEastAsia"/>
                <w:sz w:val="21"/>
                <w:szCs w:val="21"/>
                <w:lang w:eastAsia="zh-CN"/>
              </w:rPr>
              <w:t>；</w:t>
            </w:r>
          </w:p>
          <w:p w14:paraId="45FCD5FC">
            <w:pPr>
              <w:pStyle w:val="33"/>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Times New Roman" w:hAnsi="Times New Roman" w:eastAsiaTheme="minorEastAsia"/>
                <w:sz w:val="21"/>
                <w:szCs w:val="21"/>
              </w:rPr>
            </w:pPr>
            <w:r>
              <w:rPr>
                <w:rFonts w:hint="eastAsia" w:ascii="Times New Roman" w:hAnsi="Times New Roman" w:eastAsiaTheme="minorEastAsia"/>
                <w:sz w:val="21"/>
                <w:szCs w:val="21"/>
              </w:rPr>
              <w:t>2.泸州市政策：生活补助、租房补助和科研奖励。</w:t>
            </w:r>
          </w:p>
        </w:tc>
      </w:tr>
    </w:tbl>
    <w:p w14:paraId="710B1709">
      <w:pPr>
        <w:spacing w:line="20"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1153"/>
        <w:gridCol w:w="1166"/>
        <w:gridCol w:w="1869"/>
        <w:gridCol w:w="1805"/>
        <w:gridCol w:w="1334"/>
      </w:tblGrid>
      <w:tr w14:paraId="7C87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2322" w:type="dxa"/>
            <w:shd w:val="clear" w:color="auto" w:fill="E7E6E6" w:themeFill="background2"/>
            <w:noWrap/>
            <w:vAlign w:val="center"/>
          </w:tcPr>
          <w:p w14:paraId="438E5AE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4" w:type="dxa"/>
            <w:shd w:val="clear" w:color="auto" w:fill="E7E6E6" w:themeFill="background2"/>
            <w:vAlign w:val="center"/>
          </w:tcPr>
          <w:p w14:paraId="03BA653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shd w:val="clear" w:color="auto" w:fill="E7E6E6" w:themeFill="background2"/>
            <w:vAlign w:val="center"/>
          </w:tcPr>
          <w:p w14:paraId="4FFC22F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89" w:type="dxa"/>
            <w:shd w:val="clear" w:color="auto" w:fill="E7E6E6" w:themeFill="background2"/>
            <w:vAlign w:val="center"/>
          </w:tcPr>
          <w:p w14:paraId="74EBA92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2EFE09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28" w:type="dxa"/>
            <w:shd w:val="clear" w:color="auto" w:fill="E7E6E6" w:themeFill="background2"/>
            <w:vAlign w:val="center"/>
          </w:tcPr>
          <w:p w14:paraId="7811403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399434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277" w:type="dxa"/>
            <w:shd w:val="clear" w:color="auto" w:fill="E7E6E6" w:themeFill="background2"/>
            <w:vAlign w:val="center"/>
          </w:tcPr>
          <w:p w14:paraId="49BB76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59F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7ED1B18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核医学靶向诊断与治疗</w:t>
            </w:r>
          </w:p>
        </w:tc>
        <w:tc>
          <w:tcPr>
            <w:tcW w:w="1104" w:type="dxa"/>
            <w:tcBorders>
              <w:top w:val="single" w:color="auto" w:sz="4" w:space="0"/>
              <w:left w:val="single" w:color="auto" w:sz="4" w:space="0"/>
              <w:bottom w:val="single" w:color="auto" w:sz="4" w:space="0"/>
              <w:right w:val="single" w:color="auto" w:sz="4" w:space="0"/>
            </w:tcBorders>
            <w:vAlign w:val="center"/>
          </w:tcPr>
          <w:p w14:paraId="3CF9116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6</w:t>
            </w:r>
          </w:p>
        </w:tc>
        <w:tc>
          <w:tcPr>
            <w:tcW w:w="1116" w:type="dxa"/>
            <w:shd w:val="clear" w:color="000000" w:fill="FFFFFF"/>
            <w:vAlign w:val="center"/>
          </w:tcPr>
          <w:p w14:paraId="6EF4460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BSH001</w:t>
            </w:r>
          </w:p>
        </w:tc>
        <w:tc>
          <w:tcPr>
            <w:tcW w:w="1789" w:type="dxa"/>
            <w:tcBorders>
              <w:top w:val="single" w:color="auto" w:sz="4" w:space="0"/>
              <w:left w:val="single" w:color="auto" w:sz="4" w:space="0"/>
              <w:bottom w:val="single" w:color="auto" w:sz="4" w:space="0"/>
              <w:right w:val="single" w:color="auto" w:sz="4" w:space="0"/>
            </w:tcBorders>
            <w:vAlign w:val="center"/>
          </w:tcPr>
          <w:p w14:paraId="446CEE0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restart"/>
            <w:tcBorders>
              <w:top w:val="single" w:color="auto" w:sz="4" w:space="0"/>
              <w:left w:val="single" w:color="auto" w:sz="4" w:space="0"/>
              <w:right w:val="single" w:color="auto" w:sz="4" w:space="0"/>
            </w:tcBorders>
            <w:vAlign w:val="center"/>
          </w:tcPr>
          <w:p w14:paraId="30147B69">
            <w:pPr>
              <w:adjustRightInd w:val="0"/>
              <w:snapToGrid w:val="0"/>
              <w:spacing w:line="240" w:lineRule="auto"/>
              <w:ind w:firstLine="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25或35万元/年（底薪）+10万（安家费）+20万元（科研启动金）+</w:t>
            </w:r>
            <w:r>
              <w:rPr>
                <w:rFonts w:hint="default" w:ascii="Times New Roman" w:hAnsi="Times New Roman" w:cs="Times New Roman" w:eastAsiaTheme="minorEastAsia"/>
                <w:kern w:val="2"/>
                <w:sz w:val="21"/>
                <w:szCs w:val="21"/>
                <w:lang w:val="zh-TW" w:eastAsia="zh-CN" w:bidi="ar-SA"/>
              </w:rPr>
              <w:t>购买“五险”一金</w:t>
            </w:r>
            <w:r>
              <w:rPr>
                <w:rFonts w:hint="default" w:ascii="Times New Roman" w:hAnsi="Times New Roman" w:cs="Times New Roman" w:eastAsiaTheme="minorEastAsia"/>
                <w:kern w:val="2"/>
                <w:sz w:val="21"/>
                <w:szCs w:val="21"/>
                <w:lang w:val="en-US" w:eastAsia="zh-CN" w:bidi="ar-SA"/>
              </w:rPr>
              <w:t>+享受职工体检、工会福利</w:t>
            </w:r>
          </w:p>
          <w:p w14:paraId="1F14D368">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restart"/>
            <w:tcBorders>
              <w:top w:val="single" w:color="auto" w:sz="4" w:space="0"/>
              <w:left w:val="single" w:color="auto" w:sz="4" w:space="0"/>
              <w:right w:val="single" w:color="auto" w:sz="4" w:space="0"/>
            </w:tcBorders>
            <w:vAlign w:val="center"/>
          </w:tcPr>
          <w:p w14:paraId="6DCD388E">
            <w:pPr>
              <w:adjustRightInd w:val="0"/>
              <w:snapToGrid w:val="0"/>
              <w:spacing w:line="36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全职入站</w:t>
            </w:r>
          </w:p>
        </w:tc>
      </w:tr>
      <w:tr w14:paraId="4774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4621B37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（1）消化道肿瘤的防治</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lang w:val="en-US" w:eastAsia="zh-CN"/>
              </w:rPr>
              <w:t>（2）肠道菌</w:t>
            </w:r>
          </w:p>
        </w:tc>
        <w:tc>
          <w:tcPr>
            <w:tcW w:w="1104" w:type="dxa"/>
            <w:tcBorders>
              <w:top w:val="single" w:color="auto" w:sz="4" w:space="0"/>
              <w:left w:val="single" w:color="auto" w:sz="4" w:space="0"/>
              <w:bottom w:val="single" w:color="auto" w:sz="4" w:space="0"/>
              <w:right w:val="single" w:color="auto" w:sz="4" w:space="0"/>
            </w:tcBorders>
            <w:vAlign w:val="center"/>
          </w:tcPr>
          <w:p w14:paraId="4CB529C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16" w:type="dxa"/>
            <w:shd w:val="clear" w:color="000000" w:fill="FFFFFF"/>
            <w:vAlign w:val="center"/>
          </w:tcPr>
          <w:p w14:paraId="2060A5C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789" w:type="dxa"/>
            <w:tcBorders>
              <w:top w:val="single" w:color="auto" w:sz="4" w:space="0"/>
              <w:left w:val="single" w:color="auto" w:sz="4" w:space="0"/>
              <w:bottom w:val="single" w:color="auto" w:sz="4" w:space="0"/>
              <w:right w:val="single" w:color="auto" w:sz="4" w:space="0"/>
            </w:tcBorders>
            <w:vAlign w:val="center"/>
          </w:tcPr>
          <w:p w14:paraId="70BED02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56A0CE5C">
            <w:pPr>
              <w:adjustRightInd w:val="0"/>
              <w:snapToGrid w:val="0"/>
              <w:spacing w:line="240" w:lineRule="auto"/>
              <w:ind w:firstLine="0"/>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5B16A779">
            <w:pPr>
              <w:adjustRightInd w:val="0"/>
              <w:snapToGrid w:val="0"/>
              <w:spacing w:line="360" w:lineRule="auto"/>
              <w:ind w:firstLine="0"/>
              <w:jc w:val="left"/>
              <w:rPr>
                <w:rFonts w:hint="default" w:ascii="Times New Roman" w:hAnsi="Times New Roman" w:cs="Times New Roman" w:eastAsiaTheme="minorEastAsia"/>
                <w:sz w:val="21"/>
                <w:szCs w:val="21"/>
              </w:rPr>
            </w:pPr>
          </w:p>
        </w:tc>
      </w:tr>
      <w:tr w14:paraId="60FC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5EF9ED9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糖尿病肾病及心血管并发症</w:t>
            </w:r>
          </w:p>
        </w:tc>
        <w:tc>
          <w:tcPr>
            <w:tcW w:w="1104" w:type="dxa"/>
            <w:tcBorders>
              <w:top w:val="single" w:color="auto" w:sz="4" w:space="0"/>
              <w:left w:val="single" w:color="auto" w:sz="4" w:space="0"/>
              <w:bottom w:val="single" w:color="auto" w:sz="4" w:space="0"/>
              <w:right w:val="single" w:color="auto" w:sz="4" w:space="0"/>
            </w:tcBorders>
            <w:vAlign w:val="center"/>
          </w:tcPr>
          <w:p w14:paraId="3B0B8C9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16" w:type="dxa"/>
            <w:shd w:val="clear" w:color="000000" w:fill="FFFFFF"/>
            <w:vAlign w:val="center"/>
          </w:tcPr>
          <w:p w14:paraId="7CD03E0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789" w:type="dxa"/>
            <w:tcBorders>
              <w:top w:val="single" w:color="auto" w:sz="4" w:space="0"/>
              <w:left w:val="single" w:color="auto" w:sz="4" w:space="0"/>
              <w:bottom w:val="single" w:color="auto" w:sz="4" w:space="0"/>
              <w:right w:val="single" w:color="auto" w:sz="4" w:space="0"/>
            </w:tcBorders>
            <w:vAlign w:val="center"/>
          </w:tcPr>
          <w:p w14:paraId="4B8517F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0CBF9CE5">
            <w:pPr>
              <w:adjustRightInd w:val="0"/>
              <w:snapToGrid w:val="0"/>
              <w:spacing w:line="240" w:lineRule="auto"/>
              <w:ind w:firstLine="0"/>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31692B40">
            <w:pPr>
              <w:adjustRightInd w:val="0"/>
              <w:snapToGrid w:val="0"/>
              <w:spacing w:line="360" w:lineRule="auto"/>
              <w:ind w:firstLine="0"/>
              <w:jc w:val="left"/>
              <w:rPr>
                <w:rFonts w:hint="default" w:ascii="Times New Roman" w:hAnsi="Times New Roman" w:cs="Times New Roman" w:eastAsiaTheme="minorEastAsia"/>
                <w:sz w:val="21"/>
                <w:szCs w:val="21"/>
              </w:rPr>
            </w:pPr>
          </w:p>
        </w:tc>
      </w:tr>
      <w:tr w14:paraId="56B1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0A15941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肝胆胰疾病的基础与其临床</w:t>
            </w:r>
          </w:p>
        </w:tc>
        <w:tc>
          <w:tcPr>
            <w:tcW w:w="1104" w:type="dxa"/>
            <w:tcBorders>
              <w:top w:val="single" w:color="auto" w:sz="4" w:space="0"/>
              <w:left w:val="single" w:color="auto" w:sz="4" w:space="0"/>
              <w:bottom w:val="single" w:color="auto" w:sz="4" w:space="0"/>
              <w:right w:val="single" w:color="auto" w:sz="4" w:space="0"/>
            </w:tcBorders>
            <w:vAlign w:val="center"/>
          </w:tcPr>
          <w:p w14:paraId="6924946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16" w:type="dxa"/>
            <w:shd w:val="clear" w:color="000000" w:fill="FFFFFF"/>
            <w:vAlign w:val="center"/>
          </w:tcPr>
          <w:p w14:paraId="0C9E1BD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789" w:type="dxa"/>
            <w:tcBorders>
              <w:top w:val="single" w:color="auto" w:sz="4" w:space="0"/>
              <w:left w:val="single" w:color="auto" w:sz="4" w:space="0"/>
              <w:bottom w:val="single" w:color="auto" w:sz="4" w:space="0"/>
              <w:right w:val="single" w:color="auto" w:sz="4" w:space="0"/>
            </w:tcBorders>
            <w:vAlign w:val="center"/>
          </w:tcPr>
          <w:p w14:paraId="5877E0C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259FE3B">
            <w:pPr>
              <w:adjustRightInd w:val="0"/>
              <w:snapToGrid w:val="0"/>
              <w:spacing w:line="240" w:lineRule="auto"/>
              <w:ind w:firstLine="0"/>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654C26F6">
            <w:pPr>
              <w:adjustRightInd w:val="0"/>
              <w:snapToGrid w:val="0"/>
              <w:spacing w:line="360" w:lineRule="auto"/>
              <w:ind w:firstLine="0"/>
              <w:jc w:val="left"/>
              <w:rPr>
                <w:rFonts w:hint="default" w:ascii="Times New Roman" w:hAnsi="Times New Roman" w:cs="Times New Roman" w:eastAsiaTheme="minorEastAsia"/>
                <w:sz w:val="21"/>
                <w:szCs w:val="21"/>
              </w:rPr>
            </w:pPr>
          </w:p>
        </w:tc>
      </w:tr>
      <w:tr w14:paraId="078C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1ACAF11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（1）ARDS的发病机制及其诊治研究</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lang w:val="en-US" w:eastAsia="zh-CN"/>
              </w:rPr>
              <w:t>（2）肺干细胞的分化发育机制研究</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lang w:val="en-US" w:eastAsia="zh-CN"/>
              </w:rPr>
              <w:t>（3）病毒肺炎的发病及进展机制研究</w:t>
            </w:r>
          </w:p>
        </w:tc>
        <w:tc>
          <w:tcPr>
            <w:tcW w:w="1104" w:type="dxa"/>
            <w:tcBorders>
              <w:top w:val="single" w:color="auto" w:sz="4" w:space="0"/>
              <w:left w:val="single" w:color="auto" w:sz="4" w:space="0"/>
              <w:bottom w:val="single" w:color="auto" w:sz="4" w:space="0"/>
              <w:right w:val="single" w:color="auto" w:sz="4" w:space="0"/>
            </w:tcBorders>
            <w:vAlign w:val="center"/>
          </w:tcPr>
          <w:p w14:paraId="67412B7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116" w:type="dxa"/>
            <w:shd w:val="clear" w:color="000000" w:fill="FFFFFF"/>
            <w:vAlign w:val="center"/>
          </w:tcPr>
          <w:p w14:paraId="379F88C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5</w:t>
            </w:r>
          </w:p>
        </w:tc>
        <w:tc>
          <w:tcPr>
            <w:tcW w:w="1789" w:type="dxa"/>
            <w:tcBorders>
              <w:top w:val="single" w:color="auto" w:sz="4" w:space="0"/>
              <w:left w:val="single" w:color="auto" w:sz="4" w:space="0"/>
              <w:bottom w:val="single" w:color="auto" w:sz="4" w:space="0"/>
              <w:right w:val="single" w:color="auto" w:sz="4" w:space="0"/>
            </w:tcBorders>
            <w:vAlign w:val="center"/>
          </w:tcPr>
          <w:p w14:paraId="532A99D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AF39369">
            <w:pPr>
              <w:adjustRightInd w:val="0"/>
              <w:snapToGrid w:val="0"/>
              <w:spacing w:line="240" w:lineRule="auto"/>
              <w:ind w:firstLine="0"/>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50AB17C6">
            <w:pPr>
              <w:adjustRightInd w:val="0"/>
              <w:snapToGrid w:val="0"/>
              <w:spacing w:line="360" w:lineRule="auto"/>
              <w:ind w:firstLine="0"/>
              <w:jc w:val="left"/>
              <w:rPr>
                <w:rFonts w:hint="default" w:ascii="Times New Roman" w:hAnsi="Times New Roman" w:cs="Times New Roman" w:eastAsiaTheme="minorEastAsia"/>
                <w:sz w:val="21"/>
                <w:szCs w:val="21"/>
              </w:rPr>
            </w:pPr>
          </w:p>
        </w:tc>
      </w:tr>
      <w:tr w14:paraId="7027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12FD7B6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脑血管疾病与脑损伤继发性损伤机制及诊疗方案研究</w:t>
            </w:r>
          </w:p>
        </w:tc>
        <w:tc>
          <w:tcPr>
            <w:tcW w:w="1104" w:type="dxa"/>
            <w:tcBorders>
              <w:top w:val="single" w:color="auto" w:sz="4" w:space="0"/>
              <w:left w:val="single" w:color="auto" w:sz="4" w:space="0"/>
              <w:bottom w:val="single" w:color="auto" w:sz="4" w:space="0"/>
              <w:right w:val="single" w:color="auto" w:sz="4" w:space="0"/>
            </w:tcBorders>
            <w:vAlign w:val="center"/>
          </w:tcPr>
          <w:p w14:paraId="08FE11C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1E74ECC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6</w:t>
            </w:r>
          </w:p>
        </w:tc>
        <w:tc>
          <w:tcPr>
            <w:tcW w:w="1789" w:type="dxa"/>
            <w:tcBorders>
              <w:top w:val="single" w:color="auto" w:sz="4" w:space="0"/>
              <w:left w:val="single" w:color="auto" w:sz="4" w:space="0"/>
              <w:bottom w:val="single" w:color="auto" w:sz="4" w:space="0"/>
              <w:right w:val="single" w:color="auto" w:sz="4" w:space="0"/>
            </w:tcBorders>
            <w:vAlign w:val="center"/>
          </w:tcPr>
          <w:p w14:paraId="066B5C2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restart"/>
            <w:tcBorders>
              <w:left w:val="single" w:color="auto" w:sz="4" w:space="0"/>
              <w:right w:val="single" w:color="auto" w:sz="4" w:space="0"/>
            </w:tcBorders>
            <w:vAlign w:val="center"/>
          </w:tcPr>
          <w:p w14:paraId="2B0B541D">
            <w:pPr>
              <w:adjustRightInd w:val="0"/>
              <w:snapToGrid w:val="0"/>
              <w:spacing w:line="240" w:lineRule="auto"/>
              <w:ind w:firstLine="0"/>
              <w:rPr>
                <w:rFonts w:eastAsiaTheme="minorEastAsia"/>
                <w:sz w:val="21"/>
                <w:szCs w:val="21"/>
              </w:rPr>
            </w:pPr>
            <w:r>
              <w:rPr>
                <w:rFonts w:hint="default" w:ascii="Times New Roman" w:hAnsi="Times New Roman" w:cs="Times New Roman" w:eastAsiaTheme="minorEastAsia"/>
                <w:sz w:val="21"/>
                <w:szCs w:val="21"/>
              </w:rPr>
              <w:t>25或35万元/年（底薪）+10万（安家费）+20万元（科研启动金）+购买“五险”一金+享受职工体检、工会福利</w:t>
            </w:r>
          </w:p>
        </w:tc>
        <w:tc>
          <w:tcPr>
            <w:tcW w:w="1277" w:type="dxa"/>
            <w:vMerge w:val="restart"/>
            <w:tcBorders>
              <w:left w:val="single" w:color="auto" w:sz="4" w:space="0"/>
              <w:right w:val="single" w:color="auto" w:sz="4" w:space="0"/>
            </w:tcBorders>
            <w:vAlign w:val="center"/>
          </w:tcPr>
          <w:p w14:paraId="7C05E2D2">
            <w:pPr>
              <w:adjustRightInd w:val="0"/>
              <w:snapToGrid w:val="0"/>
              <w:spacing w:line="360" w:lineRule="auto"/>
              <w:ind w:firstLine="0"/>
              <w:jc w:val="center"/>
              <w:rPr>
                <w:rFonts w:eastAsiaTheme="minorEastAsia"/>
                <w:sz w:val="21"/>
                <w:szCs w:val="21"/>
              </w:rPr>
            </w:pPr>
            <w:r>
              <w:rPr>
                <w:rFonts w:eastAsiaTheme="minorEastAsia"/>
                <w:sz w:val="21"/>
                <w:szCs w:val="21"/>
              </w:rPr>
              <w:t>全职入站</w:t>
            </w:r>
          </w:p>
        </w:tc>
      </w:tr>
      <w:tr w14:paraId="38AD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0B91C9F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心脏自主神经调控</w:t>
            </w:r>
          </w:p>
        </w:tc>
        <w:tc>
          <w:tcPr>
            <w:tcW w:w="1104" w:type="dxa"/>
            <w:tcBorders>
              <w:top w:val="single" w:color="auto" w:sz="4" w:space="0"/>
              <w:left w:val="single" w:color="auto" w:sz="4" w:space="0"/>
              <w:bottom w:val="single" w:color="auto" w:sz="4" w:space="0"/>
              <w:right w:val="single" w:color="auto" w:sz="4" w:space="0"/>
            </w:tcBorders>
            <w:vAlign w:val="center"/>
          </w:tcPr>
          <w:p w14:paraId="5AA875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043CD4F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7</w:t>
            </w:r>
          </w:p>
        </w:tc>
        <w:tc>
          <w:tcPr>
            <w:tcW w:w="1789" w:type="dxa"/>
            <w:tcBorders>
              <w:top w:val="single" w:color="auto" w:sz="4" w:space="0"/>
              <w:left w:val="single" w:color="auto" w:sz="4" w:space="0"/>
              <w:bottom w:val="single" w:color="auto" w:sz="4" w:space="0"/>
              <w:right w:val="single" w:color="auto" w:sz="4" w:space="0"/>
            </w:tcBorders>
            <w:vAlign w:val="center"/>
          </w:tcPr>
          <w:p w14:paraId="3E07918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7A3EA926">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0B4D2164">
            <w:pPr>
              <w:adjustRightInd w:val="0"/>
              <w:snapToGrid w:val="0"/>
              <w:spacing w:line="360" w:lineRule="auto"/>
              <w:ind w:firstLine="0"/>
              <w:jc w:val="left"/>
              <w:rPr>
                <w:rFonts w:eastAsiaTheme="minorEastAsia"/>
                <w:sz w:val="21"/>
                <w:szCs w:val="21"/>
              </w:rPr>
            </w:pPr>
          </w:p>
        </w:tc>
      </w:tr>
      <w:tr w14:paraId="770F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05CFE8E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干细胞与肿瘤微环境</w:t>
            </w:r>
          </w:p>
        </w:tc>
        <w:tc>
          <w:tcPr>
            <w:tcW w:w="1104" w:type="dxa"/>
            <w:tcBorders>
              <w:top w:val="single" w:color="auto" w:sz="4" w:space="0"/>
              <w:left w:val="single" w:color="auto" w:sz="4" w:space="0"/>
              <w:bottom w:val="single" w:color="auto" w:sz="4" w:space="0"/>
              <w:right w:val="single" w:color="auto" w:sz="4" w:space="0"/>
            </w:tcBorders>
            <w:vAlign w:val="center"/>
          </w:tcPr>
          <w:p w14:paraId="7B9D448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5C798FC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8</w:t>
            </w:r>
          </w:p>
        </w:tc>
        <w:tc>
          <w:tcPr>
            <w:tcW w:w="1789" w:type="dxa"/>
            <w:tcBorders>
              <w:top w:val="single" w:color="auto" w:sz="4" w:space="0"/>
              <w:left w:val="single" w:color="auto" w:sz="4" w:space="0"/>
              <w:bottom w:val="single" w:color="auto" w:sz="4" w:space="0"/>
              <w:right w:val="single" w:color="auto" w:sz="4" w:space="0"/>
            </w:tcBorders>
            <w:vAlign w:val="center"/>
          </w:tcPr>
          <w:p w14:paraId="48A0607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37BBAB44">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07E409A6">
            <w:pPr>
              <w:adjustRightInd w:val="0"/>
              <w:snapToGrid w:val="0"/>
              <w:spacing w:line="360" w:lineRule="auto"/>
              <w:ind w:firstLine="0"/>
              <w:jc w:val="left"/>
              <w:rPr>
                <w:rFonts w:eastAsiaTheme="minorEastAsia"/>
                <w:sz w:val="21"/>
                <w:szCs w:val="21"/>
              </w:rPr>
            </w:pPr>
          </w:p>
        </w:tc>
      </w:tr>
      <w:tr w14:paraId="7BC6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3381F54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甲状腺肿瘤及代谢性血管疾病</w:t>
            </w:r>
          </w:p>
        </w:tc>
        <w:tc>
          <w:tcPr>
            <w:tcW w:w="1104" w:type="dxa"/>
            <w:tcBorders>
              <w:top w:val="single" w:color="auto" w:sz="4" w:space="0"/>
              <w:left w:val="single" w:color="auto" w:sz="4" w:space="0"/>
              <w:bottom w:val="single" w:color="auto" w:sz="4" w:space="0"/>
              <w:right w:val="single" w:color="auto" w:sz="4" w:space="0"/>
            </w:tcBorders>
            <w:vAlign w:val="center"/>
          </w:tcPr>
          <w:p w14:paraId="34D6D65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32EF468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9</w:t>
            </w:r>
          </w:p>
        </w:tc>
        <w:tc>
          <w:tcPr>
            <w:tcW w:w="1789" w:type="dxa"/>
            <w:tcBorders>
              <w:top w:val="single" w:color="auto" w:sz="4" w:space="0"/>
              <w:left w:val="single" w:color="auto" w:sz="4" w:space="0"/>
              <w:bottom w:val="single" w:color="auto" w:sz="4" w:space="0"/>
              <w:right w:val="single" w:color="auto" w:sz="4" w:space="0"/>
            </w:tcBorders>
            <w:vAlign w:val="center"/>
          </w:tcPr>
          <w:p w14:paraId="014046A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71A1936B">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5AFAACF5">
            <w:pPr>
              <w:adjustRightInd w:val="0"/>
              <w:snapToGrid w:val="0"/>
              <w:spacing w:line="360" w:lineRule="auto"/>
              <w:ind w:firstLine="0"/>
              <w:jc w:val="left"/>
              <w:rPr>
                <w:rFonts w:eastAsiaTheme="minorEastAsia"/>
                <w:sz w:val="21"/>
                <w:szCs w:val="21"/>
              </w:rPr>
            </w:pPr>
          </w:p>
        </w:tc>
      </w:tr>
      <w:tr w14:paraId="0D4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090C284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（1）骨与关节的修复与重建</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lang w:val="en-US" w:eastAsia="zh-CN"/>
              </w:rPr>
              <w:t>（2）运动损伤与修复</w:t>
            </w:r>
          </w:p>
        </w:tc>
        <w:tc>
          <w:tcPr>
            <w:tcW w:w="1104" w:type="dxa"/>
            <w:tcBorders>
              <w:top w:val="single" w:color="auto" w:sz="4" w:space="0"/>
              <w:left w:val="single" w:color="auto" w:sz="4" w:space="0"/>
              <w:bottom w:val="single" w:color="auto" w:sz="4" w:space="0"/>
              <w:right w:val="single" w:color="auto" w:sz="4" w:space="0"/>
            </w:tcBorders>
            <w:vAlign w:val="center"/>
          </w:tcPr>
          <w:p w14:paraId="598BDB5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62F6AE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10</w:t>
            </w:r>
          </w:p>
        </w:tc>
        <w:tc>
          <w:tcPr>
            <w:tcW w:w="1789" w:type="dxa"/>
            <w:tcBorders>
              <w:top w:val="single" w:color="auto" w:sz="4" w:space="0"/>
              <w:left w:val="single" w:color="auto" w:sz="4" w:space="0"/>
              <w:bottom w:val="single" w:color="auto" w:sz="4" w:space="0"/>
              <w:right w:val="single" w:color="auto" w:sz="4" w:space="0"/>
            </w:tcBorders>
            <w:vAlign w:val="center"/>
          </w:tcPr>
          <w:p w14:paraId="679DDBB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2B4D0DB1">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74B03F74">
            <w:pPr>
              <w:adjustRightInd w:val="0"/>
              <w:snapToGrid w:val="0"/>
              <w:spacing w:line="360" w:lineRule="auto"/>
              <w:ind w:firstLine="0"/>
              <w:jc w:val="left"/>
              <w:rPr>
                <w:rFonts w:eastAsiaTheme="minorEastAsia"/>
                <w:sz w:val="21"/>
                <w:szCs w:val="21"/>
              </w:rPr>
            </w:pPr>
          </w:p>
        </w:tc>
      </w:tr>
      <w:tr w14:paraId="4492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1A32C63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（1）干细胞及生物材料</w:t>
            </w:r>
            <w:r>
              <w:rPr>
                <w:rFonts w:hint="default" w:ascii="Times New Roman" w:hAnsi="Times New Roman" w:cs="Times New Roman" w:eastAsiaTheme="minorEastAsia"/>
                <w:sz w:val="21"/>
                <w:szCs w:val="21"/>
                <w:lang w:val="en-US" w:eastAsia="zh-CN"/>
              </w:rPr>
              <w:br w:type="textWrapping"/>
            </w:r>
            <w:r>
              <w:rPr>
                <w:rFonts w:hint="default" w:ascii="Times New Roman" w:hAnsi="Times New Roman" w:cs="Times New Roman" w:eastAsiaTheme="minorEastAsia"/>
                <w:sz w:val="21"/>
                <w:szCs w:val="21"/>
                <w:lang w:val="en-US" w:eastAsia="zh-CN"/>
              </w:rPr>
              <w:t>（2）菌群失调骨质疏松的相关机制研究</w:t>
            </w:r>
          </w:p>
        </w:tc>
        <w:tc>
          <w:tcPr>
            <w:tcW w:w="1104" w:type="dxa"/>
            <w:tcBorders>
              <w:top w:val="single" w:color="auto" w:sz="4" w:space="0"/>
              <w:left w:val="single" w:color="auto" w:sz="4" w:space="0"/>
              <w:bottom w:val="single" w:color="auto" w:sz="4" w:space="0"/>
              <w:right w:val="single" w:color="auto" w:sz="4" w:space="0"/>
            </w:tcBorders>
            <w:vAlign w:val="center"/>
          </w:tcPr>
          <w:p w14:paraId="58DBCB5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331140E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11</w:t>
            </w:r>
          </w:p>
        </w:tc>
        <w:tc>
          <w:tcPr>
            <w:tcW w:w="1789" w:type="dxa"/>
            <w:tcBorders>
              <w:top w:val="single" w:color="auto" w:sz="4" w:space="0"/>
              <w:left w:val="single" w:color="auto" w:sz="4" w:space="0"/>
              <w:bottom w:val="single" w:color="auto" w:sz="4" w:space="0"/>
              <w:right w:val="single" w:color="auto" w:sz="4" w:space="0"/>
            </w:tcBorders>
            <w:vAlign w:val="center"/>
          </w:tcPr>
          <w:p w14:paraId="32CAC3C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4F634422">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01DD240F">
            <w:pPr>
              <w:adjustRightInd w:val="0"/>
              <w:snapToGrid w:val="0"/>
              <w:spacing w:line="360" w:lineRule="auto"/>
              <w:ind w:firstLine="0"/>
              <w:jc w:val="left"/>
              <w:rPr>
                <w:rFonts w:eastAsiaTheme="minorEastAsia"/>
                <w:sz w:val="21"/>
                <w:szCs w:val="21"/>
              </w:rPr>
            </w:pPr>
          </w:p>
        </w:tc>
      </w:tr>
      <w:tr w14:paraId="62D3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259A90D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玻璃体视网膜疾病/眼病遗传/眼视光</w:t>
            </w:r>
          </w:p>
        </w:tc>
        <w:tc>
          <w:tcPr>
            <w:tcW w:w="1104" w:type="dxa"/>
            <w:tcBorders>
              <w:top w:val="single" w:color="auto" w:sz="4" w:space="0"/>
              <w:left w:val="single" w:color="auto" w:sz="4" w:space="0"/>
              <w:bottom w:val="single" w:color="auto" w:sz="4" w:space="0"/>
              <w:right w:val="single" w:color="auto" w:sz="4" w:space="0"/>
            </w:tcBorders>
            <w:vAlign w:val="center"/>
          </w:tcPr>
          <w:p w14:paraId="7F5F718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7D27E39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12</w:t>
            </w:r>
          </w:p>
        </w:tc>
        <w:tc>
          <w:tcPr>
            <w:tcW w:w="1789" w:type="dxa"/>
            <w:tcBorders>
              <w:top w:val="single" w:color="auto" w:sz="4" w:space="0"/>
              <w:left w:val="single" w:color="auto" w:sz="4" w:space="0"/>
              <w:bottom w:val="single" w:color="auto" w:sz="4" w:space="0"/>
              <w:right w:val="single" w:color="auto" w:sz="4" w:space="0"/>
            </w:tcBorders>
            <w:vAlign w:val="center"/>
          </w:tcPr>
          <w:p w14:paraId="7038BCD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65B4DA60">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58234749">
            <w:pPr>
              <w:adjustRightInd w:val="0"/>
              <w:snapToGrid w:val="0"/>
              <w:spacing w:line="360" w:lineRule="auto"/>
              <w:ind w:firstLine="0"/>
              <w:jc w:val="left"/>
              <w:rPr>
                <w:rFonts w:eastAsiaTheme="minorEastAsia"/>
                <w:sz w:val="21"/>
                <w:szCs w:val="21"/>
              </w:rPr>
            </w:pPr>
          </w:p>
        </w:tc>
      </w:tr>
      <w:tr w14:paraId="260F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6B7AAFA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鼻科学及头颈肿瘤的基础与临床研究</w:t>
            </w:r>
          </w:p>
        </w:tc>
        <w:tc>
          <w:tcPr>
            <w:tcW w:w="1104" w:type="dxa"/>
            <w:tcBorders>
              <w:top w:val="single" w:color="auto" w:sz="4" w:space="0"/>
              <w:left w:val="single" w:color="auto" w:sz="4" w:space="0"/>
              <w:bottom w:val="single" w:color="auto" w:sz="4" w:space="0"/>
              <w:right w:val="single" w:color="auto" w:sz="4" w:space="0"/>
            </w:tcBorders>
            <w:vAlign w:val="center"/>
          </w:tcPr>
          <w:p w14:paraId="1649398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64C7902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13</w:t>
            </w:r>
          </w:p>
        </w:tc>
        <w:tc>
          <w:tcPr>
            <w:tcW w:w="1789" w:type="dxa"/>
            <w:tcBorders>
              <w:top w:val="single" w:color="auto" w:sz="4" w:space="0"/>
              <w:left w:val="single" w:color="auto" w:sz="4" w:space="0"/>
              <w:bottom w:val="single" w:color="auto" w:sz="4" w:space="0"/>
              <w:right w:val="single" w:color="auto" w:sz="4" w:space="0"/>
            </w:tcBorders>
            <w:vAlign w:val="center"/>
          </w:tcPr>
          <w:p w14:paraId="58359A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5E21850">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1E6B2218">
            <w:pPr>
              <w:adjustRightInd w:val="0"/>
              <w:snapToGrid w:val="0"/>
              <w:spacing w:line="360" w:lineRule="auto"/>
              <w:ind w:firstLine="0"/>
              <w:jc w:val="left"/>
              <w:rPr>
                <w:rFonts w:eastAsiaTheme="minorEastAsia"/>
                <w:sz w:val="21"/>
                <w:szCs w:val="21"/>
              </w:rPr>
            </w:pPr>
          </w:p>
        </w:tc>
      </w:tr>
      <w:tr w14:paraId="0180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27C6E50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肿瘤放射治疗</w:t>
            </w:r>
          </w:p>
        </w:tc>
        <w:tc>
          <w:tcPr>
            <w:tcW w:w="1104" w:type="dxa"/>
            <w:tcBorders>
              <w:top w:val="single" w:color="auto" w:sz="4" w:space="0"/>
              <w:left w:val="single" w:color="auto" w:sz="4" w:space="0"/>
              <w:bottom w:val="single" w:color="auto" w:sz="4" w:space="0"/>
              <w:right w:val="single" w:color="auto" w:sz="4" w:space="0"/>
            </w:tcBorders>
            <w:vAlign w:val="center"/>
          </w:tcPr>
          <w:p w14:paraId="63B0334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3CB88D4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14</w:t>
            </w:r>
          </w:p>
        </w:tc>
        <w:tc>
          <w:tcPr>
            <w:tcW w:w="1789" w:type="dxa"/>
            <w:tcBorders>
              <w:top w:val="single" w:color="auto" w:sz="4" w:space="0"/>
              <w:left w:val="single" w:color="auto" w:sz="4" w:space="0"/>
              <w:bottom w:val="single" w:color="auto" w:sz="4" w:space="0"/>
              <w:right w:val="single" w:color="auto" w:sz="4" w:space="0"/>
            </w:tcBorders>
            <w:vAlign w:val="center"/>
          </w:tcPr>
          <w:p w14:paraId="6EFD3EE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71F5CE81">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514F5DDE">
            <w:pPr>
              <w:adjustRightInd w:val="0"/>
              <w:snapToGrid w:val="0"/>
              <w:spacing w:line="240" w:lineRule="auto"/>
              <w:ind w:firstLine="0"/>
              <w:jc w:val="left"/>
              <w:rPr>
                <w:rFonts w:eastAsiaTheme="minorEastAsia"/>
                <w:sz w:val="21"/>
                <w:szCs w:val="21"/>
              </w:rPr>
            </w:pPr>
          </w:p>
        </w:tc>
      </w:tr>
      <w:tr w14:paraId="089E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2938CB9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分子诊断</w:t>
            </w:r>
          </w:p>
        </w:tc>
        <w:tc>
          <w:tcPr>
            <w:tcW w:w="1104" w:type="dxa"/>
            <w:tcBorders>
              <w:top w:val="single" w:color="auto" w:sz="4" w:space="0"/>
              <w:left w:val="single" w:color="auto" w:sz="4" w:space="0"/>
              <w:bottom w:val="single" w:color="auto" w:sz="4" w:space="0"/>
              <w:right w:val="single" w:color="auto" w:sz="4" w:space="0"/>
            </w:tcBorders>
            <w:vAlign w:val="center"/>
          </w:tcPr>
          <w:p w14:paraId="58D7E7B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5AF36E8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15</w:t>
            </w:r>
          </w:p>
        </w:tc>
        <w:tc>
          <w:tcPr>
            <w:tcW w:w="1789" w:type="dxa"/>
            <w:tcBorders>
              <w:top w:val="single" w:color="auto" w:sz="4" w:space="0"/>
              <w:left w:val="single" w:color="auto" w:sz="4" w:space="0"/>
              <w:bottom w:val="single" w:color="auto" w:sz="4" w:space="0"/>
              <w:right w:val="single" w:color="auto" w:sz="4" w:space="0"/>
            </w:tcBorders>
            <w:vAlign w:val="center"/>
          </w:tcPr>
          <w:p w14:paraId="3DC5A47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69E7B635">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6DD511E9">
            <w:pPr>
              <w:adjustRightInd w:val="0"/>
              <w:snapToGrid w:val="0"/>
              <w:spacing w:line="240" w:lineRule="auto"/>
              <w:ind w:firstLine="0"/>
              <w:jc w:val="left"/>
              <w:rPr>
                <w:rFonts w:eastAsiaTheme="minorEastAsia"/>
                <w:sz w:val="21"/>
                <w:szCs w:val="21"/>
              </w:rPr>
            </w:pPr>
          </w:p>
        </w:tc>
      </w:tr>
      <w:tr w14:paraId="2E72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7EF2C08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表观遗传学&amp;生物信息学</w:t>
            </w:r>
          </w:p>
        </w:tc>
        <w:tc>
          <w:tcPr>
            <w:tcW w:w="1104" w:type="dxa"/>
            <w:tcBorders>
              <w:top w:val="single" w:color="auto" w:sz="4" w:space="0"/>
              <w:left w:val="single" w:color="auto" w:sz="4" w:space="0"/>
              <w:bottom w:val="single" w:color="auto" w:sz="4" w:space="0"/>
              <w:right w:val="single" w:color="auto" w:sz="4" w:space="0"/>
            </w:tcBorders>
            <w:vAlign w:val="center"/>
          </w:tcPr>
          <w:p w14:paraId="33AA7EC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6305337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16</w:t>
            </w:r>
          </w:p>
        </w:tc>
        <w:tc>
          <w:tcPr>
            <w:tcW w:w="1789" w:type="dxa"/>
            <w:tcBorders>
              <w:top w:val="single" w:color="auto" w:sz="4" w:space="0"/>
              <w:left w:val="single" w:color="auto" w:sz="4" w:space="0"/>
              <w:bottom w:val="single" w:color="auto" w:sz="4" w:space="0"/>
              <w:right w:val="single" w:color="auto" w:sz="4" w:space="0"/>
            </w:tcBorders>
            <w:vAlign w:val="center"/>
          </w:tcPr>
          <w:p w14:paraId="2C0A071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3768B001">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79AFD62F">
            <w:pPr>
              <w:adjustRightInd w:val="0"/>
              <w:snapToGrid w:val="0"/>
              <w:spacing w:line="240" w:lineRule="auto"/>
              <w:ind w:firstLine="0"/>
              <w:jc w:val="left"/>
              <w:rPr>
                <w:rFonts w:eastAsiaTheme="minorEastAsia"/>
                <w:sz w:val="21"/>
                <w:szCs w:val="21"/>
              </w:rPr>
            </w:pPr>
          </w:p>
        </w:tc>
      </w:tr>
      <w:tr w14:paraId="382E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3536450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肝癌耐药及逆转策略研究、合理用药与临床药物评价</w:t>
            </w:r>
          </w:p>
        </w:tc>
        <w:tc>
          <w:tcPr>
            <w:tcW w:w="1104" w:type="dxa"/>
            <w:tcBorders>
              <w:top w:val="single" w:color="auto" w:sz="4" w:space="0"/>
              <w:left w:val="single" w:color="auto" w:sz="4" w:space="0"/>
              <w:bottom w:val="single" w:color="auto" w:sz="4" w:space="0"/>
              <w:right w:val="single" w:color="auto" w:sz="4" w:space="0"/>
            </w:tcBorders>
            <w:vAlign w:val="center"/>
          </w:tcPr>
          <w:p w14:paraId="1B304F0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63885ED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17</w:t>
            </w:r>
          </w:p>
        </w:tc>
        <w:tc>
          <w:tcPr>
            <w:tcW w:w="1789" w:type="dxa"/>
            <w:tcBorders>
              <w:top w:val="single" w:color="auto" w:sz="4" w:space="0"/>
              <w:left w:val="single" w:color="auto" w:sz="4" w:space="0"/>
              <w:bottom w:val="single" w:color="auto" w:sz="4" w:space="0"/>
              <w:right w:val="single" w:color="auto" w:sz="4" w:space="0"/>
            </w:tcBorders>
            <w:vAlign w:val="center"/>
          </w:tcPr>
          <w:p w14:paraId="30B615D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27CB2B6D">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2A753B47">
            <w:pPr>
              <w:adjustRightInd w:val="0"/>
              <w:snapToGrid w:val="0"/>
              <w:spacing w:line="240" w:lineRule="auto"/>
              <w:ind w:firstLine="0"/>
              <w:jc w:val="left"/>
              <w:rPr>
                <w:rFonts w:eastAsiaTheme="minorEastAsia"/>
                <w:sz w:val="21"/>
                <w:szCs w:val="21"/>
              </w:rPr>
            </w:pPr>
          </w:p>
        </w:tc>
      </w:tr>
      <w:tr w14:paraId="2B94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341F46F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脓毒症多器官功能损伤机制研究</w:t>
            </w:r>
          </w:p>
        </w:tc>
        <w:tc>
          <w:tcPr>
            <w:tcW w:w="1104" w:type="dxa"/>
            <w:tcBorders>
              <w:top w:val="single" w:color="auto" w:sz="4" w:space="0"/>
              <w:left w:val="single" w:color="auto" w:sz="4" w:space="0"/>
              <w:bottom w:val="single" w:color="auto" w:sz="4" w:space="0"/>
              <w:right w:val="single" w:color="auto" w:sz="4" w:space="0"/>
            </w:tcBorders>
            <w:vAlign w:val="center"/>
          </w:tcPr>
          <w:p w14:paraId="6906CC6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16" w:type="dxa"/>
            <w:shd w:val="clear" w:color="000000" w:fill="FFFFFF"/>
            <w:vAlign w:val="center"/>
          </w:tcPr>
          <w:p w14:paraId="6E0F65E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18</w:t>
            </w:r>
          </w:p>
        </w:tc>
        <w:tc>
          <w:tcPr>
            <w:tcW w:w="1789" w:type="dxa"/>
            <w:tcBorders>
              <w:top w:val="single" w:color="auto" w:sz="4" w:space="0"/>
              <w:left w:val="single" w:color="auto" w:sz="4" w:space="0"/>
              <w:bottom w:val="single" w:color="auto" w:sz="4" w:space="0"/>
              <w:right w:val="single" w:color="auto" w:sz="4" w:space="0"/>
            </w:tcBorders>
            <w:vAlign w:val="center"/>
          </w:tcPr>
          <w:p w14:paraId="4FE7BF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4553C77">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520CAB3A">
            <w:pPr>
              <w:adjustRightInd w:val="0"/>
              <w:snapToGrid w:val="0"/>
              <w:spacing w:line="240" w:lineRule="auto"/>
              <w:ind w:firstLine="0"/>
              <w:jc w:val="left"/>
              <w:rPr>
                <w:rFonts w:eastAsiaTheme="minorEastAsia"/>
                <w:sz w:val="21"/>
                <w:szCs w:val="21"/>
              </w:rPr>
            </w:pPr>
          </w:p>
        </w:tc>
      </w:tr>
      <w:tr w14:paraId="0D23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5F86E1D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小儿血液病的基础与临床</w:t>
            </w:r>
          </w:p>
        </w:tc>
        <w:tc>
          <w:tcPr>
            <w:tcW w:w="1104" w:type="dxa"/>
            <w:tcBorders>
              <w:top w:val="single" w:color="auto" w:sz="4" w:space="0"/>
              <w:left w:val="single" w:color="auto" w:sz="4" w:space="0"/>
              <w:bottom w:val="single" w:color="auto" w:sz="4" w:space="0"/>
              <w:right w:val="single" w:color="auto" w:sz="4" w:space="0"/>
            </w:tcBorders>
            <w:vAlign w:val="center"/>
          </w:tcPr>
          <w:p w14:paraId="281F53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6659A62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19</w:t>
            </w:r>
          </w:p>
        </w:tc>
        <w:tc>
          <w:tcPr>
            <w:tcW w:w="1789" w:type="dxa"/>
            <w:tcBorders>
              <w:top w:val="single" w:color="auto" w:sz="4" w:space="0"/>
              <w:left w:val="single" w:color="auto" w:sz="4" w:space="0"/>
              <w:bottom w:val="single" w:color="auto" w:sz="4" w:space="0"/>
              <w:right w:val="single" w:color="auto" w:sz="4" w:space="0"/>
            </w:tcBorders>
            <w:vAlign w:val="center"/>
          </w:tcPr>
          <w:p w14:paraId="058C63E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1BFA651">
            <w:pPr>
              <w:adjustRightInd w:val="0"/>
              <w:snapToGrid w:val="0"/>
              <w:spacing w:line="240" w:lineRule="auto"/>
              <w:ind w:firstLine="0"/>
              <w:rPr>
                <w:rFonts w:eastAsiaTheme="minorEastAsia"/>
                <w:sz w:val="21"/>
                <w:szCs w:val="21"/>
              </w:rPr>
            </w:pPr>
          </w:p>
        </w:tc>
        <w:tc>
          <w:tcPr>
            <w:tcW w:w="1277" w:type="dxa"/>
            <w:vMerge w:val="continue"/>
            <w:tcBorders>
              <w:left w:val="single" w:color="auto" w:sz="4" w:space="0"/>
              <w:right w:val="single" w:color="auto" w:sz="4" w:space="0"/>
            </w:tcBorders>
            <w:vAlign w:val="center"/>
          </w:tcPr>
          <w:p w14:paraId="1E077FC7">
            <w:pPr>
              <w:adjustRightInd w:val="0"/>
              <w:snapToGrid w:val="0"/>
              <w:spacing w:line="240" w:lineRule="auto"/>
              <w:ind w:firstLine="0"/>
              <w:jc w:val="left"/>
              <w:rPr>
                <w:rFonts w:eastAsiaTheme="minorEastAsia"/>
                <w:sz w:val="21"/>
                <w:szCs w:val="21"/>
              </w:rPr>
            </w:pPr>
          </w:p>
        </w:tc>
      </w:tr>
      <w:tr w14:paraId="5BB3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4FEC3AF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研究方向为神经肿瘤方向</w:t>
            </w:r>
          </w:p>
        </w:tc>
        <w:tc>
          <w:tcPr>
            <w:tcW w:w="1104" w:type="dxa"/>
            <w:tcBorders>
              <w:top w:val="single" w:color="auto" w:sz="4" w:space="0"/>
              <w:left w:val="single" w:color="auto" w:sz="4" w:space="0"/>
              <w:bottom w:val="single" w:color="auto" w:sz="4" w:space="0"/>
              <w:right w:val="single" w:color="auto" w:sz="4" w:space="0"/>
            </w:tcBorders>
            <w:vAlign w:val="center"/>
          </w:tcPr>
          <w:p w14:paraId="7571C3D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6577E0D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20</w:t>
            </w:r>
          </w:p>
        </w:tc>
        <w:tc>
          <w:tcPr>
            <w:tcW w:w="1789" w:type="dxa"/>
            <w:tcBorders>
              <w:top w:val="single" w:color="auto" w:sz="4" w:space="0"/>
              <w:left w:val="single" w:color="auto" w:sz="4" w:space="0"/>
              <w:bottom w:val="single" w:color="auto" w:sz="4" w:space="0"/>
              <w:right w:val="single" w:color="auto" w:sz="4" w:space="0"/>
            </w:tcBorders>
            <w:vAlign w:val="center"/>
          </w:tcPr>
          <w:p w14:paraId="3B31D1D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restart"/>
            <w:tcBorders>
              <w:left w:val="single" w:color="auto" w:sz="4" w:space="0"/>
              <w:right w:val="single" w:color="auto" w:sz="4" w:space="0"/>
            </w:tcBorders>
            <w:vAlign w:val="center"/>
          </w:tcPr>
          <w:p w14:paraId="46AB4157">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25或35万元/年（底薪）+10万（安家费）+20万元（科研启动金）+购买“五险”一金+享受职工体检、工会福利</w:t>
            </w:r>
          </w:p>
        </w:tc>
        <w:tc>
          <w:tcPr>
            <w:tcW w:w="1277" w:type="dxa"/>
            <w:vMerge w:val="restart"/>
            <w:tcBorders>
              <w:left w:val="single" w:color="auto" w:sz="4" w:space="0"/>
              <w:right w:val="single" w:color="auto" w:sz="4" w:space="0"/>
            </w:tcBorders>
            <w:vAlign w:val="center"/>
          </w:tcPr>
          <w:p w14:paraId="6865F115">
            <w:pPr>
              <w:adjustRightInd w:val="0"/>
              <w:snapToGrid w:val="0"/>
              <w:spacing w:line="240" w:lineRule="auto"/>
              <w:ind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全职入站</w:t>
            </w:r>
          </w:p>
        </w:tc>
      </w:tr>
      <w:tr w14:paraId="7295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7D2D8D9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外周血管疾病</w:t>
            </w:r>
          </w:p>
        </w:tc>
        <w:tc>
          <w:tcPr>
            <w:tcW w:w="1104" w:type="dxa"/>
            <w:tcBorders>
              <w:top w:val="single" w:color="auto" w:sz="4" w:space="0"/>
              <w:left w:val="single" w:color="auto" w:sz="4" w:space="0"/>
              <w:bottom w:val="single" w:color="auto" w:sz="4" w:space="0"/>
              <w:right w:val="single" w:color="auto" w:sz="4" w:space="0"/>
            </w:tcBorders>
            <w:vAlign w:val="center"/>
          </w:tcPr>
          <w:p w14:paraId="7C4DAE4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27F5A83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21</w:t>
            </w:r>
          </w:p>
        </w:tc>
        <w:tc>
          <w:tcPr>
            <w:tcW w:w="1789" w:type="dxa"/>
            <w:tcBorders>
              <w:top w:val="single" w:color="auto" w:sz="4" w:space="0"/>
              <w:left w:val="single" w:color="auto" w:sz="4" w:space="0"/>
              <w:bottom w:val="single" w:color="auto" w:sz="4" w:space="0"/>
              <w:right w:val="single" w:color="auto" w:sz="4" w:space="0"/>
            </w:tcBorders>
            <w:vAlign w:val="center"/>
          </w:tcPr>
          <w:p w14:paraId="0F4C760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7865A935">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74F5DA69">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0EDB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1152C2A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脊柱脊髓损伤的基础、功能重建与临床研究</w:t>
            </w:r>
          </w:p>
        </w:tc>
        <w:tc>
          <w:tcPr>
            <w:tcW w:w="1104" w:type="dxa"/>
            <w:tcBorders>
              <w:top w:val="single" w:color="auto" w:sz="4" w:space="0"/>
              <w:left w:val="single" w:color="auto" w:sz="4" w:space="0"/>
              <w:bottom w:val="single" w:color="auto" w:sz="4" w:space="0"/>
              <w:right w:val="single" w:color="auto" w:sz="4" w:space="0"/>
            </w:tcBorders>
            <w:vAlign w:val="center"/>
          </w:tcPr>
          <w:p w14:paraId="3A900EA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2C6015A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22</w:t>
            </w:r>
          </w:p>
        </w:tc>
        <w:tc>
          <w:tcPr>
            <w:tcW w:w="1789" w:type="dxa"/>
            <w:tcBorders>
              <w:top w:val="single" w:color="auto" w:sz="4" w:space="0"/>
              <w:left w:val="single" w:color="auto" w:sz="4" w:space="0"/>
              <w:bottom w:val="single" w:color="auto" w:sz="4" w:space="0"/>
              <w:right w:val="single" w:color="auto" w:sz="4" w:space="0"/>
            </w:tcBorders>
            <w:vAlign w:val="center"/>
          </w:tcPr>
          <w:p w14:paraId="42A23ED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6DB09F0D">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0CACDBBD">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34AD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6BB1C0D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临床麻醉学</w:t>
            </w:r>
          </w:p>
        </w:tc>
        <w:tc>
          <w:tcPr>
            <w:tcW w:w="1104" w:type="dxa"/>
            <w:tcBorders>
              <w:top w:val="single" w:color="auto" w:sz="4" w:space="0"/>
              <w:left w:val="single" w:color="auto" w:sz="4" w:space="0"/>
              <w:bottom w:val="single" w:color="auto" w:sz="4" w:space="0"/>
              <w:right w:val="single" w:color="auto" w:sz="4" w:space="0"/>
            </w:tcBorders>
            <w:vAlign w:val="center"/>
          </w:tcPr>
          <w:p w14:paraId="13A487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6D0F897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23</w:t>
            </w:r>
          </w:p>
        </w:tc>
        <w:tc>
          <w:tcPr>
            <w:tcW w:w="1789" w:type="dxa"/>
            <w:tcBorders>
              <w:top w:val="single" w:color="auto" w:sz="4" w:space="0"/>
              <w:left w:val="single" w:color="auto" w:sz="4" w:space="0"/>
              <w:bottom w:val="single" w:color="auto" w:sz="4" w:space="0"/>
              <w:right w:val="single" w:color="auto" w:sz="4" w:space="0"/>
            </w:tcBorders>
            <w:vAlign w:val="center"/>
          </w:tcPr>
          <w:p w14:paraId="5451B1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00C57A75">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1BE1B906">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1F8D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2E54425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围术期器官损伤与防治</w:t>
            </w:r>
          </w:p>
        </w:tc>
        <w:tc>
          <w:tcPr>
            <w:tcW w:w="1104" w:type="dxa"/>
            <w:tcBorders>
              <w:top w:val="single" w:color="auto" w:sz="4" w:space="0"/>
              <w:left w:val="single" w:color="auto" w:sz="4" w:space="0"/>
              <w:bottom w:val="single" w:color="auto" w:sz="4" w:space="0"/>
              <w:right w:val="single" w:color="auto" w:sz="4" w:space="0"/>
            </w:tcBorders>
            <w:vAlign w:val="center"/>
          </w:tcPr>
          <w:p w14:paraId="71CF632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5154696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24</w:t>
            </w:r>
          </w:p>
        </w:tc>
        <w:tc>
          <w:tcPr>
            <w:tcW w:w="1789" w:type="dxa"/>
            <w:tcBorders>
              <w:top w:val="single" w:color="auto" w:sz="4" w:space="0"/>
              <w:left w:val="single" w:color="auto" w:sz="4" w:space="0"/>
              <w:bottom w:val="single" w:color="auto" w:sz="4" w:space="0"/>
              <w:right w:val="single" w:color="auto" w:sz="4" w:space="0"/>
            </w:tcBorders>
            <w:vAlign w:val="center"/>
          </w:tcPr>
          <w:p w14:paraId="79B1918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0B0B7839">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433DEE8D">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0AB2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4B0A0AB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肿瘤放射治疗与综合治疗</w:t>
            </w:r>
          </w:p>
        </w:tc>
        <w:tc>
          <w:tcPr>
            <w:tcW w:w="1104" w:type="dxa"/>
            <w:tcBorders>
              <w:top w:val="single" w:color="auto" w:sz="4" w:space="0"/>
              <w:left w:val="single" w:color="auto" w:sz="4" w:space="0"/>
              <w:bottom w:val="single" w:color="auto" w:sz="4" w:space="0"/>
              <w:right w:val="single" w:color="auto" w:sz="4" w:space="0"/>
            </w:tcBorders>
            <w:vAlign w:val="center"/>
          </w:tcPr>
          <w:p w14:paraId="0D56384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235C9FE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25</w:t>
            </w:r>
          </w:p>
        </w:tc>
        <w:tc>
          <w:tcPr>
            <w:tcW w:w="1789" w:type="dxa"/>
            <w:tcBorders>
              <w:top w:val="single" w:color="auto" w:sz="4" w:space="0"/>
              <w:left w:val="single" w:color="auto" w:sz="4" w:space="0"/>
              <w:bottom w:val="single" w:color="auto" w:sz="4" w:space="0"/>
              <w:right w:val="single" w:color="auto" w:sz="4" w:space="0"/>
            </w:tcBorders>
            <w:vAlign w:val="center"/>
          </w:tcPr>
          <w:p w14:paraId="61A9C57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71C2F650">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205F775D">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126D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4A085D0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腹部影像学+分子成像</w:t>
            </w:r>
          </w:p>
        </w:tc>
        <w:tc>
          <w:tcPr>
            <w:tcW w:w="1104" w:type="dxa"/>
            <w:tcBorders>
              <w:top w:val="single" w:color="auto" w:sz="4" w:space="0"/>
              <w:left w:val="single" w:color="auto" w:sz="4" w:space="0"/>
              <w:bottom w:val="single" w:color="auto" w:sz="4" w:space="0"/>
              <w:right w:val="single" w:color="auto" w:sz="4" w:space="0"/>
            </w:tcBorders>
            <w:vAlign w:val="center"/>
          </w:tcPr>
          <w:p w14:paraId="18B5074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2AB86A7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26</w:t>
            </w:r>
          </w:p>
        </w:tc>
        <w:tc>
          <w:tcPr>
            <w:tcW w:w="1789" w:type="dxa"/>
            <w:tcBorders>
              <w:top w:val="single" w:color="auto" w:sz="4" w:space="0"/>
              <w:left w:val="single" w:color="auto" w:sz="4" w:space="0"/>
              <w:bottom w:val="single" w:color="auto" w:sz="4" w:space="0"/>
              <w:right w:val="single" w:color="auto" w:sz="4" w:space="0"/>
            </w:tcBorders>
            <w:vAlign w:val="center"/>
          </w:tcPr>
          <w:p w14:paraId="2AFA80F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4048A691">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1BE4289C">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7E5E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2FC6BD5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心血管重构与功能异常研究</w:t>
            </w:r>
          </w:p>
        </w:tc>
        <w:tc>
          <w:tcPr>
            <w:tcW w:w="1104" w:type="dxa"/>
            <w:tcBorders>
              <w:top w:val="single" w:color="auto" w:sz="4" w:space="0"/>
              <w:left w:val="single" w:color="auto" w:sz="4" w:space="0"/>
              <w:bottom w:val="single" w:color="auto" w:sz="4" w:space="0"/>
              <w:right w:val="single" w:color="auto" w:sz="4" w:space="0"/>
            </w:tcBorders>
            <w:vAlign w:val="center"/>
          </w:tcPr>
          <w:p w14:paraId="5FBC795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3AC61EE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27</w:t>
            </w:r>
          </w:p>
        </w:tc>
        <w:tc>
          <w:tcPr>
            <w:tcW w:w="1789" w:type="dxa"/>
            <w:tcBorders>
              <w:top w:val="single" w:color="auto" w:sz="4" w:space="0"/>
              <w:left w:val="single" w:color="auto" w:sz="4" w:space="0"/>
              <w:bottom w:val="single" w:color="auto" w:sz="4" w:space="0"/>
              <w:right w:val="single" w:color="auto" w:sz="4" w:space="0"/>
            </w:tcBorders>
            <w:vAlign w:val="center"/>
          </w:tcPr>
          <w:p w14:paraId="717BFD3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48E60DEE">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37766BC6">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04FA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14:paraId="04AE2F0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分子肿瘤与肿瘤的分子诊断</w:t>
            </w:r>
          </w:p>
        </w:tc>
        <w:tc>
          <w:tcPr>
            <w:tcW w:w="1104" w:type="dxa"/>
            <w:tcBorders>
              <w:top w:val="single" w:color="auto" w:sz="4" w:space="0"/>
              <w:left w:val="single" w:color="auto" w:sz="4" w:space="0"/>
              <w:bottom w:val="single" w:color="auto" w:sz="4" w:space="0"/>
              <w:right w:val="single" w:color="auto" w:sz="4" w:space="0"/>
            </w:tcBorders>
            <w:vAlign w:val="center"/>
          </w:tcPr>
          <w:p w14:paraId="717BC3C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shd w:val="clear" w:color="000000" w:fill="FFFFFF"/>
            <w:vAlign w:val="center"/>
          </w:tcPr>
          <w:p w14:paraId="4A38020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28</w:t>
            </w:r>
          </w:p>
        </w:tc>
        <w:tc>
          <w:tcPr>
            <w:tcW w:w="1789" w:type="dxa"/>
            <w:tcBorders>
              <w:top w:val="single" w:color="auto" w:sz="4" w:space="0"/>
              <w:left w:val="single" w:color="auto" w:sz="4" w:space="0"/>
              <w:bottom w:val="single" w:color="auto" w:sz="4" w:space="0"/>
              <w:right w:val="single" w:color="auto" w:sz="4" w:space="0"/>
            </w:tcBorders>
            <w:vAlign w:val="center"/>
          </w:tcPr>
          <w:p w14:paraId="085A8A9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36A2D519">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30E2F4BC">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6664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AB661B">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儿童精神障碍的睡眠特征及其遗传影像学研究</w:t>
            </w:r>
          </w:p>
        </w:tc>
        <w:tc>
          <w:tcPr>
            <w:tcW w:w="1104" w:type="dxa"/>
            <w:tcBorders>
              <w:top w:val="single" w:color="auto" w:sz="4" w:space="0"/>
              <w:left w:val="single" w:color="auto" w:sz="4" w:space="0"/>
              <w:bottom w:val="single" w:color="auto" w:sz="4" w:space="0"/>
              <w:right w:val="single" w:color="auto" w:sz="4" w:space="0"/>
            </w:tcBorders>
            <w:shd w:val="clear" w:color="auto" w:fill="FFFFFF"/>
            <w:vAlign w:val="center"/>
          </w:tcPr>
          <w:p w14:paraId="6207576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16" w:type="dxa"/>
            <w:shd w:val="clear" w:color="auto" w:fill="FFFFFF"/>
            <w:vAlign w:val="center"/>
          </w:tcPr>
          <w:p w14:paraId="5CC0757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29</w:t>
            </w:r>
          </w:p>
        </w:tc>
        <w:tc>
          <w:tcPr>
            <w:tcW w:w="1789" w:type="dxa"/>
            <w:tcBorders>
              <w:top w:val="single" w:color="auto" w:sz="4" w:space="0"/>
              <w:left w:val="single" w:color="auto" w:sz="4" w:space="0"/>
              <w:bottom w:val="single" w:color="auto" w:sz="4" w:space="0"/>
              <w:right w:val="single" w:color="auto" w:sz="4" w:space="0"/>
            </w:tcBorders>
            <w:shd w:val="clear" w:color="auto" w:fill="FFFFFF"/>
            <w:vAlign w:val="center"/>
          </w:tcPr>
          <w:p w14:paraId="07AB0D4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0A1A38ED">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78935238">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6EEC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88913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泌尿外科和男科学基础和临床研究</w:t>
            </w:r>
          </w:p>
        </w:tc>
        <w:tc>
          <w:tcPr>
            <w:tcW w:w="1104" w:type="dxa"/>
            <w:tcBorders>
              <w:top w:val="single" w:color="auto" w:sz="4" w:space="0"/>
              <w:left w:val="single" w:color="auto" w:sz="4" w:space="0"/>
              <w:bottom w:val="single" w:color="auto" w:sz="4" w:space="0"/>
              <w:right w:val="single" w:color="auto" w:sz="4" w:space="0"/>
            </w:tcBorders>
            <w:shd w:val="clear" w:color="auto" w:fill="FFFFFF"/>
            <w:vAlign w:val="center"/>
          </w:tcPr>
          <w:p w14:paraId="6EF9CA2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16" w:type="dxa"/>
            <w:shd w:val="clear" w:color="auto" w:fill="FFFFFF"/>
            <w:vAlign w:val="center"/>
          </w:tcPr>
          <w:p w14:paraId="711AECF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30</w:t>
            </w:r>
          </w:p>
        </w:tc>
        <w:tc>
          <w:tcPr>
            <w:tcW w:w="1789" w:type="dxa"/>
            <w:tcBorders>
              <w:top w:val="single" w:color="auto" w:sz="4" w:space="0"/>
              <w:left w:val="single" w:color="auto" w:sz="4" w:space="0"/>
              <w:bottom w:val="single" w:color="auto" w:sz="4" w:space="0"/>
              <w:right w:val="single" w:color="auto" w:sz="4" w:space="0"/>
            </w:tcBorders>
            <w:shd w:val="clear" w:color="auto" w:fill="FFFFFF"/>
            <w:vAlign w:val="center"/>
          </w:tcPr>
          <w:p w14:paraId="44C0A17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191560C0">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7F4A0BBE">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0FDB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1BA72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普通外科（甲状腺、乳腺和血管方向）</w:t>
            </w:r>
          </w:p>
        </w:tc>
        <w:tc>
          <w:tcPr>
            <w:tcW w:w="1104" w:type="dxa"/>
            <w:tcBorders>
              <w:top w:val="single" w:color="auto" w:sz="4" w:space="0"/>
              <w:left w:val="single" w:color="auto" w:sz="4" w:space="0"/>
              <w:bottom w:val="single" w:color="auto" w:sz="4" w:space="0"/>
              <w:right w:val="single" w:color="auto" w:sz="4" w:space="0"/>
            </w:tcBorders>
            <w:shd w:val="clear" w:color="auto" w:fill="FFFFFF"/>
            <w:vAlign w:val="center"/>
          </w:tcPr>
          <w:p w14:paraId="74F4915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16" w:type="dxa"/>
            <w:shd w:val="clear" w:color="auto" w:fill="FFFFFF"/>
            <w:vAlign w:val="center"/>
          </w:tcPr>
          <w:p w14:paraId="44C068B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31</w:t>
            </w:r>
          </w:p>
        </w:tc>
        <w:tc>
          <w:tcPr>
            <w:tcW w:w="1789" w:type="dxa"/>
            <w:tcBorders>
              <w:top w:val="single" w:color="auto" w:sz="4" w:space="0"/>
              <w:left w:val="single" w:color="auto" w:sz="4" w:space="0"/>
              <w:bottom w:val="single" w:color="auto" w:sz="4" w:space="0"/>
              <w:right w:val="single" w:color="auto" w:sz="4" w:space="0"/>
            </w:tcBorders>
            <w:shd w:val="clear" w:color="auto" w:fill="FFFFFF"/>
            <w:vAlign w:val="center"/>
          </w:tcPr>
          <w:p w14:paraId="4A15231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right w:val="single" w:color="auto" w:sz="4" w:space="0"/>
            </w:tcBorders>
            <w:vAlign w:val="center"/>
          </w:tcPr>
          <w:p w14:paraId="41A19E2C">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right w:val="single" w:color="auto" w:sz="4" w:space="0"/>
            </w:tcBorders>
            <w:vAlign w:val="center"/>
          </w:tcPr>
          <w:p w14:paraId="386A19AE">
            <w:pPr>
              <w:adjustRightInd w:val="0"/>
              <w:snapToGrid w:val="0"/>
              <w:spacing w:line="240" w:lineRule="auto"/>
              <w:ind w:firstLine="0"/>
              <w:jc w:val="both"/>
              <w:rPr>
                <w:rFonts w:hint="default" w:ascii="Times New Roman" w:hAnsi="Times New Roman" w:cs="Times New Roman" w:eastAsiaTheme="minorEastAsia"/>
                <w:sz w:val="21"/>
                <w:szCs w:val="21"/>
              </w:rPr>
            </w:pPr>
          </w:p>
        </w:tc>
      </w:tr>
      <w:tr w14:paraId="38B3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3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58B747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胶质瘤代谢重编程相关机制</w:t>
            </w:r>
          </w:p>
        </w:tc>
        <w:tc>
          <w:tcPr>
            <w:tcW w:w="1104" w:type="dxa"/>
            <w:tcBorders>
              <w:top w:val="single" w:color="auto" w:sz="4" w:space="0"/>
              <w:left w:val="single" w:color="auto" w:sz="4" w:space="0"/>
              <w:bottom w:val="single" w:color="auto" w:sz="4" w:space="0"/>
              <w:right w:val="single" w:color="auto" w:sz="4" w:space="0"/>
            </w:tcBorders>
            <w:shd w:val="clear" w:color="auto" w:fill="FFFFFF"/>
            <w:vAlign w:val="center"/>
          </w:tcPr>
          <w:p w14:paraId="2219419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16" w:type="dxa"/>
            <w:shd w:val="clear" w:color="auto" w:fill="FFFFFF"/>
            <w:vAlign w:val="center"/>
          </w:tcPr>
          <w:p w14:paraId="6140F62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BSH03</w:t>
            </w:r>
            <w:r>
              <w:rPr>
                <w:rFonts w:hint="default" w:ascii="Times New Roman" w:hAnsi="Times New Roman" w:cs="Times New Roman" w:eastAsiaTheme="minorEastAsia"/>
                <w:sz w:val="21"/>
                <w:szCs w:val="21"/>
                <w:lang w:val="en-US" w:eastAsia="zh-CN"/>
              </w:rPr>
              <w:t>2</w:t>
            </w:r>
          </w:p>
        </w:tc>
        <w:tc>
          <w:tcPr>
            <w:tcW w:w="1789" w:type="dxa"/>
            <w:tcBorders>
              <w:top w:val="single" w:color="auto" w:sz="4" w:space="0"/>
              <w:left w:val="single" w:color="auto" w:sz="4" w:space="0"/>
              <w:bottom w:val="single" w:color="auto" w:sz="4" w:space="0"/>
              <w:right w:val="single" w:color="auto" w:sz="4" w:space="0"/>
            </w:tcBorders>
            <w:shd w:val="clear" w:color="auto" w:fill="FFFFFF"/>
            <w:vAlign w:val="center"/>
          </w:tcPr>
          <w:p w14:paraId="10E73E2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eastAsia="zh-CN"/>
              </w:rPr>
              <w:t>临床医学</w:t>
            </w:r>
          </w:p>
        </w:tc>
        <w:tc>
          <w:tcPr>
            <w:tcW w:w="1728" w:type="dxa"/>
            <w:vMerge w:val="continue"/>
            <w:tcBorders>
              <w:left w:val="single" w:color="auto" w:sz="4" w:space="0"/>
              <w:bottom w:val="single" w:color="auto" w:sz="4" w:space="0"/>
              <w:right w:val="single" w:color="auto" w:sz="4" w:space="0"/>
            </w:tcBorders>
            <w:vAlign w:val="center"/>
          </w:tcPr>
          <w:p w14:paraId="7E0E3E09">
            <w:pPr>
              <w:adjustRightInd w:val="0"/>
              <w:snapToGrid w:val="0"/>
              <w:spacing w:line="240" w:lineRule="auto"/>
              <w:ind w:firstLine="0"/>
              <w:jc w:val="both"/>
              <w:rPr>
                <w:rFonts w:hint="default" w:ascii="Times New Roman" w:hAnsi="Times New Roman" w:cs="Times New Roman" w:eastAsiaTheme="minorEastAsia"/>
                <w:sz w:val="21"/>
                <w:szCs w:val="21"/>
              </w:rPr>
            </w:pPr>
          </w:p>
        </w:tc>
        <w:tc>
          <w:tcPr>
            <w:tcW w:w="1277" w:type="dxa"/>
            <w:vMerge w:val="continue"/>
            <w:tcBorders>
              <w:left w:val="single" w:color="auto" w:sz="4" w:space="0"/>
              <w:bottom w:val="single" w:color="auto" w:sz="4" w:space="0"/>
              <w:right w:val="single" w:color="auto" w:sz="4" w:space="0"/>
            </w:tcBorders>
            <w:vAlign w:val="center"/>
          </w:tcPr>
          <w:p w14:paraId="77FE53A9">
            <w:pPr>
              <w:adjustRightInd w:val="0"/>
              <w:snapToGrid w:val="0"/>
              <w:spacing w:line="240" w:lineRule="auto"/>
              <w:ind w:firstLine="0"/>
              <w:jc w:val="both"/>
              <w:rPr>
                <w:rFonts w:hint="default" w:ascii="Times New Roman" w:hAnsi="Times New Roman" w:cs="Times New Roman" w:eastAsiaTheme="minorEastAsia"/>
                <w:sz w:val="21"/>
                <w:szCs w:val="21"/>
              </w:rPr>
            </w:pPr>
          </w:p>
        </w:tc>
      </w:tr>
    </w:tbl>
    <w:p w14:paraId="03D43AF6">
      <w:pPr>
        <w:spacing w:line="240" w:lineRule="auto"/>
        <w:rPr>
          <w:sz w:val="21"/>
          <w:szCs w:val="21"/>
        </w:rPr>
      </w:pPr>
      <w:r>
        <w:rPr>
          <w:sz w:val="21"/>
          <w:szCs w:val="21"/>
        </w:rPr>
        <w:br w:type="page"/>
      </w:r>
    </w:p>
    <w:p w14:paraId="41524AA2">
      <w:pPr>
        <w:widowControl/>
        <w:spacing w:line="240" w:lineRule="auto"/>
        <w:ind w:firstLine="1760" w:firstLineChars="400"/>
        <w:rPr>
          <w:rFonts w:eastAsia="方正小标宋简体"/>
          <w:color w:val="000000"/>
          <w:kern w:val="0"/>
          <w:sz w:val="44"/>
          <w:szCs w:val="44"/>
        </w:rPr>
      </w:pPr>
    </w:p>
    <w:p w14:paraId="43E77505">
      <w:pPr>
        <w:widowControl/>
        <w:spacing w:line="240" w:lineRule="auto"/>
        <w:ind w:firstLine="0"/>
        <w:jc w:val="center"/>
        <w:outlineLvl w:val="0"/>
        <w:rPr>
          <w:rFonts w:eastAsia="方正小标宋简体"/>
          <w:color w:val="000000"/>
          <w:kern w:val="0"/>
          <w:sz w:val="44"/>
          <w:szCs w:val="44"/>
        </w:rPr>
      </w:pPr>
      <w:bookmarkStart w:id="462" w:name="_Toc12438"/>
      <w:bookmarkStart w:id="463" w:name="_Toc15575"/>
      <w:bookmarkStart w:id="464" w:name="_Toc8202"/>
      <w:bookmarkStart w:id="465" w:name="_Toc18201"/>
      <w:bookmarkStart w:id="466" w:name="_Toc31757"/>
      <w:r>
        <w:rPr>
          <w:rFonts w:eastAsia="方正小标宋简体"/>
          <w:color w:val="000000"/>
          <w:kern w:val="0"/>
          <w:sz w:val="44"/>
          <w:szCs w:val="44"/>
          <w:highlight w:val="none"/>
        </w:rPr>
        <w:t>西南医科大学附属中医医院</w:t>
      </w:r>
      <w:bookmarkEnd w:id="462"/>
      <w:bookmarkEnd w:id="463"/>
      <w:bookmarkEnd w:id="464"/>
      <w:bookmarkEnd w:id="465"/>
      <w:bookmarkEnd w:id="466"/>
    </w:p>
    <w:p w14:paraId="50F6A606">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233"/>
        <w:gridCol w:w="89"/>
        <w:gridCol w:w="1067"/>
        <w:gridCol w:w="674"/>
        <w:gridCol w:w="520"/>
        <w:gridCol w:w="940"/>
        <w:gridCol w:w="623"/>
        <w:gridCol w:w="1080"/>
        <w:gridCol w:w="280"/>
        <w:gridCol w:w="1654"/>
      </w:tblGrid>
      <w:tr w14:paraId="20F7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3" w:type="dxa"/>
            <w:shd w:val="clear" w:color="auto" w:fill="E7E6E6" w:themeFill="background2"/>
            <w:noWrap/>
            <w:vAlign w:val="center"/>
          </w:tcPr>
          <w:p w14:paraId="5005878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48" w:type="dxa"/>
            <w:gridSpan w:val="2"/>
            <w:shd w:val="clear" w:color="000000" w:fill="FFFFFF"/>
            <w:noWrap/>
            <w:vAlign w:val="center"/>
          </w:tcPr>
          <w:p w14:paraId="20F8857C">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5" w:type="dxa"/>
            <w:gridSpan w:val="2"/>
            <w:shd w:val="clear" w:color="auto" w:fill="E7E6E6" w:themeFill="background2"/>
            <w:noWrap/>
            <w:vAlign w:val="center"/>
          </w:tcPr>
          <w:p w14:paraId="0FF0FE5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379" w:type="dxa"/>
            <w:gridSpan w:val="2"/>
            <w:shd w:val="clear" w:color="000000" w:fill="FFFFFF"/>
            <w:noWrap/>
            <w:vAlign w:val="center"/>
          </w:tcPr>
          <w:p w14:paraId="52D97C5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08" w:type="dxa"/>
            <w:gridSpan w:val="2"/>
            <w:shd w:val="clear" w:color="auto" w:fill="E7E6E6" w:themeFill="background2"/>
            <w:noWrap/>
            <w:vAlign w:val="center"/>
          </w:tcPr>
          <w:p w14:paraId="72AB7F5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26" w:type="dxa"/>
            <w:gridSpan w:val="2"/>
            <w:shd w:val="clear" w:color="000000" w:fill="FFFFFF"/>
            <w:noWrap/>
            <w:vAlign w:val="center"/>
          </w:tcPr>
          <w:p w14:paraId="64FA6286">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14:paraId="7B01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3" w:type="dxa"/>
            <w:shd w:val="clear" w:color="auto" w:fill="E7E6E6" w:themeFill="background2"/>
            <w:noWrap/>
            <w:vAlign w:val="center"/>
          </w:tcPr>
          <w:p w14:paraId="7CB02B79">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706" w:type="dxa"/>
            <w:gridSpan w:val="10"/>
            <w:shd w:val="clear" w:color="000000" w:fill="FFFFFF"/>
            <w:noWrap/>
            <w:vAlign w:val="center"/>
          </w:tcPr>
          <w:p w14:paraId="0CF177E6">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四川省泸州市龙马潭区春晖路182号</w:t>
            </w:r>
          </w:p>
        </w:tc>
      </w:tr>
      <w:tr w14:paraId="3297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jc w:val="center"/>
        </w:trPr>
        <w:tc>
          <w:tcPr>
            <w:tcW w:w="1503" w:type="dxa"/>
            <w:shd w:val="clear" w:color="auto" w:fill="E7E6E6" w:themeFill="background2"/>
            <w:noWrap/>
            <w:vAlign w:val="center"/>
          </w:tcPr>
          <w:p w14:paraId="4F85E77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706" w:type="dxa"/>
            <w:gridSpan w:val="10"/>
            <w:shd w:val="clear" w:color="000000" w:fill="FFFFFF"/>
            <w:vAlign w:val="center"/>
          </w:tcPr>
          <w:p w14:paraId="5275AA0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西南医科大学附属中医医院始建于1983年，是四川省中医药管理局直管单位、西南医科大学直属附属医院，是一所集医疗、教学、科研、预防保健、产业文化、集团医院、国际交流于一体的具有中医、中西医结合特色的三级甲等综合性教学医院。医院是国家中医药传承创新工程重点中医医院、国家中医临床研究基地、国家中医药服务出口基地。现有编制床位3000张，职工3000余人，设有61个临床和辅检科室。依托西南医科大学共建科研平台20余个，建有现代化实验室4500 m²，建立了中药筛选平台、分子生物学平台等10余个技术平台。为进一步推进医院“双一流”建设，把医院建设成为国内一流、国际知名的中医、中西医结合现代化研究型医院，现面向社会诚聘各类博士英才。</w:t>
            </w:r>
          </w:p>
        </w:tc>
      </w:tr>
      <w:tr w14:paraId="18FC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9" w:hRule="atLeast"/>
          <w:jc w:val="center"/>
        </w:trPr>
        <w:tc>
          <w:tcPr>
            <w:tcW w:w="1503" w:type="dxa"/>
            <w:shd w:val="clear" w:color="auto" w:fill="E7E6E6" w:themeFill="background2"/>
            <w:noWrap/>
            <w:vAlign w:val="center"/>
          </w:tcPr>
          <w:p w14:paraId="742F160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706" w:type="dxa"/>
            <w:gridSpan w:val="10"/>
            <w:shd w:val="clear" w:color="000000" w:fill="FFFFFF"/>
            <w:vAlign w:val="center"/>
          </w:tcPr>
          <w:p w14:paraId="05177F49">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在站工作期间实行年薪制，年薪为税前25万元/年（按月发放），购买“五险”一金（个人缴纳部分从年薪中扣除），提供博士后科研启动经费10万元/人。</w:t>
            </w:r>
          </w:p>
          <w:p w14:paraId="68FEAC7E">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博士后中期考核合格者，医院一次性奖励3万元（税前）；两年期满出站考核达到合格标准者，医院一次性奖励3万元（税前）；期满出站考核优秀者，医院一次性奖励6万元（税前）。</w:t>
            </w:r>
          </w:p>
          <w:p w14:paraId="714D8D8E">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另外，在完成约定任务后，超出部分业绩可按医院科研管理办法相关规定予以奖励。</w:t>
            </w:r>
          </w:p>
        </w:tc>
      </w:tr>
      <w:tr w14:paraId="5184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67" w:type="dxa"/>
            <w:gridSpan w:val="2"/>
            <w:shd w:val="clear" w:color="auto" w:fill="E7E6E6" w:themeFill="background2"/>
            <w:noWrap/>
            <w:vAlign w:val="center"/>
          </w:tcPr>
          <w:p w14:paraId="7BA8070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14:paraId="6C16B1C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gridSpan w:val="2"/>
            <w:shd w:val="clear" w:color="auto" w:fill="E7E6E6" w:themeFill="background2"/>
            <w:vAlign w:val="center"/>
          </w:tcPr>
          <w:p w14:paraId="7B125FB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476" w:type="dxa"/>
            <w:gridSpan w:val="2"/>
            <w:shd w:val="clear" w:color="auto" w:fill="E7E6E6" w:themeFill="background2"/>
            <w:vAlign w:val="center"/>
          </w:tcPr>
          <w:p w14:paraId="3331051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D9DD9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vAlign w:val="center"/>
          </w:tcPr>
          <w:p w14:paraId="1DF0071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7C7518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62" w:type="dxa"/>
            <w:shd w:val="clear" w:color="auto" w:fill="E7E6E6" w:themeFill="background2"/>
            <w:vAlign w:val="center"/>
          </w:tcPr>
          <w:p w14:paraId="4A46F25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AAC33B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348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noWrap/>
            <w:vAlign w:val="center"/>
          </w:tcPr>
          <w:p w14:paraId="3CA86CF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中医药调控免疫炎症纤维化</w:t>
            </w:r>
          </w:p>
        </w:tc>
        <w:tc>
          <w:tcPr>
            <w:tcW w:w="1092" w:type="dxa"/>
            <w:gridSpan w:val="2"/>
            <w:vAlign w:val="center"/>
          </w:tcPr>
          <w:p w14:paraId="0AC89EA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8" w:type="dxa"/>
            <w:gridSpan w:val="2"/>
            <w:vAlign w:val="center"/>
          </w:tcPr>
          <w:p w14:paraId="5272D1F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476" w:type="dxa"/>
            <w:gridSpan w:val="2"/>
            <w:vAlign w:val="center"/>
          </w:tcPr>
          <w:p w14:paraId="66CE855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中医学、中西医结合、临床医学、基础医学等</w:t>
            </w:r>
          </w:p>
        </w:tc>
        <w:tc>
          <w:tcPr>
            <w:tcW w:w="1284" w:type="dxa"/>
            <w:gridSpan w:val="2"/>
            <w:vAlign w:val="center"/>
          </w:tcPr>
          <w:p w14:paraId="1BDFC61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35</w:t>
            </w:r>
          </w:p>
        </w:tc>
        <w:tc>
          <w:tcPr>
            <w:tcW w:w="1562" w:type="dxa"/>
            <w:vMerge w:val="restart"/>
            <w:vAlign w:val="center"/>
          </w:tcPr>
          <w:p w14:paraId="1725CCA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229C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noWrap/>
            <w:vAlign w:val="center"/>
          </w:tcPr>
          <w:p w14:paraId="5AA3D3C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川产姜黄及其类似物新药研发</w:t>
            </w:r>
          </w:p>
        </w:tc>
        <w:tc>
          <w:tcPr>
            <w:tcW w:w="1092" w:type="dxa"/>
            <w:gridSpan w:val="2"/>
            <w:vAlign w:val="center"/>
          </w:tcPr>
          <w:p w14:paraId="503286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8" w:type="dxa"/>
            <w:gridSpan w:val="2"/>
            <w:vAlign w:val="center"/>
          </w:tcPr>
          <w:p w14:paraId="79465A7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476" w:type="dxa"/>
            <w:gridSpan w:val="2"/>
            <w:vAlign w:val="center"/>
          </w:tcPr>
          <w:p w14:paraId="69B4559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生物学、化学、中医学、中药学、中西医结合等</w:t>
            </w:r>
          </w:p>
        </w:tc>
        <w:tc>
          <w:tcPr>
            <w:tcW w:w="1284" w:type="dxa"/>
            <w:gridSpan w:val="2"/>
            <w:vAlign w:val="center"/>
          </w:tcPr>
          <w:p w14:paraId="68E865C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35</w:t>
            </w:r>
          </w:p>
        </w:tc>
        <w:tc>
          <w:tcPr>
            <w:tcW w:w="1562" w:type="dxa"/>
            <w:vMerge w:val="continue"/>
            <w:vAlign w:val="center"/>
          </w:tcPr>
          <w:p w14:paraId="72EC050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3A8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noWrap/>
            <w:vAlign w:val="center"/>
          </w:tcPr>
          <w:p w14:paraId="269FC16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病原菌感染与免疫应答</w:t>
            </w:r>
          </w:p>
        </w:tc>
        <w:tc>
          <w:tcPr>
            <w:tcW w:w="1092" w:type="dxa"/>
            <w:gridSpan w:val="2"/>
            <w:vAlign w:val="center"/>
          </w:tcPr>
          <w:p w14:paraId="569123A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28" w:type="dxa"/>
            <w:gridSpan w:val="2"/>
            <w:vAlign w:val="center"/>
          </w:tcPr>
          <w:p w14:paraId="4C4D54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476" w:type="dxa"/>
            <w:gridSpan w:val="2"/>
            <w:vAlign w:val="center"/>
          </w:tcPr>
          <w:p w14:paraId="45BD41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基础医学等</w:t>
            </w:r>
          </w:p>
        </w:tc>
        <w:tc>
          <w:tcPr>
            <w:tcW w:w="1284" w:type="dxa"/>
            <w:gridSpan w:val="2"/>
            <w:vAlign w:val="center"/>
          </w:tcPr>
          <w:p w14:paraId="299B5C3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35</w:t>
            </w:r>
          </w:p>
        </w:tc>
        <w:tc>
          <w:tcPr>
            <w:tcW w:w="1562" w:type="dxa"/>
            <w:vMerge w:val="continue"/>
            <w:vAlign w:val="center"/>
          </w:tcPr>
          <w:p w14:paraId="4D4F4C7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6D9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67" w:type="dxa"/>
            <w:gridSpan w:val="2"/>
            <w:shd w:val="clear" w:color="auto" w:fill="E7E6E6" w:themeFill="background2"/>
            <w:noWrap/>
            <w:vAlign w:val="center"/>
          </w:tcPr>
          <w:p w14:paraId="465D766E">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项目名称</w:t>
            </w:r>
          </w:p>
        </w:tc>
        <w:tc>
          <w:tcPr>
            <w:tcW w:w="1092" w:type="dxa"/>
            <w:gridSpan w:val="2"/>
            <w:shd w:val="clear" w:color="auto" w:fill="E7E6E6" w:themeFill="background2"/>
            <w:vAlign w:val="center"/>
          </w:tcPr>
          <w:p w14:paraId="308625DF">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需求人数</w:t>
            </w:r>
          </w:p>
        </w:tc>
        <w:tc>
          <w:tcPr>
            <w:tcW w:w="1128" w:type="dxa"/>
            <w:gridSpan w:val="2"/>
            <w:shd w:val="clear" w:color="auto" w:fill="E7E6E6" w:themeFill="background2"/>
            <w:vAlign w:val="center"/>
          </w:tcPr>
          <w:p w14:paraId="0B68291D">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岗位编号</w:t>
            </w:r>
          </w:p>
        </w:tc>
        <w:tc>
          <w:tcPr>
            <w:tcW w:w="1476" w:type="dxa"/>
            <w:gridSpan w:val="2"/>
            <w:shd w:val="clear" w:color="auto" w:fill="E7E6E6" w:themeFill="background2"/>
            <w:vAlign w:val="center"/>
          </w:tcPr>
          <w:p w14:paraId="00D47B1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2BBEEED">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vAlign w:val="center"/>
          </w:tcPr>
          <w:p w14:paraId="06BFBD6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7D69C40">
            <w:pPr>
              <w:adjustRightInd w:val="0"/>
              <w:snapToGrid w:val="0"/>
              <w:spacing w:line="240" w:lineRule="auto"/>
              <w:ind w:firstLine="0" w:firstLineChars="0"/>
              <w:jc w:val="center"/>
              <w:rPr>
                <w:rFonts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62" w:type="dxa"/>
            <w:shd w:val="clear" w:color="auto" w:fill="E7E6E6" w:themeFill="background2"/>
            <w:vAlign w:val="center"/>
          </w:tcPr>
          <w:p w14:paraId="3433742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B722F34">
            <w:pPr>
              <w:adjustRightInd w:val="0"/>
              <w:snapToGrid w:val="0"/>
              <w:spacing w:line="240" w:lineRule="auto"/>
              <w:ind w:firstLine="0" w:firstLineChars="0"/>
              <w:jc w:val="center"/>
              <w:rPr>
                <w:rFonts w:eastAsiaTheme="minorEastAsia"/>
                <w:sz w:val="21"/>
                <w:szCs w:val="21"/>
              </w:rPr>
            </w:pPr>
            <w:r>
              <w:rPr>
                <w:rFonts w:eastAsiaTheme="minorEastAsia"/>
                <w:b/>
                <w:bCs/>
                <w:sz w:val="21"/>
                <w:szCs w:val="21"/>
              </w:rPr>
              <w:t>等要求</w:t>
            </w:r>
          </w:p>
        </w:tc>
      </w:tr>
      <w:tr w14:paraId="5CB7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06F2868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中药组分对造血功能调控的分子机制研究</w:t>
            </w:r>
          </w:p>
        </w:tc>
        <w:tc>
          <w:tcPr>
            <w:tcW w:w="1092" w:type="dxa"/>
            <w:gridSpan w:val="2"/>
            <w:shd w:val="clear" w:color="auto" w:fill="FFFFFF"/>
            <w:vAlign w:val="center"/>
          </w:tcPr>
          <w:p w14:paraId="3574621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1B12DB9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BSH004</w:t>
            </w:r>
          </w:p>
        </w:tc>
        <w:tc>
          <w:tcPr>
            <w:tcW w:w="1476" w:type="dxa"/>
            <w:gridSpan w:val="2"/>
            <w:shd w:val="clear" w:color="auto" w:fill="FFFFFF"/>
            <w:vAlign w:val="center"/>
          </w:tcPr>
          <w:p w14:paraId="3CE68A0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药学、生物学等</w:t>
            </w:r>
          </w:p>
        </w:tc>
        <w:tc>
          <w:tcPr>
            <w:tcW w:w="1284" w:type="dxa"/>
            <w:gridSpan w:val="2"/>
            <w:shd w:val="clear" w:color="auto" w:fill="FFFFFF"/>
            <w:vAlign w:val="center"/>
          </w:tcPr>
          <w:p w14:paraId="7AF4AC1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restart"/>
            <w:shd w:val="clear" w:color="auto" w:fill="FFFFFF"/>
            <w:vAlign w:val="center"/>
          </w:tcPr>
          <w:p w14:paraId="3460B6C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无</w:t>
            </w:r>
          </w:p>
        </w:tc>
      </w:tr>
      <w:tr w14:paraId="78B1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5D855EF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基于中医药理论的多层次药效评价和成药性技术研究</w:t>
            </w:r>
          </w:p>
        </w:tc>
        <w:tc>
          <w:tcPr>
            <w:tcW w:w="1092" w:type="dxa"/>
            <w:gridSpan w:val="2"/>
            <w:shd w:val="clear" w:color="auto" w:fill="FFFFFF"/>
            <w:vAlign w:val="center"/>
          </w:tcPr>
          <w:p w14:paraId="38CFBC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143EB86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BSH005</w:t>
            </w:r>
          </w:p>
        </w:tc>
        <w:tc>
          <w:tcPr>
            <w:tcW w:w="1476" w:type="dxa"/>
            <w:gridSpan w:val="2"/>
            <w:shd w:val="clear" w:color="auto" w:fill="FFFFFF"/>
            <w:vAlign w:val="center"/>
          </w:tcPr>
          <w:p w14:paraId="5B64BD1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药学、生物学等</w:t>
            </w:r>
          </w:p>
        </w:tc>
        <w:tc>
          <w:tcPr>
            <w:tcW w:w="1284" w:type="dxa"/>
            <w:gridSpan w:val="2"/>
            <w:shd w:val="clear" w:color="auto" w:fill="FFFFFF"/>
            <w:vAlign w:val="center"/>
          </w:tcPr>
          <w:p w14:paraId="21CD3AB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1BAF3F0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657E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50C970F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基于现代色谱质谱技术开展药物与靶点分子间相互作用分析新方法研究并进行药物筛选及成药性评价</w:t>
            </w:r>
          </w:p>
        </w:tc>
        <w:tc>
          <w:tcPr>
            <w:tcW w:w="1092" w:type="dxa"/>
            <w:gridSpan w:val="2"/>
            <w:shd w:val="clear" w:color="auto" w:fill="FFFFFF"/>
            <w:vAlign w:val="center"/>
          </w:tcPr>
          <w:p w14:paraId="2FFE115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1-2</w:t>
            </w:r>
          </w:p>
        </w:tc>
        <w:tc>
          <w:tcPr>
            <w:tcW w:w="1128" w:type="dxa"/>
            <w:gridSpan w:val="2"/>
            <w:shd w:val="clear" w:color="auto" w:fill="FFFFFF"/>
            <w:vAlign w:val="center"/>
          </w:tcPr>
          <w:p w14:paraId="0B798AB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BSH006</w:t>
            </w:r>
          </w:p>
        </w:tc>
        <w:tc>
          <w:tcPr>
            <w:tcW w:w="1476" w:type="dxa"/>
            <w:gridSpan w:val="2"/>
            <w:shd w:val="clear" w:color="auto" w:fill="FFFFFF"/>
            <w:vAlign w:val="center"/>
          </w:tcPr>
          <w:p w14:paraId="3B0238D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药学、化学、临床医学、生物学等</w:t>
            </w:r>
          </w:p>
        </w:tc>
        <w:tc>
          <w:tcPr>
            <w:tcW w:w="1284" w:type="dxa"/>
            <w:gridSpan w:val="2"/>
            <w:shd w:val="clear" w:color="auto" w:fill="FFFFFF"/>
            <w:vAlign w:val="center"/>
          </w:tcPr>
          <w:p w14:paraId="25E95C8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2F4F232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565E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186FF93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天然药物抗衰老及相关疾病的作用与机制</w:t>
            </w:r>
          </w:p>
        </w:tc>
        <w:tc>
          <w:tcPr>
            <w:tcW w:w="1092" w:type="dxa"/>
            <w:gridSpan w:val="2"/>
            <w:shd w:val="clear" w:color="auto" w:fill="FFFFFF"/>
            <w:vAlign w:val="center"/>
          </w:tcPr>
          <w:p w14:paraId="061F3D6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13AE758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BSH007</w:t>
            </w:r>
          </w:p>
        </w:tc>
        <w:tc>
          <w:tcPr>
            <w:tcW w:w="1476" w:type="dxa"/>
            <w:gridSpan w:val="2"/>
            <w:shd w:val="clear" w:color="auto" w:fill="FFFFFF"/>
            <w:vAlign w:val="center"/>
          </w:tcPr>
          <w:p w14:paraId="25F8DCFD">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临床医学、中西医结合、药学、中药学、生物学等</w:t>
            </w:r>
          </w:p>
        </w:tc>
        <w:tc>
          <w:tcPr>
            <w:tcW w:w="1284" w:type="dxa"/>
            <w:gridSpan w:val="2"/>
            <w:shd w:val="clear" w:color="auto" w:fill="FFFFFF"/>
            <w:vAlign w:val="center"/>
          </w:tcPr>
          <w:p w14:paraId="7B8986A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3F0C7DB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3B50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62391FB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新型离子通道和转运蛋白的发现及生理功能研究</w:t>
            </w:r>
          </w:p>
        </w:tc>
        <w:tc>
          <w:tcPr>
            <w:tcW w:w="1092" w:type="dxa"/>
            <w:gridSpan w:val="2"/>
            <w:shd w:val="clear" w:color="auto" w:fill="FFFFFF"/>
            <w:vAlign w:val="center"/>
          </w:tcPr>
          <w:p w14:paraId="48E6F7B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1-2</w:t>
            </w:r>
          </w:p>
        </w:tc>
        <w:tc>
          <w:tcPr>
            <w:tcW w:w="1128" w:type="dxa"/>
            <w:gridSpan w:val="2"/>
            <w:shd w:val="clear" w:color="auto" w:fill="FFFFFF"/>
            <w:vAlign w:val="center"/>
          </w:tcPr>
          <w:p w14:paraId="325DF7F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BSH008</w:t>
            </w:r>
          </w:p>
        </w:tc>
        <w:tc>
          <w:tcPr>
            <w:tcW w:w="1476" w:type="dxa"/>
            <w:gridSpan w:val="2"/>
            <w:shd w:val="clear" w:color="auto" w:fill="FFFFFF"/>
            <w:vAlign w:val="center"/>
          </w:tcPr>
          <w:p w14:paraId="5937489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生物学、基础医学等</w:t>
            </w:r>
          </w:p>
        </w:tc>
        <w:tc>
          <w:tcPr>
            <w:tcW w:w="1284" w:type="dxa"/>
            <w:gridSpan w:val="2"/>
            <w:shd w:val="clear" w:color="auto" w:fill="FFFFFF"/>
            <w:vAlign w:val="center"/>
          </w:tcPr>
          <w:p w14:paraId="14136CB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362DB97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4862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5BA2C54B">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椎间盘退变的中西医结合防治</w:t>
            </w:r>
          </w:p>
        </w:tc>
        <w:tc>
          <w:tcPr>
            <w:tcW w:w="1092" w:type="dxa"/>
            <w:gridSpan w:val="2"/>
            <w:shd w:val="clear" w:color="auto" w:fill="FFFFFF"/>
            <w:vAlign w:val="center"/>
          </w:tcPr>
          <w:p w14:paraId="2127B88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28961C5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BSH009</w:t>
            </w:r>
          </w:p>
        </w:tc>
        <w:tc>
          <w:tcPr>
            <w:tcW w:w="1476" w:type="dxa"/>
            <w:gridSpan w:val="2"/>
            <w:shd w:val="clear" w:color="auto" w:fill="FFFFFF"/>
            <w:vAlign w:val="center"/>
          </w:tcPr>
          <w:p w14:paraId="0FB1591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中医学、中西医结合、临床医学等</w:t>
            </w:r>
          </w:p>
        </w:tc>
        <w:tc>
          <w:tcPr>
            <w:tcW w:w="1284" w:type="dxa"/>
            <w:gridSpan w:val="2"/>
            <w:shd w:val="clear" w:color="auto" w:fill="FFFFFF"/>
            <w:vAlign w:val="center"/>
          </w:tcPr>
          <w:p w14:paraId="08E4C7F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14725EA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1110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6EAF9BD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骨与软组织修复与重建</w:t>
            </w:r>
          </w:p>
        </w:tc>
        <w:tc>
          <w:tcPr>
            <w:tcW w:w="1092" w:type="dxa"/>
            <w:gridSpan w:val="2"/>
            <w:shd w:val="clear" w:color="auto" w:fill="FFFFFF"/>
            <w:vAlign w:val="center"/>
          </w:tcPr>
          <w:p w14:paraId="0BB12C0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6D8BC37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BSH010</w:t>
            </w:r>
          </w:p>
        </w:tc>
        <w:tc>
          <w:tcPr>
            <w:tcW w:w="1476" w:type="dxa"/>
            <w:gridSpan w:val="2"/>
            <w:shd w:val="clear" w:color="auto" w:fill="FFFFFF"/>
            <w:vAlign w:val="center"/>
          </w:tcPr>
          <w:p w14:paraId="0B93122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中医学、中西医结合、临床医学等</w:t>
            </w:r>
          </w:p>
        </w:tc>
        <w:tc>
          <w:tcPr>
            <w:tcW w:w="1284" w:type="dxa"/>
            <w:gridSpan w:val="2"/>
            <w:shd w:val="clear" w:color="auto" w:fill="FFFFFF"/>
            <w:vAlign w:val="center"/>
          </w:tcPr>
          <w:p w14:paraId="171F6BF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18CEBDA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CB1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5036B9F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生物材料及3D打印研发应用</w:t>
            </w:r>
          </w:p>
        </w:tc>
        <w:tc>
          <w:tcPr>
            <w:tcW w:w="1092" w:type="dxa"/>
            <w:gridSpan w:val="2"/>
            <w:shd w:val="clear" w:color="auto" w:fill="FFFFFF"/>
            <w:vAlign w:val="center"/>
          </w:tcPr>
          <w:p w14:paraId="75662D3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261B4F6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BSH011</w:t>
            </w:r>
          </w:p>
        </w:tc>
        <w:tc>
          <w:tcPr>
            <w:tcW w:w="1476" w:type="dxa"/>
            <w:gridSpan w:val="2"/>
            <w:shd w:val="clear" w:color="auto" w:fill="FFFFFF"/>
            <w:vAlign w:val="center"/>
          </w:tcPr>
          <w:p w14:paraId="5229608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中医学、中西医结合、临床医学等</w:t>
            </w:r>
          </w:p>
        </w:tc>
        <w:tc>
          <w:tcPr>
            <w:tcW w:w="1284" w:type="dxa"/>
            <w:gridSpan w:val="2"/>
            <w:shd w:val="clear" w:color="auto" w:fill="FFFFFF"/>
            <w:vAlign w:val="center"/>
          </w:tcPr>
          <w:p w14:paraId="4636276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536ADB4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6DC2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0956256F">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纳米生物传感器与中药质量和效应评价</w:t>
            </w:r>
          </w:p>
        </w:tc>
        <w:tc>
          <w:tcPr>
            <w:tcW w:w="1092" w:type="dxa"/>
            <w:gridSpan w:val="2"/>
            <w:shd w:val="clear" w:color="auto" w:fill="FFFFFF"/>
            <w:vAlign w:val="center"/>
          </w:tcPr>
          <w:p w14:paraId="42FB298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34CEA1E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BSH012</w:t>
            </w:r>
          </w:p>
        </w:tc>
        <w:tc>
          <w:tcPr>
            <w:tcW w:w="1476" w:type="dxa"/>
            <w:gridSpan w:val="2"/>
            <w:shd w:val="clear" w:color="auto" w:fill="FFFFFF"/>
            <w:vAlign w:val="center"/>
          </w:tcPr>
          <w:p w14:paraId="2452952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中医学、中西医结合、临床医学、生物学等</w:t>
            </w:r>
          </w:p>
        </w:tc>
        <w:tc>
          <w:tcPr>
            <w:tcW w:w="1284" w:type="dxa"/>
            <w:gridSpan w:val="2"/>
            <w:shd w:val="clear" w:color="auto" w:fill="FFFFFF"/>
            <w:vAlign w:val="center"/>
          </w:tcPr>
          <w:p w14:paraId="78459DB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5088959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7EF8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67" w:type="dxa"/>
            <w:gridSpan w:val="2"/>
            <w:shd w:val="clear" w:color="auto" w:fill="E7E6E6" w:themeFill="background2"/>
            <w:noWrap/>
            <w:vAlign w:val="center"/>
          </w:tcPr>
          <w:p w14:paraId="62C68B0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项目名称</w:t>
            </w:r>
          </w:p>
        </w:tc>
        <w:tc>
          <w:tcPr>
            <w:tcW w:w="1092" w:type="dxa"/>
            <w:gridSpan w:val="2"/>
            <w:shd w:val="clear" w:color="auto" w:fill="E7E6E6" w:themeFill="background2"/>
            <w:vAlign w:val="center"/>
          </w:tcPr>
          <w:p w14:paraId="65724C79">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需求人数</w:t>
            </w:r>
          </w:p>
        </w:tc>
        <w:tc>
          <w:tcPr>
            <w:tcW w:w="1128" w:type="dxa"/>
            <w:gridSpan w:val="2"/>
            <w:shd w:val="clear" w:color="auto" w:fill="E7E6E6" w:themeFill="background2"/>
            <w:vAlign w:val="center"/>
          </w:tcPr>
          <w:p w14:paraId="4584E09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eastAsiaTheme="minorEastAsia"/>
                <w:b/>
                <w:bCs/>
                <w:sz w:val="21"/>
                <w:szCs w:val="21"/>
              </w:rPr>
              <w:t>岗位编号</w:t>
            </w:r>
          </w:p>
        </w:tc>
        <w:tc>
          <w:tcPr>
            <w:tcW w:w="1476" w:type="dxa"/>
            <w:gridSpan w:val="2"/>
            <w:shd w:val="clear" w:color="auto" w:fill="E7E6E6" w:themeFill="background2"/>
            <w:vAlign w:val="center"/>
          </w:tcPr>
          <w:p w14:paraId="0A77295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4BCF9DA">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shd w:val="clear" w:color="auto" w:fill="E7E6E6" w:themeFill="background2"/>
            <w:vAlign w:val="center"/>
          </w:tcPr>
          <w:p w14:paraId="2037B9C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71216D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62" w:type="dxa"/>
            <w:shd w:val="clear" w:color="auto" w:fill="E7E6E6" w:themeFill="background2"/>
            <w:vAlign w:val="center"/>
          </w:tcPr>
          <w:p w14:paraId="219A1C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304F0E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等要求</w:t>
            </w:r>
          </w:p>
        </w:tc>
      </w:tr>
      <w:tr w14:paraId="5DE5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6CEC06DE">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治疗一体化纳米药物载体</w:t>
            </w:r>
          </w:p>
        </w:tc>
        <w:tc>
          <w:tcPr>
            <w:tcW w:w="1092" w:type="dxa"/>
            <w:gridSpan w:val="2"/>
            <w:shd w:val="clear" w:color="auto" w:fill="FFFFFF"/>
            <w:vAlign w:val="center"/>
          </w:tcPr>
          <w:p w14:paraId="0E5054E7">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6E9FBDE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BSH013</w:t>
            </w:r>
          </w:p>
        </w:tc>
        <w:tc>
          <w:tcPr>
            <w:tcW w:w="1476" w:type="dxa"/>
            <w:gridSpan w:val="2"/>
            <w:shd w:val="clear" w:color="auto" w:fill="FFFFFF"/>
            <w:vAlign w:val="center"/>
          </w:tcPr>
          <w:p w14:paraId="6F47388F">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中医学、中西医结合、临床医学、生物学等</w:t>
            </w:r>
          </w:p>
        </w:tc>
        <w:tc>
          <w:tcPr>
            <w:tcW w:w="1284" w:type="dxa"/>
            <w:gridSpan w:val="2"/>
            <w:shd w:val="clear" w:color="auto" w:fill="FFFFFF"/>
            <w:vAlign w:val="center"/>
          </w:tcPr>
          <w:p w14:paraId="60D815C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1562" w:type="dxa"/>
            <w:vMerge w:val="restart"/>
            <w:shd w:val="clear" w:color="auto" w:fill="FFFFFF"/>
            <w:vAlign w:val="center"/>
          </w:tcPr>
          <w:p w14:paraId="76A9AFD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无</w:t>
            </w:r>
          </w:p>
        </w:tc>
      </w:tr>
      <w:tr w14:paraId="79AD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67" w:type="dxa"/>
            <w:gridSpan w:val="2"/>
            <w:shd w:val="clear" w:color="auto" w:fill="FFFFFF"/>
            <w:noWrap/>
            <w:vAlign w:val="center"/>
          </w:tcPr>
          <w:p w14:paraId="21390F36">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纳米荧光生物传感与实时监测新技术</w:t>
            </w:r>
          </w:p>
        </w:tc>
        <w:tc>
          <w:tcPr>
            <w:tcW w:w="1092" w:type="dxa"/>
            <w:gridSpan w:val="2"/>
            <w:shd w:val="clear" w:color="auto" w:fill="FFFFFF"/>
            <w:vAlign w:val="center"/>
          </w:tcPr>
          <w:p w14:paraId="6692F27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8" w:type="dxa"/>
            <w:gridSpan w:val="2"/>
            <w:shd w:val="clear" w:color="auto" w:fill="FFFFFF"/>
            <w:vAlign w:val="center"/>
          </w:tcPr>
          <w:p w14:paraId="478EEC9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BSH014</w:t>
            </w:r>
          </w:p>
        </w:tc>
        <w:tc>
          <w:tcPr>
            <w:tcW w:w="1476" w:type="dxa"/>
            <w:gridSpan w:val="2"/>
            <w:shd w:val="clear" w:color="auto" w:fill="FFFFFF"/>
            <w:vAlign w:val="center"/>
          </w:tcPr>
          <w:p w14:paraId="4A2C6D5F">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中医学、中西医结合、临床医学、生物学等</w:t>
            </w:r>
          </w:p>
        </w:tc>
        <w:tc>
          <w:tcPr>
            <w:tcW w:w="1284" w:type="dxa"/>
            <w:gridSpan w:val="2"/>
            <w:shd w:val="clear" w:color="auto" w:fill="FFFFFF"/>
            <w:vAlign w:val="center"/>
          </w:tcPr>
          <w:p w14:paraId="26B4FDD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1562" w:type="dxa"/>
            <w:vMerge w:val="continue"/>
            <w:shd w:val="clear" w:color="auto" w:fill="FFFFFF"/>
            <w:vAlign w:val="center"/>
          </w:tcPr>
          <w:p w14:paraId="4584BB2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bl>
    <w:p w14:paraId="6A77130F">
      <w:pPr>
        <w:widowControl/>
        <w:spacing w:line="240" w:lineRule="auto"/>
        <w:ind w:firstLine="0"/>
        <w:jc w:val="left"/>
        <w:rPr>
          <w:sz w:val="21"/>
          <w:szCs w:val="21"/>
        </w:rPr>
      </w:pPr>
      <w:r>
        <w:rPr>
          <w:sz w:val="21"/>
          <w:szCs w:val="21"/>
        </w:rPr>
        <w:br w:type="page"/>
      </w:r>
    </w:p>
    <w:p w14:paraId="1EFE606F">
      <w:pPr>
        <w:pStyle w:val="5"/>
        <w:adjustRightInd w:val="0"/>
        <w:snapToGrid w:val="0"/>
        <w:spacing w:line="240" w:lineRule="auto"/>
        <w:jc w:val="center"/>
        <w:rPr>
          <w:rFonts w:eastAsia="方正小标宋简体"/>
          <w:sz w:val="44"/>
          <w:szCs w:val="44"/>
        </w:rPr>
      </w:pPr>
    </w:p>
    <w:p w14:paraId="7F15310E">
      <w:pPr>
        <w:pStyle w:val="5"/>
        <w:adjustRightInd w:val="0"/>
        <w:snapToGrid w:val="0"/>
        <w:spacing w:line="240" w:lineRule="auto"/>
        <w:ind w:firstLine="0"/>
        <w:jc w:val="center"/>
        <w:outlineLvl w:val="0"/>
        <w:rPr>
          <w:rFonts w:eastAsia="方正小标宋简体"/>
          <w:sz w:val="44"/>
          <w:szCs w:val="44"/>
        </w:rPr>
      </w:pPr>
      <w:bookmarkStart w:id="467" w:name="_Toc2283"/>
      <w:bookmarkStart w:id="468" w:name="_Toc16302"/>
      <w:bookmarkStart w:id="469" w:name="_Toc10894"/>
      <w:bookmarkStart w:id="470" w:name="_Toc26012"/>
      <w:bookmarkStart w:id="471" w:name="_Toc21935"/>
      <w:r>
        <w:rPr>
          <w:rFonts w:eastAsia="方正小标宋简体"/>
          <w:sz w:val="44"/>
          <w:szCs w:val="44"/>
          <w:highlight w:val="none"/>
        </w:rPr>
        <w:t>西南医科大学心血管医学研究所</w:t>
      </w:r>
      <w:bookmarkEnd w:id="467"/>
      <w:bookmarkEnd w:id="468"/>
      <w:bookmarkEnd w:id="469"/>
      <w:bookmarkEnd w:id="470"/>
      <w:bookmarkEnd w:id="471"/>
    </w:p>
    <w:p w14:paraId="50BA990E">
      <w:pPr>
        <w:pStyle w:val="5"/>
        <w:adjustRightInd w:val="0"/>
        <w:snapToGrid w:val="0"/>
        <w:spacing w:line="240" w:lineRule="auto"/>
        <w:jc w:val="center"/>
        <w:rPr>
          <w:sz w:val="21"/>
          <w:szCs w:val="21"/>
        </w:rPr>
      </w:pPr>
    </w:p>
    <w:tbl>
      <w:tblPr>
        <w:tblStyle w:val="25"/>
        <w:tblW w:w="9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425"/>
        <w:gridCol w:w="1133"/>
        <w:gridCol w:w="43"/>
        <w:gridCol w:w="1104"/>
        <w:gridCol w:w="536"/>
        <w:gridCol w:w="1096"/>
        <w:gridCol w:w="499"/>
        <w:gridCol w:w="1301"/>
        <w:gridCol w:w="228"/>
        <w:gridCol w:w="1976"/>
      </w:tblGrid>
      <w:tr w14:paraId="5CFB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1" w:type="dxa"/>
            <w:shd w:val="clear" w:color="auto" w:fill="E7E6E6" w:themeFill="background2"/>
            <w:noWrap/>
            <w:vAlign w:val="center"/>
          </w:tcPr>
          <w:p w14:paraId="3BC10AA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1" w:type="dxa"/>
            <w:gridSpan w:val="3"/>
            <w:shd w:val="clear" w:color="000000" w:fill="FFFFFF"/>
            <w:noWrap/>
            <w:vAlign w:val="center"/>
          </w:tcPr>
          <w:p w14:paraId="59BD4E50">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40" w:type="dxa"/>
            <w:gridSpan w:val="2"/>
            <w:shd w:val="clear" w:color="auto" w:fill="E7E6E6" w:themeFill="background2"/>
            <w:noWrap/>
            <w:vAlign w:val="center"/>
          </w:tcPr>
          <w:p w14:paraId="0609550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95" w:type="dxa"/>
            <w:gridSpan w:val="2"/>
            <w:shd w:val="clear" w:color="000000" w:fill="FFFFFF"/>
            <w:noWrap/>
            <w:vAlign w:val="center"/>
          </w:tcPr>
          <w:p w14:paraId="5CD7E2D1">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32BECA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6" w:type="dxa"/>
            <w:shd w:val="clear" w:color="000000" w:fill="FFFFFF"/>
            <w:noWrap/>
            <w:vAlign w:val="center"/>
          </w:tcPr>
          <w:p w14:paraId="60AB783D">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14:paraId="4311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1" w:type="dxa"/>
            <w:shd w:val="clear" w:color="auto" w:fill="E7E6E6" w:themeFill="background2"/>
            <w:noWrap/>
            <w:vAlign w:val="center"/>
          </w:tcPr>
          <w:p w14:paraId="1165A80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41" w:type="dxa"/>
            <w:gridSpan w:val="10"/>
            <w:shd w:val="clear" w:color="000000" w:fill="FFFFFF"/>
            <w:noWrap/>
            <w:vAlign w:val="center"/>
          </w:tcPr>
          <w:p w14:paraId="1F479F11">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四川省泸州市龙马潭区香林路1段1号，西南医科大学</w:t>
            </w:r>
          </w:p>
        </w:tc>
      </w:tr>
      <w:tr w14:paraId="0A1A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6" w:hRule="atLeast"/>
          <w:jc w:val="center"/>
        </w:trPr>
        <w:tc>
          <w:tcPr>
            <w:tcW w:w="1551" w:type="dxa"/>
            <w:shd w:val="clear" w:color="auto" w:fill="E7E6E6" w:themeFill="background2"/>
            <w:noWrap/>
            <w:vAlign w:val="center"/>
          </w:tcPr>
          <w:p w14:paraId="68F5861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41" w:type="dxa"/>
            <w:gridSpan w:val="10"/>
            <w:shd w:val="clear" w:color="000000" w:fill="FFFFFF"/>
            <w:vAlign w:val="center"/>
          </w:tcPr>
          <w:p w14:paraId="21CDBE1B">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西南医科大学心血管医学研究所博士后工作站・医学电生理学教育部重点实验室・医学电生理四川省重点实验室是整合学校科技、人才资源建设的专职科学研究基地。目前，是国际上最大、国内知名的医学电生理学研究基地、优秀创新人才培养和学术交流中心。</w:t>
            </w:r>
          </w:p>
          <w:p w14:paraId="28DE33C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博士后科研工作站依托生理学、药理学、临床医学（心血管内科学，心脏大血管外科学，神经科学）等学科开展研究工作，相继被列为四川省重点学科，四川省重点实验室，四川省科技条件平台（膜通道功能、结构与信号转导同步研究基地），国家中医药管理局三级实验室，教育部重点实验室。</w:t>
            </w:r>
          </w:p>
          <w:p w14:paraId="4359DF78">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西南医科大学心血管医学研究所博士后科研工作站于2010年12月正式挂牌成立，现与浙江大学医学部合作，面向海内外公开招收博士后研究人员，欢迎有志之士加盟！</w:t>
            </w:r>
          </w:p>
        </w:tc>
      </w:tr>
      <w:tr w14:paraId="088A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jc w:val="center"/>
        </w:trPr>
        <w:tc>
          <w:tcPr>
            <w:tcW w:w="1551" w:type="dxa"/>
            <w:shd w:val="clear" w:color="auto" w:fill="E7E6E6" w:themeFill="background2"/>
            <w:noWrap/>
            <w:vAlign w:val="center"/>
          </w:tcPr>
          <w:p w14:paraId="1497F8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41" w:type="dxa"/>
            <w:gridSpan w:val="10"/>
            <w:shd w:val="clear" w:color="000000" w:fill="FFFFFF"/>
            <w:vAlign w:val="center"/>
          </w:tcPr>
          <w:p w14:paraId="75796FE5">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1.《西南医科大学博士后科研工作站管理办法》</w:t>
            </w:r>
          </w:p>
          <w:p w14:paraId="6E0F4F26">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2.《西南医科大学博士后指导教师选聘及管理办法》</w:t>
            </w:r>
            <w:r>
              <w:rPr>
                <w:rFonts w:hint="eastAsia" w:eastAsiaTheme="minorEastAsia"/>
                <w:sz w:val="21"/>
                <w:szCs w:val="21"/>
              </w:rPr>
              <w:tab/>
            </w:r>
          </w:p>
          <w:p w14:paraId="7A23BBF6">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3.《西南医科大学博士后研究人员考核管理办法》</w:t>
            </w:r>
          </w:p>
        </w:tc>
      </w:tr>
      <w:tr w14:paraId="4D4F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76" w:type="dxa"/>
            <w:gridSpan w:val="2"/>
            <w:shd w:val="clear" w:color="auto" w:fill="E7E6E6" w:themeFill="background2"/>
            <w:noWrap/>
            <w:vAlign w:val="center"/>
          </w:tcPr>
          <w:p w14:paraId="5FD8736C">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项目名称</w:t>
            </w:r>
          </w:p>
        </w:tc>
        <w:tc>
          <w:tcPr>
            <w:tcW w:w="1133" w:type="dxa"/>
            <w:shd w:val="clear" w:color="auto" w:fill="E7E6E6" w:themeFill="background2"/>
            <w:vAlign w:val="center"/>
          </w:tcPr>
          <w:p w14:paraId="2B1A58EB">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需求人数</w:t>
            </w:r>
          </w:p>
        </w:tc>
        <w:tc>
          <w:tcPr>
            <w:tcW w:w="1147" w:type="dxa"/>
            <w:gridSpan w:val="2"/>
            <w:shd w:val="clear" w:color="auto" w:fill="E7E6E6" w:themeFill="background2"/>
            <w:vAlign w:val="center"/>
          </w:tcPr>
          <w:p w14:paraId="36E11FA4">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岗位编号</w:t>
            </w:r>
          </w:p>
        </w:tc>
        <w:tc>
          <w:tcPr>
            <w:tcW w:w="1632" w:type="dxa"/>
            <w:gridSpan w:val="2"/>
            <w:shd w:val="clear" w:color="auto" w:fill="E7E6E6" w:themeFill="background2"/>
            <w:vAlign w:val="center"/>
          </w:tcPr>
          <w:p w14:paraId="7E7E627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32F6B51">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800" w:type="dxa"/>
            <w:gridSpan w:val="2"/>
            <w:shd w:val="clear" w:color="auto" w:fill="E7E6E6" w:themeFill="background2"/>
            <w:vAlign w:val="center"/>
          </w:tcPr>
          <w:p w14:paraId="67E6C21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0FC0863">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04" w:type="dxa"/>
            <w:gridSpan w:val="2"/>
            <w:shd w:val="clear" w:color="auto" w:fill="E7E6E6" w:themeFill="background2"/>
            <w:vAlign w:val="center"/>
          </w:tcPr>
          <w:p w14:paraId="0FB37E32">
            <w:pPr>
              <w:adjustRightInd w:val="0"/>
              <w:snapToGrid w:val="0"/>
              <w:spacing w:line="240" w:lineRule="auto"/>
              <w:ind w:firstLine="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1E71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76" w:type="dxa"/>
            <w:gridSpan w:val="2"/>
            <w:shd w:val="clear" w:color="auto" w:fill="FFFFFF"/>
            <w:noWrap/>
            <w:vAlign w:val="center"/>
          </w:tcPr>
          <w:p w14:paraId="0E2D7D96">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外科学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廖斌</w:t>
            </w:r>
          </w:p>
        </w:tc>
        <w:tc>
          <w:tcPr>
            <w:tcW w:w="1133" w:type="dxa"/>
            <w:shd w:val="clear" w:color="auto" w:fill="FFFFFF"/>
            <w:vAlign w:val="center"/>
          </w:tcPr>
          <w:p w14:paraId="0AE8FA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47" w:type="dxa"/>
            <w:gridSpan w:val="2"/>
            <w:shd w:val="clear" w:color="auto" w:fill="FFFFFF"/>
            <w:vAlign w:val="center"/>
          </w:tcPr>
          <w:p w14:paraId="2DCDE7A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632" w:type="dxa"/>
            <w:gridSpan w:val="2"/>
            <w:shd w:val="clear" w:color="auto" w:fill="FFFFFF"/>
            <w:vAlign w:val="center"/>
          </w:tcPr>
          <w:p w14:paraId="4D6C950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临床医学</w:t>
            </w:r>
          </w:p>
        </w:tc>
        <w:tc>
          <w:tcPr>
            <w:tcW w:w="1800" w:type="dxa"/>
            <w:gridSpan w:val="2"/>
            <w:shd w:val="clear" w:color="auto" w:fill="FFFFFF"/>
            <w:vAlign w:val="center"/>
          </w:tcPr>
          <w:p w14:paraId="13C7764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204" w:type="dxa"/>
            <w:gridSpan w:val="2"/>
            <w:vMerge w:val="restart"/>
            <w:shd w:val="clear" w:color="auto" w:fill="FFFFFF"/>
            <w:vAlign w:val="center"/>
          </w:tcPr>
          <w:p w14:paraId="2574B37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高</w:t>
            </w:r>
            <w:r>
              <w:rPr>
                <w:rFonts w:hint="default" w:ascii="Times New Roman" w:hAnsi="Times New Roman" w:cs="Times New Roman" w:eastAsiaTheme="minorEastAsia"/>
                <w:sz w:val="21"/>
                <w:szCs w:val="21"/>
              </w:rPr>
              <w:t>等院校或研究所</w:t>
            </w:r>
          </w:p>
        </w:tc>
      </w:tr>
      <w:tr w14:paraId="10AF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76" w:type="dxa"/>
            <w:gridSpan w:val="2"/>
            <w:shd w:val="clear" w:color="auto" w:fill="FFFFFF"/>
            <w:noWrap/>
            <w:vAlign w:val="center"/>
          </w:tcPr>
          <w:p w14:paraId="3953692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心血管病学</w:t>
            </w:r>
            <w:r>
              <w:rPr>
                <w:rFonts w:hint="default" w:ascii="Times New Roman" w:hAnsi="Times New Roman" w:cs="Times New Roman" w:eastAsiaTheme="minorEastAsia"/>
                <w:kern w:val="2"/>
                <w:sz w:val="21"/>
                <w:szCs w:val="21"/>
                <w:lang w:val="en-US" w:eastAsia="zh-CN"/>
              </w:rPr>
              <w:t>,</w:t>
            </w:r>
            <w:r>
              <w:rPr>
                <w:rFonts w:hint="default" w:ascii="Times New Roman" w:hAnsi="Times New Roman" w:cs="Times New Roman" w:eastAsiaTheme="minorEastAsia"/>
                <w:kern w:val="2"/>
                <w:sz w:val="21"/>
                <w:szCs w:val="21"/>
              </w:rPr>
              <w:t>张春祥</w:t>
            </w:r>
          </w:p>
        </w:tc>
        <w:tc>
          <w:tcPr>
            <w:tcW w:w="1133" w:type="dxa"/>
            <w:shd w:val="clear" w:color="auto" w:fill="FFFFFF"/>
            <w:vAlign w:val="center"/>
          </w:tcPr>
          <w:p w14:paraId="43B006F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47" w:type="dxa"/>
            <w:gridSpan w:val="2"/>
            <w:shd w:val="clear" w:color="auto" w:fill="FFFFFF"/>
            <w:vAlign w:val="center"/>
          </w:tcPr>
          <w:p w14:paraId="7D473DA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632" w:type="dxa"/>
            <w:gridSpan w:val="2"/>
            <w:shd w:val="clear" w:color="auto" w:fill="FFFFFF"/>
            <w:vAlign w:val="center"/>
          </w:tcPr>
          <w:p w14:paraId="31EE2EC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临床医学</w:t>
            </w:r>
          </w:p>
        </w:tc>
        <w:tc>
          <w:tcPr>
            <w:tcW w:w="1800" w:type="dxa"/>
            <w:gridSpan w:val="2"/>
            <w:shd w:val="clear" w:color="auto" w:fill="FFFFFF"/>
            <w:vAlign w:val="center"/>
          </w:tcPr>
          <w:p w14:paraId="4A096C9F">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204" w:type="dxa"/>
            <w:gridSpan w:val="2"/>
            <w:vMerge w:val="continue"/>
            <w:shd w:val="clear" w:color="auto" w:fill="FFFFFF"/>
            <w:vAlign w:val="center"/>
          </w:tcPr>
          <w:p w14:paraId="2092118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61DF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76" w:type="dxa"/>
            <w:gridSpan w:val="2"/>
            <w:shd w:val="clear" w:color="auto" w:fill="FFFFFF"/>
            <w:noWrap/>
            <w:vAlign w:val="center"/>
          </w:tcPr>
          <w:p w14:paraId="46485C4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外科学，</w:t>
            </w:r>
            <w:r>
              <w:rPr>
                <w:rFonts w:hint="default" w:ascii="Times New Roman" w:hAnsi="Times New Roman" w:cs="Times New Roman" w:eastAsiaTheme="minorEastAsia"/>
                <w:sz w:val="21"/>
                <w:szCs w:val="21"/>
              </w:rPr>
              <w:t>江涌</w:t>
            </w:r>
          </w:p>
        </w:tc>
        <w:tc>
          <w:tcPr>
            <w:tcW w:w="1133" w:type="dxa"/>
            <w:shd w:val="clear" w:color="auto" w:fill="FFFFFF"/>
            <w:vAlign w:val="center"/>
          </w:tcPr>
          <w:p w14:paraId="06D2E63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47" w:type="dxa"/>
            <w:gridSpan w:val="2"/>
            <w:shd w:val="clear" w:color="auto" w:fill="FFFFFF"/>
            <w:vAlign w:val="center"/>
          </w:tcPr>
          <w:p w14:paraId="3635803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632" w:type="dxa"/>
            <w:gridSpan w:val="2"/>
            <w:shd w:val="clear" w:color="auto" w:fill="FFFFFF"/>
            <w:vAlign w:val="center"/>
          </w:tcPr>
          <w:p w14:paraId="3128526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临床医学</w:t>
            </w:r>
          </w:p>
        </w:tc>
        <w:tc>
          <w:tcPr>
            <w:tcW w:w="1800" w:type="dxa"/>
            <w:gridSpan w:val="2"/>
            <w:shd w:val="clear" w:color="auto" w:fill="FFFFFF"/>
            <w:vAlign w:val="center"/>
          </w:tcPr>
          <w:p w14:paraId="39C8926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204" w:type="dxa"/>
            <w:gridSpan w:val="2"/>
            <w:vMerge w:val="continue"/>
            <w:shd w:val="clear" w:color="auto" w:fill="FFFFFF"/>
            <w:vAlign w:val="center"/>
          </w:tcPr>
          <w:p w14:paraId="2A79B1FF">
            <w:pPr>
              <w:adjustRightInd w:val="0"/>
              <w:snapToGrid w:val="0"/>
              <w:spacing w:line="240" w:lineRule="auto"/>
              <w:ind w:left="0" w:leftChars="0" w:firstLine="0" w:firstLineChars="0"/>
              <w:jc w:val="both"/>
              <w:rPr>
                <w:rFonts w:hint="default" w:ascii="Times New Roman" w:hAnsi="Times New Roman" w:cs="Times New Roman" w:eastAsiaTheme="minorEastAsia"/>
                <w:kern w:val="2"/>
                <w:sz w:val="21"/>
                <w:szCs w:val="21"/>
                <w:lang w:val="en-US" w:eastAsia="zh-CN" w:bidi="ar-SA"/>
              </w:rPr>
            </w:pPr>
          </w:p>
        </w:tc>
      </w:tr>
      <w:tr w14:paraId="18C1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976" w:type="dxa"/>
            <w:gridSpan w:val="2"/>
            <w:shd w:val="clear" w:color="auto" w:fill="FFFFFF"/>
            <w:noWrap/>
            <w:vAlign w:val="center"/>
          </w:tcPr>
          <w:p w14:paraId="7D513356">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创新药与大健康品研究及产业化；基于药动学的临床药学研究与应用</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赵领</w:t>
            </w:r>
          </w:p>
        </w:tc>
        <w:tc>
          <w:tcPr>
            <w:tcW w:w="1133" w:type="dxa"/>
            <w:shd w:val="clear" w:color="auto" w:fill="FFFFFF"/>
            <w:vAlign w:val="center"/>
          </w:tcPr>
          <w:p w14:paraId="0642ADA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47" w:type="dxa"/>
            <w:gridSpan w:val="2"/>
            <w:shd w:val="clear" w:color="auto" w:fill="FFFFFF"/>
            <w:vAlign w:val="center"/>
          </w:tcPr>
          <w:p w14:paraId="64363BD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632" w:type="dxa"/>
            <w:gridSpan w:val="2"/>
            <w:shd w:val="clear" w:color="auto" w:fill="FFFFFF"/>
            <w:vAlign w:val="center"/>
          </w:tcPr>
          <w:p w14:paraId="23192A1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药学</w:t>
            </w:r>
          </w:p>
        </w:tc>
        <w:tc>
          <w:tcPr>
            <w:tcW w:w="1800" w:type="dxa"/>
            <w:gridSpan w:val="2"/>
            <w:shd w:val="clear" w:color="auto" w:fill="FFFFFF"/>
            <w:vAlign w:val="center"/>
          </w:tcPr>
          <w:p w14:paraId="3093B0E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204" w:type="dxa"/>
            <w:gridSpan w:val="2"/>
            <w:vMerge w:val="continue"/>
            <w:shd w:val="clear" w:color="auto" w:fill="FFFFFF"/>
            <w:vAlign w:val="center"/>
          </w:tcPr>
          <w:p w14:paraId="5E06BD57">
            <w:pPr>
              <w:adjustRightInd w:val="0"/>
              <w:snapToGrid w:val="0"/>
              <w:spacing w:line="240" w:lineRule="auto"/>
              <w:ind w:left="0" w:leftChars="0" w:firstLine="0" w:firstLineChars="0"/>
              <w:jc w:val="both"/>
              <w:rPr>
                <w:rFonts w:hint="default" w:ascii="Times New Roman" w:hAnsi="Times New Roman" w:cs="Times New Roman" w:eastAsiaTheme="minorEastAsia"/>
                <w:kern w:val="2"/>
                <w:sz w:val="21"/>
                <w:szCs w:val="21"/>
                <w:lang w:val="en-US" w:eastAsia="zh-CN" w:bidi="ar-SA"/>
              </w:rPr>
            </w:pPr>
          </w:p>
        </w:tc>
      </w:tr>
    </w:tbl>
    <w:p w14:paraId="7F287672">
      <w:r>
        <w:br w:type="page"/>
      </w:r>
    </w:p>
    <w:tbl>
      <w:tblPr>
        <w:tblStyle w:val="25"/>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133"/>
        <w:gridCol w:w="1109"/>
        <w:gridCol w:w="1603"/>
        <w:gridCol w:w="1826"/>
        <w:gridCol w:w="2191"/>
      </w:tblGrid>
      <w:tr w14:paraId="23E6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976" w:type="dxa"/>
            <w:shd w:val="clear" w:color="auto" w:fill="E7E6E6" w:themeFill="background2"/>
            <w:noWrap/>
            <w:vAlign w:val="center"/>
          </w:tcPr>
          <w:p w14:paraId="1EF24C5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3" w:type="dxa"/>
            <w:shd w:val="clear" w:color="auto" w:fill="E7E6E6" w:themeFill="background2"/>
            <w:vAlign w:val="center"/>
          </w:tcPr>
          <w:p w14:paraId="3896AC1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09" w:type="dxa"/>
            <w:shd w:val="clear" w:color="auto" w:fill="E7E6E6" w:themeFill="background2"/>
            <w:vAlign w:val="center"/>
          </w:tcPr>
          <w:p w14:paraId="31354508">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03" w:type="dxa"/>
            <w:shd w:val="clear" w:color="auto" w:fill="E7E6E6" w:themeFill="background2"/>
            <w:vAlign w:val="center"/>
          </w:tcPr>
          <w:p w14:paraId="621D5B4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EB6C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826" w:type="dxa"/>
            <w:shd w:val="clear" w:color="auto" w:fill="E7E6E6" w:themeFill="background2"/>
            <w:vAlign w:val="center"/>
          </w:tcPr>
          <w:p w14:paraId="21161F5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B4903D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91" w:type="dxa"/>
            <w:shd w:val="clear" w:color="auto" w:fill="E7E6E6" w:themeFill="background2"/>
            <w:vAlign w:val="center"/>
          </w:tcPr>
          <w:p w14:paraId="19FCDF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5E9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2E05B8B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消化道肿瘤的防治</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吕沐瀚</w:t>
            </w:r>
          </w:p>
        </w:tc>
        <w:tc>
          <w:tcPr>
            <w:tcW w:w="1133" w:type="dxa"/>
            <w:tcBorders>
              <w:top w:val="single" w:color="000000" w:sz="4" w:space="0"/>
              <w:left w:val="single" w:color="000000" w:sz="4" w:space="0"/>
              <w:bottom w:val="single" w:color="000000" w:sz="4" w:space="0"/>
              <w:right w:val="single" w:color="000000" w:sz="4" w:space="0"/>
            </w:tcBorders>
            <w:vAlign w:val="center"/>
          </w:tcPr>
          <w:p w14:paraId="2CB625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256712B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603" w:type="dxa"/>
            <w:tcBorders>
              <w:top w:val="single" w:color="000000" w:sz="4" w:space="0"/>
              <w:left w:val="single" w:color="000000" w:sz="4" w:space="0"/>
              <w:bottom w:val="single" w:color="000000" w:sz="4" w:space="0"/>
              <w:right w:val="nil"/>
            </w:tcBorders>
            <w:vAlign w:val="center"/>
          </w:tcPr>
          <w:p w14:paraId="20E9651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29E2545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restart"/>
            <w:tcBorders>
              <w:top w:val="single" w:color="000000" w:sz="4" w:space="0"/>
              <w:left w:val="single" w:color="000000" w:sz="4" w:space="0"/>
              <w:right w:val="single" w:color="000000" w:sz="4" w:space="0"/>
            </w:tcBorders>
            <w:vAlign w:val="center"/>
          </w:tcPr>
          <w:p w14:paraId="574C653C">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w:t>
            </w:r>
            <w:r>
              <w:rPr>
                <w:rFonts w:hint="default" w:ascii="Times New Roman" w:hAnsi="Times New Roman" w:cs="Times New Roman" w:eastAsiaTheme="minorEastAsia"/>
                <w:sz w:val="21"/>
                <w:szCs w:val="21"/>
              </w:rPr>
              <w:t>等院校或研究所</w:t>
            </w:r>
          </w:p>
        </w:tc>
      </w:tr>
      <w:tr w14:paraId="67F4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0E7B04E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中药药理及分子药理；</w:t>
            </w:r>
            <w:r>
              <w:rPr>
                <w:rFonts w:hint="default" w:ascii="Times New Roman" w:hAnsi="Times New Roman" w:cs="Times New Roman" w:eastAsiaTheme="minorEastAsia"/>
                <w:kern w:val="2"/>
                <w:sz w:val="21"/>
                <w:szCs w:val="21"/>
              </w:rPr>
              <w:br w:type="textWrapping"/>
            </w:r>
            <w:r>
              <w:rPr>
                <w:rFonts w:hint="default" w:ascii="Times New Roman" w:hAnsi="Times New Roman" w:cs="Times New Roman" w:eastAsiaTheme="minorEastAsia"/>
                <w:kern w:val="2"/>
                <w:sz w:val="21"/>
                <w:szCs w:val="21"/>
              </w:rPr>
              <w:t>药物筛选及成药性评价</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吴建明</w:t>
            </w:r>
          </w:p>
        </w:tc>
        <w:tc>
          <w:tcPr>
            <w:tcW w:w="1133" w:type="dxa"/>
            <w:tcBorders>
              <w:top w:val="single" w:color="000000" w:sz="4" w:space="0"/>
              <w:left w:val="single" w:color="000000" w:sz="4" w:space="0"/>
              <w:bottom w:val="single" w:color="000000" w:sz="4" w:space="0"/>
              <w:right w:val="single" w:color="000000" w:sz="4" w:space="0"/>
            </w:tcBorders>
            <w:vAlign w:val="center"/>
          </w:tcPr>
          <w:p w14:paraId="680C407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5AE1B3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603" w:type="dxa"/>
            <w:tcBorders>
              <w:top w:val="single" w:color="000000" w:sz="4" w:space="0"/>
              <w:left w:val="single" w:color="000000" w:sz="4" w:space="0"/>
              <w:bottom w:val="single" w:color="000000" w:sz="4" w:space="0"/>
              <w:right w:val="nil"/>
            </w:tcBorders>
            <w:vAlign w:val="center"/>
          </w:tcPr>
          <w:p w14:paraId="6771951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中药学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15635BE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40A7942D">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3FBE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25F237B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分子药理</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肖占刚</w:t>
            </w:r>
          </w:p>
        </w:tc>
        <w:tc>
          <w:tcPr>
            <w:tcW w:w="1133" w:type="dxa"/>
            <w:tcBorders>
              <w:top w:val="single" w:color="000000" w:sz="4" w:space="0"/>
              <w:left w:val="single" w:color="000000" w:sz="4" w:space="0"/>
              <w:bottom w:val="single" w:color="000000" w:sz="4" w:space="0"/>
              <w:right w:val="single" w:color="000000" w:sz="4" w:space="0"/>
            </w:tcBorders>
            <w:vAlign w:val="center"/>
          </w:tcPr>
          <w:p w14:paraId="1EA1CC3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00C0CB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603" w:type="dxa"/>
            <w:tcBorders>
              <w:top w:val="single" w:color="000000" w:sz="4" w:space="0"/>
              <w:left w:val="single" w:color="000000" w:sz="4" w:space="0"/>
              <w:bottom w:val="single" w:color="000000" w:sz="4" w:space="0"/>
              <w:right w:val="nil"/>
            </w:tcBorders>
            <w:vAlign w:val="center"/>
          </w:tcPr>
          <w:p w14:paraId="377DE7C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药学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694A99E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2D6F2654">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0ABD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3272AAD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分子药理、中药药理</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梅其炳</w:t>
            </w:r>
          </w:p>
        </w:tc>
        <w:tc>
          <w:tcPr>
            <w:tcW w:w="1133" w:type="dxa"/>
            <w:tcBorders>
              <w:top w:val="single" w:color="000000" w:sz="4" w:space="0"/>
              <w:left w:val="single" w:color="000000" w:sz="4" w:space="0"/>
              <w:bottom w:val="single" w:color="000000" w:sz="4" w:space="0"/>
              <w:right w:val="single" w:color="000000" w:sz="4" w:space="0"/>
            </w:tcBorders>
            <w:vAlign w:val="center"/>
          </w:tcPr>
          <w:p w14:paraId="6206A06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63740A7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603" w:type="dxa"/>
            <w:tcBorders>
              <w:top w:val="single" w:color="000000" w:sz="4" w:space="0"/>
              <w:left w:val="single" w:color="000000" w:sz="4" w:space="0"/>
              <w:bottom w:val="single" w:color="000000" w:sz="4" w:space="0"/>
              <w:right w:val="nil"/>
            </w:tcBorders>
            <w:vAlign w:val="center"/>
          </w:tcPr>
          <w:p w14:paraId="416A687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药学、中药学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42736BC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5B9987C1">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7DBD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1152460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肿瘤分子生物学；肿瘤表观遗传学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傅俊江</w:t>
            </w:r>
          </w:p>
        </w:tc>
        <w:tc>
          <w:tcPr>
            <w:tcW w:w="1133" w:type="dxa"/>
            <w:tcBorders>
              <w:top w:val="single" w:color="000000" w:sz="4" w:space="0"/>
              <w:left w:val="single" w:color="000000" w:sz="4" w:space="0"/>
              <w:right w:val="single" w:color="000000" w:sz="4" w:space="0"/>
            </w:tcBorders>
            <w:vAlign w:val="center"/>
          </w:tcPr>
          <w:p w14:paraId="07656B6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106554C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9</w:t>
            </w:r>
          </w:p>
        </w:tc>
        <w:tc>
          <w:tcPr>
            <w:tcW w:w="1603" w:type="dxa"/>
            <w:tcBorders>
              <w:top w:val="single" w:color="000000" w:sz="4" w:space="0"/>
              <w:left w:val="single" w:color="000000" w:sz="4" w:space="0"/>
              <w:right w:val="nil"/>
            </w:tcBorders>
            <w:vAlign w:val="center"/>
          </w:tcPr>
          <w:p w14:paraId="1C2A27F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生物学</w:t>
            </w:r>
          </w:p>
        </w:tc>
        <w:tc>
          <w:tcPr>
            <w:tcW w:w="1826" w:type="dxa"/>
            <w:tcBorders>
              <w:top w:val="single" w:color="000000" w:sz="4" w:space="0"/>
              <w:left w:val="single" w:color="000000" w:sz="4" w:space="0"/>
              <w:right w:val="single" w:color="000000" w:sz="4" w:space="0"/>
            </w:tcBorders>
            <w:vAlign w:val="center"/>
          </w:tcPr>
          <w:p w14:paraId="136A4B8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7795DA7C">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0D8E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3A566B6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计算生理学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张恒贵</w:t>
            </w:r>
          </w:p>
        </w:tc>
        <w:tc>
          <w:tcPr>
            <w:tcW w:w="1133" w:type="dxa"/>
            <w:tcBorders>
              <w:left w:val="single" w:color="000000" w:sz="4" w:space="0"/>
              <w:bottom w:val="single" w:color="000000" w:sz="4" w:space="0"/>
              <w:right w:val="single" w:color="000000" w:sz="4" w:space="0"/>
            </w:tcBorders>
            <w:vAlign w:val="center"/>
          </w:tcPr>
          <w:p w14:paraId="311DB71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bottom w:val="single" w:color="000000" w:sz="4" w:space="0"/>
              <w:right w:val="single" w:color="000000" w:sz="4" w:space="0"/>
            </w:tcBorders>
            <w:vAlign w:val="center"/>
          </w:tcPr>
          <w:p w14:paraId="613BDC7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10</w:t>
            </w:r>
          </w:p>
        </w:tc>
        <w:tc>
          <w:tcPr>
            <w:tcW w:w="1603" w:type="dxa"/>
            <w:tcBorders>
              <w:left w:val="single" w:color="000000" w:sz="4" w:space="0"/>
              <w:bottom w:val="single" w:color="000000" w:sz="4" w:space="0"/>
              <w:right w:val="nil"/>
            </w:tcBorders>
            <w:vAlign w:val="center"/>
          </w:tcPr>
          <w:p w14:paraId="2F123B3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生物学</w:t>
            </w:r>
          </w:p>
        </w:tc>
        <w:tc>
          <w:tcPr>
            <w:tcW w:w="1826" w:type="dxa"/>
            <w:tcBorders>
              <w:left w:val="single" w:color="000000" w:sz="4" w:space="0"/>
              <w:bottom w:val="single" w:color="000000" w:sz="4" w:space="0"/>
              <w:right w:val="single" w:color="000000" w:sz="4" w:space="0"/>
            </w:tcBorders>
            <w:vAlign w:val="center"/>
          </w:tcPr>
          <w:p w14:paraId="101F990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58983302">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2E9B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0BB5FB9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血管生物学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吴剑波</w:t>
            </w:r>
          </w:p>
        </w:tc>
        <w:tc>
          <w:tcPr>
            <w:tcW w:w="1133" w:type="dxa"/>
            <w:tcBorders>
              <w:top w:val="single" w:color="000000" w:sz="4" w:space="0"/>
              <w:left w:val="single" w:color="000000" w:sz="4" w:space="0"/>
              <w:right w:val="single" w:color="000000" w:sz="4" w:space="0"/>
            </w:tcBorders>
            <w:vAlign w:val="center"/>
          </w:tcPr>
          <w:p w14:paraId="05EBF9C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3F4662C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11</w:t>
            </w:r>
          </w:p>
        </w:tc>
        <w:tc>
          <w:tcPr>
            <w:tcW w:w="1603" w:type="dxa"/>
            <w:tcBorders>
              <w:top w:val="single" w:color="000000" w:sz="4" w:space="0"/>
              <w:left w:val="single" w:color="000000" w:sz="4" w:space="0"/>
              <w:right w:val="nil"/>
            </w:tcBorders>
            <w:vAlign w:val="center"/>
          </w:tcPr>
          <w:p w14:paraId="3AC34AF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生物学</w:t>
            </w:r>
          </w:p>
        </w:tc>
        <w:tc>
          <w:tcPr>
            <w:tcW w:w="1826" w:type="dxa"/>
            <w:tcBorders>
              <w:top w:val="single" w:color="000000" w:sz="4" w:space="0"/>
              <w:left w:val="single" w:color="000000" w:sz="4" w:space="0"/>
              <w:right w:val="single" w:color="000000" w:sz="4" w:space="0"/>
            </w:tcBorders>
            <w:vAlign w:val="center"/>
          </w:tcPr>
          <w:p w14:paraId="00D8B58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441C0EEB">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3E7F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459A011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心血管疾病的电生离及干细胞模型研究</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李光</w:t>
            </w:r>
          </w:p>
        </w:tc>
        <w:tc>
          <w:tcPr>
            <w:tcW w:w="1133" w:type="dxa"/>
            <w:tcBorders>
              <w:left w:val="single" w:color="000000" w:sz="4" w:space="0"/>
              <w:bottom w:val="single" w:color="000000" w:sz="4" w:space="0"/>
              <w:right w:val="single" w:color="000000" w:sz="4" w:space="0"/>
            </w:tcBorders>
            <w:vAlign w:val="center"/>
          </w:tcPr>
          <w:p w14:paraId="72CA56B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bottom w:val="single" w:color="000000" w:sz="4" w:space="0"/>
              <w:right w:val="single" w:color="000000" w:sz="4" w:space="0"/>
            </w:tcBorders>
            <w:vAlign w:val="center"/>
          </w:tcPr>
          <w:p w14:paraId="36DF620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12</w:t>
            </w:r>
          </w:p>
        </w:tc>
        <w:tc>
          <w:tcPr>
            <w:tcW w:w="1603" w:type="dxa"/>
            <w:tcBorders>
              <w:left w:val="single" w:color="000000" w:sz="4" w:space="0"/>
              <w:bottom w:val="single" w:color="000000" w:sz="4" w:space="0"/>
              <w:right w:val="nil"/>
            </w:tcBorders>
            <w:vAlign w:val="center"/>
          </w:tcPr>
          <w:p w14:paraId="73F91AD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生物学</w:t>
            </w:r>
          </w:p>
        </w:tc>
        <w:tc>
          <w:tcPr>
            <w:tcW w:w="1826" w:type="dxa"/>
            <w:tcBorders>
              <w:left w:val="single" w:color="000000" w:sz="4" w:space="0"/>
              <w:bottom w:val="single" w:color="000000" w:sz="4" w:space="0"/>
              <w:right w:val="single" w:color="000000" w:sz="4" w:space="0"/>
            </w:tcBorders>
            <w:vAlign w:val="center"/>
          </w:tcPr>
          <w:p w14:paraId="183957B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75BDE1FC">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4C43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580632C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心脏信号调控，心律失常</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雷鸣</w:t>
            </w:r>
          </w:p>
        </w:tc>
        <w:tc>
          <w:tcPr>
            <w:tcW w:w="1133" w:type="dxa"/>
            <w:tcBorders>
              <w:top w:val="single" w:color="000000" w:sz="4" w:space="0"/>
              <w:left w:val="single" w:color="000000" w:sz="4" w:space="0"/>
              <w:right w:val="single" w:color="000000" w:sz="4" w:space="0"/>
            </w:tcBorders>
            <w:vAlign w:val="center"/>
          </w:tcPr>
          <w:p w14:paraId="6F83A9B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519AFC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13</w:t>
            </w:r>
          </w:p>
        </w:tc>
        <w:tc>
          <w:tcPr>
            <w:tcW w:w="1603" w:type="dxa"/>
            <w:tcBorders>
              <w:top w:val="single" w:color="000000" w:sz="4" w:space="0"/>
              <w:left w:val="single" w:color="000000" w:sz="4" w:space="0"/>
              <w:right w:val="nil"/>
            </w:tcBorders>
            <w:vAlign w:val="center"/>
          </w:tcPr>
          <w:p w14:paraId="2875D5E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临床医学、生物学</w:t>
            </w:r>
          </w:p>
        </w:tc>
        <w:tc>
          <w:tcPr>
            <w:tcW w:w="1826" w:type="dxa"/>
            <w:tcBorders>
              <w:top w:val="single" w:color="000000" w:sz="4" w:space="0"/>
              <w:left w:val="single" w:color="000000" w:sz="4" w:space="0"/>
              <w:right w:val="single" w:color="000000" w:sz="4" w:space="0"/>
            </w:tcBorders>
            <w:vAlign w:val="center"/>
          </w:tcPr>
          <w:p w14:paraId="5834BF9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62DBEDF7">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5B70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1EF4175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神经生物学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康新江</w:t>
            </w:r>
          </w:p>
        </w:tc>
        <w:tc>
          <w:tcPr>
            <w:tcW w:w="1133" w:type="dxa"/>
            <w:tcBorders>
              <w:left w:val="single" w:color="000000" w:sz="4" w:space="0"/>
              <w:right w:val="single" w:color="000000" w:sz="4" w:space="0"/>
            </w:tcBorders>
            <w:vAlign w:val="center"/>
          </w:tcPr>
          <w:p w14:paraId="170B610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right w:val="single" w:color="000000" w:sz="4" w:space="0"/>
            </w:tcBorders>
            <w:vAlign w:val="center"/>
          </w:tcPr>
          <w:p w14:paraId="3BED5C7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14</w:t>
            </w:r>
          </w:p>
        </w:tc>
        <w:tc>
          <w:tcPr>
            <w:tcW w:w="1603" w:type="dxa"/>
            <w:tcBorders>
              <w:left w:val="single" w:color="000000" w:sz="4" w:space="0"/>
              <w:right w:val="nil"/>
            </w:tcBorders>
            <w:vAlign w:val="center"/>
          </w:tcPr>
          <w:p w14:paraId="00941A8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生物学</w:t>
            </w:r>
          </w:p>
        </w:tc>
        <w:tc>
          <w:tcPr>
            <w:tcW w:w="1826" w:type="dxa"/>
            <w:tcBorders>
              <w:left w:val="single" w:color="000000" w:sz="4" w:space="0"/>
              <w:right w:val="single" w:color="000000" w:sz="4" w:space="0"/>
            </w:tcBorders>
            <w:vAlign w:val="center"/>
          </w:tcPr>
          <w:p w14:paraId="71F43FF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5B48F0FC">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4B80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47E1698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神经生理，神经心血管调控</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董伟</w:t>
            </w:r>
          </w:p>
        </w:tc>
        <w:tc>
          <w:tcPr>
            <w:tcW w:w="1133" w:type="dxa"/>
            <w:tcBorders>
              <w:left w:val="single" w:color="000000" w:sz="4" w:space="0"/>
              <w:bottom w:val="single" w:color="000000" w:sz="4" w:space="0"/>
              <w:right w:val="single" w:color="000000" w:sz="4" w:space="0"/>
            </w:tcBorders>
            <w:vAlign w:val="center"/>
          </w:tcPr>
          <w:p w14:paraId="4FB8DD0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bottom w:val="single" w:color="000000" w:sz="4" w:space="0"/>
              <w:right w:val="single" w:color="000000" w:sz="4" w:space="0"/>
            </w:tcBorders>
            <w:vAlign w:val="center"/>
          </w:tcPr>
          <w:p w14:paraId="693EA39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15</w:t>
            </w:r>
          </w:p>
        </w:tc>
        <w:tc>
          <w:tcPr>
            <w:tcW w:w="1603" w:type="dxa"/>
            <w:tcBorders>
              <w:left w:val="single" w:color="000000" w:sz="4" w:space="0"/>
              <w:bottom w:val="single" w:color="000000" w:sz="4" w:space="0"/>
              <w:right w:val="nil"/>
            </w:tcBorders>
            <w:vAlign w:val="center"/>
          </w:tcPr>
          <w:p w14:paraId="19C5BFB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生物学</w:t>
            </w:r>
          </w:p>
        </w:tc>
        <w:tc>
          <w:tcPr>
            <w:tcW w:w="1826" w:type="dxa"/>
            <w:tcBorders>
              <w:left w:val="single" w:color="000000" w:sz="4" w:space="0"/>
              <w:bottom w:val="single" w:color="000000" w:sz="4" w:space="0"/>
              <w:right w:val="single" w:color="000000" w:sz="4" w:space="0"/>
            </w:tcBorders>
            <w:vAlign w:val="center"/>
          </w:tcPr>
          <w:p w14:paraId="260DBEF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1D8CEB55">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1B89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6BD83E2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药剂学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钟志容</w:t>
            </w:r>
          </w:p>
        </w:tc>
        <w:tc>
          <w:tcPr>
            <w:tcW w:w="1133" w:type="dxa"/>
            <w:tcBorders>
              <w:top w:val="single" w:color="000000" w:sz="4" w:space="0"/>
              <w:left w:val="single" w:color="000000" w:sz="4" w:space="0"/>
              <w:right w:val="single" w:color="000000" w:sz="4" w:space="0"/>
            </w:tcBorders>
            <w:vAlign w:val="center"/>
          </w:tcPr>
          <w:p w14:paraId="3502336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15D2839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16</w:t>
            </w:r>
          </w:p>
        </w:tc>
        <w:tc>
          <w:tcPr>
            <w:tcW w:w="1603" w:type="dxa"/>
            <w:tcBorders>
              <w:top w:val="single" w:color="000000" w:sz="4" w:space="0"/>
              <w:left w:val="single" w:color="000000" w:sz="4" w:space="0"/>
              <w:right w:val="nil"/>
            </w:tcBorders>
            <w:vAlign w:val="center"/>
          </w:tcPr>
          <w:p w14:paraId="7B69191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药学</w:t>
            </w:r>
          </w:p>
        </w:tc>
        <w:tc>
          <w:tcPr>
            <w:tcW w:w="1826" w:type="dxa"/>
            <w:tcBorders>
              <w:top w:val="single" w:color="000000" w:sz="4" w:space="0"/>
              <w:left w:val="single" w:color="000000" w:sz="4" w:space="0"/>
              <w:right w:val="single" w:color="auto" w:sz="4" w:space="0"/>
            </w:tcBorders>
            <w:vAlign w:val="center"/>
          </w:tcPr>
          <w:p w14:paraId="1C3688E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2FC46FE5">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26DE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auto" w:sz="4" w:space="0"/>
              <w:right w:val="nil"/>
            </w:tcBorders>
            <w:noWrap/>
            <w:vAlign w:val="center"/>
          </w:tcPr>
          <w:p w14:paraId="69C98D5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糖尿病慢性并发症发病机制</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徐勇</w:t>
            </w:r>
          </w:p>
        </w:tc>
        <w:tc>
          <w:tcPr>
            <w:tcW w:w="1133" w:type="dxa"/>
            <w:tcBorders>
              <w:left w:val="single" w:color="000000" w:sz="4" w:space="0"/>
              <w:right w:val="single" w:color="000000" w:sz="4" w:space="0"/>
            </w:tcBorders>
            <w:vAlign w:val="center"/>
          </w:tcPr>
          <w:p w14:paraId="4C5834C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right w:val="single" w:color="000000" w:sz="4" w:space="0"/>
            </w:tcBorders>
            <w:vAlign w:val="center"/>
          </w:tcPr>
          <w:p w14:paraId="4F103A7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17</w:t>
            </w:r>
          </w:p>
        </w:tc>
        <w:tc>
          <w:tcPr>
            <w:tcW w:w="1603" w:type="dxa"/>
            <w:tcBorders>
              <w:left w:val="single" w:color="000000" w:sz="4" w:space="0"/>
              <w:right w:val="nil"/>
            </w:tcBorders>
            <w:vAlign w:val="center"/>
          </w:tcPr>
          <w:p w14:paraId="203BBAC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w:t>
            </w:r>
          </w:p>
        </w:tc>
        <w:tc>
          <w:tcPr>
            <w:tcW w:w="1826" w:type="dxa"/>
            <w:tcBorders>
              <w:left w:val="single" w:color="000000" w:sz="4" w:space="0"/>
              <w:right w:val="single" w:color="auto" w:sz="4" w:space="0"/>
            </w:tcBorders>
            <w:vAlign w:val="center"/>
          </w:tcPr>
          <w:p w14:paraId="0D41747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restart"/>
            <w:tcBorders>
              <w:left w:val="single" w:color="auto" w:sz="4" w:space="0"/>
              <w:right w:val="single" w:color="000000" w:sz="4" w:space="0"/>
            </w:tcBorders>
            <w:vAlign w:val="center"/>
          </w:tcPr>
          <w:p w14:paraId="6FDA4EE2">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w:t>
            </w:r>
            <w:r>
              <w:rPr>
                <w:rFonts w:hint="default" w:ascii="Times New Roman" w:hAnsi="Times New Roman" w:cs="Times New Roman" w:eastAsiaTheme="minorEastAsia"/>
                <w:sz w:val="21"/>
                <w:szCs w:val="21"/>
              </w:rPr>
              <w:t>等院校或研究所</w:t>
            </w:r>
          </w:p>
        </w:tc>
      </w:tr>
      <w:tr w14:paraId="1119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auto" w:sz="4" w:space="0"/>
              <w:left w:val="single" w:color="auto" w:sz="4" w:space="0"/>
              <w:bottom w:val="single" w:color="auto" w:sz="4" w:space="0"/>
              <w:right w:val="single" w:color="000000" w:sz="4" w:space="0"/>
            </w:tcBorders>
            <w:noWrap/>
            <w:vAlign w:val="center"/>
          </w:tcPr>
          <w:p w14:paraId="61CB2BD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血管甲状腺</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周翔宇</w:t>
            </w:r>
          </w:p>
        </w:tc>
        <w:tc>
          <w:tcPr>
            <w:tcW w:w="1133" w:type="dxa"/>
            <w:tcBorders>
              <w:left w:val="single" w:color="000000" w:sz="4" w:space="0"/>
              <w:bottom w:val="single" w:color="auto" w:sz="4" w:space="0"/>
              <w:right w:val="single" w:color="000000" w:sz="4" w:space="0"/>
            </w:tcBorders>
            <w:vAlign w:val="center"/>
          </w:tcPr>
          <w:p w14:paraId="13B515E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bottom w:val="single" w:color="auto" w:sz="4" w:space="0"/>
              <w:right w:val="single" w:color="000000" w:sz="4" w:space="0"/>
            </w:tcBorders>
            <w:vAlign w:val="center"/>
          </w:tcPr>
          <w:p w14:paraId="3F9172A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18</w:t>
            </w:r>
          </w:p>
        </w:tc>
        <w:tc>
          <w:tcPr>
            <w:tcW w:w="1603" w:type="dxa"/>
            <w:tcBorders>
              <w:left w:val="single" w:color="000000" w:sz="4" w:space="0"/>
              <w:bottom w:val="single" w:color="auto" w:sz="4" w:space="0"/>
              <w:right w:val="single" w:color="000000" w:sz="4" w:space="0"/>
            </w:tcBorders>
            <w:vAlign w:val="center"/>
          </w:tcPr>
          <w:p w14:paraId="5334AD9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w:t>
            </w:r>
          </w:p>
        </w:tc>
        <w:tc>
          <w:tcPr>
            <w:tcW w:w="1826" w:type="dxa"/>
            <w:tcBorders>
              <w:left w:val="single" w:color="000000" w:sz="4" w:space="0"/>
              <w:bottom w:val="single" w:color="auto" w:sz="4" w:space="0"/>
              <w:right w:val="single" w:color="auto" w:sz="4" w:space="0"/>
            </w:tcBorders>
            <w:vAlign w:val="center"/>
          </w:tcPr>
          <w:p w14:paraId="10B9E8B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0572F7BB">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6EA1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auto" w:sz="4" w:space="0"/>
              <w:left w:val="single" w:color="auto" w:sz="4" w:space="0"/>
              <w:bottom w:val="single" w:color="auto" w:sz="4" w:space="0"/>
              <w:right w:val="single" w:color="auto" w:sz="4" w:space="0"/>
            </w:tcBorders>
            <w:noWrap/>
            <w:vAlign w:val="center"/>
          </w:tcPr>
          <w:p w14:paraId="4173BAF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围术期器官损伤与防治</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周军</w:t>
            </w:r>
          </w:p>
        </w:tc>
        <w:tc>
          <w:tcPr>
            <w:tcW w:w="1133" w:type="dxa"/>
            <w:tcBorders>
              <w:top w:val="single" w:color="auto" w:sz="4" w:space="0"/>
              <w:left w:val="single" w:color="auto" w:sz="4" w:space="0"/>
              <w:bottom w:val="single" w:color="auto" w:sz="4" w:space="0"/>
              <w:right w:val="single" w:color="auto" w:sz="4" w:space="0"/>
            </w:tcBorders>
            <w:vAlign w:val="center"/>
          </w:tcPr>
          <w:p w14:paraId="073CD10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auto" w:sz="4" w:space="0"/>
              <w:left w:val="single" w:color="auto" w:sz="4" w:space="0"/>
              <w:bottom w:val="single" w:color="auto" w:sz="4" w:space="0"/>
              <w:right w:val="single" w:color="auto" w:sz="4" w:space="0"/>
            </w:tcBorders>
            <w:vAlign w:val="center"/>
          </w:tcPr>
          <w:p w14:paraId="51CFF33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19</w:t>
            </w:r>
          </w:p>
        </w:tc>
        <w:tc>
          <w:tcPr>
            <w:tcW w:w="1603" w:type="dxa"/>
            <w:tcBorders>
              <w:top w:val="single" w:color="auto" w:sz="4" w:space="0"/>
              <w:left w:val="single" w:color="auto" w:sz="4" w:space="0"/>
              <w:bottom w:val="single" w:color="auto" w:sz="4" w:space="0"/>
              <w:right w:val="single" w:color="auto" w:sz="4" w:space="0"/>
            </w:tcBorders>
            <w:vAlign w:val="center"/>
          </w:tcPr>
          <w:p w14:paraId="56778BE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w:t>
            </w:r>
          </w:p>
        </w:tc>
        <w:tc>
          <w:tcPr>
            <w:tcW w:w="1826" w:type="dxa"/>
            <w:tcBorders>
              <w:top w:val="single" w:color="auto" w:sz="4" w:space="0"/>
              <w:left w:val="single" w:color="auto" w:sz="4" w:space="0"/>
              <w:bottom w:val="single" w:color="auto" w:sz="4" w:space="0"/>
              <w:right w:val="single" w:color="auto" w:sz="4" w:space="0"/>
            </w:tcBorders>
            <w:vAlign w:val="center"/>
          </w:tcPr>
          <w:p w14:paraId="05FC33A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5A76C333">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02D9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auto" w:sz="4" w:space="0"/>
              <w:left w:val="single" w:color="000000" w:sz="4" w:space="0"/>
              <w:bottom w:val="single" w:color="000000" w:sz="4" w:space="0"/>
              <w:right w:val="nil"/>
            </w:tcBorders>
            <w:noWrap/>
            <w:vAlign w:val="center"/>
          </w:tcPr>
          <w:p w14:paraId="6E23D68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麻醉药物作用及机制研究</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王晓斌</w:t>
            </w:r>
          </w:p>
        </w:tc>
        <w:tc>
          <w:tcPr>
            <w:tcW w:w="1133" w:type="dxa"/>
            <w:tcBorders>
              <w:top w:val="single" w:color="auto" w:sz="4" w:space="0"/>
              <w:left w:val="single" w:color="000000" w:sz="4" w:space="0"/>
              <w:bottom w:val="single" w:color="000000" w:sz="4" w:space="0"/>
              <w:right w:val="single" w:color="000000" w:sz="4" w:space="0"/>
            </w:tcBorders>
            <w:vAlign w:val="center"/>
          </w:tcPr>
          <w:p w14:paraId="16A5A7E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auto" w:sz="4" w:space="0"/>
              <w:left w:val="single" w:color="000000" w:sz="4" w:space="0"/>
              <w:bottom w:val="single" w:color="000000" w:sz="4" w:space="0"/>
              <w:right w:val="single" w:color="000000" w:sz="4" w:space="0"/>
            </w:tcBorders>
            <w:vAlign w:val="center"/>
          </w:tcPr>
          <w:p w14:paraId="03D3B12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20</w:t>
            </w:r>
          </w:p>
        </w:tc>
        <w:tc>
          <w:tcPr>
            <w:tcW w:w="1603" w:type="dxa"/>
            <w:tcBorders>
              <w:top w:val="single" w:color="auto" w:sz="4" w:space="0"/>
              <w:left w:val="single" w:color="000000" w:sz="4" w:space="0"/>
              <w:bottom w:val="single" w:color="000000" w:sz="4" w:space="0"/>
              <w:right w:val="nil"/>
            </w:tcBorders>
            <w:vAlign w:val="center"/>
          </w:tcPr>
          <w:p w14:paraId="09085AD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临床医学、药学</w:t>
            </w:r>
          </w:p>
        </w:tc>
        <w:tc>
          <w:tcPr>
            <w:tcW w:w="1826" w:type="dxa"/>
            <w:tcBorders>
              <w:top w:val="single" w:color="auto" w:sz="4" w:space="0"/>
              <w:left w:val="single" w:color="000000" w:sz="4" w:space="0"/>
              <w:bottom w:val="single" w:color="000000" w:sz="4" w:space="0"/>
              <w:right w:val="single" w:color="000000" w:sz="4" w:space="0"/>
            </w:tcBorders>
            <w:vAlign w:val="center"/>
          </w:tcPr>
          <w:p w14:paraId="1300BDB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1487A5F7">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389D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3A279D7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肝脏代谢性疾病的基础与临床研究</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付文广</w:t>
            </w:r>
          </w:p>
        </w:tc>
        <w:tc>
          <w:tcPr>
            <w:tcW w:w="1133" w:type="dxa"/>
            <w:tcBorders>
              <w:top w:val="single" w:color="000000" w:sz="4" w:space="0"/>
              <w:left w:val="single" w:color="000000" w:sz="4" w:space="0"/>
              <w:bottom w:val="single" w:color="000000" w:sz="4" w:space="0"/>
              <w:right w:val="single" w:color="000000" w:sz="4" w:space="0"/>
            </w:tcBorders>
            <w:vAlign w:val="center"/>
          </w:tcPr>
          <w:p w14:paraId="2CE9DCB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3737BC8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21</w:t>
            </w:r>
          </w:p>
        </w:tc>
        <w:tc>
          <w:tcPr>
            <w:tcW w:w="1603" w:type="dxa"/>
            <w:tcBorders>
              <w:top w:val="single" w:color="000000" w:sz="4" w:space="0"/>
              <w:left w:val="single" w:color="000000" w:sz="4" w:space="0"/>
              <w:bottom w:val="single" w:color="000000" w:sz="4" w:space="0"/>
              <w:right w:val="nil"/>
            </w:tcBorders>
            <w:vAlign w:val="center"/>
          </w:tcPr>
          <w:p w14:paraId="46D9086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基础医学、临床医学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6F3E4ED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6461B10">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281E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044DA6E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结直肠癌药物开发及microRNA在癌症中的表达研究，沈晶</w:t>
            </w:r>
          </w:p>
        </w:tc>
        <w:tc>
          <w:tcPr>
            <w:tcW w:w="1133" w:type="dxa"/>
            <w:tcBorders>
              <w:top w:val="single" w:color="000000" w:sz="4" w:space="0"/>
              <w:left w:val="single" w:color="000000" w:sz="4" w:space="0"/>
              <w:bottom w:val="single" w:color="000000" w:sz="4" w:space="0"/>
              <w:right w:val="single" w:color="000000" w:sz="4" w:space="0"/>
            </w:tcBorders>
            <w:vAlign w:val="center"/>
          </w:tcPr>
          <w:p w14:paraId="1BA955E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44086CB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22</w:t>
            </w:r>
          </w:p>
        </w:tc>
        <w:tc>
          <w:tcPr>
            <w:tcW w:w="1603" w:type="dxa"/>
            <w:tcBorders>
              <w:top w:val="single" w:color="000000" w:sz="4" w:space="0"/>
              <w:left w:val="single" w:color="000000" w:sz="4" w:space="0"/>
              <w:bottom w:val="single" w:color="000000" w:sz="4" w:space="0"/>
              <w:right w:val="nil"/>
            </w:tcBorders>
            <w:vAlign w:val="center"/>
          </w:tcPr>
          <w:p w14:paraId="0E6C142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药学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10E9776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A07B4AB">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6D1D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7B4EEE8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心血管药物化学，韦思平</w:t>
            </w:r>
          </w:p>
        </w:tc>
        <w:tc>
          <w:tcPr>
            <w:tcW w:w="1133" w:type="dxa"/>
            <w:tcBorders>
              <w:top w:val="single" w:color="000000" w:sz="4" w:space="0"/>
              <w:left w:val="single" w:color="000000" w:sz="4" w:space="0"/>
              <w:right w:val="single" w:color="000000" w:sz="4" w:space="0"/>
            </w:tcBorders>
            <w:vAlign w:val="center"/>
          </w:tcPr>
          <w:p w14:paraId="4215270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20A4235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23</w:t>
            </w:r>
          </w:p>
        </w:tc>
        <w:tc>
          <w:tcPr>
            <w:tcW w:w="1603" w:type="dxa"/>
            <w:tcBorders>
              <w:top w:val="single" w:color="000000" w:sz="4" w:space="0"/>
              <w:left w:val="single" w:color="000000" w:sz="4" w:space="0"/>
              <w:right w:val="nil"/>
            </w:tcBorders>
            <w:vAlign w:val="center"/>
          </w:tcPr>
          <w:p w14:paraId="1186835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药学</w:t>
            </w:r>
          </w:p>
        </w:tc>
        <w:tc>
          <w:tcPr>
            <w:tcW w:w="1826" w:type="dxa"/>
            <w:tcBorders>
              <w:top w:val="single" w:color="000000" w:sz="4" w:space="0"/>
              <w:left w:val="single" w:color="000000" w:sz="4" w:space="0"/>
              <w:right w:val="single" w:color="000000" w:sz="4" w:space="0"/>
            </w:tcBorders>
            <w:vAlign w:val="center"/>
          </w:tcPr>
          <w:p w14:paraId="0CF17A7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5212C8C9">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77AF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1CA7E81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心血管电生理和心律失常的发生机制，谭晓秋</w:t>
            </w:r>
          </w:p>
        </w:tc>
        <w:tc>
          <w:tcPr>
            <w:tcW w:w="1133" w:type="dxa"/>
            <w:tcBorders>
              <w:left w:val="single" w:color="000000" w:sz="4" w:space="0"/>
              <w:right w:val="single" w:color="000000" w:sz="4" w:space="0"/>
            </w:tcBorders>
            <w:vAlign w:val="center"/>
          </w:tcPr>
          <w:p w14:paraId="74AC782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right w:val="single" w:color="000000" w:sz="4" w:space="0"/>
            </w:tcBorders>
            <w:vAlign w:val="center"/>
          </w:tcPr>
          <w:p w14:paraId="56B3812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24</w:t>
            </w:r>
          </w:p>
        </w:tc>
        <w:tc>
          <w:tcPr>
            <w:tcW w:w="1603" w:type="dxa"/>
            <w:tcBorders>
              <w:left w:val="single" w:color="000000" w:sz="4" w:space="0"/>
              <w:right w:val="nil"/>
            </w:tcBorders>
            <w:vAlign w:val="center"/>
          </w:tcPr>
          <w:p w14:paraId="385F77B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基础医学、临床医学</w:t>
            </w:r>
          </w:p>
        </w:tc>
        <w:tc>
          <w:tcPr>
            <w:tcW w:w="1826" w:type="dxa"/>
            <w:tcBorders>
              <w:left w:val="single" w:color="000000" w:sz="4" w:space="0"/>
              <w:right w:val="single" w:color="000000" w:sz="4" w:space="0"/>
            </w:tcBorders>
            <w:vAlign w:val="center"/>
          </w:tcPr>
          <w:p w14:paraId="52A88FF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3124EA9">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0BB1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57F8E39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生理学</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曾博</w:t>
            </w:r>
          </w:p>
        </w:tc>
        <w:tc>
          <w:tcPr>
            <w:tcW w:w="1133" w:type="dxa"/>
            <w:tcBorders>
              <w:left w:val="single" w:color="000000" w:sz="4" w:space="0"/>
              <w:bottom w:val="single" w:color="000000" w:sz="4" w:space="0"/>
              <w:right w:val="single" w:color="000000" w:sz="4" w:space="0"/>
            </w:tcBorders>
            <w:vAlign w:val="center"/>
          </w:tcPr>
          <w:p w14:paraId="3E02765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bottom w:val="single" w:color="000000" w:sz="4" w:space="0"/>
              <w:right w:val="single" w:color="000000" w:sz="4" w:space="0"/>
            </w:tcBorders>
            <w:vAlign w:val="center"/>
          </w:tcPr>
          <w:p w14:paraId="5FF0976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25</w:t>
            </w:r>
          </w:p>
        </w:tc>
        <w:tc>
          <w:tcPr>
            <w:tcW w:w="1603" w:type="dxa"/>
            <w:tcBorders>
              <w:left w:val="single" w:color="000000" w:sz="4" w:space="0"/>
              <w:bottom w:val="single" w:color="000000" w:sz="4" w:space="0"/>
              <w:right w:val="nil"/>
            </w:tcBorders>
            <w:vAlign w:val="center"/>
          </w:tcPr>
          <w:p w14:paraId="7D43A04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生物学</w:t>
            </w:r>
          </w:p>
        </w:tc>
        <w:tc>
          <w:tcPr>
            <w:tcW w:w="1826" w:type="dxa"/>
            <w:tcBorders>
              <w:left w:val="single" w:color="000000" w:sz="4" w:space="0"/>
              <w:bottom w:val="single" w:color="000000" w:sz="4" w:space="0"/>
              <w:right w:val="single" w:color="000000" w:sz="4" w:space="0"/>
            </w:tcBorders>
            <w:vAlign w:val="center"/>
          </w:tcPr>
          <w:p w14:paraId="6703D5E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88EF170">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1111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391796D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感染免疫</w:t>
            </w:r>
            <w:r>
              <w:rPr>
                <w:rFonts w:hint="default" w:ascii="Times New Roman" w:hAnsi="Times New Roman" w:cs="Times New Roman" w:eastAsiaTheme="minorEastAsia"/>
                <w:kern w:val="2"/>
                <w:sz w:val="21"/>
                <w:szCs w:val="21"/>
                <w:lang w:eastAsia="zh-CN"/>
              </w:rPr>
              <w:t>，</w:t>
            </w:r>
            <w:r>
              <w:rPr>
                <w:rFonts w:hint="default" w:ascii="Times New Roman" w:hAnsi="Times New Roman" w:cs="Times New Roman" w:eastAsiaTheme="minorEastAsia"/>
                <w:kern w:val="2"/>
                <w:sz w:val="21"/>
                <w:szCs w:val="21"/>
              </w:rPr>
              <w:t>丛延广</w:t>
            </w:r>
          </w:p>
        </w:tc>
        <w:tc>
          <w:tcPr>
            <w:tcW w:w="1133" w:type="dxa"/>
            <w:tcBorders>
              <w:top w:val="single" w:color="000000" w:sz="4" w:space="0"/>
              <w:left w:val="single" w:color="000000" w:sz="4" w:space="0"/>
              <w:bottom w:val="single" w:color="000000" w:sz="4" w:space="0"/>
              <w:right w:val="single" w:color="000000" w:sz="4" w:space="0"/>
            </w:tcBorders>
            <w:vAlign w:val="center"/>
          </w:tcPr>
          <w:p w14:paraId="2B4866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0659439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26</w:t>
            </w:r>
          </w:p>
        </w:tc>
        <w:tc>
          <w:tcPr>
            <w:tcW w:w="1603" w:type="dxa"/>
            <w:tcBorders>
              <w:top w:val="single" w:color="000000" w:sz="4" w:space="0"/>
              <w:left w:val="single" w:color="000000" w:sz="4" w:space="0"/>
              <w:bottom w:val="single" w:color="000000" w:sz="4" w:space="0"/>
              <w:right w:val="nil"/>
            </w:tcBorders>
            <w:vAlign w:val="center"/>
          </w:tcPr>
          <w:p w14:paraId="0D23345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rPr>
              <w:t>基础医学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7A4C2C7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7ACCB5A">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0113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547F839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血管干细胞与离子通道在血管疾病调控中的作用</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程俊</w:t>
            </w:r>
          </w:p>
        </w:tc>
        <w:tc>
          <w:tcPr>
            <w:tcW w:w="1133" w:type="dxa"/>
            <w:tcBorders>
              <w:top w:val="single" w:color="000000" w:sz="4" w:space="0"/>
              <w:left w:val="single" w:color="000000" w:sz="4" w:space="0"/>
              <w:bottom w:val="single" w:color="000000" w:sz="4" w:space="0"/>
              <w:right w:val="single" w:color="000000" w:sz="4" w:space="0"/>
            </w:tcBorders>
            <w:vAlign w:val="center"/>
          </w:tcPr>
          <w:p w14:paraId="75264A9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111F514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27</w:t>
            </w:r>
          </w:p>
        </w:tc>
        <w:tc>
          <w:tcPr>
            <w:tcW w:w="1603" w:type="dxa"/>
            <w:tcBorders>
              <w:top w:val="single" w:color="000000" w:sz="4" w:space="0"/>
              <w:left w:val="single" w:color="000000" w:sz="4" w:space="0"/>
              <w:bottom w:val="single" w:color="000000" w:sz="4" w:space="0"/>
              <w:right w:val="nil"/>
            </w:tcBorders>
            <w:vAlign w:val="center"/>
          </w:tcPr>
          <w:p w14:paraId="0AF2E2D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生物学、生理学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092E58A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right w:val="single" w:color="000000" w:sz="4" w:space="0"/>
            </w:tcBorders>
            <w:vAlign w:val="center"/>
          </w:tcPr>
          <w:p w14:paraId="4E2CB4A3">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20AC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5FB569A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心血管药理</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袁琼</w:t>
            </w:r>
          </w:p>
        </w:tc>
        <w:tc>
          <w:tcPr>
            <w:tcW w:w="1133" w:type="dxa"/>
            <w:tcBorders>
              <w:top w:val="single" w:color="000000" w:sz="4" w:space="0"/>
              <w:left w:val="single" w:color="000000" w:sz="4" w:space="0"/>
              <w:bottom w:val="single" w:color="000000" w:sz="4" w:space="0"/>
              <w:right w:val="single" w:color="000000" w:sz="4" w:space="0"/>
            </w:tcBorders>
            <w:vAlign w:val="center"/>
          </w:tcPr>
          <w:p w14:paraId="4D08EDA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5C625D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w:t>
            </w:r>
            <w:r>
              <w:rPr>
                <w:rFonts w:hint="default" w:ascii="Times New Roman" w:hAnsi="Times New Roman" w:cs="Times New Roman" w:eastAsiaTheme="minorEastAsia"/>
                <w:kern w:val="0"/>
                <w:sz w:val="21"/>
                <w:szCs w:val="21"/>
                <w:lang w:val="en-US" w:eastAsia="zh-CN"/>
              </w:rPr>
              <w:t>028</w:t>
            </w:r>
          </w:p>
        </w:tc>
        <w:tc>
          <w:tcPr>
            <w:tcW w:w="1603" w:type="dxa"/>
            <w:tcBorders>
              <w:top w:val="single" w:color="000000" w:sz="4" w:space="0"/>
              <w:left w:val="single" w:color="000000" w:sz="4" w:space="0"/>
              <w:bottom w:val="single" w:color="000000" w:sz="4" w:space="0"/>
              <w:right w:val="nil"/>
            </w:tcBorders>
            <w:vAlign w:val="center"/>
          </w:tcPr>
          <w:p w14:paraId="3B3A65B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w:t>
            </w:r>
            <w:r>
              <w:rPr>
                <w:rFonts w:hint="default" w:ascii="Times New Roman" w:hAnsi="Times New Roman" w:cs="Times New Roman" w:eastAsiaTheme="minorEastAsia"/>
                <w:sz w:val="21"/>
                <w:szCs w:val="21"/>
                <w:lang w:eastAsia="zh-CN"/>
              </w:rPr>
              <w:t>、心血管病学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307F4DD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auto" w:sz="4" w:space="0"/>
              <w:bottom w:val="single" w:color="000000" w:sz="4" w:space="0"/>
              <w:right w:val="single" w:color="000000" w:sz="4" w:space="0"/>
            </w:tcBorders>
            <w:vAlign w:val="center"/>
          </w:tcPr>
          <w:p w14:paraId="48E51D13">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1B5B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7290A99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糖尿病诊疗标志物及糖尿病并发血管疾病的分子机制研究</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罗茂</w:t>
            </w:r>
          </w:p>
        </w:tc>
        <w:tc>
          <w:tcPr>
            <w:tcW w:w="1133" w:type="dxa"/>
            <w:tcBorders>
              <w:top w:val="single" w:color="000000" w:sz="4" w:space="0"/>
              <w:left w:val="single" w:color="000000" w:sz="4" w:space="0"/>
              <w:bottom w:val="single" w:color="000000" w:sz="4" w:space="0"/>
              <w:right w:val="single" w:color="000000" w:sz="4" w:space="0"/>
            </w:tcBorders>
            <w:vAlign w:val="center"/>
          </w:tcPr>
          <w:p w14:paraId="7D815A5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2F4708D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29</w:t>
            </w:r>
          </w:p>
        </w:tc>
        <w:tc>
          <w:tcPr>
            <w:tcW w:w="1603" w:type="dxa"/>
            <w:tcBorders>
              <w:top w:val="single" w:color="000000" w:sz="4" w:space="0"/>
              <w:left w:val="single" w:color="000000" w:sz="4" w:space="0"/>
              <w:bottom w:val="single" w:color="000000" w:sz="4" w:space="0"/>
              <w:right w:val="nil"/>
            </w:tcBorders>
            <w:vAlign w:val="center"/>
          </w:tcPr>
          <w:p w14:paraId="2A2046F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药学</w:t>
            </w:r>
            <w:r>
              <w:rPr>
                <w:rFonts w:hint="default" w:ascii="Times New Roman" w:hAnsi="Times New Roman" w:cs="Times New Roman" w:eastAsiaTheme="minorEastAsia"/>
                <w:sz w:val="21"/>
                <w:szCs w:val="21"/>
                <w:lang w:eastAsia="zh-CN"/>
              </w:rPr>
              <w:t>、药理学</w:t>
            </w:r>
          </w:p>
        </w:tc>
        <w:tc>
          <w:tcPr>
            <w:tcW w:w="1826" w:type="dxa"/>
            <w:tcBorders>
              <w:top w:val="single" w:color="000000" w:sz="4" w:space="0"/>
              <w:left w:val="single" w:color="000000" w:sz="4" w:space="0"/>
              <w:bottom w:val="single" w:color="000000" w:sz="4" w:space="0"/>
              <w:right w:val="single" w:color="000000" w:sz="4" w:space="0"/>
            </w:tcBorders>
            <w:vAlign w:val="center"/>
          </w:tcPr>
          <w:p w14:paraId="5004983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restart"/>
            <w:tcBorders>
              <w:top w:val="single" w:color="000000" w:sz="4" w:space="0"/>
              <w:left w:val="single" w:color="000000" w:sz="4" w:space="0"/>
              <w:right w:val="single" w:color="000000" w:sz="4" w:space="0"/>
            </w:tcBorders>
            <w:vAlign w:val="center"/>
          </w:tcPr>
          <w:p w14:paraId="4651C5B9">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w:t>
            </w:r>
            <w:r>
              <w:rPr>
                <w:rFonts w:hint="default" w:ascii="Times New Roman" w:hAnsi="Times New Roman" w:cs="Times New Roman" w:eastAsiaTheme="minorEastAsia"/>
                <w:sz w:val="21"/>
                <w:szCs w:val="21"/>
              </w:rPr>
              <w:t>等院校或研究所</w:t>
            </w:r>
          </w:p>
        </w:tc>
      </w:tr>
      <w:tr w14:paraId="6E81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221F2F6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中西医结合防治慢性肾脏病</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王丽</w:t>
            </w:r>
          </w:p>
        </w:tc>
        <w:tc>
          <w:tcPr>
            <w:tcW w:w="1133" w:type="dxa"/>
            <w:tcBorders>
              <w:top w:val="single" w:color="000000" w:sz="4" w:space="0"/>
              <w:left w:val="single" w:color="000000" w:sz="4" w:space="0"/>
              <w:bottom w:val="single" w:color="000000" w:sz="4" w:space="0"/>
              <w:right w:val="single" w:color="000000" w:sz="4" w:space="0"/>
            </w:tcBorders>
            <w:vAlign w:val="center"/>
          </w:tcPr>
          <w:p w14:paraId="010A1BC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bottom w:val="single" w:color="000000" w:sz="4" w:space="0"/>
              <w:right w:val="single" w:color="000000" w:sz="4" w:space="0"/>
            </w:tcBorders>
            <w:vAlign w:val="center"/>
          </w:tcPr>
          <w:p w14:paraId="1FC4E22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30</w:t>
            </w:r>
          </w:p>
        </w:tc>
        <w:tc>
          <w:tcPr>
            <w:tcW w:w="1603" w:type="dxa"/>
            <w:tcBorders>
              <w:top w:val="single" w:color="000000" w:sz="4" w:space="0"/>
              <w:left w:val="single" w:color="000000" w:sz="4" w:space="0"/>
              <w:bottom w:val="single" w:color="000000" w:sz="4" w:space="0"/>
              <w:right w:val="nil"/>
            </w:tcBorders>
            <w:vAlign w:val="center"/>
          </w:tcPr>
          <w:p w14:paraId="4C500C2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中医学</w:t>
            </w:r>
            <w:r>
              <w:rPr>
                <w:rFonts w:hint="default" w:ascii="Times New Roman" w:hAnsi="Times New Roman" w:cs="Times New Roman" w:eastAsiaTheme="minorEastAsia"/>
                <w:sz w:val="21"/>
                <w:szCs w:val="21"/>
                <w:lang w:eastAsia="zh-CN"/>
              </w:rPr>
              <w:t>、中医内科</w:t>
            </w:r>
          </w:p>
        </w:tc>
        <w:tc>
          <w:tcPr>
            <w:tcW w:w="1826" w:type="dxa"/>
            <w:tcBorders>
              <w:top w:val="single" w:color="000000" w:sz="4" w:space="0"/>
              <w:left w:val="single" w:color="000000" w:sz="4" w:space="0"/>
              <w:bottom w:val="single" w:color="000000" w:sz="4" w:space="0"/>
              <w:right w:val="single" w:color="000000" w:sz="4" w:space="0"/>
            </w:tcBorders>
            <w:vAlign w:val="center"/>
          </w:tcPr>
          <w:p w14:paraId="5141F99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0AADA697">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3494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3F6DABC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血管疾病的基础与临床</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刘勇</w:t>
            </w:r>
          </w:p>
        </w:tc>
        <w:tc>
          <w:tcPr>
            <w:tcW w:w="1133" w:type="dxa"/>
            <w:tcBorders>
              <w:top w:val="single" w:color="000000" w:sz="4" w:space="0"/>
              <w:left w:val="single" w:color="000000" w:sz="4" w:space="0"/>
              <w:right w:val="single" w:color="000000" w:sz="4" w:space="0"/>
            </w:tcBorders>
            <w:vAlign w:val="center"/>
          </w:tcPr>
          <w:p w14:paraId="1713E4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top w:val="single" w:color="000000" w:sz="4" w:space="0"/>
              <w:left w:val="single" w:color="000000" w:sz="4" w:space="0"/>
              <w:right w:val="single" w:color="000000" w:sz="4" w:space="0"/>
            </w:tcBorders>
            <w:vAlign w:val="center"/>
          </w:tcPr>
          <w:p w14:paraId="42291FA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31</w:t>
            </w:r>
          </w:p>
        </w:tc>
        <w:tc>
          <w:tcPr>
            <w:tcW w:w="1603" w:type="dxa"/>
            <w:tcBorders>
              <w:top w:val="single" w:color="000000" w:sz="4" w:space="0"/>
              <w:left w:val="single" w:color="000000" w:sz="4" w:space="0"/>
              <w:right w:val="single" w:color="000000" w:sz="4" w:space="0"/>
            </w:tcBorders>
            <w:vAlign w:val="center"/>
          </w:tcPr>
          <w:p w14:paraId="0B9F5AE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临床医学</w:t>
            </w:r>
            <w:r>
              <w:rPr>
                <w:rFonts w:hint="default" w:ascii="Times New Roman" w:hAnsi="Times New Roman" w:cs="Times New Roman" w:eastAsiaTheme="minorEastAsia"/>
                <w:sz w:val="21"/>
                <w:szCs w:val="21"/>
                <w:lang w:eastAsia="zh-CN"/>
              </w:rPr>
              <w:t>、外科学</w:t>
            </w:r>
          </w:p>
        </w:tc>
        <w:tc>
          <w:tcPr>
            <w:tcW w:w="1826" w:type="dxa"/>
            <w:tcBorders>
              <w:top w:val="single" w:color="000000" w:sz="4" w:space="0"/>
              <w:left w:val="single" w:color="000000" w:sz="4" w:space="0"/>
              <w:right w:val="single" w:color="000000" w:sz="4" w:space="0"/>
            </w:tcBorders>
            <w:vAlign w:val="center"/>
          </w:tcPr>
          <w:p w14:paraId="34304A7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7E8C32B9">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r w14:paraId="7307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976" w:type="dxa"/>
            <w:tcBorders>
              <w:top w:val="single" w:color="000000" w:sz="4" w:space="0"/>
              <w:left w:val="single" w:color="000000" w:sz="4" w:space="0"/>
              <w:bottom w:val="single" w:color="000000" w:sz="4" w:space="0"/>
              <w:right w:val="nil"/>
            </w:tcBorders>
            <w:noWrap/>
            <w:vAlign w:val="center"/>
          </w:tcPr>
          <w:p w14:paraId="29590F8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疾病生物信息学</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唐华</w:t>
            </w:r>
          </w:p>
        </w:tc>
        <w:tc>
          <w:tcPr>
            <w:tcW w:w="1133" w:type="dxa"/>
            <w:tcBorders>
              <w:left w:val="single" w:color="000000" w:sz="4" w:space="0"/>
              <w:right w:val="single" w:color="000000" w:sz="4" w:space="0"/>
            </w:tcBorders>
            <w:vAlign w:val="center"/>
          </w:tcPr>
          <w:p w14:paraId="524C6F9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09" w:type="dxa"/>
            <w:tcBorders>
              <w:left w:val="single" w:color="000000" w:sz="4" w:space="0"/>
              <w:right w:val="single" w:color="000000" w:sz="4" w:space="0"/>
            </w:tcBorders>
            <w:vAlign w:val="center"/>
          </w:tcPr>
          <w:p w14:paraId="2B49CBB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32</w:t>
            </w:r>
          </w:p>
        </w:tc>
        <w:tc>
          <w:tcPr>
            <w:tcW w:w="1603" w:type="dxa"/>
            <w:tcBorders>
              <w:left w:val="single" w:color="000000" w:sz="4" w:space="0"/>
              <w:right w:val="single" w:color="000000" w:sz="4" w:space="0"/>
            </w:tcBorders>
            <w:vAlign w:val="center"/>
          </w:tcPr>
          <w:p w14:paraId="7EEDAF94">
            <w:pPr>
              <w:bidi w:val="0"/>
              <w:spacing w:line="240" w:lineRule="auto"/>
              <w:ind w:left="0" w:leftChars="0" w:firstLine="0" w:firstLineChars="0"/>
              <w:jc w:val="center"/>
              <w:outlineLvl w:val="9"/>
              <w:rPr>
                <w:rFonts w:hint="default" w:ascii="Times New Roman" w:hAnsi="Times New Roman" w:cs="Times New Roman" w:eastAsiaTheme="minorEastAsia"/>
                <w:sz w:val="21"/>
                <w:szCs w:val="21"/>
              </w:rPr>
            </w:pPr>
            <w:bookmarkStart w:id="472" w:name="_Toc4088"/>
            <w:bookmarkStart w:id="473" w:name="_Toc20097"/>
            <w:r>
              <w:rPr>
                <w:rFonts w:hint="default" w:ascii="Times New Roman" w:hAnsi="Times New Roman" w:cs="Times New Roman" w:eastAsiaTheme="minorEastAsia"/>
                <w:b w:val="0"/>
                <w:kern w:val="2"/>
                <w:sz w:val="21"/>
                <w:szCs w:val="21"/>
                <w:lang w:val="en-US" w:eastAsia="zh-CN" w:bidi="ar-SA"/>
              </w:rPr>
              <w:t>基础医学、病理生理学</w:t>
            </w:r>
            <w:bookmarkEnd w:id="472"/>
            <w:bookmarkEnd w:id="473"/>
          </w:p>
        </w:tc>
        <w:tc>
          <w:tcPr>
            <w:tcW w:w="1826" w:type="dxa"/>
            <w:tcBorders>
              <w:left w:val="single" w:color="000000" w:sz="4" w:space="0"/>
              <w:right w:val="single" w:color="000000" w:sz="4" w:space="0"/>
            </w:tcBorders>
            <w:vAlign w:val="center"/>
          </w:tcPr>
          <w:p w14:paraId="579FCD5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20万左右；</w:t>
            </w:r>
            <w:r>
              <w:rPr>
                <w:rFonts w:hint="default" w:ascii="Times New Roman" w:hAnsi="Times New Roman" w:cs="Times New Roman" w:eastAsiaTheme="minorEastAsia"/>
                <w:kern w:val="0"/>
                <w:sz w:val="21"/>
                <w:szCs w:val="21"/>
                <w:lang w:val="en-US" w:eastAsia="zh-CN"/>
              </w:rPr>
              <w:br w:type="textWrapping"/>
            </w:r>
            <w:r>
              <w:rPr>
                <w:rFonts w:hint="default" w:ascii="Times New Roman" w:hAnsi="Times New Roman" w:cs="Times New Roman" w:eastAsiaTheme="minorEastAsia"/>
                <w:kern w:val="0"/>
                <w:sz w:val="21"/>
                <w:szCs w:val="21"/>
                <w:lang w:val="en-US" w:eastAsia="zh-CN"/>
              </w:rPr>
              <w:t>另一次性给予20万元科研启动金</w:t>
            </w:r>
          </w:p>
        </w:tc>
        <w:tc>
          <w:tcPr>
            <w:tcW w:w="2191" w:type="dxa"/>
            <w:vMerge w:val="continue"/>
            <w:tcBorders>
              <w:left w:val="single" w:color="000000" w:sz="4" w:space="0"/>
              <w:right w:val="single" w:color="000000" w:sz="4" w:space="0"/>
            </w:tcBorders>
            <w:vAlign w:val="center"/>
          </w:tcPr>
          <w:p w14:paraId="0F17D1A2">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p>
        </w:tc>
      </w:tr>
    </w:tbl>
    <w:p w14:paraId="66656129">
      <w:pPr>
        <w:adjustRightInd w:val="0"/>
        <w:snapToGrid w:val="0"/>
        <w:spacing w:line="240" w:lineRule="auto"/>
        <w:ind w:firstLine="0"/>
        <w:jc w:val="center"/>
        <w:rPr>
          <w:rFonts w:eastAsia="方正小标宋简体"/>
          <w:sz w:val="44"/>
          <w:szCs w:val="44"/>
        </w:rPr>
      </w:pPr>
    </w:p>
    <w:p w14:paraId="554FA883">
      <w:pPr>
        <w:adjustRightInd w:val="0"/>
        <w:snapToGrid w:val="0"/>
        <w:spacing w:line="240" w:lineRule="auto"/>
        <w:ind w:firstLine="0"/>
        <w:jc w:val="center"/>
        <w:rPr>
          <w:rFonts w:eastAsia="方正小标宋简体"/>
          <w:sz w:val="44"/>
          <w:szCs w:val="44"/>
        </w:rPr>
      </w:pPr>
    </w:p>
    <w:p w14:paraId="004EAEDA">
      <w:pPr>
        <w:adjustRightInd w:val="0"/>
        <w:snapToGrid w:val="0"/>
        <w:spacing w:line="240" w:lineRule="auto"/>
        <w:ind w:firstLine="0"/>
        <w:jc w:val="center"/>
        <w:rPr>
          <w:rFonts w:eastAsia="方正小标宋简体"/>
          <w:sz w:val="44"/>
          <w:szCs w:val="44"/>
        </w:rPr>
      </w:pPr>
    </w:p>
    <w:p w14:paraId="4924308C">
      <w:pPr>
        <w:adjustRightInd w:val="0"/>
        <w:snapToGrid w:val="0"/>
        <w:spacing w:line="240" w:lineRule="auto"/>
        <w:ind w:firstLine="0"/>
        <w:jc w:val="center"/>
        <w:rPr>
          <w:rFonts w:eastAsia="方正小标宋简体"/>
          <w:sz w:val="44"/>
          <w:szCs w:val="44"/>
        </w:rPr>
      </w:pPr>
    </w:p>
    <w:p w14:paraId="32D16D90">
      <w:pPr>
        <w:adjustRightInd w:val="0"/>
        <w:snapToGrid w:val="0"/>
        <w:spacing w:line="240" w:lineRule="auto"/>
        <w:ind w:firstLine="0"/>
        <w:jc w:val="center"/>
        <w:rPr>
          <w:rFonts w:eastAsia="方正小标宋简体"/>
          <w:sz w:val="44"/>
          <w:szCs w:val="44"/>
        </w:rPr>
      </w:pPr>
    </w:p>
    <w:p w14:paraId="211C181C">
      <w:pPr>
        <w:adjustRightInd w:val="0"/>
        <w:snapToGrid w:val="0"/>
        <w:spacing w:line="240" w:lineRule="auto"/>
        <w:ind w:firstLine="0"/>
        <w:jc w:val="center"/>
        <w:rPr>
          <w:rFonts w:eastAsia="方正小标宋简体"/>
          <w:sz w:val="44"/>
          <w:szCs w:val="44"/>
        </w:rPr>
      </w:pPr>
    </w:p>
    <w:p w14:paraId="6A878AF0">
      <w:pPr>
        <w:adjustRightInd w:val="0"/>
        <w:snapToGrid w:val="0"/>
        <w:spacing w:line="240" w:lineRule="auto"/>
        <w:ind w:firstLine="0"/>
        <w:jc w:val="center"/>
        <w:rPr>
          <w:rFonts w:eastAsia="方正小标宋简体"/>
          <w:sz w:val="44"/>
          <w:szCs w:val="44"/>
        </w:rPr>
      </w:pPr>
    </w:p>
    <w:p w14:paraId="07E64E30">
      <w:pPr>
        <w:adjustRightInd w:val="0"/>
        <w:snapToGrid w:val="0"/>
        <w:spacing w:line="240" w:lineRule="auto"/>
        <w:ind w:firstLine="0"/>
        <w:jc w:val="center"/>
        <w:rPr>
          <w:rFonts w:eastAsia="方正小标宋简体"/>
          <w:sz w:val="44"/>
          <w:szCs w:val="44"/>
        </w:rPr>
      </w:pPr>
    </w:p>
    <w:p w14:paraId="5A0CF4A9">
      <w:pPr>
        <w:adjustRightInd w:val="0"/>
        <w:snapToGrid w:val="0"/>
        <w:spacing w:line="240" w:lineRule="auto"/>
        <w:ind w:firstLine="0"/>
        <w:jc w:val="center"/>
        <w:rPr>
          <w:rFonts w:eastAsia="方正小标宋简体"/>
          <w:sz w:val="44"/>
          <w:szCs w:val="44"/>
        </w:rPr>
      </w:pPr>
    </w:p>
    <w:p w14:paraId="583DA2C6">
      <w:pPr>
        <w:adjustRightInd w:val="0"/>
        <w:snapToGrid w:val="0"/>
        <w:spacing w:line="240" w:lineRule="auto"/>
        <w:ind w:firstLine="0"/>
        <w:jc w:val="center"/>
        <w:rPr>
          <w:rFonts w:eastAsia="方正小标宋简体"/>
          <w:sz w:val="44"/>
          <w:szCs w:val="44"/>
        </w:rPr>
      </w:pPr>
    </w:p>
    <w:p w14:paraId="10164969">
      <w:pPr>
        <w:adjustRightInd w:val="0"/>
        <w:snapToGrid w:val="0"/>
        <w:spacing w:line="240" w:lineRule="auto"/>
        <w:ind w:firstLine="0"/>
        <w:jc w:val="center"/>
        <w:rPr>
          <w:rFonts w:eastAsia="方正小标宋简体"/>
          <w:sz w:val="44"/>
          <w:szCs w:val="44"/>
        </w:rPr>
      </w:pPr>
    </w:p>
    <w:p w14:paraId="35C95496">
      <w:pPr>
        <w:adjustRightInd w:val="0"/>
        <w:snapToGrid w:val="0"/>
        <w:spacing w:line="240" w:lineRule="auto"/>
        <w:ind w:firstLine="0"/>
        <w:jc w:val="center"/>
        <w:rPr>
          <w:rFonts w:eastAsia="方正小标宋简体"/>
          <w:sz w:val="44"/>
          <w:szCs w:val="44"/>
        </w:rPr>
      </w:pPr>
    </w:p>
    <w:p w14:paraId="13A655A9">
      <w:pPr>
        <w:adjustRightInd w:val="0"/>
        <w:snapToGrid w:val="0"/>
        <w:spacing w:line="240" w:lineRule="auto"/>
        <w:ind w:firstLine="0"/>
        <w:jc w:val="center"/>
        <w:rPr>
          <w:rFonts w:eastAsia="方正小标宋简体"/>
          <w:sz w:val="44"/>
          <w:szCs w:val="44"/>
        </w:rPr>
      </w:pPr>
    </w:p>
    <w:p w14:paraId="1AD1CC10">
      <w:pPr>
        <w:adjustRightInd w:val="0"/>
        <w:snapToGrid w:val="0"/>
        <w:spacing w:line="240" w:lineRule="auto"/>
        <w:ind w:firstLine="0"/>
        <w:jc w:val="center"/>
        <w:rPr>
          <w:rFonts w:eastAsia="方正小标宋简体"/>
          <w:sz w:val="44"/>
          <w:szCs w:val="44"/>
        </w:rPr>
      </w:pPr>
    </w:p>
    <w:p w14:paraId="48C48036">
      <w:pPr>
        <w:adjustRightInd w:val="0"/>
        <w:snapToGrid w:val="0"/>
        <w:spacing w:line="240" w:lineRule="auto"/>
        <w:ind w:firstLine="0"/>
        <w:jc w:val="center"/>
        <w:rPr>
          <w:rFonts w:eastAsia="方正小标宋简体"/>
          <w:sz w:val="44"/>
          <w:szCs w:val="44"/>
        </w:rPr>
      </w:pPr>
    </w:p>
    <w:p w14:paraId="4F14E944">
      <w:pPr>
        <w:adjustRightInd w:val="0"/>
        <w:snapToGrid w:val="0"/>
        <w:spacing w:line="240" w:lineRule="auto"/>
        <w:ind w:firstLine="0"/>
        <w:jc w:val="center"/>
        <w:rPr>
          <w:rFonts w:eastAsia="方正小标宋简体"/>
          <w:sz w:val="44"/>
          <w:szCs w:val="44"/>
        </w:rPr>
      </w:pPr>
    </w:p>
    <w:p w14:paraId="391AC2D6">
      <w:pPr>
        <w:adjustRightInd w:val="0"/>
        <w:snapToGrid w:val="0"/>
        <w:spacing w:line="240" w:lineRule="auto"/>
        <w:ind w:firstLine="0"/>
        <w:jc w:val="center"/>
        <w:rPr>
          <w:rFonts w:eastAsia="方正小标宋简体"/>
          <w:sz w:val="44"/>
          <w:szCs w:val="44"/>
        </w:rPr>
      </w:pPr>
    </w:p>
    <w:p w14:paraId="6232DD2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eastAsia="方正小标宋简体"/>
          <w:sz w:val="44"/>
          <w:szCs w:val="44"/>
          <w:highlight w:val="none"/>
        </w:rPr>
      </w:pPr>
      <w:bookmarkStart w:id="474" w:name="_Toc32230"/>
    </w:p>
    <w:p w14:paraId="7A6D18E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475" w:name="_Toc31949"/>
      <w:bookmarkStart w:id="476" w:name="_Toc29905"/>
      <w:bookmarkStart w:id="477" w:name="_Toc13901"/>
      <w:bookmarkStart w:id="478" w:name="_Toc9449"/>
      <w:r>
        <w:rPr>
          <w:rFonts w:eastAsia="方正小标宋简体"/>
          <w:sz w:val="44"/>
          <w:szCs w:val="44"/>
          <w:highlight w:val="none"/>
        </w:rPr>
        <w:t>新华文轩出版传媒股份有限公司</w:t>
      </w:r>
      <w:bookmarkEnd w:id="474"/>
      <w:bookmarkEnd w:id="475"/>
      <w:bookmarkEnd w:id="476"/>
      <w:bookmarkEnd w:id="477"/>
      <w:bookmarkEnd w:id="478"/>
    </w:p>
    <w:p w14:paraId="47733FA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137"/>
        <w:gridCol w:w="1726"/>
        <w:gridCol w:w="2061"/>
        <w:gridCol w:w="1610"/>
        <w:gridCol w:w="1868"/>
        <w:gridCol w:w="11"/>
      </w:tblGrid>
      <w:tr w14:paraId="4FE6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dxa"/>
          <w:trHeight w:val="567" w:hRule="atLeast"/>
          <w:jc w:val="center"/>
        </w:trPr>
        <w:tc>
          <w:tcPr>
            <w:tcW w:w="1271" w:type="dxa"/>
            <w:shd w:val="clear" w:color="auto" w:fill="E7E6E6" w:themeFill="background2"/>
            <w:noWrap/>
            <w:vAlign w:val="center"/>
          </w:tcPr>
          <w:p w14:paraId="1A14CD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0" w:type="dxa"/>
            <w:shd w:val="clear" w:color="auto" w:fill="auto"/>
            <w:noWrap/>
            <w:vAlign w:val="center"/>
          </w:tcPr>
          <w:p w14:paraId="15CFAB9A">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14:paraId="179CBA56">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958" w:type="dxa"/>
            <w:shd w:val="clear" w:color="auto" w:fill="auto"/>
            <w:noWrap/>
            <w:vAlign w:val="center"/>
          </w:tcPr>
          <w:p w14:paraId="4CF52E2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30" w:type="dxa"/>
            <w:shd w:val="clear" w:color="auto" w:fill="E7E6E6" w:themeFill="background2"/>
            <w:noWrap/>
            <w:vAlign w:val="center"/>
          </w:tcPr>
          <w:p w14:paraId="04BCF6C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75" w:type="dxa"/>
            <w:shd w:val="clear" w:color="auto" w:fill="auto"/>
            <w:noWrap/>
            <w:vAlign w:val="center"/>
          </w:tcPr>
          <w:p w14:paraId="1CD7AD09">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A1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567" w:hRule="atLeast"/>
          <w:jc w:val="center"/>
        </w:trPr>
        <w:tc>
          <w:tcPr>
            <w:tcW w:w="1271" w:type="dxa"/>
            <w:shd w:val="clear" w:color="auto" w:fill="E7E6E6" w:themeFill="background2"/>
            <w:noWrap/>
            <w:vAlign w:val="center"/>
          </w:tcPr>
          <w:p w14:paraId="09FDB249">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83" w:type="dxa"/>
            <w:gridSpan w:val="5"/>
            <w:shd w:val="clear" w:color="auto" w:fill="auto"/>
            <w:noWrap/>
            <w:vAlign w:val="center"/>
          </w:tcPr>
          <w:p w14:paraId="48314DBA">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成都市锦江区三色路238号新华之星A座</w:t>
            </w:r>
          </w:p>
        </w:tc>
      </w:tr>
      <w:tr w14:paraId="47AC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2" w:hRule="atLeast"/>
          <w:jc w:val="center"/>
        </w:trPr>
        <w:tc>
          <w:tcPr>
            <w:tcW w:w="1271" w:type="dxa"/>
            <w:shd w:val="clear" w:color="auto" w:fill="E7E6E6" w:themeFill="background2"/>
            <w:noWrap/>
            <w:vAlign w:val="center"/>
          </w:tcPr>
          <w:p w14:paraId="2D1B40C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3" w:type="dxa"/>
            <w:gridSpan w:val="6"/>
            <w:shd w:val="clear" w:color="auto" w:fill="auto"/>
            <w:noWrap/>
            <w:vAlign w:val="center"/>
          </w:tcPr>
          <w:p w14:paraId="3A2014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新华文轩出版传媒股份有限公司是国内首家“A+H”出版传媒企业，聚焦出版发行主业，在图书出版、报刊传媒、阅读服务、电子商务、教育服务、印制生产、物流配送、资本经营等领域谋篇布局，实施全产业链经营。公司旗下15家出版单位，8家大众图书出版社，1家教育图书出版社，1家数字出版单位，3家期刊和2家报社，不断奉献精品力作，推动文化发展与繁荣；公司拥有省内的184家零售直营门店、152家教育服务分公司，构建“店内店外融合、线上线下结合”的新型文化消费服务体系，确立了在教学用书供应、教育信息化等教育服务领域的领先地位；公司打造了文轩网、文轩九月等全国出版物电子商务知名品牌，拓展区块链等新兴服务，稳步向互联网经济转型；公司构建了以成都、天津、无锡为中心、辐射全国的物流服务平台，建立了印刷物资供应和印刷生产服务的生产印制平台，搭建了为出版社和书店提供商品组织、物流配送等服务的行业供应链协同平台，为推动行业转型发展贡献力量。除此，公司还积极推进文化艺术、体育、资本经营等领域的探索，积极响应文化“走出去”战略，向多元化的文化产业集团不断迈进。</w:t>
            </w:r>
          </w:p>
        </w:tc>
      </w:tr>
      <w:tr w14:paraId="6DE4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6" w:hRule="atLeast"/>
          <w:jc w:val="center"/>
        </w:trPr>
        <w:tc>
          <w:tcPr>
            <w:tcW w:w="1271" w:type="dxa"/>
            <w:shd w:val="clear" w:color="auto" w:fill="E7E6E6" w:themeFill="background2"/>
            <w:noWrap/>
            <w:vAlign w:val="center"/>
          </w:tcPr>
          <w:p w14:paraId="41FBB97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3" w:type="dxa"/>
            <w:gridSpan w:val="6"/>
            <w:shd w:val="clear" w:color="auto" w:fill="auto"/>
            <w:noWrap/>
            <w:vAlign w:val="center"/>
          </w:tcPr>
          <w:p w14:paraId="7F9B39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1.招收条件：申请人年龄40周岁以下；具备全脱产在本站从事博士后研究工作的条件；具有较强的决策咨询研究能力、沟通协调能力、敬业精神和团队精神。</w:t>
            </w:r>
          </w:p>
          <w:p w14:paraId="04D071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2.招收专业：哲学类、经济学类、法学类、教育学类、文学类、历史学类、医学类、管理学类、艺术学类等。</w:t>
            </w:r>
          </w:p>
          <w:p w14:paraId="08BBEE6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研究课题：（1）文化+科技背景下产业链变化趋势与转型升级研究；（2）新技术融合实现出版行业高质量发展的路径策略研究；（3）集团公司投融资商业模式探索；（4）集团公司人才分类管理模式及核心岗位胜任能力模型的研究；（5）打造具有国际影响力、竞争力的电商平台研究；（6）图书策划及营销模式研究；（7）精品原创内容的孵化与运营研究；（8）中华优秀传统文化传承发展研究；（9）新媒体有效传播与精准服务研究。</w:t>
            </w:r>
          </w:p>
          <w:p w14:paraId="0BBDCE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lang w:val="en-US" w:eastAsia="zh-CN"/>
              </w:rPr>
              <w:t>4.</w:t>
            </w:r>
            <w:r>
              <w:rPr>
                <w:rFonts w:hint="eastAsia" w:eastAsiaTheme="minorEastAsia"/>
                <w:sz w:val="21"/>
                <w:szCs w:val="21"/>
              </w:rPr>
              <w:t>福利待遇：公司将为博士后提供具有竞争力的薪酬待遇。根据博士后自身意愿，协助其办理落户、子女入学等事宜。</w:t>
            </w:r>
          </w:p>
        </w:tc>
      </w:tr>
    </w:tbl>
    <w:p w14:paraId="6C7987C4">
      <w:pPr>
        <w:spacing w:line="240" w:lineRule="auto"/>
        <w:ind w:firstLine="0"/>
        <w:rPr>
          <w:sz w:val="21"/>
          <w:szCs w:val="21"/>
        </w:rPr>
      </w:pPr>
      <w:r>
        <w:rPr>
          <w:sz w:val="21"/>
          <w:szCs w:val="21"/>
        </w:rPr>
        <w:br w:type="page"/>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131"/>
        <w:gridCol w:w="1241"/>
        <w:gridCol w:w="1876"/>
        <w:gridCol w:w="1786"/>
        <w:gridCol w:w="1599"/>
      </w:tblGrid>
      <w:tr w14:paraId="2604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068" w:type="dxa"/>
            <w:shd w:val="clear" w:color="auto" w:fill="E7E6E6" w:themeFill="background2"/>
            <w:noWrap/>
            <w:vAlign w:val="center"/>
          </w:tcPr>
          <w:p w14:paraId="573D9AC1">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1104" w:type="dxa"/>
            <w:shd w:val="clear" w:color="auto" w:fill="E7E6E6" w:themeFill="background2"/>
            <w:noWrap/>
            <w:vAlign w:val="center"/>
          </w:tcPr>
          <w:p w14:paraId="5373C652">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212" w:type="dxa"/>
            <w:shd w:val="clear" w:color="auto" w:fill="E7E6E6" w:themeFill="background2"/>
            <w:noWrap/>
            <w:vAlign w:val="center"/>
          </w:tcPr>
          <w:p w14:paraId="0D7ECAD4">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832" w:type="dxa"/>
            <w:shd w:val="clear" w:color="auto" w:fill="E7E6E6" w:themeFill="background2"/>
            <w:noWrap/>
            <w:vAlign w:val="center"/>
          </w:tcPr>
          <w:p w14:paraId="363B3C3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6E33880">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44" w:type="dxa"/>
            <w:shd w:val="clear" w:color="auto" w:fill="E7E6E6" w:themeFill="background2"/>
            <w:noWrap/>
            <w:vAlign w:val="center"/>
          </w:tcPr>
          <w:p w14:paraId="434C765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5BB3BE5">
            <w:pPr>
              <w:adjustRightInd w:val="0"/>
              <w:snapToGrid w:val="0"/>
              <w:spacing w:line="240" w:lineRule="auto"/>
              <w:ind w:firstLine="0" w:firstLineChars="0"/>
              <w:jc w:val="center"/>
              <w:rPr>
                <w:rFonts w:eastAsia="宋体"/>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61" w:type="dxa"/>
            <w:shd w:val="clear" w:color="auto" w:fill="E7E6E6" w:themeFill="background2"/>
            <w:noWrap/>
            <w:vAlign w:val="center"/>
          </w:tcPr>
          <w:p w14:paraId="4CAE74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65A270B">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等要求</w:t>
            </w:r>
          </w:p>
        </w:tc>
      </w:tr>
      <w:tr w14:paraId="32B1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9762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文化+科技背景下产业链变化趋势与转型升级研究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9E1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5E4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120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经济学、教育学</w:t>
            </w:r>
          </w:p>
        </w:tc>
        <w:tc>
          <w:tcPr>
            <w:tcW w:w="1744" w:type="dxa"/>
            <w:vMerge w:val="restart"/>
            <w:tcBorders>
              <w:top w:val="single" w:color="auto" w:sz="4" w:space="0"/>
              <w:left w:val="single" w:color="auto" w:sz="4" w:space="0"/>
              <w:right w:val="single" w:color="auto" w:sz="4" w:space="0"/>
            </w:tcBorders>
            <w:shd w:val="clear" w:color="auto" w:fill="FFFFFF"/>
            <w:noWrap/>
            <w:vAlign w:val="center"/>
          </w:tcPr>
          <w:p w14:paraId="7AAFD4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科研经费充足，提供具有行业竞争力的薪酬待遇。</w:t>
            </w:r>
          </w:p>
        </w:tc>
        <w:tc>
          <w:tcPr>
            <w:tcW w:w="1561" w:type="dxa"/>
            <w:vMerge w:val="restart"/>
            <w:tcBorders>
              <w:top w:val="single" w:color="auto" w:sz="4" w:space="0"/>
              <w:left w:val="single" w:color="auto" w:sz="4" w:space="0"/>
              <w:right w:val="single" w:color="auto" w:sz="4" w:space="0"/>
            </w:tcBorders>
            <w:shd w:val="clear" w:color="auto" w:fill="FFFFFF"/>
            <w:noWrap/>
            <w:vAlign w:val="center"/>
          </w:tcPr>
          <w:p w14:paraId="22D5CE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国内外知名高校</w:t>
            </w:r>
          </w:p>
        </w:tc>
      </w:tr>
      <w:tr w14:paraId="5F7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182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新技术融合实现出版行业高质量发展的路径策略研究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02A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3305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FC0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管理学、社会学</w:t>
            </w:r>
          </w:p>
        </w:tc>
        <w:tc>
          <w:tcPr>
            <w:tcW w:w="1744" w:type="dxa"/>
            <w:vMerge w:val="continue"/>
            <w:tcBorders>
              <w:left w:val="single" w:color="auto" w:sz="4" w:space="0"/>
              <w:right w:val="single" w:color="auto" w:sz="4" w:space="0"/>
            </w:tcBorders>
            <w:shd w:val="clear" w:color="auto" w:fill="FFFFFF"/>
            <w:noWrap/>
            <w:vAlign w:val="center"/>
          </w:tcPr>
          <w:p w14:paraId="2AB4DF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24B97B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5C42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C43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集团公司投融资商业模式探索</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379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FD81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8B32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经济学、管理学</w:t>
            </w:r>
          </w:p>
        </w:tc>
        <w:tc>
          <w:tcPr>
            <w:tcW w:w="1744" w:type="dxa"/>
            <w:vMerge w:val="continue"/>
            <w:tcBorders>
              <w:left w:val="single" w:color="auto" w:sz="4" w:space="0"/>
              <w:right w:val="single" w:color="auto" w:sz="4" w:space="0"/>
            </w:tcBorders>
            <w:shd w:val="clear" w:color="auto" w:fill="FFFFFF"/>
            <w:noWrap/>
            <w:vAlign w:val="center"/>
          </w:tcPr>
          <w:p w14:paraId="4D494E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6C2666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0FE0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0612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集团公司人才分类管理模式及核心岗位胜任能力模型的研究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010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824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EB4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管理学</w:t>
            </w:r>
          </w:p>
        </w:tc>
        <w:tc>
          <w:tcPr>
            <w:tcW w:w="1744" w:type="dxa"/>
            <w:vMerge w:val="continue"/>
            <w:tcBorders>
              <w:left w:val="single" w:color="auto" w:sz="4" w:space="0"/>
              <w:right w:val="single" w:color="auto" w:sz="4" w:space="0"/>
            </w:tcBorders>
            <w:shd w:val="clear" w:color="auto" w:fill="FFFFFF"/>
            <w:noWrap/>
            <w:vAlign w:val="center"/>
          </w:tcPr>
          <w:p w14:paraId="74FD66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4432A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4B79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774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打造具有国际影响力、竞争力的电商平台研究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4BB7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912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0BB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经济学、法学</w:t>
            </w:r>
          </w:p>
        </w:tc>
        <w:tc>
          <w:tcPr>
            <w:tcW w:w="1744" w:type="dxa"/>
            <w:vMerge w:val="continue"/>
            <w:tcBorders>
              <w:left w:val="single" w:color="auto" w:sz="4" w:space="0"/>
              <w:right w:val="single" w:color="auto" w:sz="4" w:space="0"/>
            </w:tcBorders>
            <w:shd w:val="clear" w:color="auto" w:fill="FFFFFF"/>
            <w:noWrap/>
            <w:vAlign w:val="center"/>
          </w:tcPr>
          <w:p w14:paraId="4188A9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62BF41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1C9D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54C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图书策划及营销模式研究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67A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9F1F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6D1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哲学、中医学与中药学</w:t>
            </w:r>
          </w:p>
        </w:tc>
        <w:tc>
          <w:tcPr>
            <w:tcW w:w="1744" w:type="dxa"/>
            <w:vMerge w:val="continue"/>
            <w:tcBorders>
              <w:left w:val="single" w:color="auto" w:sz="4" w:space="0"/>
              <w:right w:val="single" w:color="auto" w:sz="4" w:space="0"/>
            </w:tcBorders>
            <w:shd w:val="clear" w:color="auto" w:fill="FFFFFF"/>
            <w:noWrap/>
            <w:vAlign w:val="center"/>
          </w:tcPr>
          <w:p w14:paraId="0B77F4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7169B5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1069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6B8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精品原创内容的孵化与运营研究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42E2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11F6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0DD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文学、艺术学</w:t>
            </w:r>
          </w:p>
        </w:tc>
        <w:tc>
          <w:tcPr>
            <w:tcW w:w="1744" w:type="dxa"/>
            <w:vMerge w:val="continue"/>
            <w:tcBorders>
              <w:left w:val="single" w:color="auto" w:sz="4" w:space="0"/>
              <w:right w:val="single" w:color="auto" w:sz="4" w:space="0"/>
            </w:tcBorders>
            <w:shd w:val="clear" w:color="auto" w:fill="FFFFFF"/>
            <w:noWrap/>
            <w:vAlign w:val="center"/>
          </w:tcPr>
          <w:p w14:paraId="73E368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60803D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3F1C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391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中华优秀传统文化传承发展研究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109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96D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BFC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文学、历史学</w:t>
            </w:r>
          </w:p>
        </w:tc>
        <w:tc>
          <w:tcPr>
            <w:tcW w:w="1744" w:type="dxa"/>
            <w:vMerge w:val="continue"/>
            <w:tcBorders>
              <w:left w:val="single" w:color="auto" w:sz="4" w:space="0"/>
              <w:right w:val="single" w:color="auto" w:sz="4" w:space="0"/>
            </w:tcBorders>
            <w:shd w:val="clear" w:color="auto" w:fill="FFFFFF"/>
            <w:noWrap/>
            <w:vAlign w:val="center"/>
          </w:tcPr>
          <w:p w14:paraId="2F662A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right w:val="single" w:color="auto" w:sz="4" w:space="0"/>
            </w:tcBorders>
            <w:shd w:val="clear" w:color="auto" w:fill="FFFFFF"/>
            <w:noWrap/>
            <w:vAlign w:val="center"/>
          </w:tcPr>
          <w:p w14:paraId="2BE8AB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2A66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68"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B11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新媒体有效传播与精准服务研究</w:t>
            </w:r>
          </w:p>
        </w:tc>
        <w:tc>
          <w:tcPr>
            <w:tcW w:w="110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0BA85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C34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9</w:t>
            </w:r>
          </w:p>
        </w:tc>
        <w:tc>
          <w:tcPr>
            <w:tcW w:w="183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3BA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新闻学与传播学</w:t>
            </w:r>
          </w:p>
        </w:tc>
        <w:tc>
          <w:tcPr>
            <w:tcW w:w="1744" w:type="dxa"/>
            <w:vMerge w:val="continue"/>
            <w:tcBorders>
              <w:left w:val="single" w:color="auto" w:sz="4" w:space="0"/>
              <w:bottom w:val="single" w:color="auto" w:sz="4" w:space="0"/>
              <w:right w:val="single" w:color="auto" w:sz="4" w:space="0"/>
            </w:tcBorders>
            <w:shd w:val="clear" w:color="auto" w:fill="FFFFFF"/>
            <w:noWrap/>
            <w:vAlign w:val="center"/>
          </w:tcPr>
          <w:p w14:paraId="3ADA30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c>
          <w:tcPr>
            <w:tcW w:w="1561" w:type="dxa"/>
            <w:vMerge w:val="continue"/>
            <w:tcBorders>
              <w:left w:val="single" w:color="auto" w:sz="4" w:space="0"/>
              <w:bottom w:val="single" w:color="auto" w:sz="4" w:space="0"/>
              <w:right w:val="single" w:color="auto" w:sz="4" w:space="0"/>
            </w:tcBorders>
            <w:shd w:val="clear" w:color="auto" w:fill="FFFFFF"/>
            <w:noWrap/>
            <w:vAlign w:val="center"/>
          </w:tcPr>
          <w:p w14:paraId="6F08E7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bl>
    <w:p w14:paraId="4AC93A3E">
      <w:pPr>
        <w:spacing w:line="240" w:lineRule="auto"/>
        <w:ind w:firstLine="0"/>
        <w:rPr>
          <w:rFonts w:eastAsia="方正小标宋简体"/>
          <w:sz w:val="21"/>
          <w:szCs w:val="21"/>
        </w:rPr>
      </w:pPr>
      <w:r>
        <w:rPr>
          <w:sz w:val="21"/>
          <w:szCs w:val="21"/>
        </w:rPr>
        <w:br w:type="page"/>
      </w:r>
    </w:p>
    <w:p w14:paraId="67A97B4A">
      <w:pPr>
        <w:adjustRightInd w:val="0"/>
        <w:snapToGrid w:val="0"/>
        <w:spacing w:line="240" w:lineRule="auto"/>
        <w:ind w:firstLine="0"/>
        <w:jc w:val="center"/>
        <w:rPr>
          <w:rFonts w:eastAsia="方正小标宋简体"/>
          <w:sz w:val="44"/>
          <w:szCs w:val="44"/>
        </w:rPr>
      </w:pPr>
    </w:p>
    <w:p w14:paraId="0392DF7E">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479" w:name="_Toc32065"/>
      <w:bookmarkStart w:id="480" w:name="_Toc15944"/>
      <w:bookmarkStart w:id="481" w:name="_Toc18279"/>
      <w:bookmarkStart w:id="482" w:name="_Toc31232"/>
      <w:bookmarkStart w:id="483" w:name="_Toc23403"/>
      <w:r>
        <w:rPr>
          <w:rFonts w:hint="eastAsia" w:eastAsia="方正小标宋简体"/>
          <w:sz w:val="44"/>
          <w:szCs w:val="44"/>
          <w:highlight w:val="none"/>
        </w:rPr>
        <w:t>新希望六和股份有限公司</w:t>
      </w:r>
      <w:bookmarkEnd w:id="479"/>
      <w:bookmarkEnd w:id="480"/>
      <w:bookmarkEnd w:id="481"/>
      <w:bookmarkEnd w:id="482"/>
      <w:bookmarkEnd w:id="483"/>
    </w:p>
    <w:p w14:paraId="7FAE0300">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461"/>
        <w:gridCol w:w="1099"/>
        <w:gridCol w:w="56"/>
        <w:gridCol w:w="1179"/>
        <w:gridCol w:w="444"/>
        <w:gridCol w:w="1627"/>
        <w:gridCol w:w="1406"/>
        <w:gridCol w:w="160"/>
        <w:gridCol w:w="2018"/>
      </w:tblGrid>
      <w:tr w14:paraId="57D9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D3D13D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32A76161">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民营</w:t>
            </w:r>
            <w:r>
              <w:rPr>
                <w:rFonts w:eastAsiaTheme="minorEastAsia"/>
                <w:sz w:val="21"/>
                <w:szCs w:val="21"/>
              </w:rPr>
              <w:t>企业</w:t>
            </w:r>
          </w:p>
        </w:tc>
        <w:tc>
          <w:tcPr>
            <w:tcW w:w="1641" w:type="dxa"/>
            <w:gridSpan w:val="3"/>
            <w:shd w:val="clear" w:color="auto" w:fill="E7E6E6" w:themeFill="background2"/>
            <w:noWrap/>
            <w:vAlign w:val="center"/>
          </w:tcPr>
          <w:p w14:paraId="688777A8">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4703FAA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230322B3">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2C93FD90">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绵阳</w:t>
            </w:r>
          </w:p>
        </w:tc>
      </w:tr>
      <w:tr w14:paraId="638A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60588B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246798A3">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rPr>
              <w:t>山东省青岛市崂山区九水东路592-26号，新希望六和3号楼</w:t>
            </w:r>
          </w:p>
        </w:tc>
      </w:tr>
      <w:tr w14:paraId="29B8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2" w:hRule="atLeast"/>
          <w:jc w:val="center"/>
        </w:trPr>
        <w:tc>
          <w:tcPr>
            <w:tcW w:w="1271" w:type="dxa"/>
            <w:shd w:val="clear" w:color="auto" w:fill="E7E6E6" w:themeFill="background2"/>
            <w:noWrap/>
            <w:vAlign w:val="center"/>
          </w:tcPr>
          <w:p w14:paraId="02805D2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41DA414D">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 xml:space="preserve">新希望六和股份有限公司立足农牧产业、注重稳健发展，业务聚焦于饲料、生猪养殖与屠宰两大行业，业务遍布全国及越南、菲律宾、印度尼西亚、新加坡、埃及等15个国家。2023年，新希望六和实现销售收入1417亿元，控股分子公司640余家，员工5万余人。饲料销量2876万吨，位居世界第一，出栏生猪1768万头，稳居中国第三，年屠宰生猪396万头，各产业规模均处于国内前列。 </w:t>
            </w:r>
          </w:p>
          <w:p w14:paraId="60C6F0A2">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公司是农业产业化国家重点龙头企业、全国食品放心企业、中国畜牧饲料行业十大时代企业、全国十大领军饲料企业、中国肉类食品安全信用体系建设示范项目企业，主体信用AAA级。公司还获得“国家认定企业技术中心”、国家实验室CNAS认可，60多项技术成果获得省部级以上奖励，其中7项创新技术获国家科学技术进步二等奖。</w:t>
            </w:r>
          </w:p>
        </w:tc>
      </w:tr>
      <w:tr w14:paraId="0988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1271" w:type="dxa"/>
            <w:shd w:val="clear" w:color="auto" w:fill="E7E6E6" w:themeFill="background2"/>
            <w:noWrap/>
            <w:vAlign w:val="center"/>
          </w:tcPr>
          <w:p w14:paraId="0F1E59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354C5F49">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1、实施博士后创新人才支持计划等重点项目，选拔具有创新精神和科研潜力的优秀青年人才进行重点培养。</w:t>
            </w:r>
          </w:p>
          <w:p w14:paraId="6CA242A2">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2、加强单位和博士后合作导师在博士后研究人员培养中的作用，提升培养质量。</w:t>
            </w:r>
          </w:p>
          <w:p w14:paraId="2BD1237A">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3、提供高水平科研平台，将博士后放到关键科研岗位上锻炼，根据培养方向，参与重点科研项目。</w:t>
            </w:r>
          </w:p>
        </w:tc>
      </w:tr>
      <w:tr w14:paraId="3BDF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721" w:type="dxa"/>
            <w:gridSpan w:val="2"/>
            <w:shd w:val="clear" w:color="auto" w:fill="E7E6E6" w:themeFill="background2"/>
            <w:noWrap/>
            <w:vAlign w:val="center"/>
          </w:tcPr>
          <w:p w14:paraId="0D6EBB3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14:paraId="142AC9C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vAlign w:val="center"/>
          </w:tcPr>
          <w:p w14:paraId="36DB6BF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23" w:type="dxa"/>
            <w:gridSpan w:val="2"/>
            <w:shd w:val="clear" w:color="auto" w:fill="E7E6E6" w:themeFill="background2"/>
            <w:vAlign w:val="center"/>
          </w:tcPr>
          <w:p w14:paraId="4BE70BC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08DD62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73" w:type="dxa"/>
            <w:shd w:val="clear" w:color="auto" w:fill="E7E6E6" w:themeFill="background2"/>
            <w:vAlign w:val="center"/>
          </w:tcPr>
          <w:p w14:paraId="2354F37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5C5C60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27" w:type="dxa"/>
            <w:gridSpan w:val="2"/>
            <w:shd w:val="clear" w:color="auto" w:fill="E7E6E6" w:themeFill="background2"/>
            <w:vAlign w:val="center"/>
          </w:tcPr>
          <w:p w14:paraId="5CE9257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498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721" w:type="dxa"/>
            <w:gridSpan w:val="2"/>
            <w:shd w:val="clear" w:color="000000" w:fill="FFFFFF"/>
            <w:noWrap/>
            <w:vAlign w:val="center"/>
          </w:tcPr>
          <w:p w14:paraId="17847316">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
              </w:rPr>
            </w:pPr>
            <w:r>
              <w:rPr>
                <w:rFonts w:hint="eastAsia" w:ascii="Times New Roman" w:hAnsi="Times New Roman" w:cs="Times New Roman" w:eastAsiaTheme="minorEastAsia"/>
                <w:kern w:val="2"/>
                <w:sz w:val="21"/>
                <w:szCs w:val="21"/>
                <w:lang w:val="en-US" w:eastAsia="zh-CN" w:bidi="ar"/>
              </w:rPr>
              <w:t>生物育种</w:t>
            </w:r>
          </w:p>
        </w:tc>
        <w:tc>
          <w:tcPr>
            <w:tcW w:w="1128" w:type="dxa"/>
            <w:gridSpan w:val="2"/>
            <w:shd w:val="clear" w:color="000000" w:fill="FFFFFF"/>
            <w:vAlign w:val="center"/>
          </w:tcPr>
          <w:p w14:paraId="71B86C7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
              </w:rPr>
            </w:pPr>
            <w:r>
              <w:rPr>
                <w:rFonts w:hint="eastAsia" w:ascii="Times New Roman" w:hAnsi="Times New Roman" w:cs="Times New Roman" w:eastAsiaTheme="minorEastAsia"/>
                <w:kern w:val="2"/>
                <w:sz w:val="21"/>
                <w:szCs w:val="21"/>
                <w:lang w:val="en-US" w:eastAsia="zh-CN" w:bidi="ar"/>
              </w:rPr>
              <w:t>1</w:t>
            </w:r>
          </w:p>
        </w:tc>
        <w:tc>
          <w:tcPr>
            <w:tcW w:w="1152" w:type="dxa"/>
            <w:shd w:val="clear" w:color="000000" w:fill="FFFFFF"/>
            <w:vAlign w:val="center"/>
          </w:tcPr>
          <w:p w14:paraId="12B9360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kern w:val="2"/>
                <w:sz w:val="21"/>
                <w:szCs w:val="21"/>
                <w:lang w:val="en-US" w:eastAsia="zh-CN" w:bidi="ar"/>
              </w:rPr>
              <w:t>BSH001</w:t>
            </w:r>
          </w:p>
        </w:tc>
        <w:tc>
          <w:tcPr>
            <w:tcW w:w="2023" w:type="dxa"/>
            <w:gridSpan w:val="2"/>
            <w:shd w:val="clear" w:color="000000" w:fill="FFFFFF"/>
            <w:vAlign w:val="center"/>
          </w:tcPr>
          <w:p w14:paraId="335F10E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
              </w:rPr>
            </w:pPr>
            <w:r>
              <w:rPr>
                <w:rFonts w:hint="eastAsia" w:ascii="Times New Roman" w:hAnsi="Times New Roman" w:cs="Times New Roman" w:eastAsiaTheme="minorEastAsia"/>
                <w:kern w:val="2"/>
                <w:sz w:val="21"/>
                <w:szCs w:val="21"/>
                <w:lang w:val="en-US" w:eastAsia="zh-CN" w:bidi="ar"/>
              </w:rPr>
              <w:t>畜牧学</w:t>
            </w:r>
          </w:p>
        </w:tc>
        <w:tc>
          <w:tcPr>
            <w:tcW w:w="1373" w:type="dxa"/>
            <w:shd w:val="clear" w:color="000000" w:fill="FFFFFF"/>
            <w:vAlign w:val="center"/>
          </w:tcPr>
          <w:p w14:paraId="2E11FCB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
              </w:rPr>
            </w:pPr>
            <w:r>
              <w:rPr>
                <w:rFonts w:hint="eastAsia" w:ascii="Times New Roman" w:hAnsi="Times New Roman" w:cs="Times New Roman" w:eastAsiaTheme="minorEastAsia"/>
                <w:kern w:val="2"/>
                <w:sz w:val="21"/>
                <w:szCs w:val="21"/>
                <w:lang w:val="en-US" w:eastAsia="zh-CN" w:bidi="ar"/>
              </w:rPr>
              <w:t>10</w:t>
            </w:r>
          </w:p>
        </w:tc>
        <w:tc>
          <w:tcPr>
            <w:tcW w:w="2127" w:type="dxa"/>
            <w:gridSpan w:val="2"/>
            <w:shd w:val="clear" w:color="000000" w:fill="FFFFFF"/>
            <w:vAlign w:val="center"/>
          </w:tcPr>
          <w:p w14:paraId="781D187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
              </w:rPr>
            </w:pPr>
            <w:r>
              <w:rPr>
                <w:rFonts w:hint="eastAsia" w:ascii="Times New Roman" w:hAnsi="Times New Roman" w:cs="Times New Roman" w:eastAsiaTheme="minorEastAsia"/>
                <w:kern w:val="2"/>
                <w:sz w:val="21"/>
                <w:szCs w:val="21"/>
                <w:lang w:val="en-US" w:eastAsia="zh-CN" w:bidi="ar"/>
              </w:rPr>
              <w:t>学习动物遗传育种与繁殖相关专业，从事猪育种等相关工作</w:t>
            </w:r>
          </w:p>
        </w:tc>
      </w:tr>
    </w:tbl>
    <w:p w14:paraId="305C41B7">
      <w:pPr>
        <w:pStyle w:val="5"/>
        <w:adjustRightInd w:val="0"/>
        <w:snapToGrid w:val="0"/>
        <w:spacing w:line="240" w:lineRule="auto"/>
        <w:ind w:firstLine="0"/>
        <w:jc w:val="both"/>
        <w:rPr>
          <w:rFonts w:eastAsia="方正小标宋简体"/>
          <w:sz w:val="44"/>
          <w:szCs w:val="44"/>
        </w:rPr>
      </w:pPr>
    </w:p>
    <w:p w14:paraId="2957769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511306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eastAsia="方正小标宋简体"/>
          <w:kern w:val="0"/>
          <w:sz w:val="44"/>
          <w:szCs w:val="44"/>
        </w:rPr>
      </w:pPr>
      <w:bookmarkStart w:id="484" w:name="_Toc27475"/>
      <w:bookmarkStart w:id="485" w:name="_Toc32244"/>
      <w:bookmarkStart w:id="486" w:name="_Toc10546"/>
      <w:bookmarkStart w:id="487" w:name="_Toc11379"/>
      <w:bookmarkStart w:id="488" w:name="_Toc23919"/>
      <w:r>
        <w:rPr>
          <w:rFonts w:eastAsia="方正小标宋简体"/>
          <w:kern w:val="0"/>
          <w:sz w:val="44"/>
          <w:szCs w:val="44"/>
          <w:highlight w:val="none"/>
        </w:rPr>
        <w:t>兴储世纪科技股份有限公司</w:t>
      </w:r>
      <w:bookmarkEnd w:id="484"/>
      <w:bookmarkEnd w:id="485"/>
      <w:bookmarkEnd w:id="486"/>
      <w:bookmarkEnd w:id="487"/>
      <w:bookmarkEnd w:id="488"/>
    </w:p>
    <w:p w14:paraId="6B64A885">
      <w:pPr>
        <w:pStyle w:val="33"/>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ascii="Times New Roman" w:hAnsi="Times New Roman"/>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795"/>
        <w:gridCol w:w="764"/>
        <w:gridCol w:w="488"/>
        <w:gridCol w:w="1190"/>
        <w:gridCol w:w="161"/>
        <w:gridCol w:w="1465"/>
        <w:gridCol w:w="266"/>
        <w:gridCol w:w="1298"/>
        <w:gridCol w:w="126"/>
        <w:gridCol w:w="1898"/>
      </w:tblGrid>
      <w:tr w14:paraId="04E0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8A8A75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049EA85">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0" w:type="dxa"/>
            <w:gridSpan w:val="2"/>
            <w:shd w:val="clear" w:color="auto" w:fill="E7E6E6" w:themeFill="background2"/>
            <w:noWrap/>
            <w:vAlign w:val="center"/>
          </w:tcPr>
          <w:p w14:paraId="1F25AE79">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1072B5E">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15F9AFA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7931460C">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571D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B70B30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10"/>
            <w:shd w:val="clear" w:color="000000" w:fill="FFFFFF"/>
            <w:noWrap/>
            <w:vAlign w:val="center"/>
          </w:tcPr>
          <w:p w14:paraId="04539A46">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自贡市沿滩区福仓路68号</w:t>
            </w:r>
          </w:p>
        </w:tc>
      </w:tr>
      <w:tr w14:paraId="7B5B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271" w:type="dxa"/>
            <w:shd w:val="clear" w:color="auto" w:fill="E7E6E6" w:themeFill="background2"/>
            <w:noWrap/>
            <w:vAlign w:val="center"/>
          </w:tcPr>
          <w:p w14:paraId="26D6554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10"/>
            <w:shd w:val="clear" w:color="000000" w:fill="FFFFFF"/>
            <w:vAlign w:val="center"/>
          </w:tcPr>
          <w:p w14:paraId="60C79B65">
            <w:pPr>
              <w:adjustRightInd w:val="0"/>
              <w:snapToGrid w:val="0"/>
              <w:spacing w:line="360" w:lineRule="auto"/>
              <w:ind w:firstLine="420" w:firstLineChars="200"/>
              <w:jc w:val="both"/>
              <w:rPr>
                <w:rFonts w:eastAsiaTheme="minorEastAsia"/>
                <w:sz w:val="21"/>
                <w:szCs w:val="21"/>
              </w:rPr>
            </w:pPr>
            <w:r>
              <w:rPr>
                <w:rFonts w:hint="eastAsia" w:eastAsiaTheme="minorEastAsia"/>
                <w:sz w:val="21"/>
                <w:szCs w:val="21"/>
              </w:rPr>
              <w:t xml:space="preserve">兴储世纪科技股份有限公司成立于2007年，是全球知名的光储智能微电网解决方案提供商。经过多年的积累，形成了较强的技术研发、市场开拓和工程实施能力，全方位保障公司业务的开展，为全球客户提供优质的解决方案和产品服务。公司已有产品系列包括户用储能、工商业储能、便携式储能等，产品严格依照相关国际、国内标准设计，获得CQC、UN/MSDS、CE/CB、IEC、EN、VDE、CEI等国内外权威机构认证，并通过世界银行点亮全球（Lighting Global）设备合作商认证。公司于2021年进行钠离子电池及关键材料的研发、验证及产业化布局，钠电方壳产品2023年通过TÜV南德国际认证，为行业首家，并在自贡市正式启动钠电产业园的建设，首期建设1GWh。兴储世纪将依托自身完整的产业链、持续创新能力以及全球市场体系，深耕智能微电网领域，在绿能技术和市场争当第一，以优质的产品和方案服务全球客户，助力绿色能源转型、共建绿色美好未来！ </w:t>
            </w:r>
          </w:p>
        </w:tc>
      </w:tr>
      <w:tr w14:paraId="47EB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jc w:val="center"/>
        </w:trPr>
        <w:tc>
          <w:tcPr>
            <w:tcW w:w="1271" w:type="dxa"/>
            <w:shd w:val="clear" w:color="auto" w:fill="E7E6E6" w:themeFill="background2"/>
            <w:noWrap/>
            <w:vAlign w:val="center"/>
          </w:tcPr>
          <w:p w14:paraId="3788C24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10"/>
            <w:shd w:val="clear" w:color="000000" w:fill="FFFFFF"/>
            <w:vAlign w:val="center"/>
          </w:tcPr>
          <w:p w14:paraId="0474A38C">
            <w:pPr>
              <w:adjustRightInd w:val="0"/>
              <w:snapToGrid w:val="0"/>
              <w:spacing w:line="360" w:lineRule="auto"/>
              <w:ind w:firstLine="420" w:firstLineChars="200"/>
              <w:jc w:val="left"/>
              <w:rPr>
                <w:rFonts w:hint="eastAsia" w:eastAsiaTheme="minorEastAsia"/>
                <w:sz w:val="21"/>
                <w:szCs w:val="21"/>
                <w:lang w:eastAsia="zh-CN"/>
              </w:rPr>
            </w:pPr>
            <w:r>
              <w:rPr>
                <w:rFonts w:hint="eastAsia" w:eastAsiaTheme="minorEastAsia"/>
                <w:sz w:val="21"/>
                <w:szCs w:val="21"/>
              </w:rPr>
              <w:t>博士后综合待遇 30万元/年至60 万元/年，与全职进站的博士后研究人员签订劳动合同，为入站博士及家人免费提供本市人才公寓一套，工作日提供营养三餐；为入站博士子女解决自贡市公立小学到中学优质学校，保障博士后子女教育；免费安排博士每年全面体检一次；除五险一金外，为入站博士额外购买医疗保险（保障本人及子女平时医疗报销）、意外险等；每月为入站博士提供交通补贴或公司专车接送</w:t>
            </w:r>
            <w:r>
              <w:rPr>
                <w:rFonts w:hint="eastAsia" w:eastAsiaTheme="minorEastAsia"/>
                <w:sz w:val="21"/>
                <w:szCs w:val="21"/>
                <w:lang w:eastAsia="zh-CN"/>
              </w:rPr>
              <w:t>。</w:t>
            </w:r>
          </w:p>
        </w:tc>
      </w:tr>
      <w:tr w14:paraId="19C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8" w:type="dxa"/>
            <w:gridSpan w:val="2"/>
            <w:shd w:val="clear" w:color="auto" w:fill="E7E6E6" w:themeFill="background2"/>
            <w:noWrap/>
            <w:vAlign w:val="center"/>
          </w:tcPr>
          <w:p w14:paraId="7672178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14:paraId="58119C69">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0" w:type="dxa"/>
            <w:gridSpan w:val="2"/>
            <w:shd w:val="clear" w:color="auto" w:fill="E7E6E6" w:themeFill="background2"/>
            <w:vAlign w:val="center"/>
          </w:tcPr>
          <w:p w14:paraId="36BB95A1">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14:paraId="734C035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362FC5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2" w:type="dxa"/>
            <w:gridSpan w:val="2"/>
            <w:shd w:val="clear" w:color="auto" w:fill="E7E6E6" w:themeFill="background2"/>
            <w:vAlign w:val="center"/>
          </w:tcPr>
          <w:p w14:paraId="2C81A9D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957B3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54" w:type="dxa"/>
            <w:shd w:val="clear" w:color="auto" w:fill="E7E6E6" w:themeFill="background2"/>
            <w:vAlign w:val="center"/>
          </w:tcPr>
          <w:p w14:paraId="42F696D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3CC92D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8BF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048" w:type="dxa"/>
            <w:gridSpan w:val="2"/>
            <w:shd w:val="clear" w:color="000000" w:fill="FFFFFF"/>
            <w:noWrap/>
            <w:vAlign w:val="center"/>
          </w:tcPr>
          <w:p w14:paraId="32EF77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高安全钠离子电池的开发</w:t>
            </w:r>
          </w:p>
        </w:tc>
        <w:tc>
          <w:tcPr>
            <w:tcW w:w="1224" w:type="dxa"/>
            <w:gridSpan w:val="2"/>
            <w:shd w:val="clear" w:color="000000" w:fill="FFFFFF"/>
            <w:vAlign w:val="center"/>
          </w:tcPr>
          <w:p w14:paraId="6D7AC6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20" w:type="dxa"/>
            <w:gridSpan w:val="2"/>
            <w:shd w:val="clear" w:color="000000" w:fill="FFFFFF"/>
            <w:vAlign w:val="center"/>
          </w:tcPr>
          <w:p w14:paraId="736D7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BSH001</w:t>
            </w:r>
          </w:p>
        </w:tc>
        <w:tc>
          <w:tcPr>
            <w:tcW w:w="1692" w:type="dxa"/>
            <w:gridSpan w:val="2"/>
            <w:shd w:val="clear" w:color="000000" w:fill="FFFFFF"/>
            <w:vAlign w:val="center"/>
          </w:tcPr>
          <w:p w14:paraId="04FA0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化学，材料</w:t>
            </w:r>
          </w:p>
        </w:tc>
        <w:tc>
          <w:tcPr>
            <w:tcW w:w="1392" w:type="dxa"/>
            <w:gridSpan w:val="2"/>
            <w:shd w:val="clear" w:color="000000" w:fill="FFFFFF"/>
            <w:vAlign w:val="center"/>
          </w:tcPr>
          <w:p w14:paraId="3758A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10-50</w:t>
            </w:r>
          </w:p>
        </w:tc>
        <w:tc>
          <w:tcPr>
            <w:tcW w:w="1854" w:type="dxa"/>
            <w:shd w:val="clear" w:color="000000" w:fill="FFFFFF"/>
            <w:vAlign w:val="center"/>
          </w:tcPr>
          <w:p w14:paraId="20B06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211院校以上</w:t>
            </w:r>
          </w:p>
        </w:tc>
      </w:tr>
      <w:tr w14:paraId="79B0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048" w:type="dxa"/>
            <w:gridSpan w:val="2"/>
            <w:shd w:val="clear" w:color="000000" w:fill="FFFFFF"/>
            <w:noWrap/>
            <w:vAlign w:val="center"/>
          </w:tcPr>
          <w:p w14:paraId="27D47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钠离子电池正（负）极材料和钠离子电池电解液研发</w:t>
            </w:r>
          </w:p>
        </w:tc>
        <w:tc>
          <w:tcPr>
            <w:tcW w:w="1224" w:type="dxa"/>
            <w:gridSpan w:val="2"/>
            <w:shd w:val="clear" w:color="000000" w:fill="FFFFFF"/>
            <w:vAlign w:val="center"/>
          </w:tcPr>
          <w:p w14:paraId="47EB4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20" w:type="dxa"/>
            <w:gridSpan w:val="2"/>
            <w:shd w:val="clear" w:color="000000" w:fill="FFFFFF"/>
            <w:vAlign w:val="center"/>
          </w:tcPr>
          <w:p w14:paraId="038B3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BSH002</w:t>
            </w:r>
          </w:p>
        </w:tc>
        <w:tc>
          <w:tcPr>
            <w:tcW w:w="1692" w:type="dxa"/>
            <w:gridSpan w:val="2"/>
            <w:shd w:val="clear" w:color="000000" w:fill="FFFFFF"/>
            <w:vAlign w:val="center"/>
          </w:tcPr>
          <w:p w14:paraId="04845A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化学，材料</w:t>
            </w:r>
          </w:p>
        </w:tc>
        <w:tc>
          <w:tcPr>
            <w:tcW w:w="1392" w:type="dxa"/>
            <w:gridSpan w:val="2"/>
            <w:shd w:val="clear" w:color="000000" w:fill="FFFFFF"/>
            <w:vAlign w:val="center"/>
          </w:tcPr>
          <w:p w14:paraId="13632C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10-50</w:t>
            </w:r>
          </w:p>
        </w:tc>
        <w:tc>
          <w:tcPr>
            <w:tcW w:w="1854" w:type="dxa"/>
            <w:shd w:val="clear" w:color="000000" w:fill="FFFFFF"/>
            <w:vAlign w:val="center"/>
          </w:tcPr>
          <w:p w14:paraId="171A9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211院校以上</w:t>
            </w:r>
          </w:p>
        </w:tc>
      </w:tr>
    </w:tbl>
    <w:p w14:paraId="3B101D11">
      <w:pPr>
        <w:pStyle w:val="5"/>
        <w:adjustRightInd w:val="0"/>
        <w:snapToGrid w:val="0"/>
        <w:spacing w:line="240" w:lineRule="auto"/>
        <w:ind w:firstLine="0"/>
        <w:rPr>
          <w:rFonts w:eastAsia="方正小标宋简体"/>
          <w:sz w:val="21"/>
          <w:szCs w:val="21"/>
        </w:rPr>
      </w:pPr>
      <w:r>
        <w:rPr>
          <w:sz w:val="21"/>
          <w:szCs w:val="21"/>
        </w:rPr>
        <w:br w:type="page"/>
      </w:r>
    </w:p>
    <w:p w14:paraId="1AB46EA3">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方正小标宋简体"/>
          <w:kern w:val="0"/>
          <w:sz w:val="44"/>
          <w:szCs w:val="44"/>
        </w:rPr>
      </w:pPr>
    </w:p>
    <w:p w14:paraId="52120F45">
      <w:pPr>
        <w:pStyle w:val="5"/>
        <w:adjustRightInd w:val="0"/>
        <w:snapToGrid w:val="0"/>
        <w:spacing w:line="240" w:lineRule="auto"/>
        <w:ind w:firstLine="0"/>
        <w:jc w:val="center"/>
        <w:outlineLvl w:val="0"/>
        <w:rPr>
          <w:rFonts w:eastAsia="方正小标宋简体"/>
          <w:sz w:val="44"/>
          <w:szCs w:val="44"/>
        </w:rPr>
      </w:pPr>
      <w:bookmarkStart w:id="489" w:name="_Toc16128"/>
      <w:bookmarkStart w:id="490" w:name="_Toc27631"/>
      <w:bookmarkStart w:id="491" w:name="_Toc6753"/>
      <w:bookmarkStart w:id="492" w:name="_Toc12973"/>
      <w:bookmarkStart w:id="493" w:name="_Toc759"/>
      <w:r>
        <w:rPr>
          <w:rFonts w:hint="eastAsia" w:eastAsia="方正小标宋简体"/>
          <w:sz w:val="44"/>
          <w:szCs w:val="44"/>
          <w:highlight w:val="none"/>
        </w:rPr>
        <w:t>雅砻江流域水电开发有限公司</w:t>
      </w:r>
      <w:bookmarkEnd w:id="489"/>
      <w:bookmarkEnd w:id="490"/>
      <w:bookmarkEnd w:id="491"/>
      <w:bookmarkEnd w:id="492"/>
      <w:bookmarkEnd w:id="493"/>
    </w:p>
    <w:p w14:paraId="3C62EF50">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584B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A4EADA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545620FE">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40" w:type="dxa"/>
            <w:gridSpan w:val="2"/>
            <w:shd w:val="clear" w:color="auto" w:fill="E7E6E6" w:themeFill="background2"/>
            <w:noWrap/>
            <w:vAlign w:val="center"/>
          </w:tcPr>
          <w:p w14:paraId="7C53CAF7">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A40006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58ABCC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7D00F1D9">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2DA8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D57680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7FA0313D">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四川省成都市成华区双林路288号</w:t>
            </w:r>
          </w:p>
        </w:tc>
      </w:tr>
      <w:tr w14:paraId="7D48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5" w:hRule="atLeast"/>
          <w:jc w:val="center"/>
        </w:trPr>
        <w:tc>
          <w:tcPr>
            <w:tcW w:w="1271" w:type="dxa"/>
            <w:shd w:val="clear" w:color="auto" w:fill="E7E6E6" w:themeFill="background2"/>
            <w:noWrap/>
            <w:vAlign w:val="center"/>
          </w:tcPr>
          <w:p w14:paraId="2A9A248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2598DB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雅砻江流域水电开发有限公司（以下简称公司）是国家开发投资集团有限公司控股的在川中央企业，拥有优质资产超1700亿元，是国家唯一授权完整开发一条江的清洁能源开发主体，现拥有水、风、光运营装机超2000万千瓦，是四川省最大的清洁能源发电企业。2023年9月5日，国家能源局正式印发了《雅砻江流域水风光一体化基地规划》，基地本阶段规划规模达到7800万千瓦，将于2035年全面建成。</w:t>
            </w:r>
          </w:p>
          <w:p w14:paraId="615029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2004年1月，公司获得国务院人事部批准设立国家博士后科研工作站，专门从事高层次科研人员培养和课题研究。公司将工作站作为实施人才战略重要载体，积极开展博士后招收和培养工作，不断提升公司科研水平和综合实力，为建设科技强国、实现高水平科技自立自强贡献雅砻江力量。</w:t>
            </w:r>
          </w:p>
        </w:tc>
      </w:tr>
      <w:tr w14:paraId="480F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1271" w:type="dxa"/>
            <w:shd w:val="clear" w:color="auto" w:fill="E7E6E6" w:themeFill="background2"/>
            <w:noWrap/>
            <w:vAlign w:val="center"/>
          </w:tcPr>
          <w:p w14:paraId="3F76C73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0F2A18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1.在站期间提供具有竞争力的薪酬待遇，申获国家博士后创新人才支持计划、博士后基金等另行奖励。特别优秀的博士薪酬待遇可实行协议制薪酬,一人一薪；</w:t>
            </w:r>
          </w:p>
          <w:p w14:paraId="2221E6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2.在站期间按规定缴纳社会保险、住房公积金（按最高比例12%缴纳）；</w:t>
            </w:r>
          </w:p>
          <w:p w14:paraId="3F948B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3.在站期间享受公司企业年金、补充医疗保险、工会福利、劳动保护、差旅报销、国家法定假期等员工福利；</w:t>
            </w:r>
          </w:p>
          <w:p w14:paraId="63D3D7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4.公司拥有较强的科研团队力量，在站期间提供充足的日常学术经费和科研经费。</w:t>
            </w:r>
          </w:p>
        </w:tc>
      </w:tr>
      <w:tr w14:paraId="1FF0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4BF23844">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671E7C6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6361511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4F22B48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29CCFA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2903298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916C4D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085B37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F41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619" w:type="dxa"/>
            <w:gridSpan w:val="2"/>
            <w:shd w:val="clear" w:color="000000" w:fill="FFFFFF"/>
            <w:noWrap/>
            <w:vAlign w:val="center"/>
          </w:tcPr>
          <w:p w14:paraId="23A2314C">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与流动站、博士后本人协商确定</w:t>
            </w:r>
          </w:p>
        </w:tc>
        <w:tc>
          <w:tcPr>
            <w:tcW w:w="1176" w:type="dxa"/>
            <w:shd w:val="clear" w:color="000000" w:fill="FFFFFF"/>
            <w:vAlign w:val="center"/>
          </w:tcPr>
          <w:p w14:paraId="541007C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shd w:val="clear" w:color="000000" w:fill="FFFFFF"/>
            <w:vAlign w:val="center"/>
          </w:tcPr>
          <w:p w14:paraId="2839789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22" w:type="dxa"/>
            <w:gridSpan w:val="2"/>
            <w:shd w:val="clear" w:color="000000" w:fill="FFFFFF"/>
            <w:vAlign w:val="center"/>
          </w:tcPr>
          <w:p w14:paraId="5429A5B9">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p w14:paraId="30DFA32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水利工程</w:t>
            </w:r>
          </w:p>
        </w:tc>
        <w:tc>
          <w:tcPr>
            <w:tcW w:w="1399" w:type="dxa"/>
            <w:gridSpan w:val="2"/>
            <w:shd w:val="clear" w:color="000000" w:fill="FFFFFF"/>
            <w:vAlign w:val="center"/>
          </w:tcPr>
          <w:p w14:paraId="6211F92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充足的研究经费</w:t>
            </w:r>
          </w:p>
        </w:tc>
        <w:tc>
          <w:tcPr>
            <w:tcW w:w="2550" w:type="dxa"/>
            <w:gridSpan w:val="2"/>
            <w:shd w:val="clear" w:color="000000" w:fill="FFFFFF"/>
            <w:vAlign w:val="center"/>
          </w:tcPr>
          <w:p w14:paraId="209E841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“211”及以上水平高校、同等水平科研院所或海外高校</w:t>
            </w:r>
          </w:p>
        </w:tc>
      </w:tr>
    </w:tbl>
    <w:p w14:paraId="765FE31E">
      <w:pPr>
        <w:pStyle w:val="5"/>
        <w:adjustRightInd w:val="0"/>
        <w:snapToGrid w:val="0"/>
        <w:spacing w:line="240" w:lineRule="auto"/>
        <w:ind w:firstLine="0"/>
        <w:jc w:val="center"/>
        <w:rPr>
          <w:rFonts w:eastAsia="方正小标宋简体"/>
          <w:sz w:val="44"/>
          <w:szCs w:val="44"/>
          <w:highlight w:val="yellow"/>
        </w:rPr>
      </w:pPr>
    </w:p>
    <w:p w14:paraId="7EBE3E41">
      <w:pPr>
        <w:pStyle w:val="5"/>
        <w:adjustRightInd w:val="0"/>
        <w:snapToGrid w:val="0"/>
        <w:spacing w:line="240" w:lineRule="auto"/>
        <w:ind w:firstLine="0"/>
        <w:jc w:val="center"/>
        <w:rPr>
          <w:rFonts w:hint="eastAsia" w:eastAsia="方正小标宋简体"/>
          <w:sz w:val="44"/>
          <w:szCs w:val="44"/>
          <w:highlight w:val="yellow"/>
        </w:rPr>
      </w:pPr>
    </w:p>
    <w:p w14:paraId="09622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eastAsia="方正小标宋简体"/>
          <w:sz w:val="44"/>
          <w:szCs w:val="44"/>
        </w:rPr>
      </w:pPr>
      <w:bookmarkStart w:id="494" w:name="_Toc23675"/>
      <w:bookmarkStart w:id="495" w:name="_Toc24526"/>
      <w:bookmarkStart w:id="496" w:name="_Toc31513"/>
      <w:bookmarkStart w:id="497" w:name="_Toc9388"/>
      <w:bookmarkStart w:id="498" w:name="_Toc19442"/>
      <w:r>
        <w:rPr>
          <w:rFonts w:eastAsia="方正小标宋简体"/>
          <w:sz w:val="44"/>
          <w:szCs w:val="44"/>
          <w:highlight w:val="none"/>
        </w:rPr>
        <w:t>宜宾丝丽雅集团有限公司</w:t>
      </w:r>
      <w:bookmarkEnd w:id="494"/>
      <w:bookmarkEnd w:id="495"/>
      <w:bookmarkEnd w:id="496"/>
      <w:bookmarkEnd w:id="497"/>
      <w:bookmarkEnd w:id="498"/>
    </w:p>
    <w:p w14:paraId="707A6E19">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558"/>
        <w:gridCol w:w="1676"/>
        <w:gridCol w:w="1624"/>
        <w:gridCol w:w="1563"/>
        <w:gridCol w:w="2015"/>
        <w:gridCol w:w="16"/>
      </w:tblGrid>
      <w:tr w14:paraId="6857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Height w:val="567" w:hRule="atLeast"/>
          <w:jc w:val="center"/>
        </w:trPr>
        <w:tc>
          <w:tcPr>
            <w:tcW w:w="1271" w:type="dxa"/>
            <w:shd w:val="clear" w:color="auto" w:fill="E7E6E6" w:themeFill="background2"/>
            <w:noWrap/>
            <w:vAlign w:val="center"/>
          </w:tcPr>
          <w:p w14:paraId="34472D3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14:paraId="0AFD4C5C">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14:paraId="5023C34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28A1835C">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14:paraId="378FEF3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14:paraId="66A31040">
            <w:pPr>
              <w:adjustRightInd w:val="0"/>
              <w:snapToGrid w:val="0"/>
              <w:spacing w:line="240" w:lineRule="auto"/>
              <w:ind w:firstLine="0"/>
              <w:jc w:val="center"/>
              <w:rPr>
                <w:rFonts w:eastAsiaTheme="minorEastAsia"/>
                <w:sz w:val="21"/>
                <w:szCs w:val="21"/>
              </w:rPr>
            </w:pPr>
            <w:r>
              <w:rPr>
                <w:rFonts w:eastAsiaTheme="minorEastAsia"/>
                <w:sz w:val="21"/>
                <w:szCs w:val="21"/>
              </w:rPr>
              <w:t>宜宾</w:t>
            </w:r>
          </w:p>
        </w:tc>
      </w:tr>
      <w:tr w14:paraId="06E1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9ADE49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6"/>
            <w:shd w:val="clear" w:color="000000" w:fill="FFFFFF"/>
            <w:noWrap/>
            <w:vAlign w:val="center"/>
          </w:tcPr>
          <w:p w14:paraId="64843906">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四川省宜宾市叙州区南广镇盐坪坝工业园区</w:t>
            </w:r>
          </w:p>
        </w:tc>
      </w:tr>
      <w:tr w14:paraId="1E02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9" w:hRule="atLeast"/>
          <w:jc w:val="center"/>
        </w:trPr>
        <w:tc>
          <w:tcPr>
            <w:tcW w:w="1271" w:type="dxa"/>
            <w:shd w:val="clear" w:color="auto" w:fill="E7E6E6" w:themeFill="background2"/>
            <w:noWrap/>
            <w:vAlign w:val="center"/>
          </w:tcPr>
          <w:p w14:paraId="0388301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6"/>
            <w:shd w:val="clear" w:color="000000" w:fill="FFFFFF"/>
            <w:vAlign w:val="center"/>
          </w:tcPr>
          <w:p w14:paraId="3C8D8D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宜宾丝丽雅集团有限公司（以下简称公司）始建于1984年，公司以“生物基纤维”产业为根基，构建了以生物基纤维、房地产开发、供应链贸易、白酒、医疗卫材为主要发展方向的大型综合现代化国有企业集团；资产总额374.44亿元，现有控股企业59家，建有国家级博士后科研工作站，现已拥有100余项国际领先技术，200余项国内领先技术和近3000项自主知识产权，是行业20多项高新技术群及产品标准的提出者和创建者，企业申请国家专利1800余项，已获授权1400余项，专利实施率达80%以上，是国家级创新型企业、国家级循环经济试点企业、四川省重点骨干企业。</w:t>
            </w:r>
          </w:p>
        </w:tc>
      </w:tr>
      <w:tr w14:paraId="2798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1" w:hRule="atLeast"/>
          <w:jc w:val="center"/>
        </w:trPr>
        <w:tc>
          <w:tcPr>
            <w:tcW w:w="1271" w:type="dxa"/>
            <w:shd w:val="clear" w:color="auto" w:fill="E7E6E6" w:themeFill="background2"/>
            <w:noWrap/>
            <w:vAlign w:val="center"/>
          </w:tcPr>
          <w:p w14:paraId="7F23636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6"/>
            <w:shd w:val="clear" w:color="000000" w:fill="FFFFFF"/>
            <w:vAlign w:val="center"/>
          </w:tcPr>
          <w:p w14:paraId="1FCE87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（1）博士后津贴补助：根据公司博士后招收标准对入站博士后给予不同档次的津贴补助。</w:t>
            </w:r>
          </w:p>
          <w:p w14:paraId="66E9B1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（2）提供研究经费支持：根据研究项目的类别对入站博士后给予10~30万的研究经费支持。</w:t>
            </w:r>
          </w:p>
          <w:p w14:paraId="420910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（3）提供科研平台：为入站博士后提供研究所需高水平实验平台。</w:t>
            </w:r>
          </w:p>
          <w:p w14:paraId="560F72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lang w:eastAsia="zh-CN"/>
              </w:rPr>
              <w:t>（</w:t>
            </w:r>
            <w:r>
              <w:rPr>
                <w:rFonts w:hint="eastAsia" w:eastAsiaTheme="minorEastAsia"/>
                <w:sz w:val="21"/>
                <w:szCs w:val="21"/>
                <w:lang w:val="en-US" w:eastAsia="zh-CN"/>
              </w:rPr>
              <w:t>4</w:t>
            </w:r>
            <w:r>
              <w:rPr>
                <w:rFonts w:hint="eastAsia" w:eastAsiaTheme="minorEastAsia"/>
                <w:sz w:val="21"/>
                <w:szCs w:val="21"/>
                <w:lang w:eastAsia="zh-CN"/>
              </w:rPr>
              <w:t>）</w:t>
            </w:r>
            <w:r>
              <w:rPr>
                <w:rFonts w:hint="eastAsia" w:eastAsiaTheme="minorEastAsia"/>
                <w:sz w:val="21"/>
                <w:szCs w:val="21"/>
              </w:rPr>
              <w:t>配备高水平合作导师：为博士后配备思想品德端正、学术造诣深厚的高水平专家导师。</w:t>
            </w:r>
          </w:p>
        </w:tc>
      </w:tr>
    </w:tbl>
    <w:p w14:paraId="24EA4A84">
      <w:pPr>
        <w:adjustRightInd w:val="0"/>
        <w:snapToGrid w:val="0"/>
        <w:spacing w:line="20"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1116"/>
        <w:gridCol w:w="1202"/>
        <w:gridCol w:w="2049"/>
        <w:gridCol w:w="1497"/>
        <w:gridCol w:w="1850"/>
      </w:tblGrid>
      <w:tr w14:paraId="576A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993" w:type="dxa"/>
            <w:shd w:val="clear" w:color="auto" w:fill="E7E6E6" w:themeFill="background2"/>
            <w:noWrap/>
            <w:vAlign w:val="center"/>
          </w:tcPr>
          <w:p w14:paraId="29D4395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shd w:val="clear" w:color="auto" w:fill="E7E6E6" w:themeFill="background2"/>
            <w:vAlign w:val="center"/>
          </w:tcPr>
          <w:p w14:paraId="7FD253A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76" w:type="dxa"/>
            <w:shd w:val="clear" w:color="auto" w:fill="E7E6E6" w:themeFill="background2"/>
            <w:vAlign w:val="center"/>
          </w:tcPr>
          <w:p w14:paraId="0C9824B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04" w:type="dxa"/>
            <w:shd w:val="clear" w:color="auto" w:fill="E7E6E6" w:themeFill="background2"/>
            <w:vAlign w:val="center"/>
          </w:tcPr>
          <w:p w14:paraId="279E5E2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5ACB44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64" w:type="dxa"/>
            <w:shd w:val="clear" w:color="auto" w:fill="E7E6E6" w:themeFill="background2"/>
            <w:vAlign w:val="center"/>
          </w:tcPr>
          <w:p w14:paraId="4ECF0AE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BF72D9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0" w:type="dxa"/>
            <w:shd w:val="clear" w:color="auto" w:fill="E7E6E6" w:themeFill="background2"/>
            <w:vAlign w:val="center"/>
          </w:tcPr>
          <w:p w14:paraId="4B35291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37ED44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ABC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noWrap/>
            <w:vAlign w:val="center"/>
          </w:tcPr>
          <w:p w14:paraId="64AEE67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功能性纤维素再生纤维材料研发</w:t>
            </w:r>
          </w:p>
        </w:tc>
        <w:tc>
          <w:tcPr>
            <w:tcW w:w="1092" w:type="dxa"/>
            <w:vAlign w:val="center"/>
          </w:tcPr>
          <w:p w14:paraId="014753F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76" w:type="dxa"/>
            <w:vAlign w:val="center"/>
          </w:tcPr>
          <w:p w14:paraId="59C88E8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2004" w:type="dxa"/>
            <w:vAlign w:val="center"/>
          </w:tcPr>
          <w:p w14:paraId="3D48AE8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高分子化学与物理</w:t>
            </w:r>
          </w:p>
        </w:tc>
        <w:tc>
          <w:tcPr>
            <w:tcW w:w="1464" w:type="dxa"/>
            <w:vAlign w:val="center"/>
          </w:tcPr>
          <w:p w14:paraId="106BE26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8</w:t>
            </w:r>
          </w:p>
        </w:tc>
        <w:tc>
          <w:tcPr>
            <w:tcW w:w="1810" w:type="dxa"/>
            <w:vMerge w:val="restart"/>
            <w:vAlign w:val="center"/>
          </w:tcPr>
          <w:p w14:paraId="3412756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省内985、211大学优先</w:t>
            </w:r>
          </w:p>
        </w:tc>
      </w:tr>
      <w:tr w14:paraId="73AD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noWrap/>
            <w:vAlign w:val="center"/>
          </w:tcPr>
          <w:p w14:paraId="7705931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莱赛尔专用浆粕原料制备技术开发</w:t>
            </w:r>
          </w:p>
        </w:tc>
        <w:tc>
          <w:tcPr>
            <w:tcW w:w="1092" w:type="dxa"/>
            <w:vAlign w:val="center"/>
          </w:tcPr>
          <w:p w14:paraId="25C9D00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1</w:t>
            </w:r>
          </w:p>
        </w:tc>
        <w:tc>
          <w:tcPr>
            <w:tcW w:w="1176" w:type="dxa"/>
            <w:vAlign w:val="center"/>
          </w:tcPr>
          <w:p w14:paraId="13039D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rPr>
              <w:t>BSH002</w:t>
            </w:r>
          </w:p>
        </w:tc>
        <w:tc>
          <w:tcPr>
            <w:tcW w:w="2004" w:type="dxa"/>
            <w:vAlign w:val="center"/>
          </w:tcPr>
          <w:p w14:paraId="4F30C68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制浆造纸</w:t>
            </w:r>
          </w:p>
        </w:tc>
        <w:tc>
          <w:tcPr>
            <w:tcW w:w="1464" w:type="dxa"/>
            <w:vAlign w:val="center"/>
          </w:tcPr>
          <w:p w14:paraId="1844687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8</w:t>
            </w:r>
          </w:p>
        </w:tc>
        <w:tc>
          <w:tcPr>
            <w:tcW w:w="1810" w:type="dxa"/>
            <w:vMerge w:val="continue"/>
            <w:vAlign w:val="center"/>
          </w:tcPr>
          <w:p w14:paraId="7FD9F12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633B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93" w:type="dxa"/>
            <w:shd w:val="clear" w:color="auto" w:fill="E7E6E6" w:themeFill="background2"/>
            <w:noWrap/>
            <w:vAlign w:val="center"/>
          </w:tcPr>
          <w:p w14:paraId="00E30FC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eastAsiaTheme="minorEastAsia"/>
                <w:b/>
                <w:bCs/>
                <w:sz w:val="21"/>
                <w:szCs w:val="21"/>
              </w:rPr>
              <w:t>项目名称</w:t>
            </w:r>
          </w:p>
        </w:tc>
        <w:tc>
          <w:tcPr>
            <w:tcW w:w="1092" w:type="dxa"/>
            <w:shd w:val="clear" w:color="auto" w:fill="E7E6E6" w:themeFill="background2"/>
            <w:vAlign w:val="center"/>
          </w:tcPr>
          <w:p w14:paraId="1605D896">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eastAsiaTheme="minorEastAsia"/>
                <w:b/>
                <w:bCs/>
                <w:sz w:val="21"/>
                <w:szCs w:val="21"/>
              </w:rPr>
              <w:t>需求人数</w:t>
            </w:r>
          </w:p>
        </w:tc>
        <w:tc>
          <w:tcPr>
            <w:tcW w:w="1176" w:type="dxa"/>
            <w:shd w:val="clear" w:color="auto" w:fill="E7E6E6" w:themeFill="background2"/>
            <w:vAlign w:val="center"/>
          </w:tcPr>
          <w:p w14:paraId="6CFE9918">
            <w:pPr>
              <w:adjustRightInd w:val="0"/>
              <w:snapToGrid w:val="0"/>
              <w:spacing w:line="240" w:lineRule="auto"/>
              <w:ind w:firstLine="0" w:firstLineChars="0"/>
              <w:jc w:val="center"/>
              <w:rPr>
                <w:rFonts w:hint="default" w:ascii="Times New Roman" w:hAnsi="Times New Roman" w:cs="Times New Roman" w:eastAsiaTheme="minorEastAsia"/>
                <w:color w:val="auto"/>
                <w:kern w:val="0"/>
                <w:sz w:val="21"/>
                <w:szCs w:val="21"/>
              </w:rPr>
            </w:pPr>
            <w:r>
              <w:rPr>
                <w:rFonts w:eastAsiaTheme="minorEastAsia"/>
                <w:b/>
                <w:bCs/>
                <w:sz w:val="21"/>
                <w:szCs w:val="21"/>
              </w:rPr>
              <w:t>岗位编号</w:t>
            </w:r>
          </w:p>
        </w:tc>
        <w:tc>
          <w:tcPr>
            <w:tcW w:w="2004" w:type="dxa"/>
            <w:shd w:val="clear" w:color="auto" w:fill="E7E6E6" w:themeFill="background2"/>
            <w:vAlign w:val="center"/>
          </w:tcPr>
          <w:p w14:paraId="080BE95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57BBF4C">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464" w:type="dxa"/>
            <w:shd w:val="clear" w:color="auto" w:fill="E7E6E6" w:themeFill="background2"/>
            <w:vAlign w:val="center"/>
          </w:tcPr>
          <w:p w14:paraId="2E39313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446DA30">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0" w:type="dxa"/>
            <w:shd w:val="clear" w:color="auto" w:fill="E7E6E6" w:themeFill="background2"/>
            <w:vAlign w:val="center"/>
          </w:tcPr>
          <w:p w14:paraId="78A2429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75B973C">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eastAsiaTheme="minorEastAsia"/>
                <w:b/>
                <w:bCs/>
                <w:sz w:val="21"/>
                <w:szCs w:val="21"/>
              </w:rPr>
              <w:t>等要求</w:t>
            </w:r>
          </w:p>
        </w:tc>
      </w:tr>
      <w:tr w14:paraId="59DD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shd w:val="clear" w:color="auto" w:fill="FFFFFF"/>
            <w:noWrap/>
            <w:vAlign w:val="center"/>
          </w:tcPr>
          <w:p w14:paraId="5F729AF8">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莱赛尔产业化新技术开发与应用基础研究</w:t>
            </w:r>
          </w:p>
        </w:tc>
        <w:tc>
          <w:tcPr>
            <w:tcW w:w="1092" w:type="dxa"/>
            <w:shd w:val="clear" w:color="auto" w:fill="FFFFFF"/>
            <w:vAlign w:val="center"/>
          </w:tcPr>
          <w:p w14:paraId="6C914F1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176" w:type="dxa"/>
            <w:shd w:val="clear" w:color="auto" w:fill="FFFFFF"/>
            <w:vAlign w:val="center"/>
          </w:tcPr>
          <w:p w14:paraId="16E7D44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w:t>
            </w:r>
            <w:r>
              <w:rPr>
                <w:rFonts w:hint="eastAsia" w:ascii="Times New Roman" w:hAnsi="Times New Roman" w:cs="Times New Roman" w:eastAsiaTheme="minorEastAsia"/>
                <w:sz w:val="21"/>
                <w:szCs w:val="21"/>
                <w:lang w:val="en-US" w:eastAsia="zh-CN"/>
              </w:rPr>
              <w:t>3</w:t>
            </w:r>
          </w:p>
        </w:tc>
        <w:tc>
          <w:tcPr>
            <w:tcW w:w="2004" w:type="dxa"/>
            <w:shd w:val="clear" w:color="auto" w:fill="FFFFFF"/>
            <w:vAlign w:val="center"/>
          </w:tcPr>
          <w:p w14:paraId="24D25C2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纺织工程</w:t>
            </w:r>
          </w:p>
        </w:tc>
        <w:tc>
          <w:tcPr>
            <w:tcW w:w="1464" w:type="dxa"/>
            <w:shd w:val="clear" w:color="auto" w:fill="FFFFFF"/>
            <w:vAlign w:val="center"/>
          </w:tcPr>
          <w:p w14:paraId="6C2A6FEA">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10" w:type="dxa"/>
            <w:vMerge w:val="restart"/>
            <w:shd w:val="clear" w:color="auto" w:fill="FFFFFF"/>
            <w:vAlign w:val="center"/>
          </w:tcPr>
          <w:p w14:paraId="3F70EEA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省内985、211大学优先</w:t>
            </w:r>
          </w:p>
        </w:tc>
      </w:tr>
      <w:tr w14:paraId="5E2D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shd w:val="clear" w:color="auto" w:fill="FFFFFF"/>
            <w:noWrap/>
            <w:vAlign w:val="center"/>
          </w:tcPr>
          <w:p w14:paraId="143FCA31">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竹纤维加工制品产业化关键技术研究</w:t>
            </w:r>
          </w:p>
        </w:tc>
        <w:tc>
          <w:tcPr>
            <w:tcW w:w="1092" w:type="dxa"/>
            <w:shd w:val="clear" w:color="auto" w:fill="FFFFFF"/>
            <w:vAlign w:val="center"/>
          </w:tcPr>
          <w:p w14:paraId="77CA6237">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76" w:type="dxa"/>
            <w:shd w:val="clear" w:color="auto" w:fill="FFFFFF"/>
            <w:vAlign w:val="center"/>
          </w:tcPr>
          <w:p w14:paraId="0C455C3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w:t>
            </w:r>
            <w:r>
              <w:rPr>
                <w:rFonts w:hint="eastAsia" w:ascii="Times New Roman" w:hAnsi="Times New Roman" w:cs="Times New Roman" w:eastAsiaTheme="minorEastAsia"/>
                <w:sz w:val="21"/>
                <w:szCs w:val="21"/>
                <w:lang w:val="en-US" w:eastAsia="zh-CN"/>
              </w:rPr>
              <w:t>4</w:t>
            </w:r>
          </w:p>
        </w:tc>
        <w:tc>
          <w:tcPr>
            <w:tcW w:w="2004" w:type="dxa"/>
            <w:shd w:val="clear" w:color="auto" w:fill="FFFFFF"/>
            <w:vAlign w:val="center"/>
          </w:tcPr>
          <w:p w14:paraId="5BD8AC5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高分子材料/化学工程</w:t>
            </w:r>
          </w:p>
        </w:tc>
        <w:tc>
          <w:tcPr>
            <w:tcW w:w="1464" w:type="dxa"/>
            <w:shd w:val="clear" w:color="auto" w:fill="FFFFFF"/>
            <w:vAlign w:val="center"/>
          </w:tcPr>
          <w:p w14:paraId="5C18A00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10" w:type="dxa"/>
            <w:vMerge w:val="continue"/>
            <w:shd w:val="clear" w:color="auto" w:fill="FFFFFF"/>
            <w:vAlign w:val="center"/>
          </w:tcPr>
          <w:p w14:paraId="0EE58AD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r w14:paraId="3F97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shd w:val="clear" w:color="auto" w:fill="FFFFFF"/>
            <w:noWrap/>
            <w:vAlign w:val="center"/>
          </w:tcPr>
          <w:p w14:paraId="5408D866">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绿色环保纤维素再生纤维产业化新技术研发</w:t>
            </w:r>
          </w:p>
        </w:tc>
        <w:tc>
          <w:tcPr>
            <w:tcW w:w="1092" w:type="dxa"/>
            <w:shd w:val="clear" w:color="auto" w:fill="FFFFFF"/>
            <w:vAlign w:val="center"/>
          </w:tcPr>
          <w:p w14:paraId="6E377A7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76" w:type="dxa"/>
            <w:shd w:val="clear" w:color="auto" w:fill="FFFFFF"/>
            <w:vAlign w:val="center"/>
          </w:tcPr>
          <w:p w14:paraId="6D468E0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w:t>
            </w:r>
            <w:r>
              <w:rPr>
                <w:rFonts w:hint="eastAsia" w:ascii="Times New Roman" w:hAnsi="Times New Roman" w:cs="Times New Roman" w:eastAsiaTheme="minorEastAsia"/>
                <w:sz w:val="21"/>
                <w:szCs w:val="21"/>
                <w:lang w:val="en-US" w:eastAsia="zh-CN"/>
              </w:rPr>
              <w:t>5</w:t>
            </w:r>
          </w:p>
        </w:tc>
        <w:tc>
          <w:tcPr>
            <w:tcW w:w="2004" w:type="dxa"/>
            <w:shd w:val="clear" w:color="auto" w:fill="FFFFFF"/>
            <w:vAlign w:val="center"/>
          </w:tcPr>
          <w:p w14:paraId="7FA9152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纺织工程</w:t>
            </w:r>
          </w:p>
        </w:tc>
        <w:tc>
          <w:tcPr>
            <w:tcW w:w="1464" w:type="dxa"/>
            <w:shd w:val="clear" w:color="auto" w:fill="FFFFFF"/>
            <w:vAlign w:val="center"/>
          </w:tcPr>
          <w:p w14:paraId="629AC4A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10" w:type="dxa"/>
            <w:vMerge w:val="continue"/>
            <w:shd w:val="clear" w:color="auto" w:fill="FFFFFF"/>
            <w:vAlign w:val="center"/>
          </w:tcPr>
          <w:p w14:paraId="488A38C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r w14:paraId="6DB5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shd w:val="clear" w:color="auto" w:fill="FFFFFF"/>
            <w:noWrap/>
            <w:vAlign w:val="center"/>
          </w:tcPr>
          <w:p w14:paraId="619E3976">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粘胶/莱赛尔基碳纤维产业化技术研究</w:t>
            </w:r>
          </w:p>
        </w:tc>
        <w:tc>
          <w:tcPr>
            <w:tcW w:w="1092" w:type="dxa"/>
            <w:shd w:val="clear" w:color="auto" w:fill="FFFFFF"/>
            <w:vAlign w:val="center"/>
          </w:tcPr>
          <w:p w14:paraId="65FBE9B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176" w:type="dxa"/>
            <w:shd w:val="clear" w:color="auto" w:fill="FFFFFF"/>
            <w:vAlign w:val="center"/>
          </w:tcPr>
          <w:p w14:paraId="40F3560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w:t>
            </w:r>
            <w:r>
              <w:rPr>
                <w:rFonts w:hint="eastAsia" w:ascii="Times New Roman" w:hAnsi="Times New Roman" w:cs="Times New Roman" w:eastAsiaTheme="minorEastAsia"/>
                <w:sz w:val="21"/>
                <w:szCs w:val="21"/>
                <w:lang w:val="en-US" w:eastAsia="zh-CN"/>
              </w:rPr>
              <w:t>6</w:t>
            </w:r>
          </w:p>
        </w:tc>
        <w:tc>
          <w:tcPr>
            <w:tcW w:w="2004" w:type="dxa"/>
            <w:shd w:val="clear" w:color="auto" w:fill="FFFFFF"/>
            <w:vAlign w:val="center"/>
          </w:tcPr>
          <w:p w14:paraId="193F328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高分子材料/电化学材料</w:t>
            </w:r>
          </w:p>
        </w:tc>
        <w:tc>
          <w:tcPr>
            <w:tcW w:w="1464" w:type="dxa"/>
            <w:shd w:val="clear" w:color="auto" w:fill="FFFFFF"/>
            <w:vAlign w:val="center"/>
          </w:tcPr>
          <w:p w14:paraId="46B8A6F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10" w:type="dxa"/>
            <w:vMerge w:val="continue"/>
            <w:shd w:val="clear" w:color="auto" w:fill="FFFFFF"/>
            <w:vAlign w:val="center"/>
          </w:tcPr>
          <w:p w14:paraId="73A0DE2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r w14:paraId="1DC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93" w:type="dxa"/>
            <w:shd w:val="clear" w:color="auto" w:fill="FFFFFF"/>
            <w:noWrap/>
            <w:vAlign w:val="center"/>
          </w:tcPr>
          <w:p w14:paraId="00E71814">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溶剂法制备Li2S产业化技术研究</w:t>
            </w:r>
          </w:p>
        </w:tc>
        <w:tc>
          <w:tcPr>
            <w:tcW w:w="1092" w:type="dxa"/>
            <w:shd w:val="clear" w:color="auto" w:fill="FFFFFF"/>
            <w:vAlign w:val="center"/>
          </w:tcPr>
          <w:p w14:paraId="08A2D01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76" w:type="dxa"/>
            <w:shd w:val="clear" w:color="auto" w:fill="FFFFFF"/>
            <w:vAlign w:val="center"/>
          </w:tcPr>
          <w:p w14:paraId="2D67500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w:t>
            </w:r>
            <w:r>
              <w:rPr>
                <w:rFonts w:hint="eastAsia" w:ascii="Times New Roman" w:hAnsi="Times New Roman" w:cs="Times New Roman" w:eastAsiaTheme="minorEastAsia"/>
                <w:sz w:val="21"/>
                <w:szCs w:val="21"/>
                <w:lang w:val="en-US" w:eastAsia="zh-CN"/>
              </w:rPr>
              <w:t>7</w:t>
            </w:r>
          </w:p>
        </w:tc>
        <w:tc>
          <w:tcPr>
            <w:tcW w:w="2004" w:type="dxa"/>
            <w:shd w:val="clear" w:color="auto" w:fill="FFFFFF"/>
            <w:vAlign w:val="center"/>
          </w:tcPr>
          <w:p w14:paraId="0BACB34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化学工程</w:t>
            </w:r>
          </w:p>
        </w:tc>
        <w:tc>
          <w:tcPr>
            <w:tcW w:w="1464" w:type="dxa"/>
            <w:shd w:val="clear" w:color="auto" w:fill="FFFFFF"/>
            <w:vAlign w:val="center"/>
          </w:tcPr>
          <w:p w14:paraId="04B6AEC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810" w:type="dxa"/>
            <w:vMerge w:val="continue"/>
            <w:shd w:val="clear" w:color="auto" w:fill="FFFFFF"/>
            <w:vAlign w:val="center"/>
          </w:tcPr>
          <w:p w14:paraId="71538F8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bl>
    <w:p w14:paraId="1E630135">
      <w:pPr>
        <w:pStyle w:val="5"/>
        <w:adjustRightInd w:val="0"/>
        <w:snapToGrid w:val="0"/>
        <w:spacing w:line="240" w:lineRule="auto"/>
        <w:rPr>
          <w:sz w:val="21"/>
          <w:szCs w:val="21"/>
        </w:rPr>
      </w:pPr>
      <w:r>
        <w:rPr>
          <w:sz w:val="21"/>
          <w:szCs w:val="21"/>
        </w:rPr>
        <w:br w:type="page"/>
      </w:r>
    </w:p>
    <w:p w14:paraId="134D33AC">
      <w:pPr>
        <w:autoSpaceDE w:val="0"/>
        <w:autoSpaceDN w:val="0"/>
        <w:adjustRightInd w:val="0"/>
        <w:snapToGrid w:val="0"/>
        <w:spacing w:line="240" w:lineRule="auto"/>
        <w:ind w:firstLine="0"/>
        <w:jc w:val="center"/>
        <w:rPr>
          <w:sz w:val="44"/>
          <w:szCs w:val="44"/>
        </w:rPr>
      </w:pPr>
    </w:p>
    <w:p w14:paraId="314C3D56">
      <w:pPr>
        <w:pStyle w:val="5"/>
        <w:adjustRightInd w:val="0"/>
        <w:snapToGrid w:val="0"/>
        <w:spacing w:line="240" w:lineRule="auto"/>
        <w:ind w:firstLine="0"/>
        <w:jc w:val="center"/>
        <w:outlineLvl w:val="0"/>
        <w:rPr>
          <w:rFonts w:eastAsia="方正小标宋简体"/>
          <w:sz w:val="44"/>
          <w:szCs w:val="44"/>
        </w:rPr>
      </w:pPr>
      <w:bookmarkStart w:id="499" w:name="_Toc27224"/>
      <w:bookmarkStart w:id="500" w:name="_Toc25031"/>
      <w:bookmarkStart w:id="501" w:name="_Toc10726"/>
      <w:bookmarkStart w:id="502" w:name="_Toc26548"/>
      <w:bookmarkStart w:id="503" w:name="_Toc23949"/>
      <w:r>
        <w:rPr>
          <w:rFonts w:hint="eastAsia" w:eastAsia="方正小标宋简体"/>
          <w:sz w:val="44"/>
          <w:szCs w:val="44"/>
          <w:highlight w:val="none"/>
        </w:rPr>
        <w:t>应急管理部四川消防研究所</w:t>
      </w:r>
      <w:bookmarkEnd w:id="499"/>
      <w:bookmarkEnd w:id="500"/>
      <w:bookmarkEnd w:id="501"/>
      <w:bookmarkEnd w:id="502"/>
      <w:bookmarkEnd w:id="503"/>
    </w:p>
    <w:p w14:paraId="77984703">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592"/>
        <w:gridCol w:w="806"/>
        <w:gridCol w:w="850"/>
        <w:gridCol w:w="313"/>
        <w:gridCol w:w="1292"/>
        <w:gridCol w:w="466"/>
        <w:gridCol w:w="1079"/>
        <w:gridCol w:w="473"/>
        <w:gridCol w:w="1524"/>
      </w:tblGrid>
      <w:tr w14:paraId="1059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3B9665C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shd w:val="clear" w:color="000000" w:fill="FFFFFF"/>
            <w:noWrap/>
            <w:vAlign w:val="center"/>
          </w:tcPr>
          <w:p w14:paraId="47A4F8A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科研院所</w:t>
            </w:r>
          </w:p>
        </w:tc>
        <w:tc>
          <w:tcPr>
            <w:tcW w:w="1640" w:type="dxa"/>
            <w:gridSpan w:val="2"/>
            <w:shd w:val="clear" w:color="auto" w:fill="E7E6E6" w:themeFill="background2"/>
            <w:noWrap/>
            <w:vAlign w:val="center"/>
          </w:tcPr>
          <w:p w14:paraId="1C7710E2">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94F0EC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52EFA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7539412D">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A5F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75E99EF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9"/>
            <w:shd w:val="clear" w:color="000000" w:fill="FFFFFF"/>
            <w:noWrap/>
            <w:vAlign w:val="center"/>
          </w:tcPr>
          <w:p w14:paraId="359BDF7E">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四川省成都市金牛区金科南路69号</w:t>
            </w:r>
          </w:p>
        </w:tc>
      </w:tr>
      <w:tr w14:paraId="085D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2" w:hRule="atLeast"/>
          <w:jc w:val="center"/>
        </w:trPr>
        <w:tc>
          <w:tcPr>
            <w:tcW w:w="1344" w:type="dxa"/>
            <w:shd w:val="clear" w:color="auto" w:fill="E7E6E6" w:themeFill="background2"/>
            <w:noWrap/>
            <w:vAlign w:val="center"/>
          </w:tcPr>
          <w:p w14:paraId="6DEAD37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9"/>
            <w:shd w:val="clear" w:color="000000" w:fill="FFFFFF"/>
            <w:vAlign w:val="center"/>
          </w:tcPr>
          <w:p w14:paraId="16E3EA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始建于1963年，是国内最早成立的综合性公益类消防科研机构，现已形成以建筑防火为核心，向“全灾种”“大应急”领域辐射发展的科研格局。主要从事消防科学与技术研究、火灾防治及其他灾害事故应急救援理论和技术研究、消防员职业健康研究以及相关产品检验检测、认证和技术鉴定。设有国家防火建筑材料质量检验检测中心、应急管理部四川消防研究所司法鉴定中心等30余个专业实验室和鉴定检测机构。牵头或共建了多个部级重点实验室、国家工程研究中心等高水平科研平台，设有博士后工作站。大型综合体火灾防控与灭火救援技术实验与研发基地（拥有国内外唯一的综合体建筑实体火灾试验设施）、国家火灾防治技术研发与测试基地均在建设中。</w:t>
            </w:r>
          </w:p>
        </w:tc>
      </w:tr>
      <w:tr w14:paraId="6254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1344" w:type="dxa"/>
            <w:shd w:val="clear" w:color="auto" w:fill="E7E6E6" w:themeFill="background2"/>
            <w:noWrap/>
            <w:vAlign w:val="center"/>
          </w:tcPr>
          <w:p w14:paraId="69D5349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9"/>
            <w:shd w:val="clear" w:color="000000" w:fill="FFFFFF"/>
            <w:vAlign w:val="center"/>
          </w:tcPr>
          <w:p w14:paraId="08B88D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在站期间参照我所公开招聘进入事业编制的博士收入水平确定薪酬待遇，依规购买五险一金，并提供必要的办公环境、科研设施等配套硬件条件。并及时协助申领四川省、成都市、金牛区各级适配的博士后资金或项目支持。</w:t>
            </w:r>
          </w:p>
        </w:tc>
      </w:tr>
      <w:tr w14:paraId="56B7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920" w:type="dxa"/>
            <w:gridSpan w:val="2"/>
            <w:shd w:val="clear" w:color="auto" w:fill="E7E6E6" w:themeFill="background2"/>
            <w:noWrap/>
            <w:vAlign w:val="center"/>
          </w:tcPr>
          <w:p w14:paraId="26D79FE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798" w:type="dxa"/>
            <w:shd w:val="clear" w:color="auto" w:fill="E7E6E6" w:themeFill="background2"/>
            <w:vAlign w:val="center"/>
          </w:tcPr>
          <w:p w14:paraId="069457D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65392EA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auto" w:fill="E7E6E6" w:themeFill="background2"/>
            <w:vAlign w:val="center"/>
          </w:tcPr>
          <w:p w14:paraId="386FF1F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98986B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4186DAA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A06C07A">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auto" w:fill="E7E6E6" w:themeFill="background2"/>
            <w:vAlign w:val="center"/>
          </w:tcPr>
          <w:p w14:paraId="68F5043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34CE35A">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5283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2920" w:type="dxa"/>
            <w:gridSpan w:val="2"/>
            <w:shd w:val="clear" w:color="000000" w:fill="FFFFFF"/>
            <w:noWrap/>
            <w:vAlign w:val="center"/>
          </w:tcPr>
          <w:p w14:paraId="760283E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国家十四五项目子课题“城镇-森林交界域火灾风险分级技术研究”(课题编号：2022YFC3003102-03)、国家自然科学基金-青年科学基金项目“森林可燃物阴燃排放规律及地下火先导探测方法的研究”（批准号：52106184）、四川省科技计划-自然科学基金面上项目“四川省森林-城镇交界域火灾排放物特性及其对健康的影响”（批准号：2023NSFSC0189）</w:t>
            </w:r>
          </w:p>
        </w:tc>
        <w:tc>
          <w:tcPr>
            <w:tcW w:w="798" w:type="dxa"/>
            <w:shd w:val="clear" w:color="000000" w:fill="FFFFFF"/>
            <w:vAlign w:val="center"/>
          </w:tcPr>
          <w:p w14:paraId="20C7760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000000" w:fill="FFFFFF"/>
            <w:vAlign w:val="center"/>
          </w:tcPr>
          <w:p w14:paraId="525A590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40" w:type="dxa"/>
            <w:gridSpan w:val="2"/>
            <w:shd w:val="clear" w:color="000000" w:fill="FFFFFF"/>
            <w:vAlign w:val="center"/>
          </w:tcPr>
          <w:p w14:paraId="271A749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0829林业工程0837安全科学与工程</w:t>
            </w:r>
          </w:p>
        </w:tc>
        <w:tc>
          <w:tcPr>
            <w:tcW w:w="1536" w:type="dxa"/>
            <w:gridSpan w:val="2"/>
            <w:shd w:val="clear" w:color="000000" w:fill="FFFFFF"/>
            <w:vAlign w:val="center"/>
          </w:tcPr>
          <w:p w14:paraId="330D6A0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w:t>
            </w:r>
          </w:p>
        </w:tc>
        <w:tc>
          <w:tcPr>
            <w:tcW w:w="1509" w:type="dxa"/>
            <w:shd w:val="clear" w:color="000000" w:fill="FFFFFF"/>
            <w:vAlign w:val="center"/>
          </w:tcPr>
          <w:p w14:paraId="1CE8A78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w:t>
            </w:r>
          </w:p>
        </w:tc>
      </w:tr>
      <w:tr w14:paraId="3F61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920" w:type="dxa"/>
            <w:gridSpan w:val="2"/>
            <w:shd w:val="clear" w:color="000000" w:fill="E7E6E6" w:themeFill="background2"/>
            <w:noWrap/>
            <w:vAlign w:val="center"/>
          </w:tcPr>
          <w:p w14:paraId="5C76BC0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项目名称</w:t>
            </w:r>
          </w:p>
        </w:tc>
        <w:tc>
          <w:tcPr>
            <w:tcW w:w="798" w:type="dxa"/>
            <w:shd w:val="clear" w:color="000000" w:fill="E7E6E6" w:themeFill="background2"/>
            <w:vAlign w:val="center"/>
          </w:tcPr>
          <w:p w14:paraId="60AAF36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000000" w:fill="E7E6E6" w:themeFill="background2"/>
            <w:vAlign w:val="center"/>
          </w:tcPr>
          <w:p w14:paraId="747CE33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000000" w:fill="E7E6E6" w:themeFill="background2"/>
            <w:vAlign w:val="center"/>
          </w:tcPr>
          <w:p w14:paraId="57C8F2C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870EC4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000000" w:fill="E7E6E6" w:themeFill="background2"/>
            <w:vAlign w:val="center"/>
          </w:tcPr>
          <w:p w14:paraId="62768C2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27E76B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000000" w:fill="E7E6E6" w:themeFill="background2"/>
            <w:vAlign w:val="center"/>
          </w:tcPr>
          <w:p w14:paraId="059E548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8F6DFB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2F3C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920" w:type="dxa"/>
            <w:gridSpan w:val="2"/>
            <w:shd w:val="clear" w:color="000000" w:fill="FFFFFF"/>
            <w:noWrap/>
            <w:vAlign w:val="center"/>
          </w:tcPr>
          <w:p w14:paraId="021182D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四川省重点研发项目“基于移动机器人的典型危险环境气体浓度及其地理位置信息关联标定技术装备研发及应用”（课题编号：2023YFS0416）、“消防员定位系统孵化与推广应用”（课题编号：F20248803）</w:t>
            </w:r>
          </w:p>
        </w:tc>
        <w:tc>
          <w:tcPr>
            <w:tcW w:w="798" w:type="dxa"/>
            <w:shd w:val="clear" w:color="000000" w:fill="FFFFFF"/>
            <w:vAlign w:val="center"/>
          </w:tcPr>
          <w:p w14:paraId="0BEBAB3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000000" w:fill="FFFFFF"/>
            <w:vAlign w:val="center"/>
          </w:tcPr>
          <w:p w14:paraId="1E9DEE0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2</w:t>
            </w:r>
          </w:p>
        </w:tc>
        <w:tc>
          <w:tcPr>
            <w:tcW w:w="1740" w:type="dxa"/>
            <w:gridSpan w:val="2"/>
            <w:shd w:val="clear" w:color="000000" w:fill="FFFFFF"/>
            <w:vAlign w:val="center"/>
          </w:tcPr>
          <w:p w14:paraId="33DDAD68">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0802 机械工程</w:t>
            </w:r>
          </w:p>
          <w:p w14:paraId="225A1AA9">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0804 仪器科学与技术</w:t>
            </w:r>
          </w:p>
          <w:p w14:paraId="6F0BF9BD">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0809 电子科学与技术</w:t>
            </w:r>
          </w:p>
          <w:p w14:paraId="64AABA7A">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0811 控制科学与工程</w:t>
            </w:r>
          </w:p>
          <w:p w14:paraId="25E794C8">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0816 测绘科学与技术</w:t>
            </w:r>
          </w:p>
          <w:p w14:paraId="55AA2CC9">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0855 机械</w:t>
            </w:r>
          </w:p>
          <w:p w14:paraId="1AB47F5E">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1404 遥感科学与技术</w:t>
            </w:r>
          </w:p>
          <w:p w14:paraId="43445AF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1405 智能科学与技术</w:t>
            </w:r>
          </w:p>
        </w:tc>
        <w:tc>
          <w:tcPr>
            <w:tcW w:w="1536" w:type="dxa"/>
            <w:gridSpan w:val="2"/>
            <w:shd w:val="clear" w:color="000000" w:fill="FFFFFF"/>
            <w:vAlign w:val="center"/>
          </w:tcPr>
          <w:p w14:paraId="723E64B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w:t>
            </w:r>
          </w:p>
        </w:tc>
        <w:tc>
          <w:tcPr>
            <w:tcW w:w="1509" w:type="dxa"/>
            <w:shd w:val="clear" w:color="000000" w:fill="FFFFFF"/>
            <w:vAlign w:val="center"/>
          </w:tcPr>
          <w:p w14:paraId="32B4E14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w:t>
            </w:r>
          </w:p>
        </w:tc>
      </w:tr>
    </w:tbl>
    <w:p w14:paraId="3071FB83">
      <w:pPr>
        <w:pStyle w:val="5"/>
        <w:adjustRightInd w:val="0"/>
        <w:snapToGrid w:val="0"/>
        <w:spacing w:line="240" w:lineRule="auto"/>
        <w:ind w:firstLine="0"/>
        <w:jc w:val="both"/>
        <w:rPr>
          <w:rFonts w:eastAsia="方正小标宋简体"/>
          <w:sz w:val="44"/>
          <w:szCs w:val="44"/>
        </w:rPr>
      </w:pPr>
    </w:p>
    <w:p w14:paraId="579C837A">
      <w:pPr>
        <w:pStyle w:val="5"/>
        <w:adjustRightInd w:val="0"/>
        <w:snapToGrid w:val="0"/>
        <w:spacing w:line="240" w:lineRule="auto"/>
        <w:ind w:firstLine="0"/>
        <w:jc w:val="center"/>
        <w:rPr>
          <w:rFonts w:eastAsia="方正小标宋简体"/>
          <w:sz w:val="44"/>
          <w:szCs w:val="44"/>
        </w:rPr>
      </w:pPr>
    </w:p>
    <w:p w14:paraId="2ECCCF2F">
      <w:pPr>
        <w:pStyle w:val="5"/>
        <w:adjustRightInd w:val="0"/>
        <w:snapToGrid w:val="0"/>
        <w:spacing w:line="240" w:lineRule="auto"/>
        <w:ind w:firstLine="0"/>
        <w:jc w:val="center"/>
        <w:rPr>
          <w:rFonts w:eastAsia="方正小标宋简体"/>
          <w:sz w:val="44"/>
          <w:szCs w:val="44"/>
        </w:rPr>
      </w:pPr>
    </w:p>
    <w:p w14:paraId="21CE4A8C">
      <w:pPr>
        <w:pStyle w:val="5"/>
        <w:adjustRightInd w:val="0"/>
        <w:snapToGrid w:val="0"/>
        <w:spacing w:line="240" w:lineRule="auto"/>
        <w:ind w:firstLine="0"/>
        <w:jc w:val="center"/>
        <w:rPr>
          <w:rFonts w:eastAsia="方正小标宋简体"/>
          <w:sz w:val="44"/>
          <w:szCs w:val="44"/>
        </w:rPr>
      </w:pPr>
    </w:p>
    <w:p w14:paraId="52F67ED4">
      <w:pPr>
        <w:pStyle w:val="5"/>
        <w:adjustRightInd w:val="0"/>
        <w:snapToGrid w:val="0"/>
        <w:spacing w:line="240" w:lineRule="auto"/>
        <w:ind w:firstLine="0"/>
        <w:jc w:val="center"/>
        <w:rPr>
          <w:rFonts w:eastAsia="方正小标宋简体"/>
          <w:sz w:val="44"/>
          <w:szCs w:val="44"/>
        </w:rPr>
      </w:pPr>
    </w:p>
    <w:p w14:paraId="13E5542C">
      <w:pPr>
        <w:pStyle w:val="5"/>
        <w:adjustRightInd w:val="0"/>
        <w:snapToGrid w:val="0"/>
        <w:spacing w:line="240" w:lineRule="auto"/>
        <w:ind w:firstLine="0"/>
        <w:jc w:val="center"/>
        <w:rPr>
          <w:rFonts w:eastAsia="方正小标宋简体"/>
          <w:sz w:val="44"/>
          <w:szCs w:val="44"/>
        </w:rPr>
      </w:pPr>
    </w:p>
    <w:p w14:paraId="43B8F8F6">
      <w:pPr>
        <w:pStyle w:val="5"/>
        <w:adjustRightInd w:val="0"/>
        <w:snapToGrid w:val="0"/>
        <w:spacing w:line="240" w:lineRule="auto"/>
        <w:ind w:firstLine="0"/>
        <w:jc w:val="center"/>
        <w:rPr>
          <w:rFonts w:eastAsia="方正小标宋简体"/>
          <w:sz w:val="44"/>
          <w:szCs w:val="44"/>
        </w:rPr>
      </w:pPr>
    </w:p>
    <w:p w14:paraId="1408C2F9">
      <w:pPr>
        <w:pStyle w:val="5"/>
        <w:adjustRightInd w:val="0"/>
        <w:snapToGrid w:val="0"/>
        <w:spacing w:line="240" w:lineRule="auto"/>
        <w:ind w:firstLine="0"/>
        <w:jc w:val="center"/>
        <w:rPr>
          <w:rFonts w:eastAsia="方正小标宋简体"/>
          <w:sz w:val="44"/>
          <w:szCs w:val="44"/>
        </w:rPr>
      </w:pPr>
    </w:p>
    <w:p w14:paraId="2EC47F8E">
      <w:pPr>
        <w:pStyle w:val="5"/>
        <w:adjustRightInd w:val="0"/>
        <w:snapToGrid w:val="0"/>
        <w:spacing w:line="240" w:lineRule="auto"/>
        <w:ind w:firstLine="0"/>
        <w:jc w:val="center"/>
        <w:rPr>
          <w:rFonts w:eastAsia="方正小标宋简体"/>
          <w:sz w:val="44"/>
          <w:szCs w:val="44"/>
        </w:rPr>
      </w:pPr>
    </w:p>
    <w:p w14:paraId="5D71A4F7">
      <w:pPr>
        <w:pStyle w:val="5"/>
        <w:adjustRightInd w:val="0"/>
        <w:snapToGrid w:val="0"/>
        <w:spacing w:line="240" w:lineRule="auto"/>
        <w:ind w:firstLine="0"/>
        <w:jc w:val="center"/>
        <w:rPr>
          <w:rFonts w:eastAsia="方正小标宋简体"/>
          <w:sz w:val="44"/>
          <w:szCs w:val="44"/>
        </w:rPr>
      </w:pPr>
    </w:p>
    <w:p w14:paraId="0CD059AF">
      <w:pPr>
        <w:pStyle w:val="5"/>
        <w:adjustRightInd w:val="0"/>
        <w:snapToGrid w:val="0"/>
        <w:spacing w:line="240" w:lineRule="auto"/>
        <w:ind w:firstLine="0"/>
        <w:jc w:val="center"/>
        <w:rPr>
          <w:rFonts w:eastAsia="方正小标宋简体"/>
          <w:sz w:val="44"/>
          <w:szCs w:val="44"/>
        </w:rPr>
      </w:pPr>
    </w:p>
    <w:p w14:paraId="21FE952A">
      <w:pPr>
        <w:pStyle w:val="5"/>
        <w:adjustRightInd w:val="0"/>
        <w:snapToGrid w:val="0"/>
        <w:spacing w:line="240" w:lineRule="auto"/>
        <w:ind w:firstLine="0"/>
        <w:jc w:val="center"/>
        <w:rPr>
          <w:rFonts w:eastAsia="方正小标宋简体"/>
          <w:sz w:val="44"/>
          <w:szCs w:val="44"/>
        </w:rPr>
      </w:pPr>
    </w:p>
    <w:p w14:paraId="2B6AEF08">
      <w:pPr>
        <w:pStyle w:val="5"/>
        <w:adjustRightInd w:val="0"/>
        <w:snapToGrid w:val="0"/>
        <w:spacing w:line="240" w:lineRule="auto"/>
        <w:ind w:firstLine="0"/>
        <w:jc w:val="center"/>
        <w:rPr>
          <w:rFonts w:eastAsia="方正小标宋简体"/>
          <w:sz w:val="44"/>
          <w:szCs w:val="44"/>
        </w:rPr>
      </w:pPr>
    </w:p>
    <w:p w14:paraId="608E722B">
      <w:pPr>
        <w:pStyle w:val="5"/>
        <w:adjustRightInd w:val="0"/>
        <w:snapToGrid w:val="0"/>
        <w:spacing w:line="240" w:lineRule="auto"/>
        <w:ind w:firstLine="0"/>
        <w:jc w:val="center"/>
        <w:rPr>
          <w:rFonts w:eastAsia="方正小标宋简体"/>
          <w:sz w:val="44"/>
          <w:szCs w:val="44"/>
        </w:rPr>
      </w:pPr>
    </w:p>
    <w:p w14:paraId="0A2D5D9A">
      <w:pPr>
        <w:pStyle w:val="5"/>
        <w:adjustRightInd w:val="0"/>
        <w:snapToGrid w:val="0"/>
        <w:spacing w:line="240" w:lineRule="auto"/>
        <w:ind w:firstLine="0"/>
        <w:jc w:val="center"/>
        <w:rPr>
          <w:rFonts w:eastAsia="方正小标宋简体"/>
          <w:sz w:val="44"/>
          <w:szCs w:val="44"/>
        </w:rPr>
      </w:pPr>
    </w:p>
    <w:p w14:paraId="4DAD825B">
      <w:pPr>
        <w:pStyle w:val="5"/>
        <w:adjustRightInd w:val="0"/>
        <w:snapToGrid w:val="0"/>
        <w:spacing w:line="240" w:lineRule="auto"/>
        <w:ind w:firstLine="0"/>
        <w:jc w:val="center"/>
        <w:rPr>
          <w:rFonts w:eastAsia="方正小标宋简体"/>
          <w:sz w:val="44"/>
          <w:szCs w:val="44"/>
        </w:rPr>
      </w:pPr>
    </w:p>
    <w:p w14:paraId="63176762">
      <w:pPr>
        <w:pStyle w:val="5"/>
        <w:adjustRightInd w:val="0"/>
        <w:snapToGrid w:val="0"/>
        <w:spacing w:line="240" w:lineRule="auto"/>
        <w:ind w:firstLine="0"/>
        <w:jc w:val="center"/>
        <w:rPr>
          <w:rFonts w:eastAsia="方正小标宋简体"/>
          <w:sz w:val="44"/>
          <w:szCs w:val="44"/>
        </w:rPr>
      </w:pPr>
    </w:p>
    <w:p w14:paraId="03A371B5">
      <w:pPr>
        <w:pStyle w:val="5"/>
        <w:adjustRightInd w:val="0"/>
        <w:snapToGrid w:val="0"/>
        <w:spacing w:line="240" w:lineRule="auto"/>
        <w:ind w:firstLine="0"/>
        <w:jc w:val="center"/>
        <w:rPr>
          <w:rFonts w:eastAsia="方正小标宋简体"/>
          <w:sz w:val="44"/>
          <w:szCs w:val="44"/>
          <w:highlight w:val="yellow"/>
        </w:rPr>
      </w:pPr>
    </w:p>
    <w:p w14:paraId="6B25C0D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504" w:name="_Toc30194"/>
      <w:bookmarkStart w:id="505" w:name="_Toc790"/>
      <w:bookmarkStart w:id="506" w:name="_Toc13645"/>
      <w:bookmarkStart w:id="507" w:name="_Toc25219"/>
      <w:bookmarkStart w:id="508" w:name="_Toc31992"/>
      <w:r>
        <w:rPr>
          <w:rFonts w:hint="eastAsia" w:eastAsia="方正小标宋简体"/>
          <w:sz w:val="44"/>
          <w:szCs w:val="44"/>
          <w:highlight w:val="none"/>
        </w:rPr>
        <w:t>中储粮成都储藏研究院有限公司</w:t>
      </w:r>
      <w:bookmarkEnd w:id="504"/>
      <w:bookmarkEnd w:id="505"/>
      <w:bookmarkEnd w:id="506"/>
      <w:bookmarkEnd w:id="507"/>
      <w:bookmarkEnd w:id="508"/>
    </w:p>
    <w:p w14:paraId="4BBB6DC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786"/>
        <w:gridCol w:w="944"/>
        <w:gridCol w:w="172"/>
        <w:gridCol w:w="1342"/>
        <w:gridCol w:w="118"/>
        <w:gridCol w:w="1507"/>
        <w:gridCol w:w="309"/>
        <w:gridCol w:w="1254"/>
        <w:gridCol w:w="267"/>
        <w:gridCol w:w="1754"/>
      </w:tblGrid>
      <w:tr w14:paraId="6CB7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55D43B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3" w:type="dxa"/>
            <w:gridSpan w:val="2"/>
            <w:shd w:val="clear" w:color="000000" w:fill="FFFFFF"/>
            <w:noWrap/>
            <w:vAlign w:val="center"/>
          </w:tcPr>
          <w:p w14:paraId="252184B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481" w:type="dxa"/>
            <w:gridSpan w:val="2"/>
            <w:shd w:val="clear" w:color="auto" w:fill="E7E6E6" w:themeFill="background2"/>
            <w:noWrap/>
            <w:vAlign w:val="center"/>
          </w:tcPr>
          <w:p w14:paraId="046659C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D26F9A9">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73708F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0EEE421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成都</w:t>
            </w:r>
          </w:p>
        </w:tc>
      </w:tr>
      <w:tr w14:paraId="0CB9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9297EE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32D351A7">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四川省成都市青羊区广富路239号N32</w:t>
            </w:r>
          </w:p>
        </w:tc>
      </w:tr>
      <w:tr w14:paraId="6D91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6" w:hRule="atLeast"/>
          <w:jc w:val="center"/>
        </w:trPr>
        <w:tc>
          <w:tcPr>
            <w:tcW w:w="1271" w:type="dxa"/>
            <w:shd w:val="clear" w:color="auto" w:fill="E7E6E6" w:themeFill="background2"/>
            <w:noWrap/>
            <w:vAlign w:val="center"/>
          </w:tcPr>
          <w:p w14:paraId="0017F54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5DF662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储粮成都储藏研究院有限公司是国内粮食行业唯一专门从事粮食储藏技术研究与开发的中央级科研机构，在粮仓工程设计、粮食储藏工艺、粮食保鲜、虫霉防治技术、粮食微生物与真菌毒素、粮油质量标准制定及检测、谷物化学、粮油检化验仪器、仓储设备、电子信息应用技术和储粮科学技术培训等方面具有深厚的技术积淀和行业影响力。2020年入选国务院国资委首批“科改示范行动企业”，2023年入选国务院国资委“创建世界一流专业领军示范企业”。参加完成的“粮食储备‘四合一’新技术研究开发与集成创新”项目获国家科技进步一等奖，设计了全球首座架空式粮食气膜仓，并入选“2022年度央企十大超级工程”，为中国粮食储藏和国家粮食安全做出了重要贡献。</w:t>
            </w:r>
          </w:p>
        </w:tc>
      </w:tr>
      <w:tr w14:paraId="529D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271" w:type="dxa"/>
            <w:shd w:val="clear" w:color="auto" w:fill="E7E6E6" w:themeFill="background2"/>
            <w:noWrap/>
            <w:vAlign w:val="center"/>
          </w:tcPr>
          <w:p w14:paraId="7EE64B1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4ED889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由行业领军人才、国务院特殊津贴专家任企业导师全程指导，提供课题所需的实验条件，享受中储粮在职员工同等福利，提供具有竞争力的年薪保障，购买六险一金外加补充医疗保险，优秀毕业生与企业直接签订劳动合同，并享受高层次人才安家费。</w:t>
            </w:r>
          </w:p>
        </w:tc>
      </w:tr>
      <w:tr w14:paraId="1ECE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0" w:type="dxa"/>
            <w:gridSpan w:val="2"/>
            <w:shd w:val="clear" w:color="auto" w:fill="E7E6E6" w:themeFill="background2"/>
            <w:noWrap/>
            <w:vAlign w:val="center"/>
          </w:tcPr>
          <w:p w14:paraId="2CFBE2C1">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14:paraId="41C0A6D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28" w:type="dxa"/>
            <w:gridSpan w:val="2"/>
            <w:shd w:val="clear" w:color="auto" w:fill="E7E6E6" w:themeFill="background2"/>
            <w:vAlign w:val="center"/>
          </w:tcPr>
          <w:p w14:paraId="1E1554C6">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6" w:type="dxa"/>
            <w:gridSpan w:val="2"/>
            <w:shd w:val="clear" w:color="auto" w:fill="E7E6E6" w:themeFill="background2"/>
            <w:vAlign w:val="center"/>
          </w:tcPr>
          <w:p w14:paraId="1F99389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4D4DAF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169B097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1067E7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6" w:type="dxa"/>
            <w:shd w:val="clear" w:color="auto" w:fill="E7E6E6" w:themeFill="background2"/>
            <w:vAlign w:val="center"/>
          </w:tcPr>
          <w:p w14:paraId="2B3FBB5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4D34AD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808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40" w:type="dxa"/>
            <w:gridSpan w:val="2"/>
            <w:shd w:val="clear" w:color="000000" w:fill="FFFFFF"/>
            <w:noWrap/>
            <w:vAlign w:val="center"/>
          </w:tcPr>
          <w:p w14:paraId="2FE13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基于5G的面向储粮粮种外观质量及粮面害虫分析的储粮产业大模型关键技术研发</w:t>
            </w:r>
          </w:p>
        </w:tc>
        <w:tc>
          <w:tcPr>
            <w:tcW w:w="1092" w:type="dxa"/>
            <w:gridSpan w:val="2"/>
            <w:shd w:val="clear" w:color="000000" w:fill="FFFFFF"/>
            <w:vAlign w:val="center"/>
          </w:tcPr>
          <w:p w14:paraId="09B85D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28" w:type="dxa"/>
            <w:gridSpan w:val="2"/>
            <w:shd w:val="clear" w:color="000000" w:fill="FFFFFF"/>
            <w:vAlign w:val="center"/>
          </w:tcPr>
          <w:p w14:paraId="3200D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BSH001</w:t>
            </w:r>
          </w:p>
        </w:tc>
        <w:tc>
          <w:tcPr>
            <w:tcW w:w="1776" w:type="dxa"/>
            <w:gridSpan w:val="2"/>
            <w:shd w:val="clear" w:color="000000" w:fill="FFFFFF"/>
            <w:vAlign w:val="center"/>
          </w:tcPr>
          <w:p w14:paraId="2C73B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控制工程、计算机技术</w:t>
            </w:r>
          </w:p>
        </w:tc>
        <w:tc>
          <w:tcPr>
            <w:tcW w:w="1488" w:type="dxa"/>
            <w:gridSpan w:val="2"/>
            <w:shd w:val="clear" w:color="000000" w:fill="FFFFFF"/>
            <w:vAlign w:val="center"/>
          </w:tcPr>
          <w:p w14:paraId="346A5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716" w:type="dxa"/>
            <w:vMerge w:val="restart"/>
            <w:shd w:val="clear" w:color="000000" w:fill="FFFFFF"/>
            <w:vAlign w:val="center"/>
          </w:tcPr>
          <w:p w14:paraId="2E932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211/985院校</w:t>
            </w:r>
          </w:p>
        </w:tc>
      </w:tr>
      <w:tr w14:paraId="0A07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40" w:type="dxa"/>
            <w:gridSpan w:val="2"/>
            <w:shd w:val="clear" w:color="000000" w:fill="FFFFFF"/>
            <w:noWrap/>
            <w:vAlign w:val="center"/>
          </w:tcPr>
          <w:p w14:paraId="7FEFA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稻谷挥发物谱库的建立及新陈鉴别方法初探</w:t>
            </w:r>
          </w:p>
        </w:tc>
        <w:tc>
          <w:tcPr>
            <w:tcW w:w="1092" w:type="dxa"/>
            <w:gridSpan w:val="2"/>
            <w:shd w:val="clear" w:color="000000" w:fill="FFFFFF"/>
            <w:vAlign w:val="center"/>
          </w:tcPr>
          <w:p w14:paraId="171D7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28" w:type="dxa"/>
            <w:gridSpan w:val="2"/>
            <w:shd w:val="clear" w:color="000000" w:fill="FFFFFF"/>
            <w:vAlign w:val="center"/>
          </w:tcPr>
          <w:p w14:paraId="2B388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BSH002</w:t>
            </w:r>
          </w:p>
        </w:tc>
        <w:tc>
          <w:tcPr>
            <w:tcW w:w="1776" w:type="dxa"/>
            <w:gridSpan w:val="2"/>
            <w:shd w:val="clear" w:color="000000" w:fill="FFFFFF"/>
            <w:vAlign w:val="center"/>
          </w:tcPr>
          <w:p w14:paraId="54598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材料、化工</w:t>
            </w:r>
          </w:p>
        </w:tc>
        <w:tc>
          <w:tcPr>
            <w:tcW w:w="1488" w:type="dxa"/>
            <w:gridSpan w:val="2"/>
            <w:shd w:val="clear" w:color="000000" w:fill="FFFFFF"/>
            <w:vAlign w:val="center"/>
          </w:tcPr>
          <w:p w14:paraId="089599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716" w:type="dxa"/>
            <w:vMerge w:val="continue"/>
            <w:shd w:val="clear" w:color="000000" w:fill="FFFFFF"/>
            <w:vAlign w:val="center"/>
          </w:tcPr>
          <w:p w14:paraId="1C306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491A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040" w:type="dxa"/>
            <w:gridSpan w:val="2"/>
            <w:shd w:val="clear" w:color="000000" w:fill="FFFFFF"/>
            <w:noWrap/>
            <w:vAlign w:val="center"/>
          </w:tcPr>
          <w:p w14:paraId="3233F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平房仓散粮进出仓作业线自动化技术及装备研发</w:t>
            </w:r>
          </w:p>
        </w:tc>
        <w:tc>
          <w:tcPr>
            <w:tcW w:w="1092" w:type="dxa"/>
            <w:gridSpan w:val="2"/>
            <w:shd w:val="clear" w:color="000000" w:fill="FFFFFF"/>
            <w:vAlign w:val="center"/>
          </w:tcPr>
          <w:p w14:paraId="5B428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28" w:type="dxa"/>
            <w:gridSpan w:val="2"/>
            <w:shd w:val="clear" w:color="000000" w:fill="FFFFFF"/>
            <w:vAlign w:val="center"/>
          </w:tcPr>
          <w:p w14:paraId="14886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BSH003</w:t>
            </w:r>
          </w:p>
        </w:tc>
        <w:tc>
          <w:tcPr>
            <w:tcW w:w="1776" w:type="dxa"/>
            <w:gridSpan w:val="2"/>
            <w:shd w:val="clear" w:color="000000" w:fill="FFFFFF"/>
            <w:vAlign w:val="center"/>
          </w:tcPr>
          <w:p w14:paraId="7B2BC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机械电子工程</w:t>
            </w:r>
          </w:p>
        </w:tc>
        <w:tc>
          <w:tcPr>
            <w:tcW w:w="1488" w:type="dxa"/>
            <w:gridSpan w:val="2"/>
            <w:shd w:val="clear" w:color="000000" w:fill="FFFFFF"/>
            <w:vAlign w:val="center"/>
          </w:tcPr>
          <w:p w14:paraId="6BB49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716" w:type="dxa"/>
            <w:vMerge w:val="continue"/>
            <w:shd w:val="clear" w:color="000000" w:fill="FFFFFF"/>
            <w:vAlign w:val="center"/>
          </w:tcPr>
          <w:p w14:paraId="0C161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6553FB6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19BBBC3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60E9AF4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509" w:name="_Toc6899"/>
      <w:bookmarkStart w:id="510" w:name="_Toc4781"/>
      <w:bookmarkStart w:id="511" w:name="_Toc497"/>
      <w:bookmarkStart w:id="512" w:name="_Toc27567"/>
      <w:bookmarkStart w:id="513" w:name="_Toc2390"/>
      <w:r>
        <w:rPr>
          <w:rFonts w:hint="eastAsia" w:eastAsia="方正小标宋简体"/>
          <w:sz w:val="44"/>
          <w:szCs w:val="44"/>
          <w:highlight w:val="none"/>
        </w:rPr>
        <w:t>中电科网络安全科技股份有限公司</w:t>
      </w:r>
      <w:bookmarkEnd w:id="509"/>
      <w:bookmarkEnd w:id="510"/>
      <w:bookmarkEnd w:id="511"/>
      <w:bookmarkEnd w:id="512"/>
      <w:bookmarkEnd w:id="513"/>
    </w:p>
    <w:p w14:paraId="3A44CAF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612"/>
        <w:gridCol w:w="1134"/>
        <w:gridCol w:w="1374"/>
        <w:gridCol w:w="261"/>
        <w:gridCol w:w="1453"/>
        <w:gridCol w:w="191"/>
        <w:gridCol w:w="1373"/>
        <w:gridCol w:w="209"/>
        <w:gridCol w:w="1667"/>
      </w:tblGrid>
      <w:tr w14:paraId="1A20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4A1080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14:paraId="400A3B22">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股份制企业</w:t>
            </w:r>
          </w:p>
        </w:tc>
        <w:tc>
          <w:tcPr>
            <w:tcW w:w="1580" w:type="dxa"/>
            <w:gridSpan w:val="2"/>
            <w:shd w:val="clear" w:color="auto" w:fill="E7E6E6" w:themeFill="background2"/>
            <w:noWrap/>
            <w:vAlign w:val="center"/>
          </w:tcPr>
          <w:p w14:paraId="404348D8">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3278894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71290E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14:paraId="41931249">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52FB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7" w:type="dxa"/>
            <w:shd w:val="clear" w:color="auto" w:fill="E7E6E6" w:themeFill="background2"/>
            <w:noWrap/>
            <w:vAlign w:val="center"/>
          </w:tcPr>
          <w:p w14:paraId="1B5B658A">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14:paraId="08554135">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四川省成都市高新区云华路333号</w:t>
            </w:r>
          </w:p>
        </w:tc>
      </w:tr>
      <w:tr w14:paraId="4215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5" w:hRule="atLeast"/>
          <w:jc w:val="center"/>
        </w:trPr>
        <w:tc>
          <w:tcPr>
            <w:tcW w:w="1427" w:type="dxa"/>
            <w:shd w:val="clear" w:color="auto" w:fill="E7E6E6" w:themeFill="background2"/>
            <w:noWrap/>
            <w:vAlign w:val="center"/>
          </w:tcPr>
          <w:p w14:paraId="5464654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14:paraId="23ED115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电科网络安全科技股份有限公司于1998年成立，2008年上市，是中国“信息安全第一股”，总部位于成都、北京，全国均设有营销服务中心，旗下有成都三零嘉微电子有限公司等6家子公司，从业人员共计3000余人。作为密码产业主力军、网络安全引领者、数据安全国家战略科技力量，电科网安致力践行“护航数字中国，守卫智慧社会”的使命，成立以来，累计服务用户超10000家，牵头和参与国家及行业标准近200项，承担国家、省部级重点科研创新项目170项，形成了超过500项科技创新成果，与国内100余家产业链、供应链合作伙伴建立了良好的生态合作关系。未来，电科网安将沿着“基础国产化、密码泛在化、业务数字化、安全智能化”发展道路，持续提升算法设计与实现、安全分析与攻防、解决方案与交互、生态协助与服务四大核心能力。</w:t>
            </w:r>
          </w:p>
        </w:tc>
      </w:tr>
      <w:tr w14:paraId="7B69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6" w:hRule="atLeast"/>
          <w:jc w:val="center"/>
        </w:trPr>
        <w:tc>
          <w:tcPr>
            <w:tcW w:w="1427" w:type="dxa"/>
            <w:shd w:val="clear" w:color="auto" w:fill="E7E6E6" w:themeFill="background2"/>
            <w:noWrap/>
            <w:vAlign w:val="center"/>
          </w:tcPr>
          <w:p w14:paraId="5E26681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14:paraId="7CA29B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我公司工作站于1999年经人力资源和社会保障部、全国博士后管理委员会、四川省博士后管理部门批准建立。工作站招收方式为博士后科研工作站与流动站联合招收，按照《电科网安博士后科研工作站管理制度》进行培养管理。工作站全力支持在站博士后的科研学习工作，为工作站博士后提供具有吸引力的绩效薪酬、必要的科研条件（团队项目支持、经费鼓励等）、多元化的福利待遇（五险一金、生日福利等），并为优秀博士后提供出站后优先入职电科网安公司的机会。</w:t>
            </w:r>
          </w:p>
        </w:tc>
      </w:tr>
      <w:tr w14:paraId="2D55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18" w:type="dxa"/>
            <w:gridSpan w:val="2"/>
            <w:shd w:val="clear" w:color="auto" w:fill="E7E6E6" w:themeFill="background2"/>
            <w:noWrap/>
            <w:vAlign w:val="center"/>
          </w:tcPr>
          <w:p w14:paraId="58437A2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14:paraId="389344C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14:paraId="49A50ED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6E27B74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73F7F3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12" w:type="dxa"/>
            <w:gridSpan w:val="2"/>
            <w:shd w:val="clear" w:color="auto" w:fill="E7E6E6" w:themeFill="background2"/>
            <w:vAlign w:val="center"/>
          </w:tcPr>
          <w:p w14:paraId="393078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C894CB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2" w:type="dxa"/>
            <w:gridSpan w:val="2"/>
            <w:shd w:val="clear" w:color="auto" w:fill="E7E6E6" w:themeFill="background2"/>
            <w:vAlign w:val="center"/>
          </w:tcPr>
          <w:p w14:paraId="22845EF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D1E04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E90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5E1BB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密码前沿技术</w:t>
            </w:r>
          </w:p>
        </w:tc>
        <w:tc>
          <w:tcPr>
            <w:tcW w:w="1096" w:type="dxa"/>
            <w:shd w:val="clear" w:color="000000" w:fill="FFFFFF"/>
            <w:vAlign w:val="center"/>
          </w:tcPr>
          <w:p w14:paraId="69312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328" w:type="dxa"/>
            <w:shd w:val="clear" w:color="000000" w:fill="FFFFFF"/>
            <w:vAlign w:val="center"/>
          </w:tcPr>
          <w:p w14:paraId="1EC21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BSH001</w:t>
            </w:r>
          </w:p>
        </w:tc>
        <w:tc>
          <w:tcPr>
            <w:tcW w:w="1656" w:type="dxa"/>
            <w:gridSpan w:val="2"/>
            <w:shd w:val="clear" w:color="000000" w:fill="FFFFFF"/>
            <w:vAlign w:val="center"/>
          </w:tcPr>
          <w:p w14:paraId="1F11C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网络空间安全</w:t>
            </w:r>
          </w:p>
        </w:tc>
        <w:tc>
          <w:tcPr>
            <w:tcW w:w="1512" w:type="dxa"/>
            <w:gridSpan w:val="2"/>
            <w:shd w:val="clear" w:color="000000" w:fill="FFFFFF"/>
            <w:vAlign w:val="center"/>
          </w:tcPr>
          <w:p w14:paraId="78E0E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30-50</w:t>
            </w:r>
          </w:p>
        </w:tc>
        <w:tc>
          <w:tcPr>
            <w:tcW w:w="1812" w:type="dxa"/>
            <w:gridSpan w:val="2"/>
            <w:vMerge w:val="restart"/>
            <w:shd w:val="clear" w:color="000000" w:fill="FFFFFF"/>
            <w:vAlign w:val="center"/>
          </w:tcPr>
          <w:p w14:paraId="4AF2E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无</w:t>
            </w:r>
          </w:p>
        </w:tc>
      </w:tr>
      <w:tr w14:paraId="66FB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3AA5F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网络安全前沿技术</w:t>
            </w:r>
          </w:p>
        </w:tc>
        <w:tc>
          <w:tcPr>
            <w:tcW w:w="1096" w:type="dxa"/>
            <w:shd w:val="clear" w:color="000000" w:fill="FFFFFF"/>
            <w:vAlign w:val="center"/>
          </w:tcPr>
          <w:p w14:paraId="4CEDC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328" w:type="dxa"/>
            <w:shd w:val="clear" w:color="000000" w:fill="FFFFFF"/>
            <w:vAlign w:val="center"/>
          </w:tcPr>
          <w:p w14:paraId="249E7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BSH002</w:t>
            </w:r>
          </w:p>
        </w:tc>
        <w:tc>
          <w:tcPr>
            <w:tcW w:w="1656" w:type="dxa"/>
            <w:gridSpan w:val="2"/>
            <w:shd w:val="clear" w:color="000000" w:fill="FFFFFF"/>
            <w:vAlign w:val="center"/>
          </w:tcPr>
          <w:p w14:paraId="5C163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网络空间安全</w:t>
            </w:r>
          </w:p>
        </w:tc>
        <w:tc>
          <w:tcPr>
            <w:tcW w:w="1512" w:type="dxa"/>
            <w:gridSpan w:val="2"/>
            <w:shd w:val="clear" w:color="000000" w:fill="FFFFFF"/>
            <w:vAlign w:val="center"/>
          </w:tcPr>
          <w:p w14:paraId="1E480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30-50</w:t>
            </w:r>
          </w:p>
        </w:tc>
        <w:tc>
          <w:tcPr>
            <w:tcW w:w="1812" w:type="dxa"/>
            <w:gridSpan w:val="2"/>
            <w:vMerge w:val="continue"/>
            <w:shd w:val="clear" w:color="000000" w:fill="FFFFFF"/>
            <w:vAlign w:val="center"/>
          </w:tcPr>
          <w:p w14:paraId="1B2CC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p>
        </w:tc>
      </w:tr>
      <w:tr w14:paraId="70E9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18" w:type="dxa"/>
            <w:gridSpan w:val="2"/>
            <w:shd w:val="clear" w:color="000000" w:fill="FFFFFF"/>
            <w:noWrap/>
            <w:vAlign w:val="center"/>
          </w:tcPr>
          <w:p w14:paraId="5446A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AI安全前沿技术研究</w:t>
            </w:r>
          </w:p>
        </w:tc>
        <w:tc>
          <w:tcPr>
            <w:tcW w:w="1096" w:type="dxa"/>
            <w:shd w:val="clear" w:color="000000" w:fill="FFFFFF"/>
            <w:vAlign w:val="center"/>
          </w:tcPr>
          <w:p w14:paraId="55DC9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1</w:t>
            </w:r>
          </w:p>
        </w:tc>
        <w:tc>
          <w:tcPr>
            <w:tcW w:w="1328" w:type="dxa"/>
            <w:shd w:val="clear" w:color="000000" w:fill="FFFFFF"/>
            <w:vAlign w:val="center"/>
          </w:tcPr>
          <w:p w14:paraId="321340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BSH003</w:t>
            </w:r>
          </w:p>
        </w:tc>
        <w:tc>
          <w:tcPr>
            <w:tcW w:w="1656" w:type="dxa"/>
            <w:gridSpan w:val="2"/>
            <w:shd w:val="clear" w:color="000000" w:fill="FFFFFF"/>
            <w:vAlign w:val="center"/>
          </w:tcPr>
          <w:p w14:paraId="50CFD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计算机相关</w:t>
            </w:r>
          </w:p>
        </w:tc>
        <w:tc>
          <w:tcPr>
            <w:tcW w:w="1512" w:type="dxa"/>
            <w:gridSpan w:val="2"/>
            <w:shd w:val="clear" w:color="000000" w:fill="FFFFFF"/>
            <w:vAlign w:val="center"/>
          </w:tcPr>
          <w:p w14:paraId="45619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30-50</w:t>
            </w:r>
          </w:p>
        </w:tc>
        <w:tc>
          <w:tcPr>
            <w:tcW w:w="1812" w:type="dxa"/>
            <w:gridSpan w:val="2"/>
            <w:vMerge w:val="continue"/>
            <w:shd w:val="clear" w:color="000000" w:fill="FFFFFF"/>
            <w:vAlign w:val="center"/>
          </w:tcPr>
          <w:p w14:paraId="77A6E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bidi="ar"/>
              </w:rPr>
            </w:pPr>
          </w:p>
        </w:tc>
      </w:tr>
    </w:tbl>
    <w:p w14:paraId="2BD59BE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13092468">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514" w:name="_Toc20555"/>
      <w:bookmarkStart w:id="515" w:name="_Toc17860"/>
      <w:bookmarkStart w:id="516" w:name="_Toc27636"/>
      <w:bookmarkStart w:id="517" w:name="_Toc15793"/>
      <w:bookmarkStart w:id="518" w:name="_Toc9376"/>
      <w:r>
        <w:rPr>
          <w:rFonts w:hint="eastAsia" w:eastAsia="方正小标宋简体"/>
          <w:sz w:val="44"/>
          <w:szCs w:val="44"/>
          <w:highlight w:val="none"/>
        </w:rPr>
        <w:t>中国兵器装备集团自动化研究所有限公司</w:t>
      </w:r>
      <w:bookmarkEnd w:id="514"/>
      <w:bookmarkEnd w:id="515"/>
      <w:bookmarkEnd w:id="516"/>
      <w:bookmarkEnd w:id="517"/>
      <w:bookmarkEnd w:id="518"/>
    </w:p>
    <w:p w14:paraId="6BD4501F">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461"/>
        <w:gridCol w:w="1099"/>
        <w:gridCol w:w="56"/>
        <w:gridCol w:w="1179"/>
        <w:gridCol w:w="444"/>
        <w:gridCol w:w="1627"/>
        <w:gridCol w:w="1406"/>
        <w:gridCol w:w="160"/>
        <w:gridCol w:w="2018"/>
      </w:tblGrid>
      <w:tr w14:paraId="5E08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AD8C4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5F0FF307">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国有</w:t>
            </w:r>
            <w:r>
              <w:rPr>
                <w:rFonts w:eastAsiaTheme="minorEastAsia"/>
                <w:sz w:val="21"/>
                <w:szCs w:val="21"/>
              </w:rPr>
              <w:t>企业</w:t>
            </w:r>
          </w:p>
        </w:tc>
        <w:tc>
          <w:tcPr>
            <w:tcW w:w="1641" w:type="dxa"/>
            <w:gridSpan w:val="3"/>
            <w:shd w:val="clear" w:color="auto" w:fill="E7E6E6" w:themeFill="background2"/>
            <w:noWrap/>
            <w:vAlign w:val="center"/>
          </w:tcPr>
          <w:p w14:paraId="619BC1C6">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15E0BB20">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41722B65">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7C64316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绵阳</w:t>
            </w:r>
          </w:p>
        </w:tc>
      </w:tr>
      <w:tr w14:paraId="58B9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BC369C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5F8805B4">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lang w:val="en-US" w:eastAsia="zh-CN"/>
              </w:rPr>
              <w:t>四川省绵阳市游仙区仙人路2段7号</w:t>
            </w:r>
          </w:p>
        </w:tc>
      </w:tr>
      <w:tr w14:paraId="719F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2" w:hRule="atLeast"/>
          <w:jc w:val="center"/>
        </w:trPr>
        <w:tc>
          <w:tcPr>
            <w:tcW w:w="1271" w:type="dxa"/>
            <w:shd w:val="clear" w:color="auto" w:fill="E7E6E6" w:themeFill="background2"/>
            <w:noWrap/>
            <w:vAlign w:val="center"/>
          </w:tcPr>
          <w:p w14:paraId="7E84E8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5722BE90">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中国兵器装备集团自动化研究所有限公司由1977年11月成立的中国兵器工业第五八研究所重组而来，隶属于中国兵器装备集团有限公司。公司坐落于中国科技城一一四川省绵阳市，科技人员占员工总数的70%以上，国务院政府特殊津贴获得者等科技领军人才50余名，高级工程师以上260余名。公司在成都、杭州建有研发中心，在北京、泉州、西安、长沙等地建有分支机构，技术和产品服务于国内三十个省(自治区、直辖市)和“一带一路”沿线国家十余个。公司履行“强军报国·强企富民”的使命，践行“使装备有智能、造装备更智能”的战略目标，着力推进装备智能化，提升国防制造力，现已成为国内领先的武器装备机械化、信息化、智能化融合发展解决方案重要力量。</w:t>
            </w:r>
          </w:p>
        </w:tc>
      </w:tr>
      <w:tr w14:paraId="472C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1271" w:type="dxa"/>
            <w:shd w:val="clear" w:color="auto" w:fill="E7E6E6" w:themeFill="background2"/>
            <w:noWrap/>
            <w:vAlign w:val="center"/>
          </w:tcPr>
          <w:p w14:paraId="5A12433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015C614C">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公司为博士后研究人员提供科研经费、必要的科研条件和科研助手；提供免费住房一套、生活补贴、必要的福利等；按规定办理配偶安置、子女入学等相关待遇；出站后被公司录用的，按公司录用高层次人才的办法办理。</w:t>
            </w:r>
          </w:p>
        </w:tc>
      </w:tr>
      <w:tr w14:paraId="60DB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721" w:type="dxa"/>
            <w:gridSpan w:val="2"/>
            <w:shd w:val="clear" w:color="auto" w:fill="E7E6E6" w:themeFill="background2"/>
            <w:noWrap/>
            <w:vAlign w:val="center"/>
          </w:tcPr>
          <w:p w14:paraId="5AB9589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14:paraId="1C8A930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vAlign w:val="center"/>
          </w:tcPr>
          <w:p w14:paraId="75FB380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23" w:type="dxa"/>
            <w:gridSpan w:val="2"/>
            <w:shd w:val="clear" w:color="auto" w:fill="E7E6E6" w:themeFill="background2"/>
            <w:vAlign w:val="center"/>
          </w:tcPr>
          <w:p w14:paraId="276534F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812078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73" w:type="dxa"/>
            <w:shd w:val="clear" w:color="auto" w:fill="E7E6E6" w:themeFill="background2"/>
            <w:vAlign w:val="center"/>
          </w:tcPr>
          <w:p w14:paraId="0B1A08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A0D093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27" w:type="dxa"/>
            <w:gridSpan w:val="2"/>
            <w:shd w:val="clear" w:color="auto" w:fill="E7E6E6" w:themeFill="background2"/>
            <w:vAlign w:val="center"/>
          </w:tcPr>
          <w:p w14:paraId="1739202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BDF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721" w:type="dxa"/>
            <w:gridSpan w:val="2"/>
            <w:shd w:val="clear" w:color="000000" w:fill="FFFFFF"/>
            <w:noWrap/>
            <w:vAlign w:val="center"/>
          </w:tcPr>
          <w:p w14:paraId="60976B2D">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
              </w:rPr>
              <w:t>专职博士后</w:t>
            </w:r>
          </w:p>
        </w:tc>
        <w:tc>
          <w:tcPr>
            <w:tcW w:w="1128" w:type="dxa"/>
            <w:gridSpan w:val="2"/>
            <w:shd w:val="clear" w:color="000000" w:fill="FFFFFF"/>
            <w:vAlign w:val="center"/>
          </w:tcPr>
          <w:p w14:paraId="20C6F82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52" w:type="dxa"/>
            <w:shd w:val="clear" w:color="000000" w:fill="FFFFFF"/>
            <w:vAlign w:val="center"/>
          </w:tcPr>
          <w:p w14:paraId="06C78999">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BSH001</w:t>
            </w:r>
          </w:p>
        </w:tc>
        <w:tc>
          <w:tcPr>
            <w:tcW w:w="2023" w:type="dxa"/>
            <w:gridSpan w:val="2"/>
            <w:shd w:val="clear" w:color="000000" w:fill="FFFFFF"/>
            <w:vAlign w:val="center"/>
          </w:tcPr>
          <w:p w14:paraId="4F31203E">
            <w:pPr>
              <w:keepNext w:val="0"/>
              <w:keepLines w:val="0"/>
              <w:widowControl/>
              <w:suppressLineNumbers w:val="0"/>
              <w:ind w:left="0" w:leftChars="0" w:firstLine="0" w:firstLineChars="0"/>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
              </w:rPr>
              <w:t>计算机科学与技术</w:t>
            </w:r>
          </w:p>
        </w:tc>
        <w:tc>
          <w:tcPr>
            <w:tcW w:w="1373" w:type="dxa"/>
            <w:shd w:val="clear" w:color="000000" w:fill="FFFFFF"/>
            <w:vAlign w:val="center"/>
          </w:tcPr>
          <w:p w14:paraId="5ACDF01A">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
              </w:rPr>
              <w:t>10/人/年(工资性收入，不含绩效奖励）</w:t>
            </w:r>
          </w:p>
        </w:tc>
        <w:tc>
          <w:tcPr>
            <w:tcW w:w="2127" w:type="dxa"/>
            <w:gridSpan w:val="2"/>
            <w:shd w:val="clear" w:color="000000" w:fill="FFFFFF"/>
            <w:vAlign w:val="center"/>
          </w:tcPr>
          <w:p w14:paraId="18BFF1D8">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
              </w:rPr>
              <w:t>国内外著名大学及研究机构博士学位；人工智能、控制、电子、计算机等相关专业等专业</w:t>
            </w:r>
          </w:p>
        </w:tc>
      </w:tr>
    </w:tbl>
    <w:p w14:paraId="41A919C0">
      <w:pPr>
        <w:pStyle w:val="5"/>
        <w:adjustRightInd w:val="0"/>
        <w:snapToGrid w:val="0"/>
        <w:spacing w:line="240" w:lineRule="auto"/>
        <w:ind w:firstLine="0"/>
        <w:jc w:val="both"/>
        <w:rPr>
          <w:rFonts w:eastAsia="方正小标宋简体"/>
          <w:sz w:val="44"/>
          <w:szCs w:val="44"/>
        </w:rPr>
      </w:pPr>
    </w:p>
    <w:p w14:paraId="712775A4">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7764DAA2">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outlineLvl w:val="0"/>
        <w:rPr>
          <w:rFonts w:eastAsia="方正小标宋简体"/>
          <w:sz w:val="44"/>
          <w:szCs w:val="44"/>
          <w:highlight w:val="none"/>
        </w:rPr>
      </w:pPr>
      <w:bookmarkStart w:id="519" w:name="_Toc11241"/>
      <w:bookmarkStart w:id="520" w:name="_Toc21047"/>
      <w:bookmarkStart w:id="521" w:name="_Toc23078"/>
      <w:bookmarkStart w:id="522" w:name="_Toc9711"/>
      <w:bookmarkStart w:id="523" w:name="_Toc25066"/>
      <w:r>
        <w:rPr>
          <w:rFonts w:eastAsia="方正小标宋简体"/>
          <w:sz w:val="44"/>
          <w:szCs w:val="44"/>
          <w:highlight w:val="none"/>
        </w:rPr>
        <w:t>中国测试技术研究院</w:t>
      </w:r>
      <w:bookmarkEnd w:id="519"/>
      <w:bookmarkEnd w:id="520"/>
      <w:bookmarkEnd w:id="521"/>
      <w:bookmarkEnd w:id="522"/>
      <w:bookmarkEnd w:id="523"/>
    </w:p>
    <w:p w14:paraId="2CEF80CF">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eastAsia="方正小标宋简体"/>
          <w:sz w:val="21"/>
          <w:szCs w:val="21"/>
          <w:highlight w:val="none"/>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356"/>
        <w:gridCol w:w="1203"/>
        <w:gridCol w:w="1089"/>
        <w:gridCol w:w="589"/>
        <w:gridCol w:w="1173"/>
        <w:gridCol w:w="453"/>
        <w:gridCol w:w="978"/>
        <w:gridCol w:w="586"/>
        <w:gridCol w:w="2024"/>
      </w:tblGrid>
      <w:tr w14:paraId="59E5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8A40B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1EB82E29">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14:paraId="4B549C24">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92F8E66">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5A408FB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3E809D9D">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AF7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5FD248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4A6416EB">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成都市成华区玉双路10号</w:t>
            </w:r>
          </w:p>
        </w:tc>
      </w:tr>
      <w:tr w14:paraId="1E7B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1271" w:type="dxa"/>
            <w:shd w:val="clear" w:color="auto" w:fill="E7E6E6" w:themeFill="background2"/>
            <w:noWrap/>
            <w:vAlign w:val="center"/>
          </w:tcPr>
          <w:p w14:paraId="2579E01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70D405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测试技术研究院是四川省人民政府直属公益二类科研事业单位，业务归口四川省市场监督管理局，是集法定计量技术机构、第三方检测与校准机构、测试技术与标准研究机构三位一体的国家级综合性研究院。中测院面向全社会企事业单位提供计量检定校准、产品检验检测、工程测试与评价等技术服务，为企业提升产品质量和技术创新提供服务；受政府委托承担计量检定、计量比对、产品抽检、型式评价等法制计量工作，为政府履行市场监督职能，依法科学行政提供技术支撑。</w:t>
            </w:r>
          </w:p>
        </w:tc>
      </w:tr>
      <w:tr w14:paraId="776B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jc w:val="center"/>
        </w:trPr>
        <w:tc>
          <w:tcPr>
            <w:tcW w:w="1271" w:type="dxa"/>
            <w:shd w:val="clear" w:color="auto" w:fill="E7E6E6" w:themeFill="background2"/>
            <w:noWrap/>
            <w:vAlign w:val="center"/>
          </w:tcPr>
          <w:p w14:paraId="792424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382701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测试技术研究院博士后科研工作站，是我院培养和引进高层次创新人才的重要平台。由高洁院士带领的正高级专业技术职务导师团队为进站博士后研究人员进行全程培养和指导。依托我院的人才引进政策，配套科研资助经费。鼓励优秀的博士后研究人员积极引进项目或参与我院及院直属二级科研单位承担的国家级、省级重大科学研究项目。按照我院相关规定，同等享受各项精神和物质奖励。为博士后研究人员在站工作期间提供技术职务评定平台，按有关规定评定专业技术资格。对工作需要、双方自愿的博士后研究人员，可按国家有关规定，引进入编我院长期工作。</w:t>
            </w:r>
          </w:p>
        </w:tc>
      </w:tr>
      <w:tr w14:paraId="3109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4540535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6C2C0C51">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7DE92DA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14:paraId="32708F4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BF206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448FDF2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B56C26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50" w:type="dxa"/>
            <w:gridSpan w:val="2"/>
            <w:shd w:val="clear" w:color="auto" w:fill="E7E6E6" w:themeFill="background2"/>
            <w:vAlign w:val="center"/>
          </w:tcPr>
          <w:p w14:paraId="4210EBE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922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0DF9ED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博士后</w:t>
            </w:r>
          </w:p>
        </w:tc>
        <w:tc>
          <w:tcPr>
            <w:tcW w:w="1176" w:type="dxa"/>
            <w:shd w:val="clear" w:color="000000" w:fill="FFFFFF"/>
            <w:vAlign w:val="center"/>
          </w:tcPr>
          <w:p w14:paraId="114FBB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700832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BSH001</w:t>
            </w:r>
          </w:p>
        </w:tc>
        <w:tc>
          <w:tcPr>
            <w:tcW w:w="1722" w:type="dxa"/>
            <w:gridSpan w:val="2"/>
            <w:shd w:val="clear" w:color="000000" w:fill="FFFFFF"/>
            <w:vAlign w:val="center"/>
          </w:tcPr>
          <w:p w14:paraId="70E258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生物信息学或细胞生物学</w:t>
            </w:r>
          </w:p>
        </w:tc>
        <w:tc>
          <w:tcPr>
            <w:tcW w:w="1399" w:type="dxa"/>
            <w:gridSpan w:val="2"/>
            <w:shd w:val="clear" w:color="000000" w:fill="FFFFFF"/>
            <w:vAlign w:val="center"/>
          </w:tcPr>
          <w:p w14:paraId="1CD6CE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25-40</w:t>
            </w:r>
          </w:p>
        </w:tc>
        <w:tc>
          <w:tcPr>
            <w:tcW w:w="2550" w:type="dxa"/>
            <w:gridSpan w:val="2"/>
            <w:shd w:val="clear" w:color="000000" w:fill="FFFFFF"/>
            <w:vAlign w:val="center"/>
          </w:tcPr>
          <w:p w14:paraId="474B44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理工科</w:t>
            </w:r>
          </w:p>
        </w:tc>
      </w:tr>
      <w:tr w14:paraId="40B7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shd w:val="clear" w:color="000000" w:fill="FFFFFF"/>
            <w:noWrap/>
            <w:vAlign w:val="center"/>
          </w:tcPr>
          <w:p w14:paraId="031ECE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博士后</w:t>
            </w:r>
          </w:p>
        </w:tc>
        <w:tc>
          <w:tcPr>
            <w:tcW w:w="1176" w:type="dxa"/>
            <w:shd w:val="clear" w:color="000000" w:fill="FFFFFF"/>
            <w:vAlign w:val="center"/>
          </w:tcPr>
          <w:p w14:paraId="675D75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shd w:val="clear" w:color="000000" w:fill="FFFFFF"/>
            <w:vAlign w:val="center"/>
          </w:tcPr>
          <w:p w14:paraId="34A6C1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BSH002</w:t>
            </w:r>
          </w:p>
        </w:tc>
        <w:tc>
          <w:tcPr>
            <w:tcW w:w="1722" w:type="dxa"/>
            <w:gridSpan w:val="2"/>
            <w:shd w:val="clear" w:color="000000" w:fill="FFFFFF"/>
            <w:vAlign w:val="center"/>
          </w:tcPr>
          <w:p w14:paraId="1A061B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仪器科学与技术</w:t>
            </w:r>
          </w:p>
        </w:tc>
        <w:tc>
          <w:tcPr>
            <w:tcW w:w="1399" w:type="dxa"/>
            <w:gridSpan w:val="2"/>
            <w:shd w:val="clear" w:color="000000" w:fill="FFFFFF"/>
            <w:vAlign w:val="center"/>
          </w:tcPr>
          <w:p w14:paraId="2E7A59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25-50</w:t>
            </w:r>
          </w:p>
        </w:tc>
        <w:tc>
          <w:tcPr>
            <w:tcW w:w="2550" w:type="dxa"/>
            <w:gridSpan w:val="2"/>
            <w:shd w:val="clear" w:color="000000" w:fill="FFFFFF"/>
            <w:vAlign w:val="center"/>
          </w:tcPr>
          <w:p w14:paraId="6E02DA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理工科</w:t>
            </w:r>
          </w:p>
        </w:tc>
      </w:tr>
    </w:tbl>
    <w:p w14:paraId="4D013B23">
      <w:pPr>
        <w:pStyle w:val="3"/>
        <w:adjustRightInd w:val="0"/>
        <w:snapToGrid w:val="0"/>
        <w:spacing w:before="0" w:after="0" w:line="240" w:lineRule="auto"/>
        <w:ind w:firstLine="0"/>
        <w:outlineLvl w:val="9"/>
        <w:rPr>
          <w:rFonts w:ascii="Times New Roman" w:hAnsi="Times New Roman"/>
          <w:sz w:val="21"/>
          <w:szCs w:val="21"/>
        </w:rPr>
      </w:pPr>
      <w:r>
        <w:rPr>
          <w:rFonts w:ascii="Times New Roman" w:hAnsi="Times New Roman"/>
          <w:sz w:val="21"/>
          <w:szCs w:val="21"/>
        </w:rPr>
        <w:br w:type="page"/>
      </w:r>
    </w:p>
    <w:p w14:paraId="255C734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eastAsia="方正小标宋简体"/>
          <w:kern w:val="0"/>
          <w:sz w:val="44"/>
          <w:szCs w:val="44"/>
        </w:rPr>
      </w:pPr>
    </w:p>
    <w:p w14:paraId="33FE6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eastAsia="方正小标宋简体"/>
          <w:sz w:val="44"/>
          <w:szCs w:val="44"/>
          <w:highlight w:val="yellow"/>
        </w:rPr>
      </w:pPr>
      <w:bookmarkStart w:id="524" w:name="_Toc18527"/>
      <w:bookmarkStart w:id="525" w:name="_Toc7277"/>
      <w:bookmarkStart w:id="526" w:name="_Toc7406"/>
      <w:bookmarkStart w:id="527" w:name="_Toc18140"/>
      <w:bookmarkStart w:id="528" w:name="_Toc31560"/>
      <w:r>
        <w:rPr>
          <w:rFonts w:eastAsia="方正小标宋简体"/>
          <w:sz w:val="44"/>
          <w:szCs w:val="44"/>
          <w:highlight w:val="none"/>
        </w:rPr>
        <w:t>中国地质调查局成都地质调查中心</w:t>
      </w:r>
      <w:bookmarkEnd w:id="524"/>
      <w:bookmarkEnd w:id="525"/>
      <w:bookmarkEnd w:id="526"/>
      <w:bookmarkEnd w:id="527"/>
      <w:bookmarkEnd w:id="528"/>
    </w:p>
    <w:p w14:paraId="3F2504DD">
      <w:pPr>
        <w:adjustRightInd w:val="0"/>
        <w:snapToGrid w:val="0"/>
        <w:spacing w:line="240" w:lineRule="auto"/>
        <w:ind w:firstLine="0"/>
        <w:jc w:val="center"/>
        <w:rPr>
          <w:rFonts w:eastAsia="方正小标宋简体"/>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309"/>
        <w:gridCol w:w="143"/>
        <w:gridCol w:w="1040"/>
        <w:gridCol w:w="591"/>
        <w:gridCol w:w="465"/>
        <w:gridCol w:w="1014"/>
        <w:gridCol w:w="758"/>
        <w:gridCol w:w="1035"/>
        <w:gridCol w:w="441"/>
        <w:gridCol w:w="1603"/>
      </w:tblGrid>
      <w:tr w14:paraId="6AAF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shd w:val="clear" w:color="auto" w:fill="E7E6E6" w:themeFill="background2"/>
            <w:noWrap/>
            <w:vAlign w:val="center"/>
          </w:tcPr>
          <w:p w14:paraId="545FB1C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55" w:type="dxa"/>
            <w:shd w:val="clear" w:color="auto" w:fill="auto"/>
            <w:noWrap/>
            <w:vAlign w:val="center"/>
          </w:tcPr>
          <w:p w14:paraId="4FC5B3FD">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701" w:type="dxa"/>
            <w:gridSpan w:val="3"/>
            <w:shd w:val="clear" w:color="auto" w:fill="E7E6E6" w:themeFill="background2"/>
            <w:noWrap/>
            <w:vAlign w:val="center"/>
          </w:tcPr>
          <w:p w14:paraId="470BADD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8" w:type="dxa"/>
            <w:gridSpan w:val="2"/>
            <w:shd w:val="clear" w:color="auto" w:fill="auto"/>
            <w:noWrap/>
            <w:vAlign w:val="center"/>
          </w:tcPr>
          <w:p w14:paraId="2ACA5C84">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720" w:type="dxa"/>
            <w:gridSpan w:val="2"/>
            <w:shd w:val="clear" w:color="auto" w:fill="E7E6E6" w:themeFill="background2"/>
            <w:noWrap/>
            <w:vAlign w:val="center"/>
          </w:tcPr>
          <w:p w14:paraId="29A04E6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60" w:type="dxa"/>
            <w:gridSpan w:val="2"/>
            <w:shd w:val="clear" w:color="auto" w:fill="auto"/>
            <w:noWrap/>
            <w:vAlign w:val="center"/>
          </w:tcPr>
          <w:p w14:paraId="0861D763">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2A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shd w:val="clear" w:color="auto" w:fill="E7E6E6" w:themeFill="background2"/>
            <w:noWrap/>
            <w:vAlign w:val="center"/>
          </w:tcPr>
          <w:p w14:paraId="56C5BFF7">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54" w:type="dxa"/>
            <w:gridSpan w:val="10"/>
            <w:shd w:val="clear" w:color="auto" w:fill="auto"/>
            <w:noWrap/>
            <w:vAlign w:val="center"/>
          </w:tcPr>
          <w:p w14:paraId="5C8B614C">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成都市天府新区科学城北路东段2211号</w:t>
            </w:r>
          </w:p>
        </w:tc>
      </w:tr>
      <w:tr w14:paraId="6F08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1297" w:type="dxa"/>
            <w:shd w:val="clear" w:color="auto" w:fill="E7E6E6" w:themeFill="background2"/>
            <w:noWrap/>
            <w:vAlign w:val="center"/>
          </w:tcPr>
          <w:p w14:paraId="049EFAE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54" w:type="dxa"/>
            <w:gridSpan w:val="10"/>
            <w:shd w:val="clear" w:color="000000" w:fill="FFFFFF"/>
            <w:noWrap/>
            <w:vAlign w:val="center"/>
          </w:tcPr>
          <w:p w14:paraId="2A2753F5">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中国地质调查局成都地质调查中心</w:t>
            </w:r>
            <w:r>
              <w:rPr>
                <w:rFonts w:hint="eastAsia" w:hAnsi="仿宋_GB2312"/>
                <w:kern w:val="0"/>
                <w:sz w:val="24"/>
                <w:szCs w:val="24"/>
              </w:rPr>
              <w:t>（</w:t>
            </w:r>
            <w:r>
              <w:rPr>
                <w:rFonts w:hint="eastAsia" w:ascii="Times New Roman" w:hAnsi="Times New Roman" w:cs="Times New Roman" w:eastAsiaTheme="minorEastAsia"/>
                <w:sz w:val="21"/>
                <w:szCs w:val="21"/>
              </w:rPr>
              <w:t>西南地质科技创新中心</w:t>
            </w:r>
            <w:r>
              <w:rPr>
                <w:rFonts w:hint="eastAsia" w:hAnsi="仿宋_GB2312"/>
                <w:kern w:val="0"/>
                <w:sz w:val="24"/>
                <w:szCs w:val="24"/>
              </w:rPr>
              <w:t>）</w:t>
            </w:r>
            <w:r>
              <w:rPr>
                <w:rFonts w:hint="eastAsia" w:eastAsiaTheme="minorEastAsia"/>
                <w:sz w:val="21"/>
                <w:szCs w:val="21"/>
              </w:rPr>
              <w:t>是中国地质调查局直属正局级公益一类事业单位，在履行职责中坚持和加强党的集中统一领导。自1962年成立以来，主要承担西南地区基础性、公益性地质调查和战略性矿产勘查工作，承担自然资源综合调查、国土空间综合研究和地质安全评价工作，承担西南地区地质调查协调工作，支撑服务生态文明建设和自然资源管理中心工作，开展地质科技创新和成果转化，向社会提供公益性服务。中心始终坚持地质报国初心使命，积极发挥大区地调中心专业、人才、资料等基础优势，为国家重大战略实施和西南地区经济社会发展贡献地质力量。</w:t>
            </w:r>
          </w:p>
        </w:tc>
      </w:tr>
      <w:tr w14:paraId="7222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1297" w:type="dxa"/>
            <w:shd w:val="clear" w:color="auto" w:fill="E7E6E6" w:themeFill="background2"/>
            <w:noWrap/>
            <w:vAlign w:val="center"/>
          </w:tcPr>
          <w:p w14:paraId="2CD619B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54" w:type="dxa"/>
            <w:gridSpan w:val="10"/>
            <w:shd w:val="clear" w:color="000000" w:fill="FFFFFF"/>
            <w:noWrap/>
            <w:vAlign w:val="center"/>
          </w:tcPr>
          <w:p w14:paraId="4D6724D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lang w:val="en-US" w:eastAsia="zh-CN"/>
              </w:rPr>
              <w:t>1.</w:t>
            </w:r>
            <w:r>
              <w:rPr>
                <w:rFonts w:hint="eastAsia" w:eastAsiaTheme="minorEastAsia"/>
                <w:sz w:val="21"/>
                <w:szCs w:val="21"/>
              </w:rPr>
              <w:t>在站工作期间，按中心在职人员管理，享有中心同等人员工资福利待遇，按照事业编制职工标准享受住房公积金和社会保险待遇；</w:t>
            </w:r>
          </w:p>
          <w:p w14:paraId="4BDF5050">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2.在站期间提供租房补助；</w:t>
            </w:r>
          </w:p>
          <w:p w14:paraId="76E9187C">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rPr>
            </w:pPr>
            <w:r>
              <w:rPr>
                <w:rFonts w:hint="eastAsia" w:eastAsiaTheme="minorEastAsia"/>
                <w:sz w:val="21"/>
                <w:szCs w:val="21"/>
              </w:rPr>
              <w:t>3.在站期间，乙方配偶及未成年的子女可随其一起流动；</w:t>
            </w:r>
          </w:p>
          <w:p w14:paraId="4905A797">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200"/>
              <w:textAlignment w:val="auto"/>
              <w:rPr>
                <w:rFonts w:eastAsiaTheme="minorEastAsia"/>
                <w:sz w:val="21"/>
                <w:szCs w:val="21"/>
              </w:rPr>
            </w:pPr>
            <w:r>
              <w:rPr>
                <w:rFonts w:hint="eastAsia" w:eastAsiaTheme="minorEastAsia"/>
                <w:sz w:val="21"/>
                <w:szCs w:val="21"/>
              </w:rPr>
              <w:t>4.提供博士后科研必要的工作条件和科研经费，配备专业的指导老师，提供技术与图书资料等方面支持，配备相应所需的实验仪器设备。</w:t>
            </w:r>
          </w:p>
        </w:tc>
      </w:tr>
      <w:tr w14:paraId="13CD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689" w:type="dxa"/>
            <w:gridSpan w:val="3"/>
            <w:shd w:val="clear" w:color="auto" w:fill="E7E6E6" w:themeFill="background2"/>
            <w:noWrap/>
            <w:vAlign w:val="center"/>
          </w:tcPr>
          <w:p w14:paraId="0B6E1DA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7" w:type="dxa"/>
            <w:shd w:val="clear" w:color="auto" w:fill="E7E6E6" w:themeFill="background2"/>
            <w:noWrap/>
            <w:vAlign w:val="center"/>
          </w:tcPr>
          <w:p w14:paraId="02D1D03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14:paraId="2120DA90">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13" w:type="dxa"/>
            <w:gridSpan w:val="2"/>
            <w:shd w:val="clear" w:color="auto" w:fill="E7E6E6" w:themeFill="background2"/>
            <w:noWrap/>
            <w:vAlign w:val="center"/>
          </w:tcPr>
          <w:p w14:paraId="66760FE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14:paraId="40F67C85">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699" w:type="dxa"/>
            <w:gridSpan w:val="2"/>
            <w:shd w:val="clear" w:color="auto" w:fill="E7E6E6" w:themeFill="background2"/>
            <w:noWrap/>
            <w:vAlign w:val="center"/>
          </w:tcPr>
          <w:p w14:paraId="6FD772D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C13DD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16" w:type="dxa"/>
            <w:gridSpan w:val="2"/>
            <w:shd w:val="clear" w:color="auto" w:fill="E7E6E6" w:themeFill="background2"/>
            <w:noWrap/>
            <w:vAlign w:val="center"/>
          </w:tcPr>
          <w:p w14:paraId="7616B45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D8C347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37" w:type="dxa"/>
            <w:shd w:val="clear" w:color="auto" w:fill="E7E6E6" w:themeFill="background2"/>
            <w:noWrap/>
            <w:vAlign w:val="center"/>
          </w:tcPr>
          <w:p w14:paraId="0D4A75A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2DA989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E39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689" w:type="dxa"/>
            <w:gridSpan w:val="3"/>
            <w:shd w:val="clear" w:color="000000" w:fill="FFFFFF"/>
            <w:noWrap/>
            <w:vAlign w:val="center"/>
          </w:tcPr>
          <w:p w14:paraId="526AC60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喜马拉雅锂铍等稀有金属成矿作用与潜力评估</w:t>
            </w:r>
          </w:p>
        </w:tc>
        <w:tc>
          <w:tcPr>
            <w:tcW w:w="997" w:type="dxa"/>
            <w:shd w:val="clear" w:color="000000" w:fill="FFFFFF"/>
            <w:noWrap/>
            <w:vAlign w:val="center"/>
          </w:tcPr>
          <w:p w14:paraId="303073B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13" w:type="dxa"/>
            <w:gridSpan w:val="2"/>
            <w:shd w:val="clear" w:color="000000" w:fill="FFFFFF"/>
            <w:noWrap/>
            <w:vAlign w:val="center"/>
          </w:tcPr>
          <w:p w14:paraId="6836F8B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699" w:type="dxa"/>
            <w:gridSpan w:val="2"/>
            <w:shd w:val="clear" w:color="000000" w:fill="FFFFFF"/>
            <w:noWrap/>
            <w:vAlign w:val="center"/>
          </w:tcPr>
          <w:p w14:paraId="05A2DDC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w:t>
            </w:r>
          </w:p>
        </w:tc>
        <w:tc>
          <w:tcPr>
            <w:tcW w:w="1416" w:type="dxa"/>
            <w:gridSpan w:val="2"/>
            <w:shd w:val="clear" w:color="000000" w:fill="FFFFFF"/>
            <w:noWrap/>
            <w:vAlign w:val="center"/>
          </w:tcPr>
          <w:p w14:paraId="333F5C20">
            <w:pPr>
              <w:adjustRightInd w:val="0"/>
              <w:snapToGrid w:val="0"/>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0</w:t>
            </w:r>
          </w:p>
        </w:tc>
        <w:tc>
          <w:tcPr>
            <w:tcW w:w="1537" w:type="dxa"/>
            <w:vMerge w:val="restart"/>
            <w:shd w:val="clear" w:color="000000" w:fill="FFFFFF"/>
            <w:noWrap/>
            <w:vAlign w:val="center"/>
          </w:tcPr>
          <w:p w14:paraId="1C734DF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r w14:paraId="7B7F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689" w:type="dxa"/>
            <w:gridSpan w:val="3"/>
            <w:shd w:val="clear" w:color="000000" w:fill="FFFFFF"/>
            <w:noWrap/>
            <w:vAlign w:val="center"/>
          </w:tcPr>
          <w:p w14:paraId="3D526CB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重点地区特大地质灾害链调查评价项目</w:t>
            </w:r>
          </w:p>
        </w:tc>
        <w:tc>
          <w:tcPr>
            <w:tcW w:w="997" w:type="dxa"/>
            <w:shd w:val="clear" w:color="000000" w:fill="FFFFFF"/>
            <w:noWrap/>
            <w:vAlign w:val="center"/>
          </w:tcPr>
          <w:p w14:paraId="357283D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13" w:type="dxa"/>
            <w:gridSpan w:val="2"/>
            <w:shd w:val="clear" w:color="000000" w:fill="FFFFFF"/>
            <w:noWrap/>
            <w:vAlign w:val="center"/>
          </w:tcPr>
          <w:p w14:paraId="2C26571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699" w:type="dxa"/>
            <w:gridSpan w:val="2"/>
            <w:shd w:val="clear" w:color="000000" w:fill="FFFFFF"/>
            <w:noWrap/>
            <w:vAlign w:val="center"/>
          </w:tcPr>
          <w:p w14:paraId="4986A46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w:t>
            </w:r>
          </w:p>
        </w:tc>
        <w:tc>
          <w:tcPr>
            <w:tcW w:w="1416" w:type="dxa"/>
            <w:gridSpan w:val="2"/>
            <w:shd w:val="clear" w:color="000000" w:fill="FFFFFF"/>
            <w:noWrap/>
            <w:vAlign w:val="center"/>
          </w:tcPr>
          <w:p w14:paraId="4AE5387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w:t>
            </w:r>
          </w:p>
        </w:tc>
        <w:tc>
          <w:tcPr>
            <w:tcW w:w="1537" w:type="dxa"/>
            <w:vMerge w:val="continue"/>
            <w:shd w:val="clear" w:color="000000" w:fill="FFFFFF"/>
            <w:noWrap/>
            <w:vAlign w:val="center"/>
          </w:tcPr>
          <w:p w14:paraId="12B055A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54A3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689" w:type="dxa"/>
            <w:gridSpan w:val="3"/>
            <w:shd w:val="clear" w:color="000000" w:fill="FFFFFF"/>
            <w:noWrap/>
            <w:vAlign w:val="center"/>
          </w:tcPr>
          <w:p w14:paraId="064B2CD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Ca同位素示踪岩浆热液演化:：以滇西北休瓦促石英脉型白钨矿床为例</w:t>
            </w:r>
          </w:p>
        </w:tc>
        <w:tc>
          <w:tcPr>
            <w:tcW w:w="997" w:type="dxa"/>
            <w:shd w:val="clear" w:color="000000" w:fill="FFFFFF"/>
            <w:noWrap/>
            <w:vAlign w:val="center"/>
          </w:tcPr>
          <w:p w14:paraId="0C0F4F7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13" w:type="dxa"/>
            <w:gridSpan w:val="2"/>
            <w:shd w:val="clear" w:color="000000" w:fill="FFFFFF"/>
            <w:noWrap/>
            <w:vAlign w:val="center"/>
          </w:tcPr>
          <w:p w14:paraId="09A016D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699" w:type="dxa"/>
            <w:gridSpan w:val="2"/>
            <w:shd w:val="clear" w:color="000000" w:fill="FFFFFF"/>
            <w:noWrap/>
            <w:vAlign w:val="center"/>
          </w:tcPr>
          <w:p w14:paraId="1650AD8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w:t>
            </w:r>
          </w:p>
        </w:tc>
        <w:tc>
          <w:tcPr>
            <w:tcW w:w="1416" w:type="dxa"/>
            <w:gridSpan w:val="2"/>
            <w:shd w:val="clear" w:color="000000" w:fill="FFFFFF"/>
            <w:noWrap/>
            <w:vAlign w:val="center"/>
          </w:tcPr>
          <w:p w14:paraId="625005E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w:t>
            </w:r>
          </w:p>
        </w:tc>
        <w:tc>
          <w:tcPr>
            <w:tcW w:w="1537" w:type="dxa"/>
            <w:vMerge w:val="continue"/>
            <w:shd w:val="clear" w:color="000000" w:fill="FFFFFF"/>
            <w:noWrap/>
            <w:vAlign w:val="center"/>
          </w:tcPr>
          <w:p w14:paraId="11FE83E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4DB9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689" w:type="dxa"/>
            <w:gridSpan w:val="3"/>
            <w:shd w:val="clear" w:color="000000" w:fill="FFFFFF"/>
            <w:noWrap/>
            <w:vAlign w:val="center"/>
          </w:tcPr>
          <w:p w14:paraId="4D4CA6C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扬子西缘早古生代海相盆地多幕次构造-沉积转换及其成烃成储响应</w:t>
            </w:r>
          </w:p>
        </w:tc>
        <w:tc>
          <w:tcPr>
            <w:tcW w:w="997" w:type="dxa"/>
            <w:shd w:val="clear" w:color="000000" w:fill="FFFFFF"/>
            <w:noWrap/>
            <w:vAlign w:val="center"/>
          </w:tcPr>
          <w:p w14:paraId="00F7F70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13" w:type="dxa"/>
            <w:gridSpan w:val="2"/>
            <w:shd w:val="clear" w:color="000000" w:fill="FFFFFF"/>
            <w:noWrap/>
            <w:vAlign w:val="center"/>
          </w:tcPr>
          <w:p w14:paraId="630BCBE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BSH004</w:t>
            </w:r>
          </w:p>
        </w:tc>
        <w:tc>
          <w:tcPr>
            <w:tcW w:w="1699" w:type="dxa"/>
            <w:gridSpan w:val="2"/>
            <w:shd w:val="clear" w:color="000000" w:fill="FFFFFF"/>
            <w:noWrap/>
            <w:vAlign w:val="center"/>
          </w:tcPr>
          <w:p w14:paraId="58C192E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地质学</w:t>
            </w:r>
          </w:p>
          <w:p w14:paraId="05D1AC4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w:t>
            </w:r>
          </w:p>
        </w:tc>
        <w:tc>
          <w:tcPr>
            <w:tcW w:w="1416" w:type="dxa"/>
            <w:gridSpan w:val="2"/>
            <w:shd w:val="clear" w:color="000000" w:fill="FFFFFF"/>
            <w:noWrap/>
            <w:vAlign w:val="center"/>
          </w:tcPr>
          <w:p w14:paraId="612BDBB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20</w:t>
            </w:r>
          </w:p>
        </w:tc>
        <w:tc>
          <w:tcPr>
            <w:tcW w:w="1537" w:type="dxa"/>
            <w:vMerge w:val="continue"/>
            <w:shd w:val="clear" w:color="000000" w:fill="FFFFFF"/>
            <w:noWrap/>
            <w:vAlign w:val="center"/>
          </w:tcPr>
          <w:p w14:paraId="0492D6C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502B665D">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53DD3703">
      <w:pPr>
        <w:pStyle w:val="5"/>
        <w:adjustRightInd w:val="0"/>
        <w:snapToGrid w:val="0"/>
        <w:ind w:firstLine="0"/>
        <w:rPr>
          <w:sz w:val="44"/>
          <w:szCs w:val="44"/>
        </w:rPr>
      </w:pPr>
    </w:p>
    <w:p w14:paraId="076186EB">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529" w:name="_Toc7579"/>
      <w:bookmarkStart w:id="530" w:name="_Toc11630"/>
      <w:bookmarkStart w:id="531" w:name="_Toc2399"/>
      <w:bookmarkStart w:id="532" w:name="_Toc14033"/>
      <w:bookmarkStart w:id="533" w:name="_Toc24935"/>
      <w:r>
        <w:rPr>
          <w:rFonts w:hint="eastAsia" w:ascii="Times New Roman" w:hAnsi="Times New Roman" w:eastAsia="方正小标宋简体" w:cs="Times New Roman"/>
          <w:sz w:val="44"/>
          <w:szCs w:val="44"/>
          <w:highlight w:val="none"/>
        </w:rPr>
        <w:t>中国第二重型机械集团有限公司</w:t>
      </w:r>
      <w:bookmarkEnd w:id="529"/>
      <w:bookmarkEnd w:id="530"/>
      <w:bookmarkEnd w:id="531"/>
      <w:bookmarkEnd w:id="532"/>
      <w:bookmarkEnd w:id="533"/>
    </w:p>
    <w:p w14:paraId="4043F4F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7134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37D7DE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4678B60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3332AE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291B48D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776" w:type="dxa"/>
            <w:gridSpan w:val="2"/>
            <w:shd w:val="clear" w:color="auto" w:fill="E7E6E6" w:themeFill="background2"/>
            <w:noWrap/>
            <w:vAlign w:val="center"/>
          </w:tcPr>
          <w:p w14:paraId="1EF5E3D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65C0BC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德阳</w:t>
            </w:r>
          </w:p>
        </w:tc>
      </w:tr>
      <w:tr w14:paraId="746F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74523A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4CFA4D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四川省德阳市珠江东路99号</w:t>
            </w:r>
          </w:p>
        </w:tc>
      </w:tr>
      <w:tr w14:paraId="702A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0" w:hRule="atLeast"/>
          <w:jc w:val="center"/>
        </w:trPr>
        <w:tc>
          <w:tcPr>
            <w:tcW w:w="1271" w:type="dxa"/>
            <w:shd w:val="clear" w:color="auto" w:fill="E7E6E6" w:themeFill="background2"/>
            <w:noWrap/>
            <w:vAlign w:val="center"/>
          </w:tcPr>
          <w:p w14:paraId="5B00CCD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7654521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是世界重大技术装备领域少数具备极限制造能力的企业，柔性制造优势突出，覆盖重型装备全产业链。60多年来围绕高端大型铸锻件和成台套装备，为航空航天、能源、冶金、石油化工等重要行业提供系统的制造与服务，成功研制出一大批高端重大技术装备和关键基础零部件，有力支撑了国家重大工程项目的需要，在国民经济建设中发挥着战略性、基础性重要作用。</w:t>
            </w:r>
          </w:p>
          <w:p w14:paraId="60101C4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科研实力雄厚，拥有以国家工程研究中心为代表的30个省部级以上研发创新与产业化平台，汇聚了一大批科技创新顶尖人才，在装备制造多个领域、多种产业中形成“唯一”、“首台”、“最大”的技术领先头衔，获得了国家科技进步一等奖在内的500余项科研成果,创造了400余项“中国第一”，授权专利2000余件。</w:t>
            </w:r>
          </w:p>
        </w:tc>
      </w:tr>
      <w:tr w14:paraId="0085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6" w:hRule="atLeast"/>
          <w:jc w:val="center"/>
        </w:trPr>
        <w:tc>
          <w:tcPr>
            <w:tcW w:w="1271" w:type="dxa"/>
            <w:shd w:val="clear" w:color="auto" w:fill="E7E6E6" w:themeFill="background2"/>
            <w:noWrap/>
            <w:vAlign w:val="center"/>
          </w:tcPr>
          <w:p w14:paraId="7226C77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A875F8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一.基础年薪。30万元/年—40万元/年（税前，含省市资助，不含单位缴纳五险一金）。</w:t>
            </w:r>
          </w:p>
          <w:p w14:paraId="2E9059A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二.项目资助</w:t>
            </w:r>
          </w:p>
          <w:p w14:paraId="575E409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（1）国家资助博士后计划，其中国家博新计划资助64万元，B档资助36万元，C档资助24万元；</w:t>
            </w:r>
          </w:p>
          <w:p w14:paraId="4371A32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（2）四川省博新项目资助40万元；</w:t>
            </w:r>
          </w:p>
          <w:p w14:paraId="3D91746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（3）德阳市博士后科研项目资助20万元。</w:t>
            </w:r>
          </w:p>
          <w:p w14:paraId="31EA39E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三.科研经费。公司可提供科研项目经费支持。</w:t>
            </w:r>
          </w:p>
          <w:p w14:paraId="6191E15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四.项目激励。支持在站博士后积极申报国家级和省级人才项目和科研项目，享受公司职工同等的科研激励。</w:t>
            </w:r>
          </w:p>
          <w:p w14:paraId="555D49C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五.留企政策。优秀者出站后，按公司相关规定，可以和公司续签劳动合同，聘为公司正式职工。</w:t>
            </w:r>
          </w:p>
          <w:p w14:paraId="7902824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六.其他待遇。按相关规定，享受医院职工体检、子女入托入学等福利。</w:t>
            </w:r>
          </w:p>
        </w:tc>
      </w:tr>
      <w:tr w14:paraId="27FE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0AA9FE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398B5D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45427B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280A29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E88C7A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4490296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E3E97B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4035B0E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B2AD19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E80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002FC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氢能装备研发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317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D122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2251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动力工程及工程热物理、机械工程、材料科学与工程、化学</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E2CE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30-40</w:t>
            </w:r>
          </w:p>
        </w:tc>
        <w:tc>
          <w:tcPr>
            <w:tcW w:w="19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5256D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高校、研究院所或相关企业</w:t>
            </w:r>
          </w:p>
        </w:tc>
      </w:tr>
      <w:tr w14:paraId="7A86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17CB1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新型动力机械装备研发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BFC4D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3E1F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A9A9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机械工程、动力工程及工程热物理、控制科学与工程</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8F653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30-40</w:t>
            </w:r>
          </w:p>
        </w:tc>
        <w:tc>
          <w:tcPr>
            <w:tcW w:w="1911" w:type="dxa"/>
            <w:vMerge w:val="continue"/>
            <w:tcBorders>
              <w:left w:val="single" w:color="auto" w:sz="4" w:space="0"/>
              <w:right w:val="single" w:color="auto" w:sz="4" w:space="0"/>
              <w:tl2br w:val="nil"/>
              <w:tr2bl w:val="nil"/>
            </w:tcBorders>
            <w:shd w:val="clear" w:color="auto" w:fill="FFFFFF"/>
            <w:vAlign w:val="center"/>
          </w:tcPr>
          <w:p w14:paraId="46263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5302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A7047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规模化新型物理储能装备研发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AA70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11C61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49A9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机械工程、动力工程及工程热物理、电气工程、控制科学与工程</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22F8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30-40</w:t>
            </w:r>
          </w:p>
        </w:tc>
        <w:tc>
          <w:tcPr>
            <w:tcW w:w="1911" w:type="dxa"/>
            <w:vMerge w:val="continue"/>
            <w:tcBorders>
              <w:left w:val="single" w:color="auto" w:sz="4" w:space="0"/>
              <w:right w:val="single" w:color="auto" w:sz="4" w:space="0"/>
              <w:tl2br w:val="nil"/>
              <w:tr2bl w:val="nil"/>
            </w:tcBorders>
            <w:shd w:val="clear" w:color="auto" w:fill="FFFFFF"/>
            <w:vAlign w:val="center"/>
          </w:tcPr>
          <w:p w14:paraId="7F5FC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4308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3458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CO</w:t>
            </w:r>
            <w:r>
              <w:rPr>
                <w:rFonts w:hint="default" w:ascii="Times New Roman" w:hAnsi="Times New Roman" w:cs="Times New Roman" w:eastAsiaTheme="minorEastAsia"/>
                <w:sz w:val="21"/>
                <w:szCs w:val="21"/>
                <w:vertAlign w:val="subscript"/>
              </w:rPr>
              <w:t>2</w:t>
            </w:r>
            <w:r>
              <w:rPr>
                <w:rFonts w:hint="default" w:ascii="Times New Roman" w:hAnsi="Times New Roman" w:cs="Times New Roman" w:eastAsiaTheme="minorEastAsia"/>
                <w:sz w:val="21"/>
                <w:szCs w:val="21"/>
              </w:rPr>
              <w:t>捕集/工业固废利用装备技术研发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1A5B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130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BSH004</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5E91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动力工程及工程热物理、机械工程、材料科学与工程、化学</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7682B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30-40</w:t>
            </w:r>
          </w:p>
        </w:tc>
        <w:tc>
          <w:tcPr>
            <w:tcW w:w="1911" w:type="dxa"/>
            <w:vMerge w:val="continue"/>
            <w:tcBorders>
              <w:left w:val="single" w:color="auto" w:sz="4" w:space="0"/>
              <w:right w:val="single" w:color="auto" w:sz="4" w:space="0"/>
              <w:tl2br w:val="nil"/>
              <w:tr2bl w:val="nil"/>
            </w:tcBorders>
            <w:shd w:val="clear" w:color="auto" w:fill="FFFFFF"/>
            <w:vAlign w:val="center"/>
          </w:tcPr>
          <w:p w14:paraId="1A48E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5084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7B7A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生物质可再生能源利用技术研发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A051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1404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BSH005</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E1A1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化学、生物医学工程、机械工程、动力工程及工程热物理</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6BD9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30-40</w:t>
            </w:r>
          </w:p>
        </w:tc>
        <w:tc>
          <w:tcPr>
            <w:tcW w:w="1911" w:type="dxa"/>
            <w:vMerge w:val="continue"/>
            <w:tcBorders>
              <w:left w:val="single" w:color="auto" w:sz="4" w:space="0"/>
              <w:right w:val="single" w:color="auto" w:sz="4" w:space="0"/>
              <w:tl2br w:val="nil"/>
              <w:tr2bl w:val="nil"/>
            </w:tcBorders>
            <w:shd w:val="clear" w:color="auto" w:fill="FFFFFF"/>
            <w:vAlign w:val="center"/>
          </w:tcPr>
          <w:p w14:paraId="7EE9E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bl>
    <w:p w14:paraId="6BF5A197">
      <w:pPr>
        <w:pStyle w:val="5"/>
        <w:adjustRightInd w:val="0"/>
        <w:snapToGrid w:val="0"/>
        <w:spacing w:line="240" w:lineRule="auto"/>
        <w:ind w:firstLine="0"/>
        <w:jc w:val="center"/>
        <w:rPr>
          <w:rFonts w:eastAsia="方正小标宋简体"/>
          <w:sz w:val="44"/>
          <w:szCs w:val="44"/>
        </w:rPr>
      </w:pPr>
    </w:p>
    <w:p w14:paraId="3F3C2737">
      <w:pPr>
        <w:pStyle w:val="5"/>
        <w:adjustRightInd w:val="0"/>
        <w:snapToGrid w:val="0"/>
        <w:spacing w:line="240" w:lineRule="auto"/>
        <w:ind w:firstLine="0"/>
        <w:jc w:val="center"/>
        <w:rPr>
          <w:rFonts w:eastAsia="方正小标宋简体"/>
          <w:sz w:val="44"/>
          <w:szCs w:val="44"/>
        </w:rPr>
      </w:pPr>
    </w:p>
    <w:p w14:paraId="71B82BCA">
      <w:pPr>
        <w:pStyle w:val="5"/>
        <w:adjustRightInd w:val="0"/>
        <w:snapToGrid w:val="0"/>
        <w:spacing w:line="240" w:lineRule="auto"/>
        <w:ind w:firstLine="0"/>
        <w:jc w:val="center"/>
        <w:rPr>
          <w:rFonts w:eastAsia="方正小标宋简体"/>
          <w:sz w:val="44"/>
          <w:szCs w:val="44"/>
        </w:rPr>
      </w:pPr>
    </w:p>
    <w:p w14:paraId="4C069D11">
      <w:pPr>
        <w:pStyle w:val="5"/>
        <w:adjustRightInd w:val="0"/>
        <w:snapToGrid w:val="0"/>
        <w:spacing w:line="240" w:lineRule="auto"/>
        <w:ind w:firstLine="0"/>
        <w:jc w:val="center"/>
        <w:rPr>
          <w:rFonts w:eastAsia="方正小标宋简体"/>
          <w:sz w:val="44"/>
          <w:szCs w:val="44"/>
        </w:rPr>
      </w:pPr>
    </w:p>
    <w:p w14:paraId="265CE055">
      <w:pPr>
        <w:pStyle w:val="5"/>
        <w:adjustRightInd w:val="0"/>
        <w:snapToGrid w:val="0"/>
        <w:spacing w:line="240" w:lineRule="auto"/>
        <w:ind w:firstLine="0"/>
        <w:jc w:val="center"/>
        <w:rPr>
          <w:rFonts w:eastAsia="方正小标宋简体"/>
          <w:sz w:val="44"/>
          <w:szCs w:val="44"/>
        </w:rPr>
      </w:pPr>
    </w:p>
    <w:p w14:paraId="33088474">
      <w:pPr>
        <w:pStyle w:val="5"/>
        <w:adjustRightInd w:val="0"/>
        <w:snapToGrid w:val="0"/>
        <w:spacing w:line="240" w:lineRule="auto"/>
        <w:ind w:firstLine="0"/>
        <w:jc w:val="center"/>
        <w:rPr>
          <w:rFonts w:eastAsia="方正小标宋简体"/>
          <w:sz w:val="44"/>
          <w:szCs w:val="44"/>
        </w:rPr>
      </w:pPr>
    </w:p>
    <w:p w14:paraId="4EF187BD">
      <w:pPr>
        <w:pStyle w:val="5"/>
        <w:adjustRightInd w:val="0"/>
        <w:snapToGrid w:val="0"/>
        <w:spacing w:line="240" w:lineRule="auto"/>
        <w:ind w:firstLine="0"/>
        <w:jc w:val="center"/>
        <w:rPr>
          <w:rFonts w:eastAsia="方正小标宋简体"/>
          <w:sz w:val="44"/>
          <w:szCs w:val="44"/>
        </w:rPr>
      </w:pPr>
    </w:p>
    <w:p w14:paraId="34535F81">
      <w:pPr>
        <w:pStyle w:val="5"/>
        <w:adjustRightInd w:val="0"/>
        <w:snapToGrid w:val="0"/>
        <w:spacing w:line="240" w:lineRule="auto"/>
        <w:ind w:firstLine="0"/>
        <w:jc w:val="center"/>
        <w:rPr>
          <w:rFonts w:eastAsia="方正小标宋简体"/>
          <w:sz w:val="44"/>
          <w:szCs w:val="44"/>
        </w:rPr>
      </w:pPr>
    </w:p>
    <w:p w14:paraId="67270832">
      <w:pPr>
        <w:pStyle w:val="5"/>
        <w:adjustRightInd w:val="0"/>
        <w:snapToGrid w:val="0"/>
        <w:spacing w:line="240" w:lineRule="auto"/>
        <w:ind w:firstLine="0"/>
        <w:jc w:val="center"/>
        <w:rPr>
          <w:rFonts w:eastAsia="方正小标宋简体"/>
          <w:sz w:val="44"/>
          <w:szCs w:val="44"/>
        </w:rPr>
      </w:pPr>
    </w:p>
    <w:p w14:paraId="07B68295">
      <w:pPr>
        <w:pStyle w:val="5"/>
        <w:adjustRightInd w:val="0"/>
        <w:snapToGrid w:val="0"/>
        <w:spacing w:line="240" w:lineRule="auto"/>
        <w:ind w:firstLine="0"/>
        <w:jc w:val="center"/>
        <w:rPr>
          <w:rFonts w:eastAsia="方正小标宋简体"/>
          <w:sz w:val="44"/>
          <w:szCs w:val="44"/>
        </w:rPr>
      </w:pPr>
    </w:p>
    <w:p w14:paraId="432B8A55">
      <w:pPr>
        <w:pStyle w:val="5"/>
        <w:adjustRightInd w:val="0"/>
        <w:snapToGrid w:val="0"/>
        <w:spacing w:line="240" w:lineRule="auto"/>
        <w:ind w:firstLine="0"/>
        <w:jc w:val="center"/>
        <w:rPr>
          <w:rFonts w:eastAsia="方正小标宋简体"/>
          <w:sz w:val="44"/>
          <w:szCs w:val="44"/>
        </w:rPr>
      </w:pPr>
    </w:p>
    <w:p w14:paraId="2144049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0232E5B">
      <w:pPr>
        <w:pStyle w:val="5"/>
        <w:keepNext w:val="0"/>
        <w:keepLines w:val="0"/>
        <w:pageBreakBefore w:val="0"/>
        <w:widowControl w:val="0"/>
        <w:kinsoku/>
        <w:wordWrap/>
        <w:overflowPunct/>
        <w:topLinePunct w:val="0"/>
        <w:autoSpaceDE/>
        <w:autoSpaceDN/>
        <w:bidi w:val="0"/>
        <w:adjustRightInd w:val="0"/>
        <w:snapToGrid w:val="0"/>
        <w:spacing w:line="240" w:lineRule="auto"/>
        <w:ind w:left="1254" w:leftChars="392" w:right="1389" w:rightChars="434" w:firstLine="0" w:firstLineChars="0"/>
        <w:jc w:val="center"/>
        <w:textAlignment w:val="auto"/>
        <w:outlineLvl w:val="0"/>
        <w:rPr>
          <w:rFonts w:eastAsia="方正小标宋简体"/>
          <w:sz w:val="44"/>
          <w:szCs w:val="44"/>
          <w:highlight w:val="none"/>
        </w:rPr>
      </w:pPr>
      <w:bookmarkStart w:id="534" w:name="_Toc21046"/>
      <w:bookmarkStart w:id="535" w:name="_Toc16288"/>
      <w:bookmarkStart w:id="536" w:name="_Toc15187"/>
      <w:bookmarkStart w:id="537" w:name="_Toc11539"/>
      <w:bookmarkStart w:id="538" w:name="_Toc30890"/>
      <w:r>
        <w:rPr>
          <w:rFonts w:hint="eastAsia" w:eastAsia="方正小标宋简体"/>
          <w:sz w:val="44"/>
          <w:szCs w:val="44"/>
          <w:highlight w:val="none"/>
        </w:rPr>
        <w:t>中国电工程顾问集团西南电力设计院有限公司</w:t>
      </w:r>
      <w:bookmarkEnd w:id="534"/>
      <w:bookmarkEnd w:id="535"/>
      <w:bookmarkEnd w:id="536"/>
      <w:bookmarkEnd w:id="537"/>
      <w:bookmarkEnd w:id="538"/>
    </w:p>
    <w:p w14:paraId="0457CB9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786"/>
        <w:gridCol w:w="944"/>
        <w:gridCol w:w="172"/>
        <w:gridCol w:w="1342"/>
        <w:gridCol w:w="118"/>
        <w:gridCol w:w="1507"/>
        <w:gridCol w:w="309"/>
        <w:gridCol w:w="1254"/>
        <w:gridCol w:w="267"/>
        <w:gridCol w:w="1754"/>
      </w:tblGrid>
      <w:tr w14:paraId="088C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108D57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3" w:type="dxa"/>
            <w:gridSpan w:val="2"/>
            <w:shd w:val="clear" w:color="000000" w:fill="FFFFFF"/>
            <w:noWrap/>
            <w:vAlign w:val="center"/>
          </w:tcPr>
          <w:p w14:paraId="23910FBC">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481" w:type="dxa"/>
            <w:gridSpan w:val="2"/>
            <w:shd w:val="clear" w:color="auto" w:fill="E7E6E6" w:themeFill="background2"/>
            <w:noWrap/>
            <w:vAlign w:val="center"/>
          </w:tcPr>
          <w:p w14:paraId="60E5063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54D44A6">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F60AC1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559B212B">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成都</w:t>
            </w:r>
          </w:p>
        </w:tc>
      </w:tr>
      <w:tr w14:paraId="17DC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A1B478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0AFAB90B">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四川省成都市成华区东风路16号</w:t>
            </w:r>
          </w:p>
        </w:tc>
      </w:tr>
      <w:tr w14:paraId="7421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6" w:hRule="atLeast"/>
          <w:jc w:val="center"/>
        </w:trPr>
        <w:tc>
          <w:tcPr>
            <w:tcW w:w="1271" w:type="dxa"/>
            <w:shd w:val="clear" w:color="auto" w:fill="E7E6E6" w:themeFill="background2"/>
            <w:noWrap/>
            <w:vAlign w:val="center"/>
          </w:tcPr>
          <w:p w14:paraId="55D7BEA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2624E9A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西南院注册资本为10亿元人民币，是具有工程设计综合甲级、工程勘察综合甲级、电力工程施工总承包壹级、工程咨询等多门类资质的国家级高新技术企业。现为世界五百强企业中国能源建设集团有限公司全资子公司。</w:t>
            </w:r>
          </w:p>
          <w:p w14:paraId="2F9858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西南院以电力规划研究、咨询、评价、工程勘察设计、工程总承包、项目管理、业主工程师及专有技术产品开发、投资运营为主营业务，并积极服务于“一带一路”“长江大保护”等国家级战略发展需求、聚焦“碳达峰、碳中和”目标，深耕电力、市政、环保、智慧能源和基础设施建设领域，面向国内外市场提供工程一体化解决方案和全生命周期管理服务。</w:t>
            </w:r>
          </w:p>
          <w:p w14:paraId="32F2F1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60余年来，西南院创造了百余项行业第一，项目遍及全国30余个省、市、自治区，业务覆盖世界44个国家和地区，海外发电机组设计总容量超过62044兆瓦，海外勘测设计订单数量和总装机容量在全国电力勘测设计系统居于首位。凭借精湛的技术实力和一流的管理水平，多次获得美国工程新闻记录(ENR)中国工程设计企业60强、四川省百强企业、成都市百强企业等称号。</w:t>
            </w:r>
          </w:p>
        </w:tc>
      </w:tr>
      <w:tr w14:paraId="4DEF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2" w:hRule="atLeast"/>
          <w:jc w:val="center"/>
        </w:trPr>
        <w:tc>
          <w:tcPr>
            <w:tcW w:w="1271" w:type="dxa"/>
            <w:shd w:val="clear" w:color="auto" w:fill="E7E6E6" w:themeFill="background2"/>
            <w:noWrap/>
            <w:vAlign w:val="center"/>
          </w:tcPr>
          <w:p w14:paraId="05FF55B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0DC40A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（1）博士后研究人员在站工作期间，薪酬以基本月薪+绩效薪酬+成果奖励的形式支付；</w:t>
            </w:r>
          </w:p>
          <w:p w14:paraId="4FDC69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（2）提供青年公寓，配合申请政府引才补贴和进站资助。</w:t>
            </w:r>
          </w:p>
          <w:p w14:paraId="41E68F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（3）科研经费在项目立项时确定，纳入公司科研开发费用管理范围。</w:t>
            </w:r>
          </w:p>
          <w:p w14:paraId="6004F5A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（4）提供充足的科研经费及良好的办公条件。</w:t>
            </w:r>
          </w:p>
          <w:p w14:paraId="0DD339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（5）配合办理博士后人员及其配偶和未成年子女的户口迁落。</w:t>
            </w:r>
          </w:p>
          <w:p w14:paraId="29D8A4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（6）博士后出站就业实行双向选择、自主择业，考评成绩良好等级以上</w:t>
            </w:r>
          </w:p>
          <w:p w14:paraId="45AB7D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且有意愿留用的，可根据相关用工规定优先录用。</w:t>
            </w:r>
          </w:p>
        </w:tc>
      </w:tr>
      <w:tr w14:paraId="0F8E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40" w:type="dxa"/>
            <w:gridSpan w:val="2"/>
            <w:shd w:val="clear" w:color="auto" w:fill="E7E6E6" w:themeFill="background2"/>
            <w:noWrap/>
            <w:vAlign w:val="center"/>
          </w:tcPr>
          <w:p w14:paraId="7AAF58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14:paraId="15EFD40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28" w:type="dxa"/>
            <w:gridSpan w:val="2"/>
            <w:shd w:val="clear" w:color="auto" w:fill="E7E6E6" w:themeFill="background2"/>
            <w:vAlign w:val="center"/>
          </w:tcPr>
          <w:p w14:paraId="5CC6491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6" w:type="dxa"/>
            <w:gridSpan w:val="2"/>
            <w:shd w:val="clear" w:color="auto" w:fill="E7E6E6" w:themeFill="background2"/>
            <w:vAlign w:val="center"/>
          </w:tcPr>
          <w:p w14:paraId="7328939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1C2635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48A80DB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428F6B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6" w:type="dxa"/>
            <w:shd w:val="clear" w:color="auto" w:fill="E7E6E6" w:themeFill="background2"/>
            <w:vAlign w:val="center"/>
          </w:tcPr>
          <w:p w14:paraId="0FDEF07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0E52C6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717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4B0E9396">
            <w:pPr>
              <w:pStyle w:val="50"/>
              <w:keepNext w:val="0"/>
              <w:keepLines w:val="0"/>
              <w:pageBreakBefore w:val="0"/>
              <w:kinsoku w:val="0"/>
              <w:wordWrap/>
              <w:overflowPunct w:val="0"/>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基于人工智能技术的新型电力系统规划方法研究</w:t>
            </w:r>
          </w:p>
        </w:tc>
        <w:tc>
          <w:tcPr>
            <w:tcW w:w="1092" w:type="dxa"/>
            <w:gridSpan w:val="2"/>
            <w:shd w:val="clear" w:color="000000" w:fill="FFFFFF"/>
            <w:vAlign w:val="center"/>
          </w:tcPr>
          <w:p w14:paraId="00F531F3">
            <w:pPr>
              <w:pStyle w:val="50"/>
              <w:keepNext w:val="0"/>
              <w:keepLines w:val="0"/>
              <w:pageBreakBefore w:val="0"/>
              <w:tabs>
                <w:tab w:val="left" w:pos="0"/>
                <w:tab w:val="left" w:pos="320"/>
              </w:tabs>
              <w:kinsoku w:val="0"/>
              <w:wordWrap/>
              <w:overflowPunct w:val="0"/>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6E068851">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BSH001</w:t>
            </w:r>
          </w:p>
        </w:tc>
        <w:tc>
          <w:tcPr>
            <w:tcW w:w="1776" w:type="dxa"/>
            <w:gridSpan w:val="2"/>
            <w:shd w:val="clear" w:color="000000" w:fill="FFFFFF"/>
            <w:vAlign w:val="center"/>
          </w:tcPr>
          <w:p w14:paraId="5EC18A0B">
            <w:pPr>
              <w:pStyle w:val="50"/>
              <w:keepNext w:val="0"/>
              <w:keepLines w:val="0"/>
              <w:pageBreakBefore w:val="0"/>
              <w:kinsoku w:val="0"/>
              <w:wordWrap/>
              <w:overflowPunct w:val="0"/>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电气工程、</w:t>
            </w:r>
            <w:r>
              <w:rPr>
                <w:rFonts w:hint="default" w:ascii="Times New Roman" w:hAnsi="Times New Roman" w:cs="Times New Roman" w:eastAsiaTheme="minorEastAsia"/>
                <w:w w:val="105"/>
                <w:sz w:val="21"/>
                <w:szCs w:val="21"/>
              </w:rPr>
              <w:t>电力系统自动化</w:t>
            </w:r>
          </w:p>
        </w:tc>
        <w:tc>
          <w:tcPr>
            <w:tcW w:w="1488" w:type="dxa"/>
            <w:gridSpan w:val="2"/>
            <w:shd w:val="clear" w:color="000000" w:fill="FFFFFF"/>
            <w:vAlign w:val="center"/>
          </w:tcPr>
          <w:p w14:paraId="66DBBAB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restart"/>
            <w:shd w:val="clear" w:color="000000" w:fill="FFFFFF"/>
            <w:vAlign w:val="center"/>
          </w:tcPr>
          <w:p w14:paraId="60829F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毕业于国家重点院校或领域内著名院校的A级学科</w:t>
            </w:r>
          </w:p>
        </w:tc>
      </w:tr>
      <w:tr w14:paraId="099E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47706A03">
            <w:pPr>
              <w:pStyle w:val="50"/>
              <w:keepNext w:val="0"/>
              <w:keepLines w:val="0"/>
              <w:pageBreakBefore w:val="0"/>
              <w:kinsoku w:val="0"/>
              <w:wordWrap/>
              <w:overflowPunct w:val="0"/>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计及碳排放约束的电力系统规划</w:t>
            </w:r>
          </w:p>
        </w:tc>
        <w:tc>
          <w:tcPr>
            <w:tcW w:w="1092" w:type="dxa"/>
            <w:gridSpan w:val="2"/>
            <w:shd w:val="clear" w:color="000000" w:fill="FFFFFF"/>
            <w:vAlign w:val="center"/>
          </w:tcPr>
          <w:p w14:paraId="6AF79343">
            <w:pPr>
              <w:pStyle w:val="50"/>
              <w:keepNext w:val="0"/>
              <w:keepLines w:val="0"/>
              <w:pageBreakBefore w:val="0"/>
              <w:tabs>
                <w:tab w:val="left" w:pos="0"/>
                <w:tab w:val="left" w:pos="320"/>
              </w:tabs>
              <w:kinsoku w:val="0"/>
              <w:wordWrap/>
              <w:overflowPunct w:val="0"/>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352A731F">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BSH002</w:t>
            </w:r>
          </w:p>
        </w:tc>
        <w:tc>
          <w:tcPr>
            <w:tcW w:w="1776" w:type="dxa"/>
            <w:gridSpan w:val="2"/>
            <w:shd w:val="clear" w:color="000000" w:fill="FFFFFF"/>
            <w:vAlign w:val="center"/>
          </w:tcPr>
          <w:p w14:paraId="6DB2CA1F">
            <w:pPr>
              <w:pStyle w:val="50"/>
              <w:keepNext w:val="0"/>
              <w:keepLines w:val="0"/>
              <w:pageBreakBefore w:val="0"/>
              <w:kinsoku w:val="0"/>
              <w:wordWrap/>
              <w:overflowPunct w:val="0"/>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电气工程、电力系统自动化</w:t>
            </w:r>
          </w:p>
        </w:tc>
        <w:tc>
          <w:tcPr>
            <w:tcW w:w="1488" w:type="dxa"/>
            <w:gridSpan w:val="2"/>
            <w:shd w:val="clear" w:color="000000" w:fill="FFFFFF"/>
            <w:vAlign w:val="center"/>
          </w:tcPr>
          <w:p w14:paraId="5CDF45F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09172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6217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353BEC31">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压缩空气储能技术研究</w:t>
            </w:r>
          </w:p>
        </w:tc>
        <w:tc>
          <w:tcPr>
            <w:tcW w:w="1092" w:type="dxa"/>
            <w:gridSpan w:val="2"/>
            <w:shd w:val="clear" w:color="000000" w:fill="FFFFFF"/>
            <w:vAlign w:val="center"/>
          </w:tcPr>
          <w:p w14:paraId="097452AB">
            <w:pPr>
              <w:pStyle w:val="50"/>
              <w:keepNext w:val="0"/>
              <w:keepLines w:val="0"/>
              <w:pageBreakBefore w:val="0"/>
              <w:tabs>
                <w:tab w:val="left" w:pos="0"/>
                <w:tab w:val="left" w:pos="320"/>
              </w:tabs>
              <w:kinsoku w:val="0"/>
              <w:wordWrap/>
              <w:overflowPunct w:val="0"/>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10DAA82A">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BSH003</w:t>
            </w:r>
          </w:p>
        </w:tc>
        <w:tc>
          <w:tcPr>
            <w:tcW w:w="1776" w:type="dxa"/>
            <w:gridSpan w:val="2"/>
            <w:shd w:val="clear" w:color="000000" w:fill="FFFFFF"/>
            <w:vAlign w:val="center"/>
          </w:tcPr>
          <w:p w14:paraId="653D58DB">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工程热物理、电厂热能动力</w:t>
            </w:r>
          </w:p>
        </w:tc>
        <w:tc>
          <w:tcPr>
            <w:tcW w:w="1488" w:type="dxa"/>
            <w:gridSpan w:val="2"/>
            <w:shd w:val="clear" w:color="000000" w:fill="FFFFFF"/>
            <w:vAlign w:val="center"/>
          </w:tcPr>
          <w:p w14:paraId="3DAC9DEE">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39DE68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3D80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79B08316">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重力储能技术</w:t>
            </w:r>
          </w:p>
        </w:tc>
        <w:tc>
          <w:tcPr>
            <w:tcW w:w="1092" w:type="dxa"/>
            <w:gridSpan w:val="2"/>
            <w:shd w:val="clear" w:color="000000" w:fill="FFFFFF"/>
            <w:vAlign w:val="center"/>
          </w:tcPr>
          <w:p w14:paraId="05E8E330">
            <w:pPr>
              <w:pStyle w:val="50"/>
              <w:keepNext w:val="0"/>
              <w:keepLines w:val="0"/>
              <w:pageBreakBefore w:val="0"/>
              <w:tabs>
                <w:tab w:val="left" w:pos="0"/>
                <w:tab w:val="left" w:pos="320"/>
              </w:tabs>
              <w:kinsoku w:val="0"/>
              <w:wordWrap/>
              <w:overflowPunct w:val="0"/>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657E2004">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BSH004</w:t>
            </w:r>
          </w:p>
        </w:tc>
        <w:tc>
          <w:tcPr>
            <w:tcW w:w="1776" w:type="dxa"/>
            <w:gridSpan w:val="2"/>
            <w:shd w:val="clear" w:color="000000" w:fill="FFFFFF"/>
            <w:vAlign w:val="center"/>
          </w:tcPr>
          <w:p w14:paraId="63D3F95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机械、电气</w:t>
            </w:r>
          </w:p>
        </w:tc>
        <w:tc>
          <w:tcPr>
            <w:tcW w:w="1488" w:type="dxa"/>
            <w:gridSpan w:val="2"/>
            <w:shd w:val="clear" w:color="000000" w:fill="FFFFFF"/>
            <w:vAlign w:val="center"/>
          </w:tcPr>
          <w:p w14:paraId="72B89A27">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4E9B1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0A21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4FF1C930">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西南地区覆冰气象精细模拟及订正方法研究</w:t>
            </w:r>
          </w:p>
        </w:tc>
        <w:tc>
          <w:tcPr>
            <w:tcW w:w="1092" w:type="dxa"/>
            <w:gridSpan w:val="2"/>
            <w:shd w:val="clear" w:color="000000" w:fill="FFFFFF"/>
            <w:vAlign w:val="center"/>
          </w:tcPr>
          <w:p w14:paraId="2DCA3653">
            <w:pPr>
              <w:pStyle w:val="50"/>
              <w:keepNext w:val="0"/>
              <w:keepLines w:val="0"/>
              <w:pageBreakBefore w:val="0"/>
              <w:tabs>
                <w:tab w:val="left" w:pos="0"/>
                <w:tab w:val="left" w:pos="320"/>
              </w:tabs>
              <w:kinsoku w:val="0"/>
              <w:wordWrap/>
              <w:overflowPunct w:val="0"/>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69A9283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BSH005</w:t>
            </w:r>
          </w:p>
        </w:tc>
        <w:tc>
          <w:tcPr>
            <w:tcW w:w="1776" w:type="dxa"/>
            <w:gridSpan w:val="2"/>
            <w:shd w:val="clear" w:color="000000" w:fill="FFFFFF"/>
            <w:vAlign w:val="center"/>
          </w:tcPr>
          <w:p w14:paraId="21A08307">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大气物理学（云雾降水物理、数值模式、资料同化方向）</w:t>
            </w:r>
          </w:p>
        </w:tc>
        <w:tc>
          <w:tcPr>
            <w:tcW w:w="1488" w:type="dxa"/>
            <w:gridSpan w:val="2"/>
            <w:shd w:val="clear" w:color="000000" w:fill="FFFFFF"/>
            <w:vAlign w:val="center"/>
          </w:tcPr>
          <w:p w14:paraId="2662B607">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1DC8FD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4AE7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5662D8D1">
            <w:pPr>
              <w:keepNext w:val="0"/>
              <w:keepLines w:val="0"/>
              <w:pageBreakBefore w:val="0"/>
              <w:widowControl/>
              <w:wordWrap/>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西南红层地区压缩空气储能电站地下人工硐室储气库适宜性及勘建关键技术研究</w:t>
            </w:r>
          </w:p>
        </w:tc>
        <w:tc>
          <w:tcPr>
            <w:tcW w:w="1092" w:type="dxa"/>
            <w:gridSpan w:val="2"/>
            <w:shd w:val="clear" w:color="000000" w:fill="FFFFFF"/>
            <w:vAlign w:val="center"/>
          </w:tcPr>
          <w:p w14:paraId="42D35DA0">
            <w:pPr>
              <w:pStyle w:val="50"/>
              <w:keepNext w:val="0"/>
              <w:keepLines w:val="0"/>
              <w:pageBreakBefore w:val="0"/>
              <w:tabs>
                <w:tab w:val="left" w:pos="0"/>
                <w:tab w:val="left" w:pos="320"/>
              </w:tabs>
              <w:kinsoku w:val="0"/>
              <w:wordWrap/>
              <w:overflowPunct w:val="0"/>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78594D26">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BSH006</w:t>
            </w:r>
          </w:p>
        </w:tc>
        <w:tc>
          <w:tcPr>
            <w:tcW w:w="1776" w:type="dxa"/>
            <w:gridSpan w:val="2"/>
            <w:shd w:val="clear" w:color="000000" w:fill="FFFFFF"/>
            <w:vAlign w:val="center"/>
          </w:tcPr>
          <w:p w14:paraId="7464A3F0">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地质工程、岩土工程、岩石力学</w:t>
            </w:r>
          </w:p>
        </w:tc>
        <w:tc>
          <w:tcPr>
            <w:tcW w:w="1488" w:type="dxa"/>
            <w:gridSpan w:val="2"/>
            <w:shd w:val="clear" w:color="000000" w:fill="FFFFFF"/>
            <w:vAlign w:val="center"/>
          </w:tcPr>
          <w:p w14:paraId="0801747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47998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12DF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2DD26FFE">
            <w:pPr>
              <w:keepNext w:val="0"/>
              <w:keepLines w:val="0"/>
              <w:pageBreakBefore w:val="0"/>
              <w:widowControl/>
              <w:wordWrap/>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地源热泵系统地埋管换热稳定性及与系统可靠性研究</w:t>
            </w:r>
          </w:p>
        </w:tc>
        <w:tc>
          <w:tcPr>
            <w:tcW w:w="1092" w:type="dxa"/>
            <w:gridSpan w:val="2"/>
            <w:shd w:val="clear" w:color="000000" w:fill="FFFFFF"/>
            <w:vAlign w:val="center"/>
          </w:tcPr>
          <w:p w14:paraId="3B15501E">
            <w:pPr>
              <w:pStyle w:val="50"/>
              <w:keepNext w:val="0"/>
              <w:keepLines w:val="0"/>
              <w:pageBreakBefore w:val="0"/>
              <w:tabs>
                <w:tab w:val="left" w:pos="0"/>
                <w:tab w:val="left" w:pos="320"/>
              </w:tabs>
              <w:kinsoku w:val="0"/>
              <w:wordWrap/>
              <w:overflowPunct w:val="0"/>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7A0F3175">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BSH007</w:t>
            </w:r>
          </w:p>
        </w:tc>
        <w:tc>
          <w:tcPr>
            <w:tcW w:w="1776" w:type="dxa"/>
            <w:gridSpan w:val="2"/>
            <w:shd w:val="clear" w:color="000000" w:fill="FFFFFF"/>
            <w:vAlign w:val="center"/>
          </w:tcPr>
          <w:p w14:paraId="208FEEF6">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地质工程、水文地质、工程地质</w:t>
            </w:r>
          </w:p>
        </w:tc>
        <w:tc>
          <w:tcPr>
            <w:tcW w:w="1488" w:type="dxa"/>
            <w:gridSpan w:val="2"/>
            <w:shd w:val="clear" w:color="000000" w:fill="FFFFFF"/>
            <w:vAlign w:val="center"/>
          </w:tcPr>
          <w:p w14:paraId="512CD7D3">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6EAB1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1E7D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30D28B36">
            <w:pPr>
              <w:keepNext w:val="0"/>
              <w:keepLines w:val="0"/>
              <w:pageBreakBefore w:val="0"/>
              <w:widowControl/>
              <w:wordWrap/>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人工智能在电力工程全生命周期测绘工作中的研究</w:t>
            </w:r>
          </w:p>
        </w:tc>
        <w:tc>
          <w:tcPr>
            <w:tcW w:w="1092" w:type="dxa"/>
            <w:gridSpan w:val="2"/>
            <w:shd w:val="clear" w:color="000000" w:fill="FFFFFF"/>
            <w:vAlign w:val="center"/>
          </w:tcPr>
          <w:p w14:paraId="1321E713">
            <w:pPr>
              <w:pStyle w:val="50"/>
              <w:keepNext w:val="0"/>
              <w:keepLines w:val="0"/>
              <w:pageBreakBefore w:val="0"/>
              <w:tabs>
                <w:tab w:val="left" w:pos="0"/>
                <w:tab w:val="left" w:pos="320"/>
              </w:tabs>
              <w:kinsoku w:val="0"/>
              <w:wordWrap/>
              <w:overflowPunct w:val="0"/>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1CF996F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BSH008</w:t>
            </w:r>
          </w:p>
        </w:tc>
        <w:tc>
          <w:tcPr>
            <w:tcW w:w="1776" w:type="dxa"/>
            <w:gridSpan w:val="2"/>
            <w:shd w:val="clear" w:color="000000" w:fill="FFFFFF"/>
            <w:vAlign w:val="center"/>
          </w:tcPr>
          <w:p w14:paraId="41EB7DDD">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测绘工程、岩土工程</w:t>
            </w:r>
          </w:p>
        </w:tc>
        <w:tc>
          <w:tcPr>
            <w:tcW w:w="1488" w:type="dxa"/>
            <w:gridSpan w:val="2"/>
            <w:shd w:val="clear" w:color="000000" w:fill="FFFFFF"/>
            <w:vAlign w:val="center"/>
          </w:tcPr>
          <w:p w14:paraId="13BEBCB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782C5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7F10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486D0F22">
            <w:pPr>
              <w:keepNext w:val="0"/>
              <w:keepLines w:val="0"/>
              <w:pageBreakBefore w:val="0"/>
              <w:widowControl/>
              <w:wordWrap/>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基于AIGC与BIM的电力工程数智设计关键技术研究与应用</w:t>
            </w:r>
          </w:p>
        </w:tc>
        <w:tc>
          <w:tcPr>
            <w:tcW w:w="1092" w:type="dxa"/>
            <w:gridSpan w:val="2"/>
            <w:shd w:val="clear" w:color="000000" w:fill="FFFFFF"/>
            <w:vAlign w:val="center"/>
          </w:tcPr>
          <w:p w14:paraId="4AD14939">
            <w:pPr>
              <w:pStyle w:val="50"/>
              <w:keepNext w:val="0"/>
              <w:keepLines w:val="0"/>
              <w:pageBreakBefore w:val="0"/>
              <w:tabs>
                <w:tab w:val="left" w:pos="0"/>
                <w:tab w:val="left" w:pos="320"/>
              </w:tabs>
              <w:kinsoku w:val="0"/>
              <w:wordWrap/>
              <w:overflowPunct w:val="0"/>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10</w:t>
            </w:r>
          </w:p>
        </w:tc>
        <w:tc>
          <w:tcPr>
            <w:tcW w:w="1428" w:type="dxa"/>
            <w:gridSpan w:val="2"/>
            <w:shd w:val="clear" w:color="000000" w:fill="FFFFFF"/>
            <w:vAlign w:val="center"/>
          </w:tcPr>
          <w:p w14:paraId="0100261C">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BSH009</w:t>
            </w:r>
          </w:p>
        </w:tc>
        <w:tc>
          <w:tcPr>
            <w:tcW w:w="1776" w:type="dxa"/>
            <w:gridSpan w:val="2"/>
            <w:shd w:val="clear" w:color="000000" w:fill="FFFFFF"/>
            <w:vAlign w:val="center"/>
          </w:tcPr>
          <w:p w14:paraId="610098C3">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人工智能、计算机软件工程、网络与信息安全</w:t>
            </w:r>
          </w:p>
        </w:tc>
        <w:tc>
          <w:tcPr>
            <w:tcW w:w="1488" w:type="dxa"/>
            <w:gridSpan w:val="2"/>
            <w:shd w:val="clear" w:color="000000" w:fill="FFFFFF"/>
            <w:vAlign w:val="center"/>
          </w:tcPr>
          <w:p w14:paraId="1CED95A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566AD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740A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040" w:type="dxa"/>
            <w:gridSpan w:val="2"/>
            <w:shd w:val="clear" w:color="000000" w:fill="FFFFFF"/>
            <w:noWrap/>
            <w:vAlign w:val="center"/>
          </w:tcPr>
          <w:p w14:paraId="28BEE8C4">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新型电力系统谐波溯源、评估及治理</w:t>
            </w:r>
          </w:p>
        </w:tc>
        <w:tc>
          <w:tcPr>
            <w:tcW w:w="1092" w:type="dxa"/>
            <w:gridSpan w:val="2"/>
            <w:shd w:val="clear" w:color="000000" w:fill="FFFFFF"/>
            <w:vAlign w:val="center"/>
          </w:tcPr>
          <w:p w14:paraId="75A9B889">
            <w:pPr>
              <w:pStyle w:val="50"/>
              <w:keepNext w:val="0"/>
              <w:keepLines w:val="0"/>
              <w:pageBreakBefore w:val="0"/>
              <w:tabs>
                <w:tab w:val="left" w:pos="0"/>
                <w:tab w:val="left" w:pos="320"/>
              </w:tabs>
              <w:kinsoku w:val="0"/>
              <w:wordWrap/>
              <w:overflowPunct w:val="0"/>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428" w:type="dxa"/>
            <w:gridSpan w:val="2"/>
            <w:shd w:val="clear" w:color="000000" w:fill="FFFFFF"/>
            <w:vAlign w:val="center"/>
          </w:tcPr>
          <w:p w14:paraId="364E2406">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BSH010</w:t>
            </w:r>
          </w:p>
        </w:tc>
        <w:tc>
          <w:tcPr>
            <w:tcW w:w="1776" w:type="dxa"/>
            <w:gridSpan w:val="2"/>
            <w:shd w:val="clear" w:color="000000" w:fill="FFFFFF"/>
            <w:vAlign w:val="center"/>
          </w:tcPr>
          <w:p w14:paraId="0D23F95D">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电气工程、电力系统及其自动化</w:t>
            </w:r>
          </w:p>
        </w:tc>
        <w:tc>
          <w:tcPr>
            <w:tcW w:w="1488" w:type="dxa"/>
            <w:gridSpan w:val="2"/>
            <w:shd w:val="clear" w:color="000000" w:fill="FFFFFF"/>
            <w:vAlign w:val="center"/>
          </w:tcPr>
          <w:p w14:paraId="226461AF">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p>
        </w:tc>
        <w:tc>
          <w:tcPr>
            <w:tcW w:w="1716" w:type="dxa"/>
            <w:vMerge w:val="continue"/>
            <w:shd w:val="clear" w:color="000000" w:fill="FFFFFF"/>
            <w:vAlign w:val="center"/>
          </w:tcPr>
          <w:p w14:paraId="3B10C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7B92E63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highlight w:val="yellow"/>
        </w:rPr>
      </w:pPr>
    </w:p>
    <w:p w14:paraId="55E7A90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3465E62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5F5D486B">
      <w:pPr>
        <w:pStyle w:val="5"/>
        <w:adjustRightInd w:val="0"/>
        <w:snapToGrid w:val="0"/>
        <w:spacing w:line="240" w:lineRule="auto"/>
        <w:ind w:firstLine="0"/>
        <w:jc w:val="center"/>
        <w:outlineLvl w:val="0"/>
        <w:rPr>
          <w:rFonts w:eastAsia="方正小标宋简体"/>
          <w:sz w:val="44"/>
          <w:szCs w:val="44"/>
        </w:rPr>
      </w:pPr>
      <w:bookmarkStart w:id="539" w:name="_Toc25633"/>
      <w:bookmarkStart w:id="540" w:name="_Toc20822"/>
      <w:bookmarkStart w:id="541" w:name="_Toc15641"/>
      <w:bookmarkStart w:id="542" w:name="_Toc17062"/>
      <w:bookmarkStart w:id="543" w:name="_Toc1496"/>
      <w:r>
        <w:rPr>
          <w:rFonts w:hint="eastAsia" w:eastAsia="方正小标宋简体"/>
          <w:sz w:val="44"/>
          <w:szCs w:val="44"/>
          <w:highlight w:val="none"/>
        </w:rPr>
        <w:t>中国电建集团成都勘测设计研究院有限公司</w:t>
      </w:r>
      <w:bookmarkEnd w:id="539"/>
      <w:bookmarkEnd w:id="540"/>
      <w:bookmarkEnd w:id="541"/>
      <w:bookmarkEnd w:id="542"/>
      <w:bookmarkEnd w:id="543"/>
    </w:p>
    <w:p w14:paraId="71ACE58A">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358"/>
        <w:gridCol w:w="1187"/>
        <w:gridCol w:w="98"/>
        <w:gridCol w:w="1899"/>
      </w:tblGrid>
      <w:tr w14:paraId="32C7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28B1E32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754341DB">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40" w:type="dxa"/>
            <w:gridSpan w:val="2"/>
            <w:shd w:val="clear" w:color="auto" w:fill="E7E6E6" w:themeFill="background2"/>
            <w:noWrap/>
            <w:vAlign w:val="center"/>
          </w:tcPr>
          <w:p w14:paraId="4BBCA8EC">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5AC816D">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398B372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4B51BBEF">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7344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5EBAAD9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57AE1E09">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四川省成都市温江区政和街8号</w:t>
            </w:r>
          </w:p>
        </w:tc>
      </w:tr>
      <w:tr w14:paraId="010E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1" w:hRule="atLeast"/>
          <w:jc w:val="center"/>
        </w:trPr>
        <w:tc>
          <w:tcPr>
            <w:tcW w:w="1344" w:type="dxa"/>
            <w:shd w:val="clear" w:color="auto" w:fill="E7E6E6" w:themeFill="background2"/>
            <w:noWrap/>
            <w:vAlign w:val="center"/>
          </w:tcPr>
          <w:p w14:paraId="5A280F0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19E7C0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电建集团成都勘测设计研究院有限公司（简称“成都院”)，为中国电建特级子企业、高新技术企业、国家认定企业技术中心，其历史可以追溯至1950年成立的燃料工业部西南水力发电工程处。经过70多年发展壮大，在能源电力、水资源与环境、城市建设与基础设施领域，为全球客户提供规划咨询、勘测设计、施工建造、投资运营全产业链一体化综合服务。公司现有7000余名高素质人才队伍；4个国家级研发机构和12个高端科创中心；工程设计综合甲级、工程勘察综合类甲级、咨询综合甲级、监理综合甲级（四综甲）与电力、水利水电、市政公用工程施工总承包一级等40余项资质证书；50多项专有技术、170多项国家与行业标准、600多项国家级省部级奖项、1800多项国家专利，遍布全球近60个国家和地区的700多个工程，使成都院一直保持行业领先地位。2023年，公司研发投入为7.35亿元，营业收入为176亿元。</w:t>
            </w:r>
          </w:p>
        </w:tc>
      </w:tr>
      <w:tr w14:paraId="35FA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8" w:hRule="atLeast"/>
          <w:jc w:val="center"/>
        </w:trPr>
        <w:tc>
          <w:tcPr>
            <w:tcW w:w="1344" w:type="dxa"/>
            <w:shd w:val="clear" w:color="auto" w:fill="E7E6E6" w:themeFill="background2"/>
            <w:noWrap/>
            <w:vAlign w:val="center"/>
          </w:tcPr>
          <w:p w14:paraId="08372FF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29B360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院博士后科研工作站于2003年经原国家人事部和全国博士后管委会批准设立，是公司集科学研究、技术研发、人才培养、学术交流于一体的高水平科研平台，也是公司科技创新体系的重要组成部分，通过博士后人才引进，推动产学研深度融合，加大高端人才聚集培养，落实“科技是第一生产力、人才是第一资源、创新是第一动力”。截至目前，工作站已有十二批共43名博士后进站工作，其中19名博士后已顺利出站，有11名出站后留公司工作，成为各岗位上的骨干力量。3人获四川省青年科技奖。现有在站博士后23人。</w:t>
            </w:r>
          </w:p>
        </w:tc>
      </w:tr>
      <w:tr w14:paraId="3F0D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317A7C8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3AE7B14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545C3CF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01704C2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6207741">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01C4F79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4BA05B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3F56CD1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F401866">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672E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auto"/>
            <w:noWrap/>
            <w:vAlign w:val="center"/>
          </w:tcPr>
          <w:p w14:paraId="4FA3CB72">
            <w:pPr>
              <w:adjustRightInd w:val="0"/>
              <w:snapToGrid w:val="0"/>
              <w:spacing w:line="240" w:lineRule="auto"/>
              <w:ind w:firstLine="0" w:firstLineChars="0"/>
              <w:jc w:val="both"/>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kern w:val="0"/>
                <w:sz w:val="21"/>
                <w:szCs w:val="21"/>
                <w:lang w:bidi="ar"/>
              </w:rPr>
              <w:t>深地空间开发利用研究（大深度定向钻探与随钻感知）</w:t>
            </w:r>
          </w:p>
        </w:tc>
        <w:tc>
          <w:tcPr>
            <w:tcW w:w="1116" w:type="dxa"/>
            <w:gridSpan w:val="2"/>
            <w:shd w:val="clear" w:color="auto" w:fill="auto"/>
            <w:vAlign w:val="center"/>
          </w:tcPr>
          <w:p w14:paraId="12BD012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bidi="ar"/>
              </w:rPr>
              <w:t>1</w:t>
            </w:r>
          </w:p>
        </w:tc>
        <w:tc>
          <w:tcPr>
            <w:tcW w:w="1152" w:type="dxa"/>
            <w:gridSpan w:val="2"/>
            <w:shd w:val="clear" w:color="auto" w:fill="auto"/>
            <w:vAlign w:val="center"/>
          </w:tcPr>
          <w:p w14:paraId="67137C0D">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bidi="ar"/>
              </w:rPr>
              <w:t>BSH001</w:t>
            </w:r>
          </w:p>
        </w:tc>
        <w:tc>
          <w:tcPr>
            <w:tcW w:w="1633" w:type="dxa"/>
            <w:gridSpan w:val="2"/>
            <w:shd w:val="clear" w:color="auto" w:fill="auto"/>
            <w:vAlign w:val="center"/>
          </w:tcPr>
          <w:p w14:paraId="5C463585">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bidi="ar"/>
              </w:rPr>
              <w:t>钻探工程、地质工程、地下工程、隧道工程、勘察技术与工程等相关专业</w:t>
            </w:r>
          </w:p>
        </w:tc>
        <w:tc>
          <w:tcPr>
            <w:tcW w:w="1272" w:type="dxa"/>
            <w:gridSpan w:val="2"/>
            <w:shd w:val="clear" w:color="auto" w:fill="auto"/>
            <w:vAlign w:val="center"/>
          </w:tcPr>
          <w:p w14:paraId="4A12555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bidi="ar"/>
              </w:rPr>
              <w:t>80</w:t>
            </w:r>
          </w:p>
        </w:tc>
        <w:tc>
          <w:tcPr>
            <w:tcW w:w="1880" w:type="dxa"/>
            <w:shd w:val="clear" w:color="auto" w:fill="auto"/>
            <w:vAlign w:val="center"/>
          </w:tcPr>
          <w:p w14:paraId="0862854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lang w:bidi="ar"/>
              </w:rPr>
              <w:t>985/211或双一流高校</w:t>
            </w:r>
          </w:p>
        </w:tc>
      </w:tr>
      <w:tr w14:paraId="2753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6606ECC0">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7287E1A7">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095EEEAB">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70F2431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DB18C49">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7D77991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1B95F20">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4A3EA4A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0A10B50">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等要求</w:t>
            </w:r>
          </w:p>
        </w:tc>
      </w:tr>
      <w:tr w14:paraId="5D1F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auto"/>
            <w:noWrap/>
            <w:vAlign w:val="center"/>
          </w:tcPr>
          <w:p w14:paraId="04AF970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bidi="ar"/>
              </w:rPr>
              <w:t>深地空间开发利用研究（超前地质预报方向）</w:t>
            </w:r>
          </w:p>
        </w:tc>
        <w:tc>
          <w:tcPr>
            <w:tcW w:w="1116" w:type="dxa"/>
            <w:gridSpan w:val="2"/>
            <w:shd w:val="clear" w:color="auto" w:fill="auto"/>
            <w:vAlign w:val="center"/>
          </w:tcPr>
          <w:p w14:paraId="1DBA4F0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lang w:bidi="ar"/>
              </w:rPr>
              <w:t>1</w:t>
            </w:r>
          </w:p>
        </w:tc>
        <w:tc>
          <w:tcPr>
            <w:tcW w:w="1152" w:type="dxa"/>
            <w:gridSpan w:val="2"/>
            <w:shd w:val="clear" w:color="auto" w:fill="auto"/>
            <w:vAlign w:val="center"/>
          </w:tcPr>
          <w:p w14:paraId="1B1E4D5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lang w:bidi="ar"/>
              </w:rPr>
              <w:t>BSH002</w:t>
            </w:r>
          </w:p>
        </w:tc>
        <w:tc>
          <w:tcPr>
            <w:tcW w:w="1633" w:type="dxa"/>
            <w:gridSpan w:val="2"/>
            <w:shd w:val="clear" w:color="auto" w:fill="auto"/>
            <w:vAlign w:val="center"/>
          </w:tcPr>
          <w:p w14:paraId="5DD3662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bidi="ar"/>
              </w:rPr>
              <w:t>地质工程、水利水电工程、地下工程、隧道工程、地球物理等相关专业</w:t>
            </w:r>
          </w:p>
        </w:tc>
        <w:tc>
          <w:tcPr>
            <w:tcW w:w="1272" w:type="dxa"/>
            <w:gridSpan w:val="2"/>
            <w:shd w:val="clear" w:color="auto" w:fill="auto"/>
            <w:vAlign w:val="center"/>
          </w:tcPr>
          <w:p w14:paraId="495290E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lang w:bidi="ar"/>
              </w:rPr>
              <w:t>50</w:t>
            </w:r>
          </w:p>
        </w:tc>
        <w:tc>
          <w:tcPr>
            <w:tcW w:w="1880" w:type="dxa"/>
            <w:vMerge w:val="restart"/>
            <w:shd w:val="clear" w:color="auto" w:fill="auto"/>
            <w:vAlign w:val="center"/>
          </w:tcPr>
          <w:p w14:paraId="1F572F7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985/211或双一流高校</w:t>
            </w:r>
          </w:p>
        </w:tc>
      </w:tr>
      <w:tr w14:paraId="55BC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192A4D1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深地空间开发利用研究（隧道与地下空间建造方向）</w:t>
            </w:r>
          </w:p>
        </w:tc>
        <w:tc>
          <w:tcPr>
            <w:tcW w:w="1116" w:type="dxa"/>
            <w:gridSpan w:val="2"/>
            <w:shd w:val="clear" w:color="auto" w:fill="FFFFFF"/>
            <w:vAlign w:val="center"/>
          </w:tcPr>
          <w:p w14:paraId="5A36A79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4F70728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BSH003</w:t>
            </w:r>
          </w:p>
        </w:tc>
        <w:tc>
          <w:tcPr>
            <w:tcW w:w="1633" w:type="dxa"/>
            <w:gridSpan w:val="2"/>
            <w:shd w:val="clear" w:color="auto" w:fill="FFFFFF"/>
            <w:vAlign w:val="center"/>
          </w:tcPr>
          <w:p w14:paraId="24EA628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水利水电工程、地下工程、隧道工程、智能建造等相关专业</w:t>
            </w:r>
          </w:p>
        </w:tc>
        <w:tc>
          <w:tcPr>
            <w:tcW w:w="1272" w:type="dxa"/>
            <w:gridSpan w:val="2"/>
            <w:shd w:val="clear" w:color="auto" w:fill="FFFFFF"/>
            <w:vAlign w:val="center"/>
          </w:tcPr>
          <w:p w14:paraId="36880BE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104E484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7794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29941C0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深地空间开发利用研究（深地岩石力学方向）</w:t>
            </w:r>
          </w:p>
        </w:tc>
        <w:tc>
          <w:tcPr>
            <w:tcW w:w="1116" w:type="dxa"/>
            <w:gridSpan w:val="2"/>
            <w:shd w:val="clear" w:color="auto" w:fill="FFFFFF"/>
            <w:vAlign w:val="center"/>
          </w:tcPr>
          <w:p w14:paraId="25A108E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1A9905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BSH004</w:t>
            </w:r>
          </w:p>
        </w:tc>
        <w:tc>
          <w:tcPr>
            <w:tcW w:w="1633" w:type="dxa"/>
            <w:gridSpan w:val="2"/>
            <w:shd w:val="clear" w:color="auto" w:fill="FFFFFF"/>
            <w:vAlign w:val="center"/>
          </w:tcPr>
          <w:p w14:paraId="7ED1AC69">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地质工程、水利水电工程、地下工程、隧道工程、工程力学等相关专业</w:t>
            </w:r>
          </w:p>
        </w:tc>
        <w:tc>
          <w:tcPr>
            <w:tcW w:w="1272" w:type="dxa"/>
            <w:gridSpan w:val="2"/>
            <w:shd w:val="clear" w:color="auto" w:fill="FFFFFF"/>
            <w:vAlign w:val="center"/>
          </w:tcPr>
          <w:p w14:paraId="58F0B0B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1F6F143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5574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3F4563C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深地空间开发利用研究（仪器设备研发方向）</w:t>
            </w:r>
          </w:p>
        </w:tc>
        <w:tc>
          <w:tcPr>
            <w:tcW w:w="1116" w:type="dxa"/>
            <w:gridSpan w:val="2"/>
            <w:shd w:val="clear" w:color="auto" w:fill="FFFFFF"/>
            <w:vAlign w:val="center"/>
          </w:tcPr>
          <w:p w14:paraId="10AE9A8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6B71B3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BSH005</w:t>
            </w:r>
          </w:p>
        </w:tc>
        <w:tc>
          <w:tcPr>
            <w:tcW w:w="1633" w:type="dxa"/>
            <w:gridSpan w:val="2"/>
            <w:shd w:val="clear" w:color="auto" w:fill="FFFFFF"/>
            <w:vAlign w:val="center"/>
          </w:tcPr>
          <w:p w14:paraId="79D141D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地质工程、水利水电工程、地下工程、隧道工程、仪器科学与技术、地球物理等相关专业</w:t>
            </w:r>
          </w:p>
        </w:tc>
        <w:tc>
          <w:tcPr>
            <w:tcW w:w="1272" w:type="dxa"/>
            <w:gridSpan w:val="2"/>
            <w:shd w:val="clear" w:color="auto" w:fill="FFFFFF"/>
            <w:vAlign w:val="center"/>
          </w:tcPr>
          <w:p w14:paraId="498F1C1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80</w:t>
            </w:r>
          </w:p>
        </w:tc>
        <w:tc>
          <w:tcPr>
            <w:tcW w:w="1880" w:type="dxa"/>
            <w:vMerge w:val="continue"/>
            <w:shd w:val="clear" w:color="auto" w:fill="FFFFFF"/>
            <w:vAlign w:val="center"/>
          </w:tcPr>
          <w:p w14:paraId="7876E5A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2C84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3820EC3E">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新兴及未来能源创新研究（氢能源：电氢耦合系统调控关键技术研究）</w:t>
            </w:r>
          </w:p>
        </w:tc>
        <w:tc>
          <w:tcPr>
            <w:tcW w:w="1116" w:type="dxa"/>
            <w:gridSpan w:val="2"/>
            <w:shd w:val="clear" w:color="auto" w:fill="FFFFFF"/>
            <w:vAlign w:val="center"/>
          </w:tcPr>
          <w:p w14:paraId="3CDB73D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89E76A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BSH006</w:t>
            </w:r>
          </w:p>
        </w:tc>
        <w:tc>
          <w:tcPr>
            <w:tcW w:w="1633" w:type="dxa"/>
            <w:gridSpan w:val="2"/>
            <w:shd w:val="clear" w:color="auto" w:fill="FFFFFF"/>
            <w:vAlign w:val="center"/>
          </w:tcPr>
          <w:p w14:paraId="6729A6F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电气工程、控制工程等相关专业</w:t>
            </w:r>
          </w:p>
        </w:tc>
        <w:tc>
          <w:tcPr>
            <w:tcW w:w="1272" w:type="dxa"/>
            <w:gridSpan w:val="2"/>
            <w:shd w:val="clear" w:color="auto" w:fill="FFFFFF"/>
            <w:vAlign w:val="center"/>
          </w:tcPr>
          <w:p w14:paraId="2B7C267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80</w:t>
            </w:r>
          </w:p>
        </w:tc>
        <w:tc>
          <w:tcPr>
            <w:tcW w:w="1880" w:type="dxa"/>
            <w:vMerge w:val="continue"/>
            <w:shd w:val="clear" w:color="auto" w:fill="FFFFFF"/>
            <w:vAlign w:val="center"/>
          </w:tcPr>
          <w:p w14:paraId="2C1C661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69E8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1A95726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新兴及未来能源创新研究（氢能源：多类型电解槽运行特性与模拟仿真技术研究）</w:t>
            </w:r>
          </w:p>
        </w:tc>
        <w:tc>
          <w:tcPr>
            <w:tcW w:w="1116" w:type="dxa"/>
            <w:gridSpan w:val="2"/>
            <w:shd w:val="clear" w:color="auto" w:fill="FFFFFF"/>
            <w:vAlign w:val="center"/>
          </w:tcPr>
          <w:p w14:paraId="60136E0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17C1CF6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BSH007</w:t>
            </w:r>
          </w:p>
        </w:tc>
        <w:tc>
          <w:tcPr>
            <w:tcW w:w="1633" w:type="dxa"/>
            <w:gridSpan w:val="2"/>
            <w:shd w:val="clear" w:color="auto" w:fill="FFFFFF"/>
            <w:vAlign w:val="center"/>
          </w:tcPr>
          <w:p w14:paraId="7981F43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材料、化学、机械等相关专业</w:t>
            </w:r>
          </w:p>
        </w:tc>
        <w:tc>
          <w:tcPr>
            <w:tcW w:w="1272" w:type="dxa"/>
            <w:gridSpan w:val="2"/>
            <w:shd w:val="clear" w:color="auto" w:fill="FFFFFF"/>
            <w:vAlign w:val="center"/>
          </w:tcPr>
          <w:p w14:paraId="5C6571C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100</w:t>
            </w:r>
          </w:p>
        </w:tc>
        <w:tc>
          <w:tcPr>
            <w:tcW w:w="1880" w:type="dxa"/>
            <w:vMerge w:val="continue"/>
            <w:shd w:val="clear" w:color="auto" w:fill="FFFFFF"/>
            <w:vAlign w:val="center"/>
          </w:tcPr>
          <w:p w14:paraId="69FD70E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54FF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2B222E7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新兴及未来能源创新研究（氢能源：电力制氢安全风险管控技术研究）</w:t>
            </w:r>
          </w:p>
        </w:tc>
        <w:tc>
          <w:tcPr>
            <w:tcW w:w="1116" w:type="dxa"/>
            <w:gridSpan w:val="2"/>
            <w:shd w:val="clear" w:color="auto" w:fill="FFFFFF"/>
            <w:vAlign w:val="center"/>
          </w:tcPr>
          <w:p w14:paraId="5480007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C1A8F1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BSH008</w:t>
            </w:r>
          </w:p>
        </w:tc>
        <w:tc>
          <w:tcPr>
            <w:tcW w:w="1633" w:type="dxa"/>
            <w:gridSpan w:val="2"/>
            <w:shd w:val="clear" w:color="auto" w:fill="FFFFFF"/>
            <w:vAlign w:val="center"/>
          </w:tcPr>
          <w:p w14:paraId="7306066E">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化工、安全等相关专业</w:t>
            </w:r>
          </w:p>
        </w:tc>
        <w:tc>
          <w:tcPr>
            <w:tcW w:w="1272" w:type="dxa"/>
            <w:gridSpan w:val="2"/>
            <w:shd w:val="clear" w:color="auto" w:fill="FFFFFF"/>
            <w:vAlign w:val="center"/>
          </w:tcPr>
          <w:p w14:paraId="6ECA1AC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60</w:t>
            </w:r>
          </w:p>
        </w:tc>
        <w:tc>
          <w:tcPr>
            <w:tcW w:w="1880" w:type="dxa"/>
            <w:vMerge w:val="continue"/>
            <w:shd w:val="clear" w:color="auto" w:fill="FFFFFF"/>
            <w:vAlign w:val="center"/>
          </w:tcPr>
          <w:p w14:paraId="6C7BDB0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5FE8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5B950C6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新兴及未来能源创新研究（压缩空气储能：面向电网安全稳定需求的多源储能与水风光基地优化运行研究）</w:t>
            </w:r>
          </w:p>
        </w:tc>
        <w:tc>
          <w:tcPr>
            <w:tcW w:w="1116" w:type="dxa"/>
            <w:gridSpan w:val="2"/>
            <w:shd w:val="clear" w:color="auto" w:fill="FFFFFF"/>
            <w:vAlign w:val="center"/>
          </w:tcPr>
          <w:p w14:paraId="72F2690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64F71B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BSH009</w:t>
            </w:r>
          </w:p>
        </w:tc>
        <w:tc>
          <w:tcPr>
            <w:tcW w:w="1633" w:type="dxa"/>
            <w:gridSpan w:val="2"/>
            <w:shd w:val="clear" w:color="auto" w:fill="FFFFFF"/>
            <w:vAlign w:val="center"/>
          </w:tcPr>
          <w:p w14:paraId="2AC7EF3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电气工程及其自动化、新能源科学与工程、能源与动力工程等相关专业</w:t>
            </w:r>
          </w:p>
        </w:tc>
        <w:tc>
          <w:tcPr>
            <w:tcW w:w="1272" w:type="dxa"/>
            <w:gridSpan w:val="2"/>
            <w:shd w:val="clear" w:color="auto" w:fill="FFFFFF"/>
            <w:vAlign w:val="center"/>
          </w:tcPr>
          <w:p w14:paraId="75054FC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80</w:t>
            </w:r>
          </w:p>
        </w:tc>
        <w:tc>
          <w:tcPr>
            <w:tcW w:w="1880" w:type="dxa"/>
            <w:vMerge w:val="continue"/>
            <w:shd w:val="clear" w:color="auto" w:fill="FFFFFF"/>
            <w:vAlign w:val="center"/>
          </w:tcPr>
          <w:p w14:paraId="212DA1E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208D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0EE2FBC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06E54E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3B9B8F1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0D43F6A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930F14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74467D5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2E3B74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7F10582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52EC08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等要求</w:t>
            </w:r>
          </w:p>
        </w:tc>
      </w:tr>
      <w:tr w14:paraId="5FD8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5F3733D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新兴及未来能源创新研究（压缩空气储能系统集成优化设计方法研究）</w:t>
            </w:r>
          </w:p>
        </w:tc>
        <w:tc>
          <w:tcPr>
            <w:tcW w:w="1116" w:type="dxa"/>
            <w:gridSpan w:val="2"/>
            <w:shd w:val="clear" w:color="auto" w:fill="FFFFFF"/>
            <w:vAlign w:val="center"/>
          </w:tcPr>
          <w:p w14:paraId="46E9FE4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1510B64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BSH010</w:t>
            </w:r>
          </w:p>
        </w:tc>
        <w:tc>
          <w:tcPr>
            <w:tcW w:w="1633" w:type="dxa"/>
            <w:gridSpan w:val="2"/>
            <w:shd w:val="clear" w:color="auto" w:fill="FFFFFF"/>
            <w:vAlign w:val="center"/>
          </w:tcPr>
          <w:p w14:paraId="37DD8A98">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热能工程、能源与动力工程、工程热物理等相关专业</w:t>
            </w:r>
          </w:p>
        </w:tc>
        <w:tc>
          <w:tcPr>
            <w:tcW w:w="1272" w:type="dxa"/>
            <w:gridSpan w:val="2"/>
            <w:shd w:val="clear" w:color="auto" w:fill="FFFFFF"/>
            <w:vAlign w:val="center"/>
          </w:tcPr>
          <w:p w14:paraId="2A55E0A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70</w:t>
            </w:r>
          </w:p>
        </w:tc>
        <w:tc>
          <w:tcPr>
            <w:tcW w:w="1880" w:type="dxa"/>
            <w:vMerge w:val="restart"/>
            <w:shd w:val="clear" w:color="auto" w:fill="FFFFFF"/>
            <w:vAlign w:val="center"/>
          </w:tcPr>
          <w:p w14:paraId="6994097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w:t>
            </w:r>
            <w:r>
              <w:rPr>
                <w:rFonts w:hint="default" w:ascii="Times New Roman" w:hAnsi="Times New Roman" w:cs="Times New Roman" w:eastAsiaTheme="minorEastAsia"/>
                <w:kern w:val="0"/>
                <w:sz w:val="21"/>
                <w:szCs w:val="21"/>
                <w:lang w:bidi="ar"/>
              </w:rPr>
              <w:t>85</w:t>
            </w:r>
            <w:r>
              <w:rPr>
                <w:rFonts w:hint="eastAsia" w:ascii="Times New Roman" w:hAnsi="Times New Roman" w:cs="Times New Roman" w:eastAsiaTheme="minorEastAsia"/>
                <w:kern w:val="0"/>
                <w:sz w:val="21"/>
                <w:szCs w:val="21"/>
                <w:lang w:bidi="ar"/>
              </w:rPr>
              <w:t>/</w:t>
            </w:r>
            <w:r>
              <w:rPr>
                <w:rFonts w:hint="default" w:ascii="Times New Roman" w:hAnsi="Times New Roman" w:cs="Times New Roman" w:eastAsiaTheme="minorEastAsia"/>
                <w:kern w:val="0"/>
                <w:sz w:val="21"/>
                <w:szCs w:val="21"/>
                <w:lang w:bidi="ar"/>
              </w:rPr>
              <w:t>211</w:t>
            </w:r>
            <w:r>
              <w:rPr>
                <w:rFonts w:hint="eastAsia" w:ascii="Times New Roman" w:hAnsi="Times New Roman" w:cs="Times New Roman" w:eastAsiaTheme="minorEastAsia"/>
                <w:kern w:val="0"/>
                <w:sz w:val="21"/>
                <w:szCs w:val="21"/>
                <w:lang w:bidi="ar"/>
              </w:rPr>
              <w:t>或双一流高校</w:t>
            </w:r>
          </w:p>
        </w:tc>
      </w:tr>
      <w:tr w14:paraId="601B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1146553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新兴及未来能源创新研究（地热能利用：深部地热能发电系统集成优化关键技术）</w:t>
            </w:r>
          </w:p>
        </w:tc>
        <w:tc>
          <w:tcPr>
            <w:tcW w:w="1116" w:type="dxa"/>
            <w:gridSpan w:val="2"/>
            <w:shd w:val="clear" w:color="auto" w:fill="FFFFFF"/>
            <w:vAlign w:val="center"/>
          </w:tcPr>
          <w:p w14:paraId="2E173C4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C65C67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BSH011</w:t>
            </w:r>
          </w:p>
        </w:tc>
        <w:tc>
          <w:tcPr>
            <w:tcW w:w="1633" w:type="dxa"/>
            <w:gridSpan w:val="2"/>
            <w:shd w:val="clear" w:color="auto" w:fill="FFFFFF"/>
            <w:vAlign w:val="center"/>
          </w:tcPr>
          <w:p w14:paraId="55553952">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热能工程、能源与动力工程、工程热物理等相关专业</w:t>
            </w:r>
          </w:p>
        </w:tc>
        <w:tc>
          <w:tcPr>
            <w:tcW w:w="1272" w:type="dxa"/>
            <w:gridSpan w:val="2"/>
            <w:shd w:val="clear" w:color="auto" w:fill="FFFFFF"/>
            <w:vAlign w:val="center"/>
          </w:tcPr>
          <w:p w14:paraId="5109821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6C5FD74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7AD5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1E7A761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新兴及未来能源创新研究（深远海风电：大气海洋动力环境精细化预报及应用技术研究）</w:t>
            </w:r>
          </w:p>
        </w:tc>
        <w:tc>
          <w:tcPr>
            <w:tcW w:w="1116" w:type="dxa"/>
            <w:gridSpan w:val="2"/>
            <w:shd w:val="clear" w:color="auto" w:fill="FFFFFF"/>
            <w:vAlign w:val="center"/>
          </w:tcPr>
          <w:p w14:paraId="5474CE5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C04567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BSH012</w:t>
            </w:r>
          </w:p>
        </w:tc>
        <w:tc>
          <w:tcPr>
            <w:tcW w:w="1633" w:type="dxa"/>
            <w:gridSpan w:val="2"/>
            <w:shd w:val="clear" w:color="auto" w:fill="FFFFFF"/>
            <w:vAlign w:val="center"/>
          </w:tcPr>
          <w:p w14:paraId="292ED67E">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物理海洋、海洋与大气科学以及港口、海岸及近海工程等相关专业</w:t>
            </w:r>
          </w:p>
        </w:tc>
        <w:tc>
          <w:tcPr>
            <w:tcW w:w="1272" w:type="dxa"/>
            <w:gridSpan w:val="2"/>
            <w:shd w:val="clear" w:color="auto" w:fill="FFFFFF"/>
            <w:vAlign w:val="center"/>
          </w:tcPr>
          <w:p w14:paraId="1019DEF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60</w:t>
            </w:r>
          </w:p>
        </w:tc>
        <w:tc>
          <w:tcPr>
            <w:tcW w:w="1880" w:type="dxa"/>
            <w:vMerge w:val="continue"/>
            <w:shd w:val="clear" w:color="auto" w:fill="FFFFFF"/>
            <w:vAlign w:val="center"/>
          </w:tcPr>
          <w:p w14:paraId="320AB85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7F9B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7776A09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新兴及未来能源创新研究（深远海风电：高压大容量深远海风电柔性直流送出关键技术研究）</w:t>
            </w:r>
          </w:p>
        </w:tc>
        <w:tc>
          <w:tcPr>
            <w:tcW w:w="1116" w:type="dxa"/>
            <w:gridSpan w:val="2"/>
            <w:shd w:val="clear" w:color="auto" w:fill="FFFFFF"/>
            <w:vAlign w:val="center"/>
          </w:tcPr>
          <w:p w14:paraId="0D171E2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3CE0C7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BSH013</w:t>
            </w:r>
          </w:p>
        </w:tc>
        <w:tc>
          <w:tcPr>
            <w:tcW w:w="1633" w:type="dxa"/>
            <w:gridSpan w:val="2"/>
            <w:shd w:val="clear" w:color="auto" w:fill="FFFFFF"/>
            <w:vAlign w:val="center"/>
          </w:tcPr>
          <w:p w14:paraId="6BB1E4A7">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电力系统及其自动化、电气工程等相关专业</w:t>
            </w:r>
          </w:p>
        </w:tc>
        <w:tc>
          <w:tcPr>
            <w:tcW w:w="1272" w:type="dxa"/>
            <w:gridSpan w:val="2"/>
            <w:shd w:val="clear" w:color="auto" w:fill="FFFFFF"/>
            <w:vAlign w:val="center"/>
          </w:tcPr>
          <w:p w14:paraId="5907422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60</w:t>
            </w:r>
          </w:p>
        </w:tc>
        <w:tc>
          <w:tcPr>
            <w:tcW w:w="1880" w:type="dxa"/>
            <w:vMerge w:val="continue"/>
            <w:shd w:val="clear" w:color="auto" w:fill="FFFFFF"/>
            <w:vAlign w:val="center"/>
          </w:tcPr>
          <w:p w14:paraId="34D8718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32FA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53C6EAA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人工智能与未来工程研究（智能建造新能源方向）</w:t>
            </w:r>
          </w:p>
        </w:tc>
        <w:tc>
          <w:tcPr>
            <w:tcW w:w="1116" w:type="dxa"/>
            <w:gridSpan w:val="2"/>
            <w:shd w:val="clear" w:color="auto" w:fill="FFFFFF"/>
            <w:vAlign w:val="center"/>
          </w:tcPr>
          <w:p w14:paraId="5783294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19D530F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BSH014</w:t>
            </w:r>
          </w:p>
        </w:tc>
        <w:tc>
          <w:tcPr>
            <w:tcW w:w="1633" w:type="dxa"/>
            <w:gridSpan w:val="2"/>
            <w:shd w:val="clear" w:color="auto" w:fill="FFFFFF"/>
            <w:vAlign w:val="center"/>
          </w:tcPr>
          <w:p w14:paraId="2A3DCD7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智能建造、能源工程、人工智能、机械电子工程、自动化、系统工程、计算机科学等相关专业</w:t>
            </w:r>
          </w:p>
        </w:tc>
        <w:tc>
          <w:tcPr>
            <w:tcW w:w="1272" w:type="dxa"/>
            <w:gridSpan w:val="2"/>
            <w:shd w:val="clear" w:color="auto" w:fill="FFFFFF"/>
            <w:vAlign w:val="center"/>
          </w:tcPr>
          <w:p w14:paraId="3B5B46E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43C4D88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215F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2C6748C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人工智能与未来工程研究（智能建造水利水电方向）</w:t>
            </w:r>
          </w:p>
        </w:tc>
        <w:tc>
          <w:tcPr>
            <w:tcW w:w="1116" w:type="dxa"/>
            <w:gridSpan w:val="2"/>
            <w:shd w:val="clear" w:color="auto" w:fill="FFFFFF"/>
            <w:vAlign w:val="center"/>
          </w:tcPr>
          <w:p w14:paraId="445E7FD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777D08B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BSH015</w:t>
            </w:r>
          </w:p>
        </w:tc>
        <w:tc>
          <w:tcPr>
            <w:tcW w:w="1633" w:type="dxa"/>
            <w:gridSpan w:val="2"/>
            <w:shd w:val="clear" w:color="auto" w:fill="FFFFFF"/>
            <w:vAlign w:val="center"/>
          </w:tcPr>
          <w:p w14:paraId="28CA1E2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智能建造、水利水电工程、人工智能、机械电子工程、自动化、系统工程、计算机科学等相关专业；</w:t>
            </w:r>
          </w:p>
        </w:tc>
        <w:tc>
          <w:tcPr>
            <w:tcW w:w="1272" w:type="dxa"/>
            <w:gridSpan w:val="2"/>
            <w:shd w:val="clear" w:color="auto" w:fill="FFFFFF"/>
            <w:vAlign w:val="center"/>
          </w:tcPr>
          <w:p w14:paraId="3B539B4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08A69E8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63EE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0C41861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人工智能与未来工程研究（人工智能算法模型方向）</w:t>
            </w:r>
          </w:p>
        </w:tc>
        <w:tc>
          <w:tcPr>
            <w:tcW w:w="1116" w:type="dxa"/>
            <w:gridSpan w:val="2"/>
            <w:shd w:val="clear" w:color="auto" w:fill="FFFFFF"/>
            <w:vAlign w:val="center"/>
          </w:tcPr>
          <w:p w14:paraId="0BBA79C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2B2C7E6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BSH016</w:t>
            </w:r>
          </w:p>
        </w:tc>
        <w:tc>
          <w:tcPr>
            <w:tcW w:w="1633" w:type="dxa"/>
            <w:gridSpan w:val="2"/>
            <w:shd w:val="clear" w:color="auto" w:fill="FFFFFF"/>
            <w:vAlign w:val="center"/>
          </w:tcPr>
          <w:p w14:paraId="1EF905D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计算机（机器学习，人工智能，信息检索方向）应用数学，统计学相关专业</w:t>
            </w:r>
          </w:p>
        </w:tc>
        <w:tc>
          <w:tcPr>
            <w:tcW w:w="1272" w:type="dxa"/>
            <w:gridSpan w:val="2"/>
            <w:shd w:val="clear" w:color="auto" w:fill="FFFFFF"/>
            <w:vAlign w:val="center"/>
          </w:tcPr>
          <w:p w14:paraId="34CCD1B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0F8F2A7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7A74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375A7E0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工程数值仿真研究（水利水电方向）</w:t>
            </w:r>
          </w:p>
        </w:tc>
        <w:tc>
          <w:tcPr>
            <w:tcW w:w="1116" w:type="dxa"/>
            <w:gridSpan w:val="2"/>
            <w:shd w:val="clear" w:color="auto" w:fill="FFFFFF"/>
            <w:vAlign w:val="center"/>
          </w:tcPr>
          <w:p w14:paraId="35EF0DB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3</w:t>
            </w:r>
          </w:p>
        </w:tc>
        <w:tc>
          <w:tcPr>
            <w:tcW w:w="1152" w:type="dxa"/>
            <w:gridSpan w:val="2"/>
            <w:shd w:val="clear" w:color="auto" w:fill="FFFFFF"/>
            <w:vAlign w:val="center"/>
          </w:tcPr>
          <w:p w14:paraId="55ABD73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BSH017</w:t>
            </w:r>
          </w:p>
        </w:tc>
        <w:tc>
          <w:tcPr>
            <w:tcW w:w="1633" w:type="dxa"/>
            <w:gridSpan w:val="2"/>
            <w:shd w:val="clear" w:color="auto" w:fill="FFFFFF"/>
            <w:vAlign w:val="center"/>
          </w:tcPr>
          <w:p w14:paraId="3625F9E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水利水电工程等相关专业</w:t>
            </w:r>
          </w:p>
        </w:tc>
        <w:tc>
          <w:tcPr>
            <w:tcW w:w="1272" w:type="dxa"/>
            <w:gridSpan w:val="2"/>
            <w:shd w:val="clear" w:color="auto" w:fill="FFFFFF"/>
            <w:vAlign w:val="center"/>
          </w:tcPr>
          <w:p w14:paraId="1F4AE5F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continue"/>
            <w:shd w:val="clear" w:color="auto" w:fill="FFFFFF"/>
            <w:vAlign w:val="center"/>
          </w:tcPr>
          <w:p w14:paraId="552C423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3AC8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6AE322A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5D10EED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37106D5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51D3D89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E38C5C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5AABE74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7CB91D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44A4DFC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01D7E6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等要求</w:t>
            </w:r>
          </w:p>
        </w:tc>
      </w:tr>
      <w:tr w14:paraId="7E30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17CDE45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工程数值仿真研究（工程地质方向）</w:t>
            </w:r>
          </w:p>
        </w:tc>
        <w:tc>
          <w:tcPr>
            <w:tcW w:w="1116" w:type="dxa"/>
            <w:gridSpan w:val="2"/>
            <w:shd w:val="clear" w:color="auto" w:fill="FFFFFF"/>
            <w:vAlign w:val="center"/>
          </w:tcPr>
          <w:p w14:paraId="45D4CB4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B80441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BSH018</w:t>
            </w:r>
          </w:p>
        </w:tc>
        <w:tc>
          <w:tcPr>
            <w:tcW w:w="1633" w:type="dxa"/>
            <w:gridSpan w:val="2"/>
            <w:shd w:val="clear" w:color="auto" w:fill="FFFFFF"/>
            <w:vAlign w:val="center"/>
          </w:tcPr>
          <w:p w14:paraId="4357049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工程地质等相关专业</w:t>
            </w:r>
          </w:p>
        </w:tc>
        <w:tc>
          <w:tcPr>
            <w:tcW w:w="1272" w:type="dxa"/>
            <w:gridSpan w:val="2"/>
            <w:shd w:val="clear" w:color="auto" w:fill="FFFFFF"/>
            <w:vAlign w:val="center"/>
          </w:tcPr>
          <w:p w14:paraId="272612F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w:t>
            </w:r>
            <w:r>
              <w:rPr>
                <w:rFonts w:hint="default" w:ascii="Times New Roman" w:hAnsi="Times New Roman" w:cs="Times New Roman" w:eastAsiaTheme="minorEastAsia"/>
                <w:kern w:val="0"/>
                <w:sz w:val="21"/>
                <w:szCs w:val="21"/>
                <w:lang w:bidi="ar"/>
              </w:rPr>
              <w:t>0</w:t>
            </w:r>
          </w:p>
        </w:tc>
        <w:tc>
          <w:tcPr>
            <w:tcW w:w="1880" w:type="dxa"/>
            <w:vMerge w:val="restart"/>
            <w:shd w:val="clear" w:color="auto" w:fill="FFFFFF"/>
            <w:vAlign w:val="center"/>
          </w:tcPr>
          <w:p w14:paraId="185CA90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w:t>
            </w:r>
            <w:r>
              <w:rPr>
                <w:rFonts w:hint="default" w:ascii="Times New Roman" w:hAnsi="Times New Roman" w:cs="Times New Roman" w:eastAsiaTheme="minorEastAsia"/>
                <w:kern w:val="0"/>
                <w:sz w:val="21"/>
                <w:szCs w:val="21"/>
                <w:lang w:bidi="ar"/>
              </w:rPr>
              <w:t>85</w:t>
            </w:r>
            <w:r>
              <w:rPr>
                <w:rFonts w:hint="eastAsia" w:ascii="Times New Roman" w:hAnsi="Times New Roman" w:cs="Times New Roman" w:eastAsiaTheme="minorEastAsia"/>
                <w:kern w:val="0"/>
                <w:sz w:val="21"/>
                <w:szCs w:val="21"/>
                <w:lang w:bidi="ar"/>
              </w:rPr>
              <w:t>/</w:t>
            </w:r>
            <w:r>
              <w:rPr>
                <w:rFonts w:hint="default" w:ascii="Times New Roman" w:hAnsi="Times New Roman" w:cs="Times New Roman" w:eastAsiaTheme="minorEastAsia"/>
                <w:kern w:val="0"/>
                <w:sz w:val="21"/>
                <w:szCs w:val="21"/>
                <w:lang w:bidi="ar"/>
              </w:rPr>
              <w:t>211</w:t>
            </w:r>
            <w:r>
              <w:rPr>
                <w:rFonts w:hint="eastAsia" w:ascii="Times New Roman" w:hAnsi="Times New Roman" w:cs="Times New Roman" w:eastAsiaTheme="minorEastAsia"/>
                <w:kern w:val="0"/>
                <w:sz w:val="21"/>
                <w:szCs w:val="21"/>
                <w:lang w:bidi="ar"/>
              </w:rPr>
              <w:t>或双一流高校</w:t>
            </w:r>
          </w:p>
        </w:tc>
      </w:tr>
      <w:tr w14:paraId="1C1D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2BFAE3F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某重点梯级电站/抽蓄/空气压缩储能 岩石试验与计算</w:t>
            </w:r>
          </w:p>
        </w:tc>
        <w:tc>
          <w:tcPr>
            <w:tcW w:w="1116" w:type="dxa"/>
            <w:gridSpan w:val="2"/>
            <w:shd w:val="clear" w:color="auto" w:fill="FFFFFF"/>
            <w:vAlign w:val="center"/>
          </w:tcPr>
          <w:p w14:paraId="6724E2C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1A09285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BSH019</w:t>
            </w:r>
          </w:p>
        </w:tc>
        <w:tc>
          <w:tcPr>
            <w:tcW w:w="1633" w:type="dxa"/>
            <w:gridSpan w:val="2"/>
            <w:shd w:val="clear" w:color="auto" w:fill="FFFFFF"/>
            <w:vAlign w:val="center"/>
          </w:tcPr>
          <w:p w14:paraId="3DE16D5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岩土工程</w:t>
            </w:r>
          </w:p>
        </w:tc>
        <w:tc>
          <w:tcPr>
            <w:tcW w:w="1272" w:type="dxa"/>
            <w:gridSpan w:val="2"/>
            <w:shd w:val="clear" w:color="auto" w:fill="FFFFFF"/>
            <w:vAlign w:val="center"/>
          </w:tcPr>
          <w:p w14:paraId="4BD5152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vMerge w:val="continue"/>
            <w:shd w:val="clear" w:color="auto" w:fill="FFFFFF"/>
            <w:vAlign w:val="center"/>
          </w:tcPr>
          <w:p w14:paraId="78BDAA0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3086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04A9E1F8">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引水防沙关键技术研究</w:t>
            </w:r>
          </w:p>
        </w:tc>
        <w:tc>
          <w:tcPr>
            <w:tcW w:w="1116" w:type="dxa"/>
            <w:gridSpan w:val="2"/>
            <w:shd w:val="clear" w:color="auto" w:fill="FFFFFF"/>
            <w:vAlign w:val="center"/>
          </w:tcPr>
          <w:p w14:paraId="7A9B48C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F3B3C1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BSH020</w:t>
            </w:r>
          </w:p>
        </w:tc>
        <w:tc>
          <w:tcPr>
            <w:tcW w:w="1633" w:type="dxa"/>
            <w:gridSpan w:val="2"/>
            <w:shd w:val="clear" w:color="auto" w:fill="FFFFFF"/>
            <w:vAlign w:val="center"/>
          </w:tcPr>
          <w:p w14:paraId="67F774B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水力学河流动力学</w:t>
            </w:r>
          </w:p>
        </w:tc>
        <w:tc>
          <w:tcPr>
            <w:tcW w:w="1272" w:type="dxa"/>
            <w:gridSpan w:val="2"/>
            <w:shd w:val="clear" w:color="auto" w:fill="FFFFFF"/>
            <w:vAlign w:val="center"/>
          </w:tcPr>
          <w:p w14:paraId="08FD0DD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vMerge w:val="continue"/>
            <w:shd w:val="clear" w:color="auto" w:fill="FFFFFF"/>
            <w:vAlign w:val="center"/>
          </w:tcPr>
          <w:p w14:paraId="1F7379D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06BF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5225FA8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工程安全监测及安全评价关键技术研究</w:t>
            </w:r>
          </w:p>
        </w:tc>
        <w:tc>
          <w:tcPr>
            <w:tcW w:w="1116" w:type="dxa"/>
            <w:gridSpan w:val="2"/>
            <w:shd w:val="clear" w:color="auto" w:fill="FFFFFF"/>
            <w:vAlign w:val="center"/>
          </w:tcPr>
          <w:p w14:paraId="6C94827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8D7FF0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BSH021</w:t>
            </w:r>
          </w:p>
        </w:tc>
        <w:tc>
          <w:tcPr>
            <w:tcW w:w="1633" w:type="dxa"/>
            <w:gridSpan w:val="2"/>
            <w:shd w:val="clear" w:color="auto" w:fill="FFFFFF"/>
            <w:vAlign w:val="center"/>
          </w:tcPr>
          <w:p w14:paraId="00A200E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水工结构</w:t>
            </w:r>
          </w:p>
        </w:tc>
        <w:tc>
          <w:tcPr>
            <w:tcW w:w="1272" w:type="dxa"/>
            <w:gridSpan w:val="2"/>
            <w:shd w:val="clear" w:color="auto" w:fill="FFFFFF"/>
            <w:vAlign w:val="center"/>
          </w:tcPr>
          <w:p w14:paraId="2893568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vMerge w:val="continue"/>
            <w:shd w:val="clear" w:color="auto" w:fill="FFFFFF"/>
            <w:vAlign w:val="center"/>
          </w:tcPr>
          <w:p w14:paraId="46ACB73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13CE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318A64E3">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岩土参数相关性研究</w:t>
            </w:r>
          </w:p>
        </w:tc>
        <w:tc>
          <w:tcPr>
            <w:tcW w:w="1116" w:type="dxa"/>
            <w:gridSpan w:val="2"/>
            <w:shd w:val="clear" w:color="auto" w:fill="FFFFFF"/>
            <w:vAlign w:val="center"/>
          </w:tcPr>
          <w:p w14:paraId="23AB8B0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82AA59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BSH022</w:t>
            </w:r>
          </w:p>
        </w:tc>
        <w:tc>
          <w:tcPr>
            <w:tcW w:w="1633" w:type="dxa"/>
            <w:gridSpan w:val="2"/>
            <w:shd w:val="clear" w:color="auto" w:fill="FFFFFF"/>
            <w:vAlign w:val="center"/>
          </w:tcPr>
          <w:p w14:paraId="090673F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岩土工程</w:t>
            </w:r>
          </w:p>
        </w:tc>
        <w:tc>
          <w:tcPr>
            <w:tcW w:w="1272" w:type="dxa"/>
            <w:gridSpan w:val="2"/>
            <w:shd w:val="clear" w:color="auto" w:fill="FFFFFF"/>
            <w:vAlign w:val="center"/>
          </w:tcPr>
          <w:p w14:paraId="7119DE1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vMerge w:val="continue"/>
            <w:shd w:val="clear" w:color="auto" w:fill="FFFFFF"/>
            <w:vAlign w:val="center"/>
          </w:tcPr>
          <w:p w14:paraId="7E6C0B2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p>
        </w:tc>
      </w:tr>
      <w:tr w14:paraId="6581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4" w:hRule="atLeast"/>
          <w:jc w:val="center"/>
        </w:trPr>
        <w:tc>
          <w:tcPr>
            <w:tcW w:w="2602" w:type="dxa"/>
            <w:gridSpan w:val="2"/>
            <w:shd w:val="clear" w:color="auto" w:fill="FFFFFF"/>
            <w:noWrap/>
            <w:vAlign w:val="center"/>
          </w:tcPr>
          <w:p w14:paraId="4698247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某重点水电站</w:t>
            </w:r>
          </w:p>
        </w:tc>
        <w:tc>
          <w:tcPr>
            <w:tcW w:w="1116" w:type="dxa"/>
            <w:gridSpan w:val="2"/>
            <w:shd w:val="clear" w:color="auto" w:fill="FFFFFF"/>
            <w:vAlign w:val="center"/>
          </w:tcPr>
          <w:p w14:paraId="7BE3D11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644CFBF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bidi="ar"/>
              </w:rPr>
              <w:t>BSH023</w:t>
            </w:r>
          </w:p>
        </w:tc>
        <w:tc>
          <w:tcPr>
            <w:tcW w:w="1633" w:type="dxa"/>
            <w:gridSpan w:val="2"/>
            <w:shd w:val="clear" w:color="auto" w:fill="FFFFFF"/>
            <w:vAlign w:val="center"/>
          </w:tcPr>
          <w:p w14:paraId="3AD5BA73">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水利水电工程专业、水工结构专业</w:t>
            </w:r>
          </w:p>
        </w:tc>
        <w:tc>
          <w:tcPr>
            <w:tcW w:w="1272" w:type="dxa"/>
            <w:gridSpan w:val="2"/>
            <w:shd w:val="clear" w:color="auto" w:fill="FFFFFF"/>
            <w:vAlign w:val="center"/>
          </w:tcPr>
          <w:p w14:paraId="1941514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120</w:t>
            </w:r>
          </w:p>
        </w:tc>
        <w:tc>
          <w:tcPr>
            <w:tcW w:w="1880" w:type="dxa"/>
            <w:shd w:val="clear" w:color="auto" w:fill="FFFFFF"/>
            <w:vAlign w:val="center"/>
          </w:tcPr>
          <w:p w14:paraId="32A6043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四川大学、武汉大学、天津大学、河海大学、大连理工大学等高校水利水电和水工结构相关专业毕业者优先，具有强震区深厚覆盖层高土石坝变形分析及其反演分析、分布式光纤技术及其结构大变形适应性研究和高土石坝安全监控指标技术分析与项目应用经历，沟通能力与逻辑思维能力强。 </w:t>
            </w:r>
          </w:p>
        </w:tc>
      </w:tr>
      <w:tr w14:paraId="0DF0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22706D8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4746646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57A88C1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6D86EFD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7F23B5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096F24F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0285D8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4D8FC04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ACDF4F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等要求</w:t>
            </w:r>
          </w:p>
        </w:tc>
      </w:tr>
      <w:tr w14:paraId="3D68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jc w:val="center"/>
        </w:trPr>
        <w:tc>
          <w:tcPr>
            <w:tcW w:w="2602" w:type="dxa"/>
            <w:gridSpan w:val="2"/>
            <w:shd w:val="clear" w:color="auto" w:fill="FFFFFF"/>
            <w:noWrap/>
            <w:vAlign w:val="center"/>
          </w:tcPr>
          <w:p w14:paraId="56EA252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某国家重点项目</w:t>
            </w:r>
          </w:p>
        </w:tc>
        <w:tc>
          <w:tcPr>
            <w:tcW w:w="1116" w:type="dxa"/>
            <w:gridSpan w:val="2"/>
            <w:shd w:val="clear" w:color="auto" w:fill="FFFFFF"/>
            <w:vAlign w:val="center"/>
          </w:tcPr>
          <w:p w14:paraId="30A1E44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5080B3E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BSH024</w:t>
            </w:r>
          </w:p>
        </w:tc>
        <w:tc>
          <w:tcPr>
            <w:tcW w:w="1633" w:type="dxa"/>
            <w:gridSpan w:val="2"/>
            <w:shd w:val="clear" w:color="auto" w:fill="FFFFFF"/>
            <w:vAlign w:val="center"/>
          </w:tcPr>
          <w:p w14:paraId="406C6F0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智能建造专业</w:t>
            </w:r>
          </w:p>
        </w:tc>
        <w:tc>
          <w:tcPr>
            <w:tcW w:w="1272" w:type="dxa"/>
            <w:gridSpan w:val="2"/>
            <w:shd w:val="clear" w:color="auto" w:fill="FFFFFF"/>
            <w:vAlign w:val="center"/>
          </w:tcPr>
          <w:p w14:paraId="181B34F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576F327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985/211或双一流高校，武汉大学、天津大学等高校智能建造相关专业毕业者优先，具有工程建造数字化、智能化研究与项目应用经历，沟通能力与逻辑思维能力强。</w:t>
            </w:r>
          </w:p>
        </w:tc>
      </w:tr>
      <w:tr w14:paraId="12B8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6" w:hRule="atLeast"/>
          <w:jc w:val="center"/>
        </w:trPr>
        <w:tc>
          <w:tcPr>
            <w:tcW w:w="2602" w:type="dxa"/>
            <w:gridSpan w:val="2"/>
            <w:shd w:val="clear" w:color="auto" w:fill="FFFFFF"/>
            <w:noWrap/>
            <w:vAlign w:val="center"/>
          </w:tcPr>
          <w:p w14:paraId="38E7CD2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某国家重点项目</w:t>
            </w:r>
          </w:p>
        </w:tc>
        <w:tc>
          <w:tcPr>
            <w:tcW w:w="1116" w:type="dxa"/>
            <w:gridSpan w:val="2"/>
            <w:shd w:val="clear" w:color="auto" w:fill="FFFFFF"/>
            <w:vAlign w:val="center"/>
          </w:tcPr>
          <w:p w14:paraId="14DB6A0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49641D4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BSH025</w:t>
            </w:r>
          </w:p>
        </w:tc>
        <w:tc>
          <w:tcPr>
            <w:tcW w:w="1633" w:type="dxa"/>
            <w:gridSpan w:val="2"/>
            <w:shd w:val="clear" w:color="auto" w:fill="FFFFFF"/>
            <w:vAlign w:val="center"/>
          </w:tcPr>
          <w:p w14:paraId="6B8BB0A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地下洞室群通风</w:t>
            </w:r>
          </w:p>
        </w:tc>
        <w:tc>
          <w:tcPr>
            <w:tcW w:w="1272" w:type="dxa"/>
            <w:gridSpan w:val="2"/>
            <w:shd w:val="clear" w:color="auto" w:fill="FFFFFF"/>
            <w:vAlign w:val="center"/>
          </w:tcPr>
          <w:p w14:paraId="29AA6A4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14728B9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985/211或双一流高校，武汉大学、天津大学、三峡大学等高校水利水电相关专业毕业者优先，具有工程通风研究与项目应用经历，沟通能力与逻辑思维能力强。 </w:t>
            </w:r>
          </w:p>
        </w:tc>
      </w:tr>
      <w:tr w14:paraId="6D84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2602" w:type="dxa"/>
            <w:gridSpan w:val="2"/>
            <w:shd w:val="clear" w:color="auto" w:fill="FFFFFF"/>
            <w:noWrap/>
            <w:vAlign w:val="center"/>
          </w:tcPr>
          <w:p w14:paraId="3A07870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某国家重点项目</w:t>
            </w:r>
          </w:p>
        </w:tc>
        <w:tc>
          <w:tcPr>
            <w:tcW w:w="1116" w:type="dxa"/>
            <w:gridSpan w:val="2"/>
            <w:shd w:val="clear" w:color="auto" w:fill="FFFFFF"/>
            <w:vAlign w:val="center"/>
          </w:tcPr>
          <w:p w14:paraId="7E054E8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5D91FEA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BSH026</w:t>
            </w:r>
          </w:p>
        </w:tc>
        <w:tc>
          <w:tcPr>
            <w:tcW w:w="1633" w:type="dxa"/>
            <w:gridSpan w:val="2"/>
            <w:shd w:val="clear" w:color="auto" w:fill="FFFFFF"/>
            <w:vAlign w:val="center"/>
          </w:tcPr>
          <w:p w14:paraId="6623F22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大数据管理与应用、智能建造、工程造价</w:t>
            </w:r>
          </w:p>
        </w:tc>
        <w:tc>
          <w:tcPr>
            <w:tcW w:w="1272" w:type="dxa"/>
            <w:gridSpan w:val="2"/>
            <w:shd w:val="clear" w:color="auto" w:fill="FFFFFF"/>
            <w:vAlign w:val="center"/>
          </w:tcPr>
          <w:p w14:paraId="1A6E2D7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323EB27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985/211或双一流高校；具有大数据管理与应用、智能建造相关项目经历或技术成果优先，沟通能力与逻辑思维能力强。 </w:t>
            </w:r>
          </w:p>
        </w:tc>
      </w:tr>
      <w:tr w14:paraId="7A6C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2602" w:type="dxa"/>
            <w:gridSpan w:val="2"/>
            <w:shd w:val="clear" w:color="auto" w:fill="FFFFFF"/>
            <w:noWrap/>
            <w:vAlign w:val="center"/>
          </w:tcPr>
          <w:p w14:paraId="206DD4A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超前地质预报、岩爆预警技术及装备研发</w:t>
            </w:r>
          </w:p>
        </w:tc>
        <w:tc>
          <w:tcPr>
            <w:tcW w:w="1116" w:type="dxa"/>
            <w:gridSpan w:val="2"/>
            <w:shd w:val="clear" w:color="auto" w:fill="FFFFFF"/>
            <w:vAlign w:val="center"/>
          </w:tcPr>
          <w:p w14:paraId="7130806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3</w:t>
            </w:r>
          </w:p>
        </w:tc>
        <w:tc>
          <w:tcPr>
            <w:tcW w:w="1152" w:type="dxa"/>
            <w:gridSpan w:val="2"/>
            <w:shd w:val="clear" w:color="auto" w:fill="FFFFFF"/>
            <w:vAlign w:val="center"/>
          </w:tcPr>
          <w:p w14:paraId="758C3D0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BSH027</w:t>
            </w:r>
          </w:p>
        </w:tc>
        <w:tc>
          <w:tcPr>
            <w:tcW w:w="1633" w:type="dxa"/>
            <w:gridSpan w:val="2"/>
            <w:shd w:val="clear" w:color="auto" w:fill="FFFFFF"/>
            <w:vAlign w:val="center"/>
          </w:tcPr>
          <w:p w14:paraId="2E090662">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地质资源与地质工程、土木工程、地球物理学</w:t>
            </w:r>
          </w:p>
        </w:tc>
        <w:tc>
          <w:tcPr>
            <w:tcW w:w="1272" w:type="dxa"/>
            <w:gridSpan w:val="2"/>
            <w:shd w:val="clear" w:color="auto" w:fill="FFFFFF"/>
            <w:vAlign w:val="center"/>
          </w:tcPr>
          <w:p w14:paraId="51015B2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61FC5EE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985/211或双一流高校，四川大学、中国地质大学（武汉）、中国地质大学（北京）、成都理工大学、山东大学等</w:t>
            </w:r>
          </w:p>
        </w:tc>
      </w:tr>
      <w:tr w14:paraId="5F48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2602" w:type="dxa"/>
            <w:gridSpan w:val="2"/>
            <w:shd w:val="clear" w:color="auto" w:fill="FFFFFF"/>
            <w:noWrap/>
            <w:vAlign w:val="center"/>
          </w:tcPr>
          <w:p w14:paraId="6752768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深地工程岩石力学与灾变机理研究</w:t>
            </w:r>
          </w:p>
        </w:tc>
        <w:tc>
          <w:tcPr>
            <w:tcW w:w="1116" w:type="dxa"/>
            <w:gridSpan w:val="2"/>
            <w:shd w:val="clear" w:color="auto" w:fill="FFFFFF"/>
            <w:vAlign w:val="center"/>
          </w:tcPr>
          <w:p w14:paraId="65353C1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02B6CCE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BSH028</w:t>
            </w:r>
          </w:p>
        </w:tc>
        <w:tc>
          <w:tcPr>
            <w:tcW w:w="1633" w:type="dxa"/>
            <w:gridSpan w:val="2"/>
            <w:shd w:val="clear" w:color="auto" w:fill="FFFFFF"/>
            <w:vAlign w:val="center"/>
          </w:tcPr>
          <w:p w14:paraId="11D6A4D9">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地质资源与地质工程、土木工程</w:t>
            </w:r>
          </w:p>
        </w:tc>
        <w:tc>
          <w:tcPr>
            <w:tcW w:w="1272" w:type="dxa"/>
            <w:gridSpan w:val="2"/>
            <w:shd w:val="clear" w:color="auto" w:fill="FFFFFF"/>
            <w:vAlign w:val="center"/>
          </w:tcPr>
          <w:p w14:paraId="29B73EC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7DE9A06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985/211或双一流高校，四川大学、中国地质大学（武汉）、河海大学、成都理工大学、中国地质大学（北京）、东北大学、西南交通大学等</w:t>
            </w:r>
          </w:p>
        </w:tc>
      </w:tr>
      <w:tr w14:paraId="736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403EF23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FC7C31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271C26E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2D62729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508C5E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2E127EC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778194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08B07A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AD9D2B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等要求</w:t>
            </w:r>
          </w:p>
        </w:tc>
      </w:tr>
      <w:tr w14:paraId="111A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6E77CAD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水库边坡长期变形与稳定性研究</w:t>
            </w:r>
          </w:p>
        </w:tc>
        <w:tc>
          <w:tcPr>
            <w:tcW w:w="1116" w:type="dxa"/>
            <w:gridSpan w:val="2"/>
            <w:shd w:val="clear" w:color="auto" w:fill="FFFFFF"/>
            <w:vAlign w:val="center"/>
          </w:tcPr>
          <w:p w14:paraId="6468F15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447693D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BSH029</w:t>
            </w:r>
          </w:p>
        </w:tc>
        <w:tc>
          <w:tcPr>
            <w:tcW w:w="1633" w:type="dxa"/>
            <w:gridSpan w:val="2"/>
            <w:shd w:val="clear" w:color="auto" w:fill="FFFFFF"/>
            <w:vAlign w:val="center"/>
          </w:tcPr>
          <w:p w14:paraId="5281925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地质资源与地质工程、土木工程</w:t>
            </w:r>
          </w:p>
        </w:tc>
        <w:tc>
          <w:tcPr>
            <w:tcW w:w="1272" w:type="dxa"/>
            <w:gridSpan w:val="2"/>
            <w:shd w:val="clear" w:color="auto" w:fill="FFFFFF"/>
            <w:vAlign w:val="center"/>
          </w:tcPr>
          <w:p w14:paraId="6FD700B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58AC3712">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985/211或双一流高校，中国地质大学（武汉）、河海大学、成都理工大学等</w:t>
            </w:r>
          </w:p>
        </w:tc>
      </w:tr>
      <w:tr w14:paraId="5F7E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107518F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工程地质信息化研究</w:t>
            </w:r>
          </w:p>
        </w:tc>
        <w:tc>
          <w:tcPr>
            <w:tcW w:w="1116" w:type="dxa"/>
            <w:gridSpan w:val="2"/>
            <w:shd w:val="clear" w:color="auto" w:fill="FFFFFF"/>
            <w:vAlign w:val="center"/>
          </w:tcPr>
          <w:p w14:paraId="4C9AF52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6C5B45F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BSH030</w:t>
            </w:r>
          </w:p>
        </w:tc>
        <w:tc>
          <w:tcPr>
            <w:tcW w:w="1633" w:type="dxa"/>
            <w:gridSpan w:val="2"/>
            <w:shd w:val="clear" w:color="auto" w:fill="FFFFFF"/>
            <w:vAlign w:val="center"/>
          </w:tcPr>
          <w:p w14:paraId="13A960D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地质资源与地质工程、土木工程</w:t>
            </w:r>
          </w:p>
        </w:tc>
        <w:tc>
          <w:tcPr>
            <w:tcW w:w="1272" w:type="dxa"/>
            <w:gridSpan w:val="2"/>
            <w:shd w:val="clear" w:color="auto" w:fill="FFFFFF"/>
            <w:vAlign w:val="center"/>
          </w:tcPr>
          <w:p w14:paraId="377F7E1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78F699E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985/211或双一流高校，中国地质大学（武汉）、河海大学、成都理工大学、吉林大学等</w:t>
            </w:r>
          </w:p>
        </w:tc>
      </w:tr>
      <w:tr w14:paraId="05A9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7DC69C8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高寒高海拔地质灾害勘察与防治技术研究</w:t>
            </w:r>
          </w:p>
        </w:tc>
        <w:tc>
          <w:tcPr>
            <w:tcW w:w="1116" w:type="dxa"/>
            <w:gridSpan w:val="2"/>
            <w:shd w:val="clear" w:color="auto" w:fill="FFFFFF"/>
            <w:vAlign w:val="center"/>
          </w:tcPr>
          <w:p w14:paraId="3AB3B85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7901E08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BSH031</w:t>
            </w:r>
          </w:p>
        </w:tc>
        <w:tc>
          <w:tcPr>
            <w:tcW w:w="1633" w:type="dxa"/>
            <w:gridSpan w:val="2"/>
            <w:shd w:val="clear" w:color="auto" w:fill="FFFFFF"/>
            <w:vAlign w:val="center"/>
          </w:tcPr>
          <w:p w14:paraId="02A62A82">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地质资源与地质工程、土木工程</w:t>
            </w:r>
          </w:p>
        </w:tc>
        <w:tc>
          <w:tcPr>
            <w:tcW w:w="1272" w:type="dxa"/>
            <w:gridSpan w:val="2"/>
            <w:shd w:val="clear" w:color="auto" w:fill="FFFFFF"/>
            <w:vAlign w:val="center"/>
          </w:tcPr>
          <w:p w14:paraId="15328C9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1D0E91A2">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985/211或双一流高校，中国地质大学（武汉）、河海大学、成都理工大学、西南交通大学等</w:t>
            </w:r>
          </w:p>
        </w:tc>
      </w:tr>
      <w:tr w14:paraId="5E07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6FD63E07">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深厚覆盖层精细化勘察与工程特性研究</w:t>
            </w:r>
          </w:p>
        </w:tc>
        <w:tc>
          <w:tcPr>
            <w:tcW w:w="1116" w:type="dxa"/>
            <w:gridSpan w:val="2"/>
            <w:shd w:val="clear" w:color="auto" w:fill="FFFFFF"/>
            <w:vAlign w:val="center"/>
          </w:tcPr>
          <w:p w14:paraId="1676772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EC363A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BSH032</w:t>
            </w:r>
          </w:p>
        </w:tc>
        <w:tc>
          <w:tcPr>
            <w:tcW w:w="1633" w:type="dxa"/>
            <w:gridSpan w:val="2"/>
            <w:shd w:val="clear" w:color="auto" w:fill="FFFFFF"/>
            <w:vAlign w:val="center"/>
          </w:tcPr>
          <w:p w14:paraId="58B5E748">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地质资源与地质工程</w:t>
            </w:r>
          </w:p>
        </w:tc>
        <w:tc>
          <w:tcPr>
            <w:tcW w:w="1272" w:type="dxa"/>
            <w:gridSpan w:val="2"/>
            <w:shd w:val="clear" w:color="auto" w:fill="FFFFFF"/>
            <w:vAlign w:val="center"/>
          </w:tcPr>
          <w:p w14:paraId="2CA30EE8">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p>
          <w:p w14:paraId="0E9FAC8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3778F00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985/211或双一流高校，中国地质大学（武汉）、河海大学、成都理工大学、吉林大学等 </w:t>
            </w:r>
          </w:p>
        </w:tc>
      </w:tr>
      <w:tr w14:paraId="5B18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0D4F7CE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宽级配河床水沙时空演进和河道演变关键技术研究</w:t>
            </w:r>
          </w:p>
        </w:tc>
        <w:tc>
          <w:tcPr>
            <w:tcW w:w="1116" w:type="dxa"/>
            <w:gridSpan w:val="2"/>
            <w:shd w:val="clear" w:color="auto" w:fill="FFFFFF"/>
            <w:vAlign w:val="center"/>
          </w:tcPr>
          <w:p w14:paraId="43742FD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0C9611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BSH033</w:t>
            </w:r>
          </w:p>
        </w:tc>
        <w:tc>
          <w:tcPr>
            <w:tcW w:w="1633" w:type="dxa"/>
            <w:gridSpan w:val="2"/>
            <w:shd w:val="clear" w:color="auto" w:fill="FFFFFF"/>
            <w:vAlign w:val="center"/>
          </w:tcPr>
          <w:p w14:paraId="00D2AEC9">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水力学及河流动力学</w:t>
            </w:r>
          </w:p>
        </w:tc>
        <w:tc>
          <w:tcPr>
            <w:tcW w:w="1272" w:type="dxa"/>
            <w:gridSpan w:val="2"/>
            <w:shd w:val="clear" w:color="auto" w:fill="FFFFFF"/>
            <w:vAlign w:val="center"/>
          </w:tcPr>
          <w:p w14:paraId="22CDD6B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584394E7">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清华大学、武汉大学、四川大学、河海大学等985/211或双一流高校</w:t>
            </w:r>
          </w:p>
        </w:tc>
      </w:tr>
      <w:tr w14:paraId="68CB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6B36C52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跨区域多目标协同的流域水资源配置关键技术</w:t>
            </w:r>
          </w:p>
        </w:tc>
        <w:tc>
          <w:tcPr>
            <w:tcW w:w="1116" w:type="dxa"/>
            <w:gridSpan w:val="2"/>
            <w:shd w:val="clear" w:color="auto" w:fill="FFFFFF"/>
            <w:vAlign w:val="center"/>
          </w:tcPr>
          <w:p w14:paraId="5625E24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0D5446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BSH034</w:t>
            </w:r>
          </w:p>
        </w:tc>
        <w:tc>
          <w:tcPr>
            <w:tcW w:w="1633" w:type="dxa"/>
            <w:gridSpan w:val="2"/>
            <w:shd w:val="clear" w:color="auto" w:fill="FFFFFF"/>
            <w:vAlign w:val="center"/>
          </w:tcPr>
          <w:p w14:paraId="0B66613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水文与水资源</w:t>
            </w:r>
          </w:p>
        </w:tc>
        <w:tc>
          <w:tcPr>
            <w:tcW w:w="1272" w:type="dxa"/>
            <w:gridSpan w:val="2"/>
            <w:shd w:val="clear" w:color="auto" w:fill="FFFFFF"/>
            <w:vAlign w:val="center"/>
          </w:tcPr>
          <w:p w14:paraId="1E85F45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3A52348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清华大学、武汉大学、四川大学、河海大学等985/211或双一流高校</w:t>
            </w:r>
          </w:p>
        </w:tc>
      </w:tr>
      <w:tr w14:paraId="6713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0D22DEC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新型电力系统下各类电源多场景协同运行及其作用价值研究</w:t>
            </w:r>
          </w:p>
        </w:tc>
        <w:tc>
          <w:tcPr>
            <w:tcW w:w="1116" w:type="dxa"/>
            <w:gridSpan w:val="2"/>
            <w:shd w:val="clear" w:color="auto" w:fill="FFFFFF"/>
            <w:vAlign w:val="center"/>
          </w:tcPr>
          <w:p w14:paraId="01286DC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88C573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BSH035</w:t>
            </w:r>
          </w:p>
        </w:tc>
        <w:tc>
          <w:tcPr>
            <w:tcW w:w="1633" w:type="dxa"/>
            <w:gridSpan w:val="2"/>
            <w:shd w:val="clear" w:color="auto" w:fill="FFFFFF"/>
            <w:vAlign w:val="center"/>
          </w:tcPr>
          <w:p w14:paraId="65895A0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水文学及水资源工程、电力系统及其自动化</w:t>
            </w:r>
          </w:p>
        </w:tc>
        <w:tc>
          <w:tcPr>
            <w:tcW w:w="1272" w:type="dxa"/>
            <w:gridSpan w:val="2"/>
            <w:shd w:val="clear" w:color="auto" w:fill="FFFFFF"/>
            <w:vAlign w:val="center"/>
          </w:tcPr>
          <w:p w14:paraId="790E188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4FED2E4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华中科技大学、大连理工大学、武汉大学、西北农林科技大学、西安理工大学等985/211或双一流高校</w:t>
            </w:r>
          </w:p>
        </w:tc>
      </w:tr>
      <w:tr w14:paraId="7FC9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602" w:type="dxa"/>
            <w:gridSpan w:val="2"/>
            <w:shd w:val="clear" w:color="auto" w:fill="FFFFFF"/>
            <w:noWrap/>
            <w:vAlign w:val="center"/>
          </w:tcPr>
          <w:p w14:paraId="787AC3D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包含混合式抽水蓄能电站的梯级水电与新能源联合运行方式研究</w:t>
            </w:r>
          </w:p>
        </w:tc>
        <w:tc>
          <w:tcPr>
            <w:tcW w:w="1116" w:type="dxa"/>
            <w:gridSpan w:val="2"/>
            <w:shd w:val="clear" w:color="auto" w:fill="FFFFFF"/>
            <w:vAlign w:val="center"/>
          </w:tcPr>
          <w:p w14:paraId="623C5C5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817049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BSH036</w:t>
            </w:r>
          </w:p>
        </w:tc>
        <w:tc>
          <w:tcPr>
            <w:tcW w:w="1633" w:type="dxa"/>
            <w:gridSpan w:val="2"/>
            <w:shd w:val="clear" w:color="auto" w:fill="FFFFFF"/>
            <w:vAlign w:val="center"/>
          </w:tcPr>
          <w:p w14:paraId="26319F1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水文学及水资源工程、电力系统及其自动化</w:t>
            </w:r>
          </w:p>
        </w:tc>
        <w:tc>
          <w:tcPr>
            <w:tcW w:w="1272" w:type="dxa"/>
            <w:gridSpan w:val="2"/>
            <w:shd w:val="clear" w:color="auto" w:fill="FFFFFF"/>
            <w:vAlign w:val="center"/>
          </w:tcPr>
          <w:p w14:paraId="40A632A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6EA55D8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华中科技大学、大连理工大学、武汉大学、西北农林科技大学、西安理工大学等985/211或双一流高校</w:t>
            </w:r>
          </w:p>
        </w:tc>
      </w:tr>
      <w:tr w14:paraId="7E0A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079B98C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0ACC83C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172599E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4FE69EE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B3B8BE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32AD1D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F91AE8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12671D8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F7EA95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bidi="ar"/>
              </w:rPr>
            </w:pPr>
            <w:r>
              <w:rPr>
                <w:rFonts w:eastAsiaTheme="minorEastAsia"/>
                <w:b/>
                <w:bCs/>
                <w:sz w:val="21"/>
                <w:szCs w:val="21"/>
              </w:rPr>
              <w:t>等要求</w:t>
            </w:r>
          </w:p>
        </w:tc>
      </w:tr>
      <w:tr w14:paraId="4087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0678B39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川藏高寒高海拔流域水文气象数据挖掘与产汇流机理研究</w:t>
            </w:r>
          </w:p>
        </w:tc>
        <w:tc>
          <w:tcPr>
            <w:tcW w:w="1116" w:type="dxa"/>
            <w:gridSpan w:val="2"/>
            <w:shd w:val="clear" w:color="auto" w:fill="FFFFFF"/>
            <w:vAlign w:val="center"/>
          </w:tcPr>
          <w:p w14:paraId="749F2A3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E469FA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BSH037</w:t>
            </w:r>
          </w:p>
        </w:tc>
        <w:tc>
          <w:tcPr>
            <w:tcW w:w="1633" w:type="dxa"/>
            <w:gridSpan w:val="2"/>
            <w:shd w:val="clear" w:color="auto" w:fill="FFFFFF"/>
            <w:vAlign w:val="center"/>
          </w:tcPr>
          <w:p w14:paraId="6D2007D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水文学及水资源</w:t>
            </w:r>
          </w:p>
        </w:tc>
        <w:tc>
          <w:tcPr>
            <w:tcW w:w="1272" w:type="dxa"/>
            <w:gridSpan w:val="2"/>
            <w:shd w:val="clear" w:color="auto" w:fill="FFFFFF"/>
            <w:vAlign w:val="center"/>
          </w:tcPr>
          <w:p w14:paraId="6EBFFFF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vMerge w:val="restart"/>
            <w:shd w:val="clear" w:color="auto" w:fill="FFFFFF"/>
            <w:vAlign w:val="center"/>
          </w:tcPr>
          <w:p w14:paraId="47939BE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985/211或双一流高校、水科院等重点科研院所</w:t>
            </w:r>
          </w:p>
        </w:tc>
      </w:tr>
      <w:tr w14:paraId="48EF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5E2CFCF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基于大数据和AI的高精度水文气象耦合预报模型及应用研究</w:t>
            </w:r>
          </w:p>
        </w:tc>
        <w:tc>
          <w:tcPr>
            <w:tcW w:w="1116" w:type="dxa"/>
            <w:gridSpan w:val="2"/>
            <w:shd w:val="clear" w:color="auto" w:fill="FFFFFF"/>
            <w:vAlign w:val="center"/>
          </w:tcPr>
          <w:p w14:paraId="18C5ECE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8823A2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BSH038</w:t>
            </w:r>
          </w:p>
        </w:tc>
        <w:tc>
          <w:tcPr>
            <w:tcW w:w="1633" w:type="dxa"/>
            <w:gridSpan w:val="2"/>
            <w:shd w:val="clear" w:color="auto" w:fill="FFFFFF"/>
            <w:vAlign w:val="center"/>
          </w:tcPr>
          <w:p w14:paraId="57A58F8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水文学及水资源、智慧水利、水利信息化</w:t>
            </w:r>
          </w:p>
        </w:tc>
        <w:tc>
          <w:tcPr>
            <w:tcW w:w="1272" w:type="dxa"/>
            <w:gridSpan w:val="2"/>
            <w:shd w:val="clear" w:color="auto" w:fill="FFFFFF"/>
            <w:vAlign w:val="center"/>
          </w:tcPr>
          <w:p w14:paraId="3EBD91C7">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vMerge w:val="continue"/>
            <w:shd w:val="clear" w:color="auto" w:fill="FFFFFF"/>
            <w:vAlign w:val="center"/>
          </w:tcPr>
          <w:p w14:paraId="48A1EB3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p>
        </w:tc>
      </w:tr>
      <w:tr w14:paraId="3BA5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32BCD4C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水电站压缩空气储能科研项目</w:t>
            </w:r>
          </w:p>
        </w:tc>
        <w:tc>
          <w:tcPr>
            <w:tcW w:w="1116" w:type="dxa"/>
            <w:gridSpan w:val="2"/>
            <w:shd w:val="clear" w:color="auto" w:fill="FFFFFF"/>
            <w:vAlign w:val="center"/>
          </w:tcPr>
          <w:p w14:paraId="3ECDEE4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563A80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BSH039</w:t>
            </w:r>
          </w:p>
        </w:tc>
        <w:tc>
          <w:tcPr>
            <w:tcW w:w="1633" w:type="dxa"/>
            <w:gridSpan w:val="2"/>
            <w:shd w:val="clear" w:color="auto" w:fill="FFFFFF"/>
            <w:vAlign w:val="center"/>
          </w:tcPr>
          <w:p w14:paraId="35763E8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水工结构、材料力学</w:t>
            </w:r>
          </w:p>
        </w:tc>
        <w:tc>
          <w:tcPr>
            <w:tcW w:w="1272" w:type="dxa"/>
            <w:gridSpan w:val="2"/>
            <w:shd w:val="clear" w:color="auto" w:fill="FFFFFF"/>
            <w:vAlign w:val="center"/>
          </w:tcPr>
          <w:p w14:paraId="484A1B7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vMerge w:val="restart"/>
            <w:shd w:val="clear" w:color="auto" w:fill="FFFFFF"/>
            <w:vAlign w:val="center"/>
          </w:tcPr>
          <w:p w14:paraId="120D824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w:t>
            </w:r>
          </w:p>
        </w:tc>
      </w:tr>
      <w:tr w14:paraId="17DE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284A50F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红层地区大型抽蓄电站软质岩利用与筑坝关键技术研究</w:t>
            </w:r>
          </w:p>
        </w:tc>
        <w:tc>
          <w:tcPr>
            <w:tcW w:w="1116" w:type="dxa"/>
            <w:gridSpan w:val="2"/>
            <w:shd w:val="clear" w:color="auto" w:fill="FFFFFF"/>
            <w:vAlign w:val="center"/>
          </w:tcPr>
          <w:p w14:paraId="16A7587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758C5BC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BSH040</w:t>
            </w:r>
          </w:p>
        </w:tc>
        <w:tc>
          <w:tcPr>
            <w:tcW w:w="1633" w:type="dxa"/>
            <w:gridSpan w:val="2"/>
            <w:shd w:val="clear" w:color="auto" w:fill="FFFFFF"/>
            <w:vAlign w:val="center"/>
          </w:tcPr>
          <w:p w14:paraId="286F652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水工结构</w:t>
            </w:r>
          </w:p>
        </w:tc>
        <w:tc>
          <w:tcPr>
            <w:tcW w:w="1272" w:type="dxa"/>
            <w:gridSpan w:val="2"/>
            <w:shd w:val="clear" w:color="auto" w:fill="FFFFFF"/>
            <w:vAlign w:val="center"/>
          </w:tcPr>
          <w:p w14:paraId="648B25E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vMerge w:val="continue"/>
            <w:shd w:val="clear" w:color="auto" w:fill="FFFFFF"/>
            <w:vAlign w:val="center"/>
          </w:tcPr>
          <w:p w14:paraId="6B674C89">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p>
        </w:tc>
      </w:tr>
      <w:tr w14:paraId="461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5DDECE3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红层软质岩大型地下洞室群安全控制关键技术研究科研项目</w:t>
            </w:r>
          </w:p>
        </w:tc>
        <w:tc>
          <w:tcPr>
            <w:tcW w:w="1116" w:type="dxa"/>
            <w:gridSpan w:val="2"/>
            <w:shd w:val="clear" w:color="auto" w:fill="FFFFFF"/>
            <w:vAlign w:val="center"/>
          </w:tcPr>
          <w:p w14:paraId="2038159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390C48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BSH041</w:t>
            </w:r>
          </w:p>
        </w:tc>
        <w:tc>
          <w:tcPr>
            <w:tcW w:w="1633" w:type="dxa"/>
            <w:gridSpan w:val="2"/>
            <w:shd w:val="clear" w:color="auto" w:fill="FFFFFF"/>
            <w:vAlign w:val="center"/>
          </w:tcPr>
          <w:p w14:paraId="6A5FDC2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地质工程、岩土工程、水工结构</w:t>
            </w:r>
          </w:p>
        </w:tc>
        <w:tc>
          <w:tcPr>
            <w:tcW w:w="1272" w:type="dxa"/>
            <w:gridSpan w:val="2"/>
            <w:shd w:val="clear" w:color="auto" w:fill="FFFFFF"/>
            <w:vAlign w:val="center"/>
          </w:tcPr>
          <w:p w14:paraId="7FD2FF5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vMerge w:val="continue"/>
            <w:shd w:val="clear" w:color="auto" w:fill="FFFFFF"/>
            <w:vAlign w:val="center"/>
          </w:tcPr>
          <w:p w14:paraId="77BDF495">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p>
        </w:tc>
      </w:tr>
      <w:tr w14:paraId="1BAC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2602" w:type="dxa"/>
            <w:gridSpan w:val="2"/>
            <w:shd w:val="clear" w:color="auto" w:fill="FFFFFF"/>
            <w:noWrap/>
            <w:vAlign w:val="center"/>
          </w:tcPr>
          <w:p w14:paraId="1501478E">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堰塞湖溃坝风险评估与决策</w:t>
            </w:r>
          </w:p>
        </w:tc>
        <w:tc>
          <w:tcPr>
            <w:tcW w:w="1116" w:type="dxa"/>
            <w:gridSpan w:val="2"/>
            <w:shd w:val="clear" w:color="auto" w:fill="FFFFFF"/>
            <w:vAlign w:val="center"/>
          </w:tcPr>
          <w:p w14:paraId="68B553C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5ABAD1B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BSH042</w:t>
            </w:r>
          </w:p>
        </w:tc>
        <w:tc>
          <w:tcPr>
            <w:tcW w:w="1633" w:type="dxa"/>
            <w:gridSpan w:val="2"/>
            <w:shd w:val="clear" w:color="auto" w:fill="FFFFFF"/>
            <w:vAlign w:val="center"/>
          </w:tcPr>
          <w:p w14:paraId="5871E89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水工</w:t>
            </w:r>
          </w:p>
        </w:tc>
        <w:tc>
          <w:tcPr>
            <w:tcW w:w="1272" w:type="dxa"/>
            <w:gridSpan w:val="2"/>
            <w:shd w:val="clear" w:color="auto" w:fill="FFFFFF"/>
            <w:vAlign w:val="center"/>
          </w:tcPr>
          <w:p w14:paraId="70191DB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2432AA39">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985/211或双一流高校，河海大学、武汉大学、天津大学关专业毕业者优先，项目应用经历、沟通能力强。</w:t>
            </w:r>
          </w:p>
        </w:tc>
      </w:tr>
      <w:tr w14:paraId="6B6F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2602" w:type="dxa"/>
            <w:gridSpan w:val="2"/>
            <w:shd w:val="clear" w:color="auto" w:fill="FFFFFF"/>
            <w:noWrap/>
            <w:vAlign w:val="center"/>
          </w:tcPr>
          <w:p w14:paraId="4543D3A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工程大数据及人工智能</w:t>
            </w:r>
          </w:p>
        </w:tc>
        <w:tc>
          <w:tcPr>
            <w:tcW w:w="1116" w:type="dxa"/>
            <w:gridSpan w:val="2"/>
            <w:shd w:val="clear" w:color="auto" w:fill="FFFFFF"/>
            <w:vAlign w:val="center"/>
          </w:tcPr>
          <w:p w14:paraId="1A4983D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08E47C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BSH043</w:t>
            </w:r>
          </w:p>
        </w:tc>
        <w:tc>
          <w:tcPr>
            <w:tcW w:w="1633" w:type="dxa"/>
            <w:gridSpan w:val="2"/>
            <w:shd w:val="clear" w:color="auto" w:fill="FFFFFF"/>
            <w:vAlign w:val="center"/>
          </w:tcPr>
          <w:p w14:paraId="58195A9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智能建造专业</w:t>
            </w:r>
          </w:p>
        </w:tc>
        <w:tc>
          <w:tcPr>
            <w:tcW w:w="1272" w:type="dxa"/>
            <w:gridSpan w:val="2"/>
            <w:shd w:val="clear" w:color="auto" w:fill="FFFFFF"/>
            <w:vAlign w:val="center"/>
          </w:tcPr>
          <w:p w14:paraId="686E733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50</w:t>
            </w:r>
          </w:p>
        </w:tc>
        <w:tc>
          <w:tcPr>
            <w:tcW w:w="1880" w:type="dxa"/>
            <w:shd w:val="clear" w:color="auto" w:fill="FFFFFF"/>
            <w:vAlign w:val="center"/>
          </w:tcPr>
          <w:p w14:paraId="2589DF37">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985/211或双一流高校，同济大学、东南大学、武汉大学、天津大学等高校智能建造、工程管理相关专业毕业者优先，具有工程建造数字化、智能化研究与项目应用经历，沟通能力与逻辑思维能力强。 </w:t>
            </w:r>
          </w:p>
        </w:tc>
      </w:tr>
      <w:tr w14:paraId="7B6D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482A5889">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123A1F5B">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4AD2402F">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757C759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FEFDE9D">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val="en-US" w:eastAsia="zh-CN"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2515B33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570D2E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3FAF4C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B771E09">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val="en-US" w:eastAsia="zh-CN" w:bidi="ar"/>
              </w:rPr>
            </w:pPr>
            <w:r>
              <w:rPr>
                <w:rFonts w:eastAsiaTheme="minorEastAsia"/>
                <w:b/>
                <w:bCs/>
                <w:sz w:val="21"/>
                <w:szCs w:val="21"/>
              </w:rPr>
              <w:t>等要求</w:t>
            </w:r>
          </w:p>
        </w:tc>
      </w:tr>
      <w:tr w14:paraId="574B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307C01B3">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拱坝/重力坝动力分析与抗震措施研究</w:t>
            </w:r>
          </w:p>
        </w:tc>
        <w:tc>
          <w:tcPr>
            <w:tcW w:w="1116" w:type="dxa"/>
            <w:gridSpan w:val="2"/>
            <w:shd w:val="clear" w:color="auto" w:fill="FFFFFF"/>
            <w:vAlign w:val="center"/>
          </w:tcPr>
          <w:p w14:paraId="2E60220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0A0E79C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BSH044</w:t>
            </w:r>
          </w:p>
        </w:tc>
        <w:tc>
          <w:tcPr>
            <w:tcW w:w="1633" w:type="dxa"/>
            <w:gridSpan w:val="2"/>
            <w:shd w:val="clear" w:color="auto" w:fill="FFFFFF"/>
            <w:vAlign w:val="center"/>
          </w:tcPr>
          <w:p w14:paraId="49D0B4C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w:t>
            </w:r>
          </w:p>
        </w:tc>
        <w:tc>
          <w:tcPr>
            <w:tcW w:w="1272" w:type="dxa"/>
            <w:gridSpan w:val="2"/>
            <w:shd w:val="clear" w:color="auto" w:fill="FFFFFF"/>
            <w:vAlign w:val="center"/>
          </w:tcPr>
          <w:p w14:paraId="219B461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537FDC3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985/211或双一流高校，清华大学、中国水科院、武汉大学、河海大学、大连理工大学等科研院所，硕士和博士期间研究方向均为拱坝抗震。</w:t>
            </w:r>
          </w:p>
        </w:tc>
      </w:tr>
      <w:tr w14:paraId="1C9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46B5B43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拱坝/重力坝全阶段温控仿真分析及温控措施研究</w:t>
            </w:r>
          </w:p>
        </w:tc>
        <w:tc>
          <w:tcPr>
            <w:tcW w:w="1116" w:type="dxa"/>
            <w:gridSpan w:val="2"/>
            <w:shd w:val="clear" w:color="auto" w:fill="FFFFFF"/>
            <w:vAlign w:val="center"/>
          </w:tcPr>
          <w:p w14:paraId="6233907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45A2B4E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BSH045</w:t>
            </w:r>
          </w:p>
        </w:tc>
        <w:tc>
          <w:tcPr>
            <w:tcW w:w="1633" w:type="dxa"/>
            <w:gridSpan w:val="2"/>
            <w:shd w:val="clear" w:color="auto" w:fill="FFFFFF"/>
            <w:vAlign w:val="center"/>
          </w:tcPr>
          <w:p w14:paraId="554B91F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w:t>
            </w:r>
          </w:p>
        </w:tc>
        <w:tc>
          <w:tcPr>
            <w:tcW w:w="1272" w:type="dxa"/>
            <w:gridSpan w:val="2"/>
            <w:shd w:val="clear" w:color="auto" w:fill="FFFFFF"/>
            <w:vAlign w:val="center"/>
          </w:tcPr>
          <w:p w14:paraId="7A4F813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5874416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985/211或双一流高校，清华大学、中国水科院、武汉大学、河海大学、大连理工大学等科研院所，硕士和博士期间研究方向均为温控研究。</w:t>
            </w:r>
          </w:p>
        </w:tc>
      </w:tr>
      <w:tr w14:paraId="0491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6D61543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水电站渗流分析和渗控措施研究</w:t>
            </w:r>
          </w:p>
        </w:tc>
        <w:tc>
          <w:tcPr>
            <w:tcW w:w="1116" w:type="dxa"/>
            <w:gridSpan w:val="2"/>
            <w:shd w:val="clear" w:color="auto" w:fill="FFFFFF"/>
            <w:vAlign w:val="center"/>
          </w:tcPr>
          <w:p w14:paraId="248B0B0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1F75B4C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BSH046</w:t>
            </w:r>
          </w:p>
        </w:tc>
        <w:tc>
          <w:tcPr>
            <w:tcW w:w="1633" w:type="dxa"/>
            <w:gridSpan w:val="2"/>
            <w:shd w:val="clear" w:color="auto" w:fill="FFFFFF"/>
            <w:vAlign w:val="center"/>
          </w:tcPr>
          <w:p w14:paraId="7E79033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w:t>
            </w:r>
          </w:p>
        </w:tc>
        <w:tc>
          <w:tcPr>
            <w:tcW w:w="1272" w:type="dxa"/>
            <w:gridSpan w:val="2"/>
            <w:shd w:val="clear" w:color="auto" w:fill="FFFFFF"/>
            <w:vAlign w:val="center"/>
          </w:tcPr>
          <w:p w14:paraId="2461B64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7A65AA9F">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985/211或双一流高校，武汉大学、河海大学、中国水科院等科研院所，硕士和博士期间研究方向均为高坝工程渗流。</w:t>
            </w:r>
          </w:p>
        </w:tc>
      </w:tr>
      <w:tr w14:paraId="7FF3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4FBCDC51">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高土石坝静动力分析</w:t>
            </w:r>
          </w:p>
        </w:tc>
        <w:tc>
          <w:tcPr>
            <w:tcW w:w="1116" w:type="dxa"/>
            <w:gridSpan w:val="2"/>
            <w:shd w:val="clear" w:color="auto" w:fill="FFFFFF"/>
            <w:vAlign w:val="center"/>
          </w:tcPr>
          <w:p w14:paraId="0C91D134">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3E5E6BE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BSH047</w:t>
            </w:r>
          </w:p>
        </w:tc>
        <w:tc>
          <w:tcPr>
            <w:tcW w:w="1633" w:type="dxa"/>
            <w:gridSpan w:val="2"/>
            <w:shd w:val="clear" w:color="auto" w:fill="FFFFFF"/>
            <w:vAlign w:val="center"/>
          </w:tcPr>
          <w:p w14:paraId="1E39583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水利工程/土木工程</w:t>
            </w:r>
          </w:p>
        </w:tc>
        <w:tc>
          <w:tcPr>
            <w:tcW w:w="1272" w:type="dxa"/>
            <w:gridSpan w:val="2"/>
            <w:shd w:val="clear" w:color="auto" w:fill="FFFFFF"/>
            <w:vAlign w:val="center"/>
          </w:tcPr>
          <w:p w14:paraId="737E16F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5A25B08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985/211或双一流高校，清华大学、中国水科院、武汉大学、河海大学、大连理工大学等科研院所，硕士和博士期间研究方向均为拱坝抗震。</w:t>
            </w:r>
          </w:p>
        </w:tc>
      </w:tr>
      <w:tr w14:paraId="48C8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260041B7">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土石坝渗流分析和渗控措施研究</w:t>
            </w:r>
          </w:p>
        </w:tc>
        <w:tc>
          <w:tcPr>
            <w:tcW w:w="1116" w:type="dxa"/>
            <w:gridSpan w:val="2"/>
            <w:shd w:val="clear" w:color="auto" w:fill="FFFFFF"/>
            <w:vAlign w:val="center"/>
          </w:tcPr>
          <w:p w14:paraId="74428BA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252909C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BSH048</w:t>
            </w:r>
          </w:p>
        </w:tc>
        <w:tc>
          <w:tcPr>
            <w:tcW w:w="1633" w:type="dxa"/>
            <w:gridSpan w:val="2"/>
            <w:shd w:val="clear" w:color="auto" w:fill="FFFFFF"/>
            <w:vAlign w:val="center"/>
          </w:tcPr>
          <w:p w14:paraId="0919DF54">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水利工程/土木工程</w:t>
            </w:r>
          </w:p>
        </w:tc>
        <w:tc>
          <w:tcPr>
            <w:tcW w:w="1272" w:type="dxa"/>
            <w:gridSpan w:val="2"/>
            <w:shd w:val="clear" w:color="auto" w:fill="FFFFFF"/>
            <w:vAlign w:val="center"/>
          </w:tcPr>
          <w:p w14:paraId="39C879A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09C8A5B0">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985/211或双一流高校，清华大学、武汉大学、河海大学、大连理工大学、重庆大学等科研院所，硕士和博士期间研究方向均为拱坝抗震。</w:t>
            </w:r>
          </w:p>
        </w:tc>
      </w:tr>
      <w:tr w14:paraId="35D5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6044E02C">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长大深埋隧洞围岩稳定及衬砌结构分析</w:t>
            </w:r>
          </w:p>
        </w:tc>
        <w:tc>
          <w:tcPr>
            <w:tcW w:w="1116" w:type="dxa"/>
            <w:gridSpan w:val="2"/>
            <w:shd w:val="clear" w:color="auto" w:fill="FFFFFF"/>
            <w:vAlign w:val="center"/>
          </w:tcPr>
          <w:p w14:paraId="4B3533B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1</w:t>
            </w:r>
          </w:p>
        </w:tc>
        <w:tc>
          <w:tcPr>
            <w:tcW w:w="1152" w:type="dxa"/>
            <w:gridSpan w:val="2"/>
            <w:shd w:val="clear" w:color="auto" w:fill="FFFFFF"/>
            <w:vAlign w:val="center"/>
          </w:tcPr>
          <w:p w14:paraId="6396525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BSH049</w:t>
            </w:r>
          </w:p>
        </w:tc>
        <w:tc>
          <w:tcPr>
            <w:tcW w:w="1633" w:type="dxa"/>
            <w:gridSpan w:val="2"/>
            <w:shd w:val="clear" w:color="auto" w:fill="FFFFFF"/>
            <w:vAlign w:val="center"/>
          </w:tcPr>
          <w:p w14:paraId="10BD6ADD">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水利工程/土木工程</w:t>
            </w:r>
          </w:p>
        </w:tc>
        <w:tc>
          <w:tcPr>
            <w:tcW w:w="1272" w:type="dxa"/>
            <w:gridSpan w:val="2"/>
            <w:shd w:val="clear" w:color="auto" w:fill="FFFFFF"/>
            <w:vAlign w:val="center"/>
          </w:tcPr>
          <w:p w14:paraId="5AC2077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3F3444D6">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985/211或双一流高校，清华大学、武汉大学、河海大学、大连理工大学、重庆大学等科研院所，硕士和博士期间研究方向均为拱坝抗震。</w:t>
            </w:r>
          </w:p>
        </w:tc>
      </w:tr>
      <w:tr w14:paraId="7137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602" w:type="dxa"/>
            <w:gridSpan w:val="2"/>
            <w:shd w:val="clear" w:color="auto" w:fill="E7E6E6" w:themeFill="background2"/>
            <w:noWrap/>
            <w:vAlign w:val="center"/>
          </w:tcPr>
          <w:p w14:paraId="4567D51B">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6C527061">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5F742D47">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r>
              <w:rPr>
                <w:rFonts w:hint="default" w:ascii="Times New Roman" w:hAnsi="Times New Roman" w:cs="Times New Roman" w:eastAsiaTheme="minorEastAsia"/>
                <w:b/>
                <w:bCs/>
                <w:sz w:val="21"/>
                <w:szCs w:val="21"/>
              </w:rPr>
              <w:t>岗位编号</w:t>
            </w:r>
          </w:p>
        </w:tc>
        <w:tc>
          <w:tcPr>
            <w:tcW w:w="1633" w:type="dxa"/>
            <w:gridSpan w:val="2"/>
            <w:shd w:val="clear" w:color="auto" w:fill="E7E6E6" w:themeFill="background2"/>
            <w:vAlign w:val="center"/>
          </w:tcPr>
          <w:p w14:paraId="2F27B90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3197C3D">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r>
              <w:rPr>
                <w:rFonts w:eastAsiaTheme="minorEastAsia"/>
                <w:b/>
                <w:bCs/>
                <w:sz w:val="21"/>
                <w:szCs w:val="21"/>
              </w:rPr>
              <w:t>（一级学科</w:t>
            </w:r>
            <w:r>
              <w:rPr>
                <w:rFonts w:hint="eastAsia" w:eastAsiaTheme="minorEastAsia"/>
                <w:b/>
                <w:bCs/>
                <w:sz w:val="21"/>
                <w:szCs w:val="21"/>
                <w:lang w:eastAsia="zh-CN"/>
              </w:rPr>
              <w:t>）</w:t>
            </w:r>
          </w:p>
        </w:tc>
        <w:tc>
          <w:tcPr>
            <w:tcW w:w="1272" w:type="dxa"/>
            <w:gridSpan w:val="2"/>
            <w:shd w:val="clear" w:color="auto" w:fill="E7E6E6" w:themeFill="background2"/>
            <w:vAlign w:val="center"/>
          </w:tcPr>
          <w:p w14:paraId="41228F1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B7D6F9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80" w:type="dxa"/>
            <w:shd w:val="clear" w:color="auto" w:fill="E7E6E6" w:themeFill="background2"/>
            <w:vAlign w:val="center"/>
          </w:tcPr>
          <w:p w14:paraId="5EE08BA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8D7E795">
            <w:pPr>
              <w:adjustRightInd w:val="0"/>
              <w:snapToGrid w:val="0"/>
              <w:spacing w:line="240" w:lineRule="auto"/>
              <w:ind w:firstLine="0" w:firstLineChars="0"/>
              <w:jc w:val="center"/>
              <w:rPr>
                <w:rFonts w:hint="eastAsia" w:ascii="Times New Roman" w:hAnsi="Times New Roman" w:cs="Times New Roman" w:eastAsiaTheme="minorEastAsia"/>
                <w:kern w:val="0"/>
                <w:sz w:val="21"/>
                <w:szCs w:val="21"/>
                <w:lang w:bidi="ar"/>
              </w:rPr>
            </w:pPr>
            <w:r>
              <w:rPr>
                <w:rFonts w:eastAsiaTheme="minorEastAsia"/>
                <w:b/>
                <w:bCs/>
                <w:sz w:val="21"/>
                <w:szCs w:val="21"/>
              </w:rPr>
              <w:t>等要求</w:t>
            </w:r>
          </w:p>
        </w:tc>
      </w:tr>
      <w:tr w14:paraId="55D1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602" w:type="dxa"/>
            <w:gridSpan w:val="2"/>
            <w:shd w:val="clear" w:color="auto" w:fill="FFFFFF"/>
            <w:noWrap/>
            <w:vAlign w:val="center"/>
          </w:tcPr>
          <w:p w14:paraId="46422F6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地下洞室群围岩稳定及控制措施研究</w:t>
            </w:r>
          </w:p>
        </w:tc>
        <w:tc>
          <w:tcPr>
            <w:tcW w:w="1116" w:type="dxa"/>
            <w:gridSpan w:val="2"/>
            <w:shd w:val="clear" w:color="auto" w:fill="FFFFFF"/>
            <w:vAlign w:val="center"/>
          </w:tcPr>
          <w:p w14:paraId="44A71E70">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2</w:t>
            </w:r>
          </w:p>
        </w:tc>
        <w:tc>
          <w:tcPr>
            <w:tcW w:w="1152" w:type="dxa"/>
            <w:gridSpan w:val="2"/>
            <w:shd w:val="clear" w:color="auto" w:fill="FFFFFF"/>
            <w:vAlign w:val="center"/>
          </w:tcPr>
          <w:p w14:paraId="52BD8AB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BSH050</w:t>
            </w:r>
          </w:p>
        </w:tc>
        <w:tc>
          <w:tcPr>
            <w:tcW w:w="1633" w:type="dxa"/>
            <w:gridSpan w:val="2"/>
            <w:shd w:val="clear" w:color="auto" w:fill="FFFFFF"/>
            <w:vAlign w:val="center"/>
          </w:tcPr>
          <w:p w14:paraId="6CBAD65A">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水利工程/土木工程</w:t>
            </w:r>
          </w:p>
        </w:tc>
        <w:tc>
          <w:tcPr>
            <w:tcW w:w="1272" w:type="dxa"/>
            <w:gridSpan w:val="2"/>
            <w:shd w:val="clear" w:color="auto" w:fill="FFFFFF"/>
            <w:vAlign w:val="center"/>
          </w:tcPr>
          <w:p w14:paraId="7F0B82C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
              </w:rPr>
            </w:pPr>
            <w:r>
              <w:rPr>
                <w:rFonts w:hint="eastAsia" w:cs="Times New Roman" w:eastAsiaTheme="minorEastAsia"/>
                <w:kern w:val="0"/>
                <w:sz w:val="21"/>
                <w:szCs w:val="21"/>
                <w:lang w:val="en-US" w:eastAsia="zh-CN" w:bidi="ar"/>
              </w:rPr>
              <w:t>/</w:t>
            </w:r>
          </w:p>
        </w:tc>
        <w:tc>
          <w:tcPr>
            <w:tcW w:w="1880" w:type="dxa"/>
            <w:shd w:val="clear" w:color="auto" w:fill="FFFFFF"/>
            <w:vAlign w:val="center"/>
          </w:tcPr>
          <w:p w14:paraId="66706CC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eastAsiaTheme="minorEastAsia"/>
                <w:kern w:val="0"/>
                <w:sz w:val="21"/>
                <w:szCs w:val="21"/>
                <w:lang w:bidi="ar"/>
              </w:rPr>
              <w:t xml:space="preserve">985/211或双一流高校，清华大学、武汉大学、河海大学、大连理工大学、重庆大学等科研院所，硕士和博士期间研究方向均为拱坝抗震。 </w:t>
            </w:r>
          </w:p>
        </w:tc>
      </w:tr>
    </w:tbl>
    <w:p w14:paraId="561E56B9">
      <w:pPr>
        <w:pStyle w:val="5"/>
        <w:adjustRightInd w:val="0"/>
        <w:snapToGrid w:val="0"/>
        <w:spacing w:line="240" w:lineRule="auto"/>
        <w:ind w:firstLine="0"/>
        <w:jc w:val="both"/>
        <w:rPr>
          <w:rFonts w:eastAsia="方正小标宋简体"/>
          <w:sz w:val="44"/>
          <w:szCs w:val="44"/>
        </w:rPr>
      </w:pPr>
    </w:p>
    <w:p w14:paraId="670CC4A4">
      <w:pPr>
        <w:pStyle w:val="5"/>
        <w:adjustRightInd w:val="0"/>
        <w:snapToGrid w:val="0"/>
        <w:spacing w:line="240" w:lineRule="auto"/>
        <w:ind w:firstLine="0"/>
        <w:jc w:val="center"/>
        <w:rPr>
          <w:rFonts w:eastAsia="方正小标宋简体"/>
          <w:sz w:val="44"/>
          <w:szCs w:val="44"/>
        </w:rPr>
      </w:pPr>
    </w:p>
    <w:p w14:paraId="0EC6F8D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9E7432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B0AAA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FEC74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D58D5D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651BE6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3B0680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AFEFBA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309BF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655F1D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C42E4E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F8672D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515938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99B641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E9CF33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0EE97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EBE93F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B66FCA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CE9118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89851C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56481E1">
      <w:pPr>
        <w:pStyle w:val="5"/>
        <w:adjustRightInd w:val="0"/>
        <w:snapToGrid w:val="0"/>
        <w:spacing w:line="240" w:lineRule="auto"/>
        <w:ind w:firstLine="0"/>
        <w:jc w:val="center"/>
        <w:outlineLvl w:val="0"/>
        <w:rPr>
          <w:rFonts w:eastAsia="方正小标宋简体"/>
          <w:sz w:val="44"/>
          <w:szCs w:val="44"/>
        </w:rPr>
      </w:pPr>
      <w:bookmarkStart w:id="544" w:name="_Toc679"/>
      <w:bookmarkStart w:id="545" w:name="_Toc25368"/>
      <w:bookmarkStart w:id="546" w:name="_Toc32753"/>
      <w:bookmarkStart w:id="547" w:name="_Toc196"/>
      <w:bookmarkStart w:id="548" w:name="_Toc18669"/>
      <w:r>
        <w:rPr>
          <w:rFonts w:hint="eastAsia" w:eastAsia="方正小标宋简体"/>
          <w:sz w:val="44"/>
          <w:szCs w:val="44"/>
          <w:highlight w:val="none"/>
        </w:rPr>
        <w:t>中国电子科技集团公司第二十九研究所</w:t>
      </w:r>
      <w:bookmarkEnd w:id="544"/>
      <w:bookmarkEnd w:id="545"/>
      <w:bookmarkEnd w:id="546"/>
      <w:bookmarkEnd w:id="547"/>
      <w:bookmarkEnd w:id="548"/>
    </w:p>
    <w:p w14:paraId="6ED8D706">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271"/>
        <w:gridCol w:w="321"/>
        <w:gridCol w:w="806"/>
        <w:gridCol w:w="850"/>
        <w:gridCol w:w="313"/>
        <w:gridCol w:w="1292"/>
        <w:gridCol w:w="466"/>
        <w:gridCol w:w="1079"/>
        <w:gridCol w:w="473"/>
        <w:gridCol w:w="1524"/>
      </w:tblGrid>
      <w:tr w14:paraId="2B37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5A56729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14:paraId="5226C654">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科研院所</w:t>
            </w:r>
          </w:p>
        </w:tc>
        <w:tc>
          <w:tcPr>
            <w:tcW w:w="1640" w:type="dxa"/>
            <w:gridSpan w:val="2"/>
            <w:shd w:val="clear" w:color="auto" w:fill="E7E6E6" w:themeFill="background2"/>
            <w:noWrap/>
            <w:vAlign w:val="center"/>
          </w:tcPr>
          <w:p w14:paraId="48726AB1">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171FB6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5AC5376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21D63014">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7283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4" w:type="dxa"/>
            <w:shd w:val="clear" w:color="auto" w:fill="E7E6E6" w:themeFill="background2"/>
            <w:noWrap/>
            <w:vAlign w:val="center"/>
          </w:tcPr>
          <w:p w14:paraId="7E370679">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14:paraId="15E32632">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四川省成都市金牛区营康西路496号</w:t>
            </w:r>
          </w:p>
        </w:tc>
      </w:tr>
      <w:tr w14:paraId="70BD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jc w:val="center"/>
        </w:trPr>
        <w:tc>
          <w:tcPr>
            <w:tcW w:w="1344" w:type="dxa"/>
            <w:shd w:val="clear" w:color="auto" w:fill="E7E6E6" w:themeFill="background2"/>
            <w:noWrap/>
            <w:vAlign w:val="center"/>
          </w:tcPr>
          <w:p w14:paraId="2CC34D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14:paraId="1D98E65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中国电子科技集团公司第二十九研究所（简称“29所”）成立于1965年，位于四川省成都市，是我国第一个专业从事电子信息控制总体技术研究、装备型号研制与生产的骨干研究所。经过50多年的发展，29所凝聚了一支高质量人才队伍，共有院士1人、国家级人才60余人、省部级人才300余人，总人数5000余人。29所具有一流的“研发创新、核心制造、测试评估、服务保障”等能力；主营业务居于市场主导地位，主要装备代表行业领先水平，荣获各类科技成果千余项。</w:t>
            </w:r>
          </w:p>
        </w:tc>
      </w:tr>
      <w:tr w14:paraId="58A6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1344" w:type="dxa"/>
            <w:shd w:val="clear" w:color="auto" w:fill="E7E6E6" w:themeFill="background2"/>
            <w:noWrap/>
            <w:vAlign w:val="center"/>
          </w:tcPr>
          <w:p w14:paraId="5DE46EF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14:paraId="632EFD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29所建立了针对博士后的相关制度，为全职博士后提供了具有竞争力的薪酬，提供在站期间的日常经费和科研经费支持以及良好的后勤保障（两室一厅住宿），匹配了高水平的导师队伍和科研项目，并为其组建科研团队。</w:t>
            </w:r>
          </w:p>
        </w:tc>
      </w:tr>
      <w:tr w14:paraId="482B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602" w:type="dxa"/>
            <w:gridSpan w:val="2"/>
            <w:shd w:val="clear" w:color="auto" w:fill="E7E6E6" w:themeFill="background2"/>
            <w:noWrap/>
            <w:vAlign w:val="center"/>
          </w:tcPr>
          <w:p w14:paraId="3EFBED7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1116" w:type="dxa"/>
            <w:gridSpan w:val="2"/>
            <w:shd w:val="clear" w:color="auto" w:fill="E7E6E6" w:themeFill="background2"/>
            <w:vAlign w:val="center"/>
          </w:tcPr>
          <w:p w14:paraId="45CCEC3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需求人数</w:t>
            </w:r>
          </w:p>
        </w:tc>
        <w:tc>
          <w:tcPr>
            <w:tcW w:w="1152" w:type="dxa"/>
            <w:gridSpan w:val="2"/>
            <w:shd w:val="clear" w:color="auto" w:fill="E7E6E6" w:themeFill="background2"/>
            <w:vAlign w:val="center"/>
          </w:tcPr>
          <w:p w14:paraId="18B3D88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岗位编号</w:t>
            </w:r>
          </w:p>
        </w:tc>
        <w:tc>
          <w:tcPr>
            <w:tcW w:w="1740" w:type="dxa"/>
            <w:gridSpan w:val="2"/>
            <w:shd w:val="clear" w:color="auto" w:fill="E7E6E6" w:themeFill="background2"/>
            <w:vAlign w:val="center"/>
          </w:tcPr>
          <w:p w14:paraId="7410ABC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7B21F64">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269D158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C412D48">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09" w:type="dxa"/>
            <w:shd w:val="clear" w:color="auto" w:fill="E7E6E6" w:themeFill="background2"/>
            <w:vAlign w:val="center"/>
          </w:tcPr>
          <w:p w14:paraId="6B361D9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A727867">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eastAsiaTheme="minorEastAsia"/>
                <w:b/>
                <w:bCs/>
                <w:sz w:val="21"/>
                <w:szCs w:val="21"/>
              </w:rPr>
              <w:t>等要求</w:t>
            </w:r>
          </w:p>
        </w:tc>
      </w:tr>
      <w:tr w14:paraId="427E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602" w:type="dxa"/>
            <w:gridSpan w:val="2"/>
            <w:shd w:val="clear" w:color="auto" w:fill="auto"/>
            <w:noWrap/>
            <w:vAlign w:val="center"/>
          </w:tcPr>
          <w:p w14:paraId="1A781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val="0"/>
                <w:bCs w:val="0"/>
                <w:sz w:val="21"/>
                <w:szCs w:val="21"/>
                <w:lang w:val="en-US" w:eastAsia="zh-CN"/>
              </w:rPr>
              <w:t>博士后项目</w:t>
            </w:r>
          </w:p>
        </w:tc>
        <w:tc>
          <w:tcPr>
            <w:tcW w:w="1116" w:type="dxa"/>
            <w:gridSpan w:val="2"/>
            <w:shd w:val="clear" w:color="auto" w:fill="auto"/>
            <w:vAlign w:val="center"/>
          </w:tcPr>
          <w:p w14:paraId="0492FA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152" w:type="dxa"/>
            <w:gridSpan w:val="2"/>
            <w:shd w:val="clear" w:color="auto" w:fill="auto"/>
            <w:vAlign w:val="center"/>
          </w:tcPr>
          <w:p w14:paraId="7F45C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BSH001</w:t>
            </w:r>
          </w:p>
        </w:tc>
        <w:tc>
          <w:tcPr>
            <w:tcW w:w="1740" w:type="dxa"/>
            <w:gridSpan w:val="2"/>
            <w:shd w:val="clear" w:color="auto" w:fill="auto"/>
            <w:vAlign w:val="center"/>
          </w:tcPr>
          <w:p w14:paraId="573FB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人工智能</w:t>
            </w:r>
          </w:p>
        </w:tc>
        <w:tc>
          <w:tcPr>
            <w:tcW w:w="1536" w:type="dxa"/>
            <w:gridSpan w:val="2"/>
            <w:shd w:val="clear" w:color="auto" w:fill="auto"/>
            <w:vAlign w:val="center"/>
          </w:tcPr>
          <w:p w14:paraId="64C43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100</w:t>
            </w:r>
          </w:p>
        </w:tc>
        <w:tc>
          <w:tcPr>
            <w:tcW w:w="1509" w:type="dxa"/>
            <w:shd w:val="clear" w:color="auto" w:fill="auto"/>
            <w:vAlign w:val="center"/>
          </w:tcPr>
          <w:p w14:paraId="6CB49A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应届毕业生</w:t>
            </w:r>
          </w:p>
        </w:tc>
      </w:tr>
      <w:tr w14:paraId="5FD6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602" w:type="dxa"/>
            <w:gridSpan w:val="2"/>
            <w:shd w:val="clear" w:color="auto" w:fill="auto"/>
            <w:noWrap/>
            <w:vAlign w:val="center"/>
          </w:tcPr>
          <w:p w14:paraId="69C10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b w:val="0"/>
                <w:bCs w:val="0"/>
                <w:sz w:val="21"/>
                <w:szCs w:val="21"/>
                <w:lang w:val="en-US" w:eastAsia="zh-CN"/>
              </w:rPr>
              <w:t>博士后项目</w:t>
            </w:r>
          </w:p>
        </w:tc>
        <w:tc>
          <w:tcPr>
            <w:tcW w:w="1116" w:type="dxa"/>
            <w:gridSpan w:val="2"/>
            <w:shd w:val="clear" w:color="auto" w:fill="auto"/>
            <w:vAlign w:val="center"/>
          </w:tcPr>
          <w:p w14:paraId="1ED3B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若干</w:t>
            </w:r>
          </w:p>
        </w:tc>
        <w:tc>
          <w:tcPr>
            <w:tcW w:w="1152" w:type="dxa"/>
            <w:gridSpan w:val="2"/>
            <w:shd w:val="clear" w:color="auto" w:fill="auto"/>
            <w:vAlign w:val="center"/>
          </w:tcPr>
          <w:p w14:paraId="109B4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40" w:type="dxa"/>
            <w:gridSpan w:val="2"/>
            <w:shd w:val="clear" w:color="auto" w:fill="auto"/>
            <w:vAlign w:val="center"/>
          </w:tcPr>
          <w:p w14:paraId="335FF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电子信息</w:t>
            </w:r>
          </w:p>
        </w:tc>
        <w:tc>
          <w:tcPr>
            <w:tcW w:w="1536" w:type="dxa"/>
            <w:gridSpan w:val="2"/>
            <w:shd w:val="clear" w:color="auto" w:fill="auto"/>
            <w:vAlign w:val="center"/>
          </w:tcPr>
          <w:p w14:paraId="30247B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100</w:t>
            </w:r>
          </w:p>
        </w:tc>
        <w:tc>
          <w:tcPr>
            <w:tcW w:w="1509" w:type="dxa"/>
            <w:shd w:val="clear" w:color="auto" w:fill="auto"/>
            <w:vAlign w:val="center"/>
          </w:tcPr>
          <w:p w14:paraId="64315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应届毕业生</w:t>
            </w:r>
          </w:p>
        </w:tc>
      </w:tr>
    </w:tbl>
    <w:p w14:paraId="470C2EBE">
      <w:pPr>
        <w:pStyle w:val="5"/>
        <w:adjustRightInd w:val="0"/>
        <w:snapToGrid w:val="0"/>
        <w:spacing w:line="240" w:lineRule="auto"/>
        <w:ind w:firstLine="0"/>
        <w:jc w:val="center"/>
        <w:rPr>
          <w:rFonts w:hint="eastAsia" w:eastAsia="方正小标宋简体"/>
          <w:sz w:val="44"/>
          <w:szCs w:val="44"/>
          <w:highlight w:val="yellow"/>
        </w:rPr>
      </w:pPr>
    </w:p>
    <w:p w14:paraId="3E50CADD">
      <w:pPr>
        <w:adjustRightInd w:val="0"/>
        <w:snapToGrid w:val="0"/>
        <w:spacing w:line="240" w:lineRule="auto"/>
        <w:ind w:firstLine="0"/>
        <w:jc w:val="center"/>
        <w:outlineLvl w:val="0"/>
        <w:rPr>
          <w:rFonts w:eastAsia="方正小标宋简体"/>
          <w:sz w:val="44"/>
          <w:szCs w:val="44"/>
        </w:rPr>
      </w:pPr>
      <w:bookmarkStart w:id="549" w:name="_Toc4041"/>
      <w:bookmarkStart w:id="550" w:name="_Toc3183"/>
      <w:bookmarkStart w:id="551" w:name="_Toc20199"/>
      <w:bookmarkStart w:id="552" w:name="_Toc14489"/>
      <w:bookmarkStart w:id="553" w:name="_Toc16208"/>
      <w:r>
        <w:rPr>
          <w:rFonts w:eastAsia="方正小标宋简体"/>
          <w:sz w:val="44"/>
          <w:szCs w:val="44"/>
          <w:highlight w:val="none"/>
        </w:rPr>
        <w:t>中国电子科技网络信息安全有限公司</w:t>
      </w:r>
      <w:bookmarkEnd w:id="549"/>
      <w:bookmarkEnd w:id="550"/>
      <w:bookmarkEnd w:id="551"/>
      <w:bookmarkEnd w:id="552"/>
      <w:bookmarkEnd w:id="553"/>
    </w:p>
    <w:p w14:paraId="36AAB363">
      <w:pPr>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313"/>
        <w:gridCol w:w="777"/>
        <w:gridCol w:w="126"/>
        <w:gridCol w:w="1172"/>
        <w:gridCol w:w="485"/>
        <w:gridCol w:w="1227"/>
        <w:gridCol w:w="202"/>
        <w:gridCol w:w="1097"/>
        <w:gridCol w:w="490"/>
        <w:gridCol w:w="2715"/>
      </w:tblGrid>
      <w:tr w14:paraId="4B3D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shd w:val="clear" w:color="auto" w:fill="E7E6E6" w:themeFill="background2"/>
            <w:noWrap/>
            <w:vAlign w:val="center"/>
          </w:tcPr>
          <w:p w14:paraId="25200F3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02" w:type="dxa"/>
            <w:gridSpan w:val="3"/>
            <w:shd w:val="clear" w:color="auto" w:fill="auto"/>
            <w:noWrap/>
            <w:vAlign w:val="center"/>
          </w:tcPr>
          <w:p w14:paraId="7B5C3220">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38" w:type="dxa"/>
            <w:gridSpan w:val="2"/>
            <w:shd w:val="clear" w:color="auto" w:fill="E7E6E6" w:themeFill="background2"/>
            <w:noWrap/>
            <w:vAlign w:val="center"/>
          </w:tcPr>
          <w:p w14:paraId="668975B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3" w:type="dxa"/>
            <w:gridSpan w:val="2"/>
            <w:shd w:val="clear" w:color="auto" w:fill="auto"/>
            <w:noWrap/>
            <w:vAlign w:val="center"/>
          </w:tcPr>
          <w:p w14:paraId="77D542F0">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68" w:type="dxa"/>
            <w:gridSpan w:val="2"/>
            <w:shd w:val="clear" w:color="auto" w:fill="E7E6E6" w:themeFill="background2"/>
            <w:noWrap/>
            <w:vAlign w:val="center"/>
          </w:tcPr>
          <w:p w14:paraId="2D17A7A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684" w:type="dxa"/>
            <w:shd w:val="clear" w:color="auto" w:fill="auto"/>
            <w:noWrap/>
            <w:vAlign w:val="center"/>
          </w:tcPr>
          <w:p w14:paraId="04C65FE8">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21E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shd w:val="clear" w:color="auto" w:fill="E7E6E6" w:themeFill="background2"/>
            <w:noWrap/>
            <w:vAlign w:val="center"/>
          </w:tcPr>
          <w:p w14:paraId="76E50D66">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505" w:type="dxa"/>
            <w:gridSpan w:val="10"/>
            <w:shd w:val="clear" w:color="auto" w:fill="auto"/>
            <w:noWrap/>
            <w:vAlign w:val="center"/>
          </w:tcPr>
          <w:p w14:paraId="7079DAD7">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成都市高新区创业路8号</w:t>
            </w:r>
          </w:p>
        </w:tc>
      </w:tr>
      <w:tr w14:paraId="1988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4" w:hRule="atLeast"/>
          <w:jc w:val="center"/>
        </w:trPr>
        <w:tc>
          <w:tcPr>
            <w:tcW w:w="1134" w:type="dxa"/>
            <w:shd w:val="clear" w:color="auto" w:fill="E7E6E6" w:themeFill="background2"/>
            <w:noWrap/>
            <w:vAlign w:val="center"/>
          </w:tcPr>
          <w:p w14:paraId="77B1505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505" w:type="dxa"/>
            <w:gridSpan w:val="10"/>
            <w:shd w:val="clear" w:color="auto" w:fill="auto"/>
            <w:noWrap/>
            <w:vAlign w:val="center"/>
          </w:tcPr>
          <w:p w14:paraId="0C484E89">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中国电子科技网络信息安全有限公司(简称”中国网安”)是中国电科集全集团之力，整合内外资源，打造的国家级网络安全技术、人才和产业平台，致力于支撑国家网络空间安全战略，引领技术创新，推动产业发展。</w:t>
            </w:r>
          </w:p>
          <w:p w14:paraId="73EBE6C0">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中国网安凭借在网络安全、密码保密等领域的深厚积淀，拥有国内顶级的网络安全资质，实力强劲的网络安全研发团队以及运行有效的质量保证体系，服务对象遍及党政、军队以及金融、能源、交通、电子信息等关乎国计民生的重要行业，在国家网络空间安全核心和重要领域处于国内领先地位。</w:t>
            </w:r>
          </w:p>
          <w:p w14:paraId="7B9733B1">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eastAsiaTheme="minorEastAsia"/>
                <w:sz w:val="21"/>
                <w:szCs w:val="21"/>
              </w:rPr>
            </w:pPr>
            <w:r>
              <w:rPr>
                <w:rFonts w:hint="eastAsia" w:eastAsiaTheme="minorEastAsia"/>
                <w:sz w:val="21"/>
                <w:szCs w:val="21"/>
              </w:rPr>
              <w:t>公司目前从业人员7000 余人，科研岗位人员占比超过65%。全国创新人才推进计划、国务院政府特殊津贴获得者等国家级科技人才30余人，研究员、各领域高级专家、专家100余人。公司拥有3个国家级博士后科研工作站，通信与信息系统、密码学2个硕士学位培养点，通信与信息系统博士培养点，培养了60多位硕、博士生研究生导师200余名研究生。</w:t>
            </w:r>
          </w:p>
        </w:tc>
      </w:tr>
      <w:tr w14:paraId="6E9C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9" w:hRule="atLeast"/>
          <w:jc w:val="center"/>
        </w:trPr>
        <w:tc>
          <w:tcPr>
            <w:tcW w:w="1134" w:type="dxa"/>
            <w:shd w:val="clear" w:color="auto" w:fill="E7E6E6" w:themeFill="background2"/>
            <w:noWrap/>
            <w:vAlign w:val="center"/>
          </w:tcPr>
          <w:p w14:paraId="586DAAF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505" w:type="dxa"/>
            <w:gridSpan w:val="10"/>
            <w:shd w:val="clear" w:color="auto" w:fill="auto"/>
            <w:noWrap/>
            <w:vAlign w:val="center"/>
          </w:tcPr>
          <w:p w14:paraId="08AE12CF">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一、薪酬待遇：</w:t>
            </w:r>
          </w:p>
          <w:p w14:paraId="29881103">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1.</w:t>
            </w:r>
            <w:r>
              <w:rPr>
                <w:rFonts w:hint="eastAsia" w:eastAsiaTheme="minorEastAsia"/>
                <w:sz w:val="21"/>
                <w:szCs w:val="21"/>
              </w:rPr>
              <w:t>（1）对于应届博士，采取岗位薪酬制，第一年25-45万元/年，另发放安家补助30-70万元/人，另有各类员工福利；在站期间享受单位职工福利待遇和医疗待遇；（2）对于在职优秀博士的年薪根据研究项目要求，采取一事一议（根据双方协议确定）</w:t>
            </w:r>
            <w:r>
              <w:rPr>
                <w:rFonts w:hint="eastAsia" w:eastAsiaTheme="minorEastAsia"/>
                <w:sz w:val="21"/>
                <w:szCs w:val="21"/>
                <w:lang w:eastAsia="zh-CN"/>
              </w:rPr>
              <w:t>；</w:t>
            </w:r>
          </w:p>
          <w:p w14:paraId="4332C3DB">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2.省市区生活类补贴：叠加享受四川省、成都市、双流区博士后相关生活类补贴申报。可依托工作站，申请四川省、成都市博士安家补贴；入选国家、四川省等人才项目者享受相应待遇（申报办法详见中国博士后官网、四川省人社厅、成都市人社局、双流区人社局相关网站）</w:t>
            </w:r>
            <w:r>
              <w:rPr>
                <w:rFonts w:hint="eastAsia" w:eastAsiaTheme="minorEastAsia"/>
                <w:sz w:val="21"/>
                <w:szCs w:val="21"/>
                <w:lang w:eastAsia="zh-CN"/>
              </w:rPr>
              <w:t>。</w:t>
            </w:r>
          </w:p>
          <w:p w14:paraId="7E8F516F">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3.在站期间应届博士可按规定缴纳社会保险、住房公积金（最高比例12%）</w:t>
            </w:r>
            <w:r>
              <w:rPr>
                <w:rFonts w:hint="eastAsia" w:eastAsiaTheme="minorEastAsia"/>
                <w:sz w:val="21"/>
                <w:szCs w:val="21"/>
                <w:lang w:eastAsia="zh-CN"/>
              </w:rPr>
              <w:t>。</w:t>
            </w:r>
            <w:r>
              <w:rPr>
                <w:rFonts w:hint="eastAsia" w:eastAsiaTheme="minorEastAsia"/>
                <w:sz w:val="21"/>
                <w:szCs w:val="21"/>
              </w:rPr>
              <w:t xml:space="preserve"> </w:t>
            </w:r>
          </w:p>
          <w:p w14:paraId="63A01778">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二、住宿优待</w:t>
            </w:r>
          </w:p>
          <w:p w14:paraId="0B5C0133">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成都地区提供精装修单人间或套房，免费入住2年</w:t>
            </w:r>
            <w:r>
              <w:rPr>
                <w:rFonts w:hint="eastAsia" w:eastAsiaTheme="minorEastAsia"/>
                <w:sz w:val="21"/>
                <w:szCs w:val="21"/>
                <w:lang w:eastAsia="zh-CN"/>
              </w:rPr>
              <w:t>。</w:t>
            </w:r>
          </w:p>
          <w:p w14:paraId="0ECE8834">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三、科研条件</w:t>
            </w:r>
          </w:p>
          <w:p w14:paraId="0272FC7B">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1.配强导师及课题团队：工作站、流动站均聘请学科带头人、教授担任博士后合作导师；</w:t>
            </w:r>
          </w:p>
          <w:p w14:paraId="54996896">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 xml:space="preserve">2.提供日常学术经费和研究经费配套，根据博士后研究方向配备科研团队或课题小组，指导项目研究。 </w:t>
            </w:r>
          </w:p>
          <w:p w14:paraId="4425B799">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lang w:val="en-US" w:eastAsia="zh-CN"/>
              </w:rPr>
              <w:t>3</w:t>
            </w:r>
            <w:r>
              <w:rPr>
                <w:rFonts w:hint="eastAsia" w:eastAsiaTheme="minorEastAsia"/>
                <w:sz w:val="21"/>
                <w:szCs w:val="21"/>
              </w:rPr>
              <w:t>.鼓励博士后研究人员结合研究计划，由专人协助申请中国博士后科学基金、四川省和成都市相关资助项目、双流区博士后十二条政策及其他渠道的科研基金。</w:t>
            </w:r>
          </w:p>
          <w:p w14:paraId="0A1D5BDC">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rPr>
            </w:pPr>
            <w:r>
              <w:rPr>
                <w:rFonts w:hint="eastAsia" w:eastAsiaTheme="minorEastAsia"/>
                <w:sz w:val="21"/>
                <w:szCs w:val="21"/>
              </w:rPr>
              <w:t>四、职称、落户、出站就业及其他</w:t>
            </w:r>
          </w:p>
          <w:p w14:paraId="0E54B24C">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1.提供职称晋升，我单位具备工程系列高级工程师评审委员会，博士后出站后，可直接认定为高级工程师；可推荐博士后参评中国电科正高级工程师</w:t>
            </w:r>
            <w:r>
              <w:rPr>
                <w:rFonts w:hint="eastAsia" w:eastAsiaTheme="minorEastAsia"/>
                <w:sz w:val="21"/>
                <w:szCs w:val="21"/>
                <w:lang w:eastAsia="zh-CN"/>
              </w:rPr>
              <w:t>；</w:t>
            </w:r>
          </w:p>
          <w:p w14:paraId="07EBD6B6">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2.博士后在站工作期限一般2年，期满出站经考核评审后，按相关要求可优先录用；应届全职博士后出站后一般留用本单位</w:t>
            </w:r>
            <w:r>
              <w:rPr>
                <w:rFonts w:hint="eastAsia" w:eastAsiaTheme="minorEastAsia"/>
                <w:sz w:val="21"/>
                <w:szCs w:val="21"/>
                <w:lang w:eastAsia="zh-CN"/>
              </w:rPr>
              <w:t>；</w:t>
            </w:r>
          </w:p>
          <w:p w14:paraId="1D4631F7">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3.博士后研究人员在站期间，本人户口及配偶、子女的户口可落在工作站所在地</w:t>
            </w:r>
            <w:r>
              <w:rPr>
                <w:rFonts w:hint="eastAsia" w:eastAsiaTheme="minorEastAsia"/>
                <w:sz w:val="21"/>
                <w:szCs w:val="21"/>
                <w:lang w:eastAsia="zh-CN"/>
              </w:rPr>
              <w:t>；</w:t>
            </w:r>
          </w:p>
          <w:p w14:paraId="0AC55E0F">
            <w:pPr>
              <w:keepNext w:val="0"/>
              <w:keepLines w:val="0"/>
              <w:pageBreakBefore w:val="0"/>
              <w:widowControl w:val="0"/>
              <w:kinsoku/>
              <w:wordWrap/>
              <w:overflowPunct/>
              <w:topLinePunct w:val="0"/>
              <w:autoSpaceDE/>
              <w:autoSpaceDN/>
              <w:bidi w:val="0"/>
              <w:adjustRightInd w:val="0"/>
              <w:snapToGrid w:val="0"/>
              <w:spacing w:line="264" w:lineRule="auto"/>
              <w:ind w:firstLine="420" w:firstLineChars="200"/>
              <w:textAlignment w:val="auto"/>
              <w:rPr>
                <w:rFonts w:hint="eastAsia" w:eastAsiaTheme="minorEastAsia"/>
                <w:sz w:val="21"/>
                <w:szCs w:val="21"/>
                <w:lang w:eastAsia="zh-CN"/>
              </w:rPr>
            </w:pPr>
            <w:r>
              <w:rPr>
                <w:rFonts w:hint="eastAsia" w:eastAsiaTheme="minorEastAsia"/>
                <w:sz w:val="21"/>
                <w:szCs w:val="21"/>
              </w:rPr>
              <w:t>4.享受双流区博士后十二条政策；优先享受公司相关高层次人才申报政策</w:t>
            </w:r>
            <w:r>
              <w:rPr>
                <w:rFonts w:hint="eastAsia" w:eastAsiaTheme="minorEastAsia"/>
                <w:sz w:val="21"/>
                <w:szCs w:val="21"/>
                <w:lang w:eastAsia="zh-CN"/>
              </w:rPr>
              <w:t>。</w:t>
            </w:r>
          </w:p>
        </w:tc>
      </w:tr>
      <w:tr w14:paraId="1B26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43" w:type="dxa"/>
            <w:gridSpan w:val="2"/>
            <w:shd w:val="clear" w:color="auto" w:fill="E7E6E6" w:themeFill="background2"/>
            <w:noWrap/>
            <w:vAlign w:val="center"/>
          </w:tcPr>
          <w:p w14:paraId="5D0BA30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768" w:type="dxa"/>
            <w:tcBorders>
              <w:right w:val="single" w:color="000000" w:sz="4" w:space="0"/>
            </w:tcBorders>
            <w:shd w:val="clear" w:color="auto" w:fill="E7E6E6" w:themeFill="background2"/>
            <w:noWrap/>
            <w:vAlign w:val="center"/>
          </w:tcPr>
          <w:p w14:paraId="08F9D0F1">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需求人数</w:t>
            </w:r>
          </w:p>
        </w:tc>
        <w:tc>
          <w:tcPr>
            <w:tcW w:w="1284" w:type="dxa"/>
            <w:gridSpan w:val="2"/>
            <w:tcBorders>
              <w:left w:val="single" w:color="000000" w:sz="4" w:space="0"/>
              <w:right w:val="single" w:color="000000" w:sz="4" w:space="0"/>
            </w:tcBorders>
            <w:shd w:val="clear" w:color="auto" w:fill="E7E6E6" w:themeFill="background2"/>
            <w:noWrap/>
            <w:vAlign w:val="center"/>
          </w:tcPr>
          <w:p w14:paraId="006B1D20">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岗位编号</w:t>
            </w:r>
          </w:p>
        </w:tc>
        <w:tc>
          <w:tcPr>
            <w:tcW w:w="1692" w:type="dxa"/>
            <w:gridSpan w:val="2"/>
            <w:tcBorders>
              <w:left w:val="single" w:color="000000" w:sz="4" w:space="0"/>
              <w:right w:val="single" w:color="000000" w:sz="4" w:space="0"/>
            </w:tcBorders>
            <w:shd w:val="clear" w:color="auto" w:fill="E7E6E6" w:themeFill="background2"/>
            <w:noWrap/>
            <w:vAlign w:val="center"/>
          </w:tcPr>
          <w:p w14:paraId="72EBB29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B481182">
            <w:pPr>
              <w:adjustRightInd w:val="0"/>
              <w:snapToGrid w:val="0"/>
              <w:spacing w:line="240" w:lineRule="auto"/>
              <w:ind w:firstLine="0" w:firstLineChars="0"/>
              <w:jc w:val="center"/>
              <w:rPr>
                <w:rFonts w:hint="eastAsia"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tcBorders>
              <w:left w:val="single" w:color="000000" w:sz="4" w:space="0"/>
              <w:right w:val="single" w:color="000000" w:sz="4" w:space="0"/>
            </w:tcBorders>
            <w:shd w:val="clear" w:color="auto" w:fill="E7E6E6" w:themeFill="background2"/>
            <w:noWrap/>
            <w:vAlign w:val="center"/>
          </w:tcPr>
          <w:p w14:paraId="63722A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65A257C">
            <w:pPr>
              <w:adjustRightInd w:val="0"/>
              <w:snapToGrid w:val="0"/>
              <w:spacing w:line="240" w:lineRule="auto"/>
              <w:ind w:firstLine="0" w:firstLineChars="0"/>
              <w:jc w:val="center"/>
              <w:rPr>
                <w:rFonts w:hint="eastAsia" w:eastAsiaTheme="minorEastAsia"/>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3168" w:type="dxa"/>
            <w:gridSpan w:val="2"/>
            <w:tcBorders>
              <w:left w:val="single" w:color="000000" w:sz="4" w:space="0"/>
            </w:tcBorders>
            <w:shd w:val="clear" w:color="auto" w:fill="E7E6E6" w:themeFill="background2"/>
            <w:noWrap/>
            <w:vAlign w:val="center"/>
          </w:tcPr>
          <w:p w14:paraId="1AEA1C05">
            <w:pPr>
              <w:adjustRightInd w:val="0"/>
              <w:snapToGrid w:val="0"/>
              <w:spacing w:line="240" w:lineRule="auto"/>
              <w:ind w:firstLine="0"/>
              <w:jc w:val="center"/>
              <w:rPr>
                <w:rFonts w:hint="eastAsia" w:eastAsiaTheme="minorEastAsia"/>
                <w:sz w:val="21"/>
                <w:szCs w:val="21"/>
              </w:rPr>
            </w:pPr>
            <w:r>
              <w:rPr>
                <w:rFonts w:eastAsiaTheme="minorEastAsia"/>
                <w:b/>
                <w:bCs/>
                <w:sz w:val="21"/>
                <w:szCs w:val="21"/>
              </w:rPr>
              <w:t>博士生源单位等要求</w:t>
            </w:r>
          </w:p>
        </w:tc>
      </w:tr>
      <w:tr w14:paraId="081C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6" w:hRule="atLeast"/>
          <w:jc w:val="center"/>
        </w:trPr>
        <w:tc>
          <w:tcPr>
            <w:tcW w:w="1443" w:type="dxa"/>
            <w:gridSpan w:val="2"/>
            <w:shd w:val="clear" w:color="auto" w:fill="FFFFFF"/>
            <w:noWrap/>
            <w:vAlign w:val="center"/>
          </w:tcPr>
          <w:p w14:paraId="4424217F">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网络安全研究员</w:t>
            </w:r>
          </w:p>
        </w:tc>
        <w:tc>
          <w:tcPr>
            <w:tcW w:w="768" w:type="dxa"/>
            <w:tcBorders>
              <w:right w:val="single" w:color="000000" w:sz="4" w:space="0"/>
            </w:tcBorders>
            <w:shd w:val="clear" w:color="auto" w:fill="FFFFFF"/>
            <w:noWrap/>
            <w:vAlign w:val="center"/>
          </w:tcPr>
          <w:p w14:paraId="42EA1006">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w:t>
            </w:r>
          </w:p>
        </w:tc>
        <w:tc>
          <w:tcPr>
            <w:tcW w:w="1284" w:type="dxa"/>
            <w:gridSpan w:val="2"/>
            <w:tcBorders>
              <w:left w:val="single" w:color="000000" w:sz="4" w:space="0"/>
              <w:right w:val="single" w:color="000000" w:sz="4" w:space="0"/>
            </w:tcBorders>
            <w:shd w:val="clear" w:color="auto" w:fill="FFFFFF"/>
            <w:noWrap/>
            <w:vAlign w:val="center"/>
          </w:tcPr>
          <w:p w14:paraId="768EA1EA">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01</w:t>
            </w:r>
          </w:p>
        </w:tc>
        <w:tc>
          <w:tcPr>
            <w:tcW w:w="1692" w:type="dxa"/>
            <w:gridSpan w:val="2"/>
            <w:tcBorders>
              <w:left w:val="single" w:color="000000" w:sz="4" w:space="0"/>
              <w:right w:val="single" w:color="000000" w:sz="4" w:space="0"/>
            </w:tcBorders>
            <w:shd w:val="clear" w:color="auto" w:fill="FFFFFF"/>
            <w:noWrap/>
            <w:vAlign w:val="center"/>
          </w:tcPr>
          <w:p w14:paraId="7C291486">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工学、网络空间安全</w:t>
            </w:r>
          </w:p>
        </w:tc>
        <w:tc>
          <w:tcPr>
            <w:tcW w:w="1284" w:type="dxa"/>
            <w:gridSpan w:val="2"/>
            <w:tcBorders>
              <w:left w:val="single" w:color="000000" w:sz="4" w:space="0"/>
              <w:right w:val="single" w:color="000000" w:sz="4" w:space="0"/>
            </w:tcBorders>
            <w:shd w:val="clear" w:color="auto" w:fill="FFFFFF"/>
            <w:noWrap/>
            <w:vAlign w:val="center"/>
          </w:tcPr>
          <w:p w14:paraId="47754F2C">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25-35万元/年，安家费另计</w:t>
            </w:r>
          </w:p>
        </w:tc>
        <w:tc>
          <w:tcPr>
            <w:tcW w:w="3168" w:type="dxa"/>
            <w:gridSpan w:val="2"/>
            <w:tcBorders>
              <w:left w:val="single" w:color="000000" w:sz="4" w:space="0"/>
            </w:tcBorders>
            <w:shd w:val="clear" w:color="auto" w:fill="FFFFFF"/>
            <w:noWrap/>
            <w:vAlign w:val="center"/>
          </w:tcPr>
          <w:p w14:paraId="67B648E1">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1.博士学历，网络空间安全、计算机科学与技术等相关专业；</w:t>
            </w:r>
          </w:p>
          <w:p w14:paraId="25B34471">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2.具备较强的创新意识及学习能力，较强的逻辑思维和归纳分析能力，较强的组织协调能力，独立处理问题能力和团队合作精神；</w:t>
            </w:r>
          </w:p>
          <w:p w14:paraId="029926A0">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3.具有较好的综合分析能力和较强的文字理解、表达和写作能力；</w:t>
            </w:r>
          </w:p>
          <w:p w14:paraId="3F3C32C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4.具有网络安全相关技术研究、项目申报等相关经历者优先。</w:t>
            </w:r>
          </w:p>
        </w:tc>
      </w:tr>
      <w:tr w14:paraId="198A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jc w:val="center"/>
        </w:trPr>
        <w:tc>
          <w:tcPr>
            <w:tcW w:w="1443" w:type="dxa"/>
            <w:gridSpan w:val="2"/>
            <w:shd w:val="clear" w:color="auto" w:fill="FFFFFF"/>
            <w:noWrap/>
            <w:vAlign w:val="center"/>
          </w:tcPr>
          <w:p w14:paraId="52C6F5A7">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NLP算法工程师</w:t>
            </w:r>
          </w:p>
        </w:tc>
        <w:tc>
          <w:tcPr>
            <w:tcW w:w="768" w:type="dxa"/>
            <w:tcBorders>
              <w:right w:val="single" w:color="000000" w:sz="4" w:space="0"/>
            </w:tcBorders>
            <w:shd w:val="clear" w:color="auto" w:fill="FFFFFF"/>
            <w:noWrap/>
            <w:vAlign w:val="center"/>
          </w:tcPr>
          <w:p w14:paraId="56275DCD">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w:t>
            </w:r>
          </w:p>
        </w:tc>
        <w:tc>
          <w:tcPr>
            <w:tcW w:w="1284" w:type="dxa"/>
            <w:gridSpan w:val="2"/>
            <w:tcBorders>
              <w:left w:val="single" w:color="000000" w:sz="4" w:space="0"/>
              <w:right w:val="single" w:color="000000" w:sz="4" w:space="0"/>
            </w:tcBorders>
            <w:shd w:val="clear" w:color="auto" w:fill="FFFFFF"/>
            <w:noWrap/>
            <w:vAlign w:val="center"/>
          </w:tcPr>
          <w:p w14:paraId="128ABD09">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02</w:t>
            </w:r>
          </w:p>
        </w:tc>
        <w:tc>
          <w:tcPr>
            <w:tcW w:w="1692" w:type="dxa"/>
            <w:gridSpan w:val="2"/>
            <w:tcBorders>
              <w:left w:val="single" w:color="000000" w:sz="4" w:space="0"/>
              <w:right w:val="single" w:color="000000" w:sz="4" w:space="0"/>
            </w:tcBorders>
            <w:shd w:val="clear" w:color="auto" w:fill="FFFFFF"/>
            <w:noWrap/>
            <w:vAlign w:val="center"/>
          </w:tcPr>
          <w:p w14:paraId="2736653F">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工学、网络空间安全</w:t>
            </w:r>
          </w:p>
        </w:tc>
        <w:tc>
          <w:tcPr>
            <w:tcW w:w="1284" w:type="dxa"/>
            <w:gridSpan w:val="2"/>
            <w:tcBorders>
              <w:left w:val="single" w:color="000000" w:sz="4" w:space="0"/>
              <w:right w:val="single" w:color="000000" w:sz="4" w:space="0"/>
            </w:tcBorders>
            <w:shd w:val="clear" w:color="auto" w:fill="FFFFFF"/>
            <w:noWrap/>
            <w:vAlign w:val="center"/>
          </w:tcPr>
          <w:p w14:paraId="5BCCB027">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25-35万元/年，安家费另计</w:t>
            </w:r>
          </w:p>
        </w:tc>
        <w:tc>
          <w:tcPr>
            <w:tcW w:w="3168" w:type="dxa"/>
            <w:gridSpan w:val="2"/>
            <w:tcBorders>
              <w:left w:val="single" w:color="000000" w:sz="4" w:space="0"/>
            </w:tcBorders>
            <w:shd w:val="clear" w:color="auto" w:fill="FFFFFF"/>
            <w:noWrap/>
            <w:vAlign w:val="center"/>
          </w:tcPr>
          <w:p w14:paraId="50FA67F5">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1.博士学历，计算机、数学相关专业；</w:t>
            </w:r>
          </w:p>
          <w:p w14:paraId="3ACC4422">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2.熟练掌握Java/Python语言；</w:t>
            </w:r>
          </w:p>
          <w:p w14:paraId="7DA10148">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3.有较强的算法基础，具备机器学习、数据挖掘、文本挖掘理论和技术基础；</w:t>
            </w:r>
          </w:p>
          <w:p w14:paraId="4B7DD05E">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4.熟悉NLP理论体系和技术体系、机器学习理论；</w:t>
            </w:r>
          </w:p>
          <w:p w14:paraId="088A630D">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5.熟悉深度学习平台，包括但不限于Tensorflow、keras;</w:t>
            </w:r>
          </w:p>
          <w:p w14:paraId="7606911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6.组织沟通能力强，思路清晰。</w:t>
            </w:r>
          </w:p>
        </w:tc>
      </w:tr>
      <w:tr w14:paraId="3C20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9" w:hRule="atLeast"/>
          <w:jc w:val="center"/>
        </w:trPr>
        <w:tc>
          <w:tcPr>
            <w:tcW w:w="1443" w:type="dxa"/>
            <w:gridSpan w:val="2"/>
            <w:shd w:val="clear" w:color="auto" w:fill="FFFFFF"/>
            <w:noWrap/>
            <w:vAlign w:val="center"/>
          </w:tcPr>
          <w:p w14:paraId="2707B60F">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数据平台关键技术研究</w:t>
            </w:r>
          </w:p>
        </w:tc>
        <w:tc>
          <w:tcPr>
            <w:tcW w:w="768" w:type="dxa"/>
            <w:tcBorders>
              <w:right w:val="single" w:color="000000" w:sz="4" w:space="0"/>
            </w:tcBorders>
            <w:shd w:val="clear" w:color="auto" w:fill="FFFFFF"/>
            <w:noWrap/>
            <w:vAlign w:val="center"/>
          </w:tcPr>
          <w:p w14:paraId="520B5D40">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84" w:type="dxa"/>
            <w:gridSpan w:val="2"/>
            <w:tcBorders>
              <w:left w:val="single" w:color="000000" w:sz="4" w:space="0"/>
              <w:right w:val="single" w:color="000000" w:sz="4" w:space="0"/>
            </w:tcBorders>
            <w:shd w:val="clear" w:color="auto" w:fill="FFFFFF"/>
            <w:noWrap/>
            <w:vAlign w:val="center"/>
          </w:tcPr>
          <w:p w14:paraId="2E042424">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03</w:t>
            </w:r>
          </w:p>
        </w:tc>
        <w:tc>
          <w:tcPr>
            <w:tcW w:w="1692" w:type="dxa"/>
            <w:gridSpan w:val="2"/>
            <w:tcBorders>
              <w:left w:val="single" w:color="000000" w:sz="4" w:space="0"/>
              <w:right w:val="single" w:color="000000" w:sz="4" w:space="0"/>
            </w:tcBorders>
            <w:shd w:val="clear" w:color="auto" w:fill="FFFFFF"/>
            <w:noWrap/>
            <w:vAlign w:val="center"/>
          </w:tcPr>
          <w:p w14:paraId="7B392353">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工学、网络空间安全</w:t>
            </w:r>
          </w:p>
        </w:tc>
        <w:tc>
          <w:tcPr>
            <w:tcW w:w="1284" w:type="dxa"/>
            <w:gridSpan w:val="2"/>
            <w:tcBorders>
              <w:left w:val="single" w:color="000000" w:sz="4" w:space="0"/>
              <w:right w:val="single" w:color="000000" w:sz="4" w:space="0"/>
            </w:tcBorders>
            <w:shd w:val="clear" w:color="auto" w:fill="FFFFFF"/>
            <w:noWrap/>
            <w:vAlign w:val="center"/>
          </w:tcPr>
          <w:p w14:paraId="25C19495">
            <w:pPr>
              <w:widowControl/>
              <w:spacing w:line="240" w:lineRule="auto"/>
              <w:ind w:firstLine="0"/>
              <w:jc w:val="center"/>
              <w:rPr>
                <w:rFonts w:hint="default" w:ascii="Times New Roman" w:hAnsi="Times New Roman" w:cs="Times New Roman" w:eastAsiaTheme="minorEastAsia"/>
                <w:color w:val="000000"/>
                <w:kern w:val="0"/>
                <w:sz w:val="21"/>
                <w:szCs w:val="21"/>
              </w:rPr>
            </w:pPr>
            <w:r>
              <w:rPr>
                <w:rFonts w:hint="default" w:ascii="Times New Roman" w:hAnsi="Times New Roman" w:cs="Times New Roman" w:eastAsiaTheme="minorEastAsia"/>
                <w:color w:val="000000"/>
                <w:sz w:val="21"/>
                <w:szCs w:val="21"/>
              </w:rPr>
              <w:t>25-30</w:t>
            </w:r>
            <w:r>
              <w:rPr>
                <w:rFonts w:hint="default" w:ascii="Times New Roman" w:hAnsi="Times New Roman" w:cs="Times New Roman" w:eastAsiaTheme="minorEastAsia"/>
                <w:sz w:val="21"/>
                <w:szCs w:val="21"/>
              </w:rPr>
              <w:t>万元/年，安家费另计</w:t>
            </w:r>
          </w:p>
          <w:p w14:paraId="7C1C19DC">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p>
        </w:tc>
        <w:tc>
          <w:tcPr>
            <w:tcW w:w="3168" w:type="dxa"/>
            <w:gridSpan w:val="2"/>
            <w:tcBorders>
              <w:left w:val="single" w:color="000000" w:sz="4" w:space="0"/>
            </w:tcBorders>
            <w:shd w:val="clear" w:color="auto" w:fill="FFFFFF"/>
            <w:noWrap/>
            <w:vAlign w:val="center"/>
          </w:tcPr>
          <w:p w14:paraId="4EED1521">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1.博士学历，通信、计算机、大数据、人工智能等方向优先；</w:t>
            </w:r>
          </w:p>
          <w:p w14:paraId="3EC15C37">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2.擅长分析用户业务、用户需求及系统架构，以业务场景出发挖掘潜在数据平台的需求，能够形成需求分析报告；</w:t>
            </w:r>
          </w:p>
          <w:p w14:paraId="660BD55E">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3.熟练掌握产品设计相关工具，有原型设计能力，有较好的技术方案设计、产品策划能力、文档编写能力者优先；</w:t>
            </w:r>
          </w:p>
          <w:p w14:paraId="1068AD6E">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4.具备一定的数据分析能力，对数据有敏感性与洞察力；</w:t>
            </w:r>
          </w:p>
          <w:p w14:paraId="4B7BD4B1">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5.具备较强的抗压能力，对工作有领悟能力和执行力。</w:t>
            </w:r>
          </w:p>
        </w:tc>
      </w:tr>
      <w:tr w14:paraId="34E2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43" w:type="dxa"/>
            <w:gridSpan w:val="2"/>
            <w:shd w:val="clear" w:color="auto" w:fill="E7E6E6" w:themeFill="background2"/>
            <w:noWrap/>
            <w:vAlign w:val="center"/>
          </w:tcPr>
          <w:p w14:paraId="048C2D19">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768" w:type="dxa"/>
            <w:tcBorders>
              <w:right w:val="single" w:color="000000" w:sz="4" w:space="0"/>
            </w:tcBorders>
            <w:shd w:val="clear" w:color="auto" w:fill="E7E6E6" w:themeFill="background2"/>
            <w:noWrap/>
            <w:vAlign w:val="center"/>
          </w:tcPr>
          <w:p w14:paraId="4FAE175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需求人数</w:t>
            </w:r>
          </w:p>
        </w:tc>
        <w:tc>
          <w:tcPr>
            <w:tcW w:w="1284" w:type="dxa"/>
            <w:gridSpan w:val="2"/>
            <w:tcBorders>
              <w:left w:val="single" w:color="000000" w:sz="4" w:space="0"/>
              <w:right w:val="single" w:color="000000" w:sz="4" w:space="0"/>
            </w:tcBorders>
            <w:shd w:val="clear" w:color="auto" w:fill="E7E6E6" w:themeFill="background2"/>
            <w:noWrap/>
            <w:vAlign w:val="center"/>
          </w:tcPr>
          <w:p w14:paraId="2469876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岗位编号</w:t>
            </w:r>
          </w:p>
        </w:tc>
        <w:tc>
          <w:tcPr>
            <w:tcW w:w="1692" w:type="dxa"/>
            <w:gridSpan w:val="2"/>
            <w:tcBorders>
              <w:left w:val="single" w:color="000000" w:sz="4" w:space="0"/>
              <w:right w:val="single" w:color="000000" w:sz="4" w:space="0"/>
            </w:tcBorders>
            <w:shd w:val="clear" w:color="auto" w:fill="E7E6E6" w:themeFill="background2"/>
            <w:noWrap/>
            <w:vAlign w:val="center"/>
          </w:tcPr>
          <w:p w14:paraId="2EFB2FF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B69182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284" w:type="dxa"/>
            <w:gridSpan w:val="2"/>
            <w:tcBorders>
              <w:left w:val="single" w:color="000000" w:sz="4" w:space="0"/>
              <w:right w:val="single" w:color="000000" w:sz="4" w:space="0"/>
            </w:tcBorders>
            <w:shd w:val="clear" w:color="auto" w:fill="E7E6E6" w:themeFill="background2"/>
            <w:noWrap/>
            <w:vAlign w:val="center"/>
          </w:tcPr>
          <w:p w14:paraId="6D9F383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920CDB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3168" w:type="dxa"/>
            <w:gridSpan w:val="2"/>
            <w:tcBorders>
              <w:left w:val="single" w:color="000000" w:sz="4" w:space="0"/>
            </w:tcBorders>
            <w:shd w:val="clear" w:color="auto" w:fill="E7E6E6" w:themeFill="background2"/>
            <w:noWrap/>
            <w:vAlign w:val="center"/>
          </w:tcPr>
          <w:p w14:paraId="07671638">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博士生源单位等要求</w:t>
            </w:r>
          </w:p>
        </w:tc>
      </w:tr>
      <w:tr w14:paraId="1B4F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1443" w:type="dxa"/>
            <w:gridSpan w:val="2"/>
            <w:shd w:val="clear" w:color="auto" w:fill="FFFFFF"/>
            <w:noWrap/>
            <w:vAlign w:val="center"/>
          </w:tcPr>
          <w:p w14:paraId="7815CED3">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密码基础理论与技术研究</w:t>
            </w:r>
          </w:p>
        </w:tc>
        <w:tc>
          <w:tcPr>
            <w:tcW w:w="768" w:type="dxa"/>
            <w:tcBorders>
              <w:right w:val="single" w:color="000000" w:sz="4" w:space="0"/>
            </w:tcBorders>
            <w:shd w:val="clear" w:color="auto" w:fill="FFFFFF"/>
            <w:noWrap/>
            <w:vAlign w:val="center"/>
          </w:tcPr>
          <w:p w14:paraId="1DFE165A">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84" w:type="dxa"/>
            <w:gridSpan w:val="2"/>
            <w:tcBorders>
              <w:left w:val="single" w:color="000000" w:sz="4" w:space="0"/>
              <w:right w:val="single" w:color="000000" w:sz="4" w:space="0"/>
            </w:tcBorders>
            <w:shd w:val="clear" w:color="auto" w:fill="FFFFFF"/>
            <w:noWrap/>
            <w:vAlign w:val="center"/>
          </w:tcPr>
          <w:p w14:paraId="72C92037">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04</w:t>
            </w:r>
          </w:p>
        </w:tc>
        <w:tc>
          <w:tcPr>
            <w:tcW w:w="1692" w:type="dxa"/>
            <w:gridSpan w:val="2"/>
            <w:tcBorders>
              <w:left w:val="single" w:color="000000" w:sz="4" w:space="0"/>
              <w:right w:val="single" w:color="000000" w:sz="4" w:space="0"/>
            </w:tcBorders>
            <w:shd w:val="clear" w:color="auto" w:fill="FFFFFF"/>
            <w:noWrap/>
            <w:vAlign w:val="center"/>
          </w:tcPr>
          <w:p w14:paraId="7F7E4E2B">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工学、网络空间安全</w:t>
            </w:r>
          </w:p>
        </w:tc>
        <w:tc>
          <w:tcPr>
            <w:tcW w:w="1284" w:type="dxa"/>
            <w:gridSpan w:val="2"/>
            <w:tcBorders>
              <w:left w:val="single" w:color="000000" w:sz="4" w:space="0"/>
              <w:right w:val="single" w:color="000000" w:sz="4" w:space="0"/>
            </w:tcBorders>
            <w:shd w:val="clear" w:color="auto" w:fill="FFFFFF"/>
            <w:noWrap/>
            <w:vAlign w:val="center"/>
          </w:tcPr>
          <w:p w14:paraId="2F6DC3AB">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25-30万元/年，安家费另计</w:t>
            </w:r>
          </w:p>
        </w:tc>
        <w:tc>
          <w:tcPr>
            <w:tcW w:w="3168" w:type="dxa"/>
            <w:gridSpan w:val="2"/>
            <w:tcBorders>
              <w:left w:val="single" w:color="000000" w:sz="4" w:space="0"/>
            </w:tcBorders>
            <w:shd w:val="clear" w:color="auto" w:fill="FFFFFF"/>
            <w:noWrap/>
            <w:vAlign w:val="center"/>
          </w:tcPr>
          <w:p w14:paraId="1B644B9E">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1.博士学历，密码学、数学、信息安全、计算机等相关专业毕业。</w:t>
            </w:r>
          </w:p>
          <w:p w14:paraId="51F1D684">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2.具有代数数论、有限域等知识背景。</w:t>
            </w:r>
          </w:p>
          <w:p w14:paraId="1174DC9C">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3.掌握对称密码或公钥密码算法部件设计与性质分析。</w:t>
            </w:r>
          </w:p>
          <w:p w14:paraId="4DED73F8">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4.掌握C/C++编程技术，能够对密码算法进行实现验证。</w:t>
            </w:r>
          </w:p>
          <w:p w14:paraId="05467EEE">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5.具有密码算法设计、可证明安全理论研究、密码自动化安全性分析经验者优先。</w:t>
            </w:r>
          </w:p>
        </w:tc>
      </w:tr>
      <w:tr w14:paraId="008E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1443" w:type="dxa"/>
            <w:gridSpan w:val="2"/>
            <w:shd w:val="clear" w:color="auto" w:fill="FFFFFF"/>
            <w:noWrap/>
            <w:vAlign w:val="center"/>
          </w:tcPr>
          <w:p w14:paraId="68FDDF9E">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量子保密通信与时频安全研发工程师</w:t>
            </w:r>
          </w:p>
        </w:tc>
        <w:tc>
          <w:tcPr>
            <w:tcW w:w="768" w:type="dxa"/>
            <w:tcBorders>
              <w:right w:val="single" w:color="000000" w:sz="4" w:space="0"/>
            </w:tcBorders>
            <w:shd w:val="clear" w:color="auto" w:fill="FFFFFF"/>
            <w:noWrap/>
            <w:vAlign w:val="center"/>
          </w:tcPr>
          <w:p w14:paraId="67DAAC94">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84" w:type="dxa"/>
            <w:gridSpan w:val="2"/>
            <w:tcBorders>
              <w:left w:val="single" w:color="000000" w:sz="4" w:space="0"/>
              <w:right w:val="single" w:color="000000" w:sz="4" w:space="0"/>
            </w:tcBorders>
            <w:shd w:val="clear" w:color="auto" w:fill="FFFFFF"/>
            <w:noWrap/>
            <w:vAlign w:val="center"/>
          </w:tcPr>
          <w:p w14:paraId="139C8406">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05</w:t>
            </w:r>
          </w:p>
        </w:tc>
        <w:tc>
          <w:tcPr>
            <w:tcW w:w="1692" w:type="dxa"/>
            <w:gridSpan w:val="2"/>
            <w:tcBorders>
              <w:left w:val="single" w:color="000000" w:sz="4" w:space="0"/>
              <w:right w:val="single" w:color="000000" w:sz="4" w:space="0"/>
            </w:tcBorders>
            <w:shd w:val="clear" w:color="auto" w:fill="FFFFFF"/>
            <w:noWrap/>
            <w:vAlign w:val="center"/>
          </w:tcPr>
          <w:p w14:paraId="2497BCAD">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光学、工学、理学</w:t>
            </w:r>
          </w:p>
        </w:tc>
        <w:tc>
          <w:tcPr>
            <w:tcW w:w="1284" w:type="dxa"/>
            <w:gridSpan w:val="2"/>
            <w:tcBorders>
              <w:left w:val="single" w:color="000000" w:sz="4" w:space="0"/>
              <w:right w:val="single" w:color="000000" w:sz="4" w:space="0"/>
            </w:tcBorders>
            <w:shd w:val="clear" w:color="auto" w:fill="FFFFFF"/>
            <w:noWrap/>
            <w:vAlign w:val="center"/>
          </w:tcPr>
          <w:p w14:paraId="4AA3BB2C">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25-30万元/年，安家费另计</w:t>
            </w:r>
          </w:p>
        </w:tc>
        <w:tc>
          <w:tcPr>
            <w:tcW w:w="3168" w:type="dxa"/>
            <w:gridSpan w:val="2"/>
            <w:tcBorders>
              <w:left w:val="single" w:color="000000" w:sz="4" w:space="0"/>
            </w:tcBorders>
            <w:shd w:val="clear" w:color="auto" w:fill="FFFFFF"/>
            <w:noWrap/>
            <w:vAlign w:val="center"/>
          </w:tcPr>
          <w:p w14:paraId="4727D2E5">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1.博士学历，光学工程、物理学、电子信息、通信等相关专业；</w:t>
            </w:r>
          </w:p>
          <w:p w14:paraId="5B7ED8C7">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2.具备量子保密通信或时频安全研究基础；</w:t>
            </w:r>
          </w:p>
          <w:p w14:paraId="49AB8875">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3.具备良好的团队合作精神，较强的发现和解决问题的能力；</w:t>
            </w:r>
          </w:p>
          <w:p w14:paraId="17B202F7">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4.具备量子保密通信系统或时频安全系统搭建经验者优先。</w:t>
            </w:r>
          </w:p>
        </w:tc>
      </w:tr>
      <w:tr w14:paraId="6998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1" w:hRule="atLeast"/>
          <w:jc w:val="center"/>
        </w:trPr>
        <w:tc>
          <w:tcPr>
            <w:tcW w:w="1443" w:type="dxa"/>
            <w:gridSpan w:val="2"/>
            <w:shd w:val="clear" w:color="auto" w:fill="FFFFFF"/>
            <w:noWrap/>
            <w:vAlign w:val="center"/>
          </w:tcPr>
          <w:p w14:paraId="0C898542">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密码保密智能赋能研究工程师</w:t>
            </w:r>
          </w:p>
        </w:tc>
        <w:tc>
          <w:tcPr>
            <w:tcW w:w="768" w:type="dxa"/>
            <w:tcBorders>
              <w:right w:val="single" w:color="000000" w:sz="4" w:space="0"/>
            </w:tcBorders>
            <w:shd w:val="clear" w:color="auto" w:fill="FFFFFF"/>
            <w:noWrap/>
            <w:vAlign w:val="center"/>
          </w:tcPr>
          <w:p w14:paraId="79BD9846">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84" w:type="dxa"/>
            <w:gridSpan w:val="2"/>
            <w:tcBorders>
              <w:left w:val="single" w:color="000000" w:sz="4" w:space="0"/>
              <w:right w:val="single" w:color="000000" w:sz="4" w:space="0"/>
            </w:tcBorders>
            <w:shd w:val="clear" w:color="auto" w:fill="FFFFFF"/>
            <w:noWrap/>
            <w:vAlign w:val="center"/>
          </w:tcPr>
          <w:p w14:paraId="24DC9E77">
            <w:pPr>
              <w:adjustRightInd w:val="0"/>
              <w:snapToGrid w:val="0"/>
              <w:spacing w:line="240" w:lineRule="auto"/>
              <w:ind w:firstLine="0" w:firstLineChars="0"/>
              <w:jc w:val="center"/>
              <w:textAlignment w:val="baseline"/>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w:t>
            </w:r>
            <w:r>
              <w:rPr>
                <w:rFonts w:hint="eastAsia" w:ascii="Times New Roman" w:hAnsi="Times New Roman" w:cs="Times New Roman" w:eastAsiaTheme="minorEastAsia"/>
                <w:sz w:val="21"/>
                <w:szCs w:val="21"/>
                <w:lang w:val="en-US" w:eastAsia="zh-CN"/>
              </w:rPr>
              <w:t>6</w:t>
            </w:r>
          </w:p>
        </w:tc>
        <w:tc>
          <w:tcPr>
            <w:tcW w:w="1692" w:type="dxa"/>
            <w:gridSpan w:val="2"/>
            <w:tcBorders>
              <w:left w:val="single" w:color="000000" w:sz="4" w:space="0"/>
              <w:right w:val="single" w:color="000000" w:sz="4" w:space="0"/>
            </w:tcBorders>
            <w:shd w:val="clear" w:color="auto" w:fill="FFFFFF"/>
            <w:noWrap/>
            <w:vAlign w:val="center"/>
          </w:tcPr>
          <w:p w14:paraId="52CEC146">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工学、网络空间安全</w:t>
            </w:r>
          </w:p>
        </w:tc>
        <w:tc>
          <w:tcPr>
            <w:tcW w:w="1284" w:type="dxa"/>
            <w:gridSpan w:val="2"/>
            <w:tcBorders>
              <w:left w:val="single" w:color="000000" w:sz="4" w:space="0"/>
              <w:right w:val="single" w:color="000000" w:sz="4" w:space="0"/>
            </w:tcBorders>
            <w:shd w:val="clear" w:color="auto" w:fill="FFFFFF"/>
            <w:noWrap/>
            <w:vAlign w:val="center"/>
          </w:tcPr>
          <w:p w14:paraId="57B23B1A">
            <w:pPr>
              <w:adjustRightInd w:val="0"/>
              <w:snapToGrid w:val="0"/>
              <w:spacing w:line="240" w:lineRule="auto"/>
              <w:ind w:firstLine="0" w:firstLineChars="0"/>
              <w:jc w:val="center"/>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25-45万元/年，安家费另计</w:t>
            </w:r>
          </w:p>
        </w:tc>
        <w:tc>
          <w:tcPr>
            <w:tcW w:w="3168" w:type="dxa"/>
            <w:gridSpan w:val="2"/>
            <w:tcBorders>
              <w:left w:val="single" w:color="000000" w:sz="4" w:space="0"/>
            </w:tcBorders>
            <w:shd w:val="clear" w:color="auto" w:fill="FFFFFF"/>
            <w:noWrap/>
            <w:vAlign w:val="center"/>
          </w:tcPr>
          <w:p w14:paraId="25837EA6">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1.博士学历，密码学、人工智能、信息安全、计算机、通信、电子等相关专业；</w:t>
            </w:r>
          </w:p>
          <w:p w14:paraId="50FA7C7C">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2.掌握密码学、信息安全及人工智能、机器学习等研究方向的基础理论知识；</w:t>
            </w:r>
          </w:p>
          <w:p w14:paraId="2BC9D116">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3.掌握BERT、Transformer以及至少一种开源LLM；</w:t>
            </w:r>
          </w:p>
          <w:p w14:paraId="687BEA46">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4.掌握至少一种深度学习框架（Pytorch、Tensorflow等）；</w:t>
            </w:r>
          </w:p>
          <w:p w14:paraId="44B5C7E9">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5.掌握至少一门计算机开发语言（C/C++、java、python、Go等）；</w:t>
            </w:r>
          </w:p>
          <w:p w14:paraId="05833282">
            <w:pPr>
              <w:adjustRightInd w:val="0"/>
              <w:snapToGrid w:val="0"/>
              <w:spacing w:line="240" w:lineRule="auto"/>
              <w:ind w:firstLine="0" w:firstLineChars="0"/>
              <w:textAlignment w:val="baseline"/>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6.具备较强的创新意识及学习能力，沟通能力强，技术思路清晰，具有良好的团队合作精神。</w:t>
            </w:r>
          </w:p>
        </w:tc>
      </w:tr>
      <w:tr w14:paraId="1932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1443" w:type="dxa"/>
            <w:gridSpan w:val="2"/>
            <w:shd w:val="clear" w:color="auto" w:fill="auto"/>
            <w:noWrap/>
            <w:vAlign w:val="center"/>
          </w:tcPr>
          <w:p w14:paraId="1BE8130C">
            <w:pPr>
              <w:adjustRightInd w:val="0"/>
              <w:snapToGrid w:val="0"/>
              <w:spacing w:line="240" w:lineRule="auto"/>
              <w:ind w:firstLine="0" w:firstLineChars="0"/>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密码分析工程师</w:t>
            </w:r>
          </w:p>
        </w:tc>
        <w:tc>
          <w:tcPr>
            <w:tcW w:w="768" w:type="dxa"/>
            <w:tcBorders>
              <w:right w:val="single" w:color="000000" w:sz="4" w:space="0"/>
            </w:tcBorders>
            <w:shd w:val="clear" w:color="auto" w:fill="auto"/>
            <w:noWrap/>
            <w:vAlign w:val="center"/>
          </w:tcPr>
          <w:p w14:paraId="163EA597">
            <w:pPr>
              <w:adjustRightInd w:val="0"/>
              <w:snapToGrid w:val="0"/>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1</w:t>
            </w:r>
          </w:p>
        </w:tc>
        <w:tc>
          <w:tcPr>
            <w:tcW w:w="1284" w:type="dxa"/>
            <w:gridSpan w:val="2"/>
            <w:tcBorders>
              <w:left w:val="single" w:color="000000" w:sz="4" w:space="0"/>
              <w:right w:val="single" w:color="000000" w:sz="4" w:space="0"/>
            </w:tcBorders>
            <w:shd w:val="clear" w:color="auto" w:fill="auto"/>
            <w:noWrap/>
            <w:vAlign w:val="center"/>
          </w:tcPr>
          <w:p w14:paraId="5C6E0DEA">
            <w:pPr>
              <w:adjustRightInd w:val="0"/>
              <w:snapToGrid w:val="0"/>
              <w:spacing w:line="240" w:lineRule="auto"/>
              <w:ind w:firstLine="0" w:firstLineChars="0"/>
              <w:jc w:val="center"/>
              <w:textAlignment w:val="baseline"/>
              <w:rPr>
                <w:rFonts w:hint="eastAsia" w:ascii="Times New Roman" w:hAnsi="Times New Roman" w:cs="Times New Roman" w:eastAsiaTheme="minorEastAsia"/>
                <w:b/>
                <w:bCs/>
                <w:sz w:val="21"/>
                <w:szCs w:val="21"/>
                <w:lang w:eastAsia="zh-CN"/>
              </w:rPr>
            </w:pPr>
            <w:r>
              <w:rPr>
                <w:rFonts w:hint="default" w:ascii="Times New Roman" w:hAnsi="Times New Roman" w:cs="Times New Roman" w:eastAsiaTheme="minorEastAsia"/>
                <w:sz w:val="21"/>
                <w:szCs w:val="21"/>
              </w:rPr>
              <w:t>BSH</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0</w:t>
            </w:r>
            <w:r>
              <w:rPr>
                <w:rFonts w:hint="eastAsia" w:ascii="Times New Roman" w:hAnsi="Times New Roman" w:cs="Times New Roman" w:eastAsiaTheme="minorEastAsia"/>
                <w:sz w:val="21"/>
                <w:szCs w:val="21"/>
                <w:lang w:val="en-US" w:eastAsia="zh-CN"/>
              </w:rPr>
              <w:t>7</w:t>
            </w:r>
          </w:p>
        </w:tc>
        <w:tc>
          <w:tcPr>
            <w:tcW w:w="1692" w:type="dxa"/>
            <w:gridSpan w:val="2"/>
            <w:tcBorders>
              <w:left w:val="single" w:color="000000" w:sz="4" w:space="0"/>
              <w:right w:val="single" w:color="000000" w:sz="4" w:space="0"/>
            </w:tcBorders>
            <w:shd w:val="clear" w:color="auto" w:fill="auto"/>
            <w:noWrap/>
            <w:vAlign w:val="center"/>
          </w:tcPr>
          <w:p w14:paraId="548C2269">
            <w:pPr>
              <w:adjustRightInd w:val="0"/>
              <w:snapToGrid w:val="0"/>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工学、理学</w:t>
            </w:r>
          </w:p>
        </w:tc>
        <w:tc>
          <w:tcPr>
            <w:tcW w:w="1284" w:type="dxa"/>
            <w:gridSpan w:val="2"/>
            <w:tcBorders>
              <w:left w:val="single" w:color="000000" w:sz="4" w:space="0"/>
              <w:right w:val="single" w:color="000000" w:sz="4" w:space="0"/>
            </w:tcBorders>
            <w:shd w:val="clear" w:color="auto" w:fill="auto"/>
            <w:noWrap/>
            <w:vAlign w:val="center"/>
          </w:tcPr>
          <w:p w14:paraId="4EA1B38B">
            <w:pPr>
              <w:adjustRightInd w:val="0"/>
              <w:snapToGrid w:val="0"/>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25-30万元/年，安家费另计</w:t>
            </w:r>
          </w:p>
        </w:tc>
        <w:tc>
          <w:tcPr>
            <w:tcW w:w="3168" w:type="dxa"/>
            <w:gridSpan w:val="2"/>
            <w:tcBorders>
              <w:left w:val="single" w:color="000000" w:sz="4" w:space="0"/>
            </w:tcBorders>
            <w:shd w:val="clear" w:color="auto" w:fill="auto"/>
            <w:noWrap/>
            <w:vAlign w:val="center"/>
          </w:tcPr>
          <w:p w14:paraId="66831B4E">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1.博士学历，数学、计算机、软件、密码学、人工智能等相关专业；</w:t>
            </w:r>
          </w:p>
          <w:p w14:paraId="1F9E2F35">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2.具有密码学或网络安全相关基础理论知识；</w:t>
            </w:r>
          </w:p>
          <w:p w14:paraId="19FDAF9A">
            <w:pPr>
              <w:adjustRightInd w:val="0"/>
              <w:snapToGrid w:val="0"/>
              <w:spacing w:line="240" w:lineRule="auto"/>
              <w:ind w:firstLine="0"/>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3.至少掌握一门编程语言，如C/C++、python、java、go等；</w:t>
            </w:r>
          </w:p>
          <w:p w14:paraId="5B13C0F3">
            <w:pPr>
              <w:adjustRightInd w:val="0"/>
              <w:snapToGrid w:val="0"/>
              <w:spacing w:line="240" w:lineRule="auto"/>
              <w:ind w:firstLine="0" w:firstLineChars="0"/>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rPr>
              <w:t>4.具有软件逆向、加密协议分析、网络流量分析等经验者优先。</w:t>
            </w:r>
          </w:p>
        </w:tc>
      </w:tr>
    </w:tbl>
    <w:p w14:paraId="690A599A">
      <w:pPr>
        <w:adjustRightInd w:val="0"/>
        <w:snapToGrid w:val="0"/>
        <w:spacing w:line="240" w:lineRule="auto"/>
        <w:ind w:left="0" w:leftChars="0" w:firstLine="0" w:firstLineChars="0"/>
        <w:rPr>
          <w:rFonts w:eastAsia="方正小标宋简体"/>
          <w:sz w:val="44"/>
          <w:szCs w:val="44"/>
        </w:rPr>
      </w:pPr>
      <w:r>
        <w:rPr>
          <w:sz w:val="21"/>
          <w:szCs w:val="21"/>
        </w:rPr>
        <w:br w:type="page"/>
      </w:r>
    </w:p>
    <w:p w14:paraId="642D0C3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411516B2">
      <w:pPr>
        <w:pStyle w:val="5"/>
        <w:adjustRightInd w:val="0"/>
        <w:snapToGrid w:val="0"/>
        <w:spacing w:line="240" w:lineRule="auto"/>
        <w:ind w:firstLine="0"/>
        <w:jc w:val="center"/>
        <w:outlineLvl w:val="0"/>
        <w:rPr>
          <w:rFonts w:eastAsia="方正小标宋简体"/>
          <w:sz w:val="44"/>
          <w:szCs w:val="44"/>
          <w:highlight w:val="yellow"/>
        </w:rPr>
      </w:pPr>
      <w:bookmarkStart w:id="554" w:name="_Toc31852"/>
      <w:bookmarkStart w:id="555" w:name="_Toc26515"/>
      <w:bookmarkStart w:id="556" w:name="_Toc1719"/>
      <w:bookmarkStart w:id="557" w:name="_Toc31751"/>
      <w:bookmarkStart w:id="558" w:name="_Toc3390"/>
      <w:r>
        <w:rPr>
          <w:rFonts w:hint="eastAsia" w:eastAsia="方正小标宋简体"/>
          <w:sz w:val="44"/>
          <w:szCs w:val="44"/>
          <w:highlight w:val="none"/>
        </w:rPr>
        <w:t>中国航发四川燃气涡轮研究院</w:t>
      </w:r>
      <w:bookmarkEnd w:id="554"/>
      <w:bookmarkEnd w:id="555"/>
      <w:bookmarkEnd w:id="556"/>
      <w:bookmarkEnd w:id="557"/>
      <w:bookmarkEnd w:id="558"/>
    </w:p>
    <w:p w14:paraId="5C9016E4">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4"/>
        <w:gridCol w:w="252"/>
        <w:gridCol w:w="460"/>
        <w:gridCol w:w="1216"/>
        <w:gridCol w:w="1621"/>
        <w:gridCol w:w="1473"/>
        <w:gridCol w:w="150"/>
        <w:gridCol w:w="1785"/>
      </w:tblGrid>
      <w:tr w14:paraId="6B2B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5B6C33F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46" w:type="dxa"/>
            <w:gridSpan w:val="2"/>
            <w:shd w:val="clear" w:color="000000" w:fill="FFFFFF"/>
            <w:noWrap/>
            <w:vAlign w:val="center"/>
          </w:tcPr>
          <w:p w14:paraId="238FFB22">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科研院所</w:t>
            </w:r>
          </w:p>
        </w:tc>
        <w:tc>
          <w:tcPr>
            <w:tcW w:w="1676" w:type="dxa"/>
            <w:gridSpan w:val="2"/>
            <w:shd w:val="clear" w:color="auto" w:fill="E7E6E6" w:themeFill="background2"/>
            <w:noWrap/>
            <w:vAlign w:val="center"/>
          </w:tcPr>
          <w:p w14:paraId="1A3C7D2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1" w:type="dxa"/>
            <w:shd w:val="clear" w:color="000000" w:fill="FFFFFF"/>
            <w:noWrap/>
            <w:vAlign w:val="center"/>
          </w:tcPr>
          <w:p w14:paraId="13AA9B17">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623" w:type="dxa"/>
            <w:gridSpan w:val="2"/>
            <w:shd w:val="clear" w:color="auto" w:fill="E7E6E6" w:themeFill="background2"/>
            <w:noWrap/>
            <w:vAlign w:val="center"/>
          </w:tcPr>
          <w:p w14:paraId="699096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5" w:type="dxa"/>
            <w:shd w:val="clear" w:color="000000" w:fill="FFFFFF"/>
            <w:noWrap/>
            <w:vAlign w:val="center"/>
          </w:tcPr>
          <w:p w14:paraId="1B3E5B61">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473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5934D4F4">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8"/>
            <w:shd w:val="clear" w:color="000000" w:fill="FFFFFF"/>
            <w:noWrap/>
            <w:vAlign w:val="center"/>
          </w:tcPr>
          <w:p w14:paraId="3BB2E7E1">
            <w:pPr>
              <w:adjustRightInd w:val="0"/>
              <w:snapToGrid w:val="0"/>
              <w:spacing w:line="240" w:lineRule="auto"/>
              <w:ind w:firstLine="0"/>
              <w:jc w:val="center"/>
              <w:rPr>
                <w:rFonts w:eastAsiaTheme="minorEastAsia"/>
                <w:sz w:val="21"/>
                <w:szCs w:val="21"/>
              </w:rPr>
            </w:pPr>
            <w:r>
              <w:rPr>
                <w:rFonts w:hint="eastAsia" w:cs="Times New Roman" w:eastAsiaTheme="minorEastAsia"/>
                <w:sz w:val="21"/>
                <w:szCs w:val="21"/>
                <w:lang w:val="en-US" w:eastAsia="zh-CN"/>
              </w:rPr>
              <w:t>四川省成都市新都区学府路999号</w:t>
            </w:r>
          </w:p>
        </w:tc>
      </w:tr>
      <w:tr w14:paraId="4996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2" w:hRule="atLeast"/>
          <w:jc w:val="center"/>
        </w:trPr>
        <w:tc>
          <w:tcPr>
            <w:tcW w:w="1300" w:type="dxa"/>
            <w:shd w:val="clear" w:color="auto" w:fill="E7E6E6" w:themeFill="background2"/>
            <w:noWrap/>
            <w:vAlign w:val="center"/>
          </w:tcPr>
          <w:p w14:paraId="137D2BE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14:paraId="0B42ED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航发四川燃气涡轮研究院，创建于1965年4月，是我国航空发动机型号研制、预先研究和大型试验研究基地。院研发总部位于成都市新都区，实现集中决策、行政指挥、研发设计、运营支撑四大功能，以建成国际一流的航空发动机研发总部为目标。试验研究基地位于绵阳航空城，主要承担航空发动机高空模拟试验与技术研究，零部件试验与技术研究，以建成世界顶级航空发动机试验基地为目标。</w:t>
            </w:r>
          </w:p>
          <w:p w14:paraId="4C0B78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我院高度重视预先研究，具有扎实的自主研发能力，我院承担某型发动机是国内第一型完全独立自主完成研制的型号动力；我院拥有亚洲第一高空模拟试车台，承担了国内各型号发动机的定型考核和模拟试验工作；我院具有完整的发动机设计体系，拥有一支知识扎实、经验丰富、团结向上的科研队伍。</w:t>
            </w:r>
          </w:p>
        </w:tc>
      </w:tr>
      <w:tr w14:paraId="583C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1300" w:type="dxa"/>
            <w:shd w:val="clear" w:color="auto" w:fill="E7E6E6" w:themeFill="background2"/>
            <w:noWrap/>
            <w:vAlign w:val="center"/>
          </w:tcPr>
          <w:p w14:paraId="38AF5CA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14:paraId="1CFA79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中国航发四川燃气涡轮研究院人力资源部设立科研博士后工作站管理办公室，管理办公室为入站的博士后成立博士后专家指导小组，负责指导博士后的课题研究和科研工作。博士后在站工作时间为2年，也可以根据科研工作需要适当延长，但一般不超过3年。博士后入站申请人向我院工作站办公室提出书面申请、个人简历及能够反映科研能力、学术水平的相关证明材料，工作站办公室组织博士后专家指导小组对申请人的科研能力、学术水平和已取得的成果进行评议审核，择优录取。</w:t>
            </w:r>
          </w:p>
        </w:tc>
      </w:tr>
      <w:tr w14:paraId="6095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94" w:type="dxa"/>
            <w:gridSpan w:val="2"/>
            <w:shd w:val="clear" w:color="auto" w:fill="E7E6E6" w:themeFill="background2"/>
            <w:noWrap/>
            <w:vAlign w:val="center"/>
          </w:tcPr>
          <w:p w14:paraId="6C14D46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14:paraId="2714D5D9">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14:paraId="7AAE2F0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14:paraId="44D78ED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AA137A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73" w:type="dxa"/>
            <w:shd w:val="clear" w:color="auto" w:fill="E7E6E6" w:themeFill="background2"/>
            <w:vAlign w:val="center"/>
          </w:tcPr>
          <w:p w14:paraId="6B3DFD8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11C3CC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35" w:type="dxa"/>
            <w:gridSpan w:val="2"/>
            <w:shd w:val="clear" w:color="auto" w:fill="E7E6E6" w:themeFill="background2"/>
            <w:vAlign w:val="center"/>
          </w:tcPr>
          <w:p w14:paraId="5394B6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AF6A39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238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94" w:type="dxa"/>
            <w:gridSpan w:val="2"/>
            <w:shd w:val="clear" w:color="000000" w:fill="FFFFFF"/>
            <w:noWrap/>
            <w:vAlign w:val="center"/>
          </w:tcPr>
          <w:p w14:paraId="36EDD38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航空发动机故障诊断</w:t>
            </w:r>
          </w:p>
        </w:tc>
        <w:tc>
          <w:tcPr>
            <w:tcW w:w="712" w:type="dxa"/>
            <w:gridSpan w:val="2"/>
            <w:shd w:val="clear" w:color="000000" w:fill="FFFFFF"/>
            <w:vAlign w:val="center"/>
          </w:tcPr>
          <w:p w14:paraId="63DF54E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6" w:type="dxa"/>
            <w:shd w:val="clear" w:color="000000" w:fill="FFFFFF"/>
            <w:vAlign w:val="center"/>
          </w:tcPr>
          <w:p w14:paraId="58E0AE6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1" w:type="dxa"/>
            <w:shd w:val="clear" w:color="000000" w:fill="FFFFFF"/>
            <w:vAlign w:val="center"/>
          </w:tcPr>
          <w:p w14:paraId="6DC0BD5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航空宇航科学与技术</w:t>
            </w:r>
            <w:r>
              <w:rPr>
                <w:rFonts w:hint="default" w:ascii="Times New Roman" w:hAnsi="Times New Roman" w:cs="Times New Roman" w:eastAsiaTheme="minorEastAsia"/>
                <w:kern w:val="0"/>
                <w:sz w:val="21"/>
                <w:szCs w:val="21"/>
              </w:rPr>
              <w:t>　</w:t>
            </w:r>
          </w:p>
        </w:tc>
        <w:tc>
          <w:tcPr>
            <w:tcW w:w="1473" w:type="dxa"/>
            <w:shd w:val="clear" w:color="000000" w:fill="FFFFFF"/>
            <w:vAlign w:val="center"/>
          </w:tcPr>
          <w:p w14:paraId="33E39F0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300</w:t>
            </w:r>
          </w:p>
        </w:tc>
        <w:tc>
          <w:tcPr>
            <w:tcW w:w="1935" w:type="dxa"/>
            <w:gridSpan w:val="2"/>
            <w:vMerge w:val="restart"/>
            <w:shd w:val="clear" w:color="000000" w:fill="FFFFFF"/>
            <w:vAlign w:val="center"/>
          </w:tcPr>
          <w:p w14:paraId="77EE477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无</w:t>
            </w:r>
          </w:p>
        </w:tc>
      </w:tr>
      <w:tr w14:paraId="14E3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94" w:type="dxa"/>
            <w:gridSpan w:val="2"/>
            <w:shd w:val="clear" w:color="000000" w:fill="FFFFFF"/>
            <w:noWrap/>
            <w:vAlign w:val="center"/>
          </w:tcPr>
          <w:p w14:paraId="36F485EB">
            <w:pPr>
              <w:widowControl/>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航空发动机防冰技术研究</w:t>
            </w:r>
          </w:p>
        </w:tc>
        <w:tc>
          <w:tcPr>
            <w:tcW w:w="712" w:type="dxa"/>
            <w:gridSpan w:val="2"/>
            <w:shd w:val="clear" w:color="000000" w:fill="FFFFFF"/>
            <w:vAlign w:val="center"/>
          </w:tcPr>
          <w:p w14:paraId="73B7523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216" w:type="dxa"/>
            <w:shd w:val="clear" w:color="000000" w:fill="FFFFFF"/>
            <w:vAlign w:val="center"/>
          </w:tcPr>
          <w:p w14:paraId="140FFFC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621" w:type="dxa"/>
            <w:shd w:val="clear" w:color="000000" w:fill="FFFFFF"/>
            <w:vAlign w:val="center"/>
          </w:tcPr>
          <w:p w14:paraId="307DF29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lang w:val="en-US" w:eastAsia="zh-CN"/>
              </w:rPr>
              <w:t>航空宇航科学与技术</w:t>
            </w:r>
            <w:r>
              <w:rPr>
                <w:rFonts w:hint="default" w:ascii="Times New Roman" w:hAnsi="Times New Roman" w:cs="Times New Roman" w:eastAsiaTheme="minorEastAsia"/>
                <w:kern w:val="0"/>
                <w:sz w:val="21"/>
                <w:szCs w:val="21"/>
              </w:rPr>
              <w:t>　</w:t>
            </w:r>
          </w:p>
        </w:tc>
        <w:tc>
          <w:tcPr>
            <w:tcW w:w="1473" w:type="dxa"/>
            <w:shd w:val="clear" w:color="000000" w:fill="FFFFFF"/>
            <w:vAlign w:val="center"/>
          </w:tcPr>
          <w:p w14:paraId="4485B16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100</w:t>
            </w:r>
          </w:p>
        </w:tc>
        <w:tc>
          <w:tcPr>
            <w:tcW w:w="1935" w:type="dxa"/>
            <w:gridSpan w:val="2"/>
            <w:vMerge w:val="continue"/>
            <w:shd w:val="clear" w:color="000000" w:fill="FFFFFF"/>
            <w:vAlign w:val="center"/>
          </w:tcPr>
          <w:p w14:paraId="6D10C99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6D70C1A2">
      <w:pPr>
        <w:pStyle w:val="5"/>
        <w:adjustRightInd w:val="0"/>
        <w:snapToGrid w:val="0"/>
        <w:spacing w:line="240" w:lineRule="auto"/>
        <w:ind w:firstLine="0"/>
        <w:jc w:val="center"/>
        <w:rPr>
          <w:rFonts w:hint="eastAsia" w:eastAsia="方正小标宋简体"/>
          <w:sz w:val="44"/>
          <w:szCs w:val="44"/>
          <w:highlight w:val="yellow"/>
        </w:rPr>
      </w:pPr>
    </w:p>
    <w:p w14:paraId="31845B29">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559" w:name="_Toc25342"/>
      <w:bookmarkStart w:id="560" w:name="_Toc28497"/>
      <w:bookmarkStart w:id="561" w:name="_Toc17504"/>
      <w:bookmarkStart w:id="562" w:name="_Toc16732"/>
      <w:bookmarkStart w:id="563" w:name="_Toc23198"/>
      <w:r>
        <w:rPr>
          <w:rFonts w:hint="eastAsia" w:ascii="Times New Roman" w:hAnsi="Times New Roman" w:eastAsia="方正小标宋简体" w:cs="Times New Roman"/>
          <w:sz w:val="44"/>
          <w:szCs w:val="44"/>
          <w:highlight w:val="none"/>
        </w:rPr>
        <w:t>中国航空工业集团公司成都飞机设计研究所</w:t>
      </w:r>
      <w:bookmarkEnd w:id="559"/>
      <w:bookmarkEnd w:id="560"/>
      <w:bookmarkEnd w:id="561"/>
      <w:bookmarkEnd w:id="562"/>
      <w:bookmarkEnd w:id="563"/>
    </w:p>
    <w:p w14:paraId="38E9BAA3">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1"/>
        <w:gridCol w:w="393"/>
        <w:gridCol w:w="356"/>
        <w:gridCol w:w="1193"/>
        <w:gridCol w:w="1622"/>
        <w:gridCol w:w="171"/>
        <w:gridCol w:w="1782"/>
        <w:gridCol w:w="1822"/>
      </w:tblGrid>
      <w:tr w14:paraId="24EB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0D67CB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212E722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16DBEDF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3A8F09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工作站</w:t>
            </w:r>
          </w:p>
        </w:tc>
        <w:tc>
          <w:tcPr>
            <w:tcW w:w="1908" w:type="dxa"/>
            <w:gridSpan w:val="2"/>
            <w:shd w:val="clear" w:color="auto" w:fill="E7E6E6" w:themeFill="background2"/>
            <w:noWrap/>
            <w:vAlign w:val="center"/>
          </w:tcPr>
          <w:p w14:paraId="2A03459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779" w:type="dxa"/>
            <w:shd w:val="clear" w:color="000000" w:fill="FFFFFF"/>
            <w:noWrap/>
            <w:vAlign w:val="center"/>
          </w:tcPr>
          <w:p w14:paraId="57AC0C0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成都</w:t>
            </w:r>
          </w:p>
        </w:tc>
      </w:tr>
      <w:tr w14:paraId="5B72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C4D348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0A4700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四川省成都市青羊区日月大道1610号</w:t>
            </w:r>
          </w:p>
        </w:tc>
      </w:tr>
      <w:tr w14:paraId="483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atLeast"/>
          <w:jc w:val="center"/>
        </w:trPr>
        <w:tc>
          <w:tcPr>
            <w:tcW w:w="1271" w:type="dxa"/>
            <w:shd w:val="clear" w:color="auto" w:fill="E7E6E6" w:themeFill="background2"/>
            <w:noWrap/>
            <w:vAlign w:val="center"/>
          </w:tcPr>
          <w:p w14:paraId="73D2C84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7C891A5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中国航空工业集团公司成都飞机设计研究所（简称611所），始终坚持以为我军提供先进航空武器装备为己任，致力于飞行器设计和航空航天多学科综合性研究，是我国现代化歼击机、无人机设计研究的重要基地。</w:t>
            </w:r>
          </w:p>
          <w:p w14:paraId="63328E4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自1970年成立以来，研究所始终致力于中国先进战斗机、无人机的研发与航空航天高技术研究，建立了满足先进飞行器研发需要的完整专业体系，拥有功能强大的数字化协同设计平台以及各种试验设施，在飞行器总体与气动布局、结构设计与分析、系统综合、航空电子综合、飞行控制、虚拟仿真等领域具有突出能力。</w:t>
            </w:r>
          </w:p>
          <w:p w14:paraId="19367C6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研究所成功研制了歼7-C/D飞机、歼-10系列飞机、枭龙系列飞机、歼-20飞机、翼龙无人机等一系列先进战斗机和无人机，圆满完成了多项国家重大型号研制任务和一大批航空航天关键技术预研项目，先后荣获国家科学技术进步特等奖、国家级企业管理创新成果一等奖、中国质量奖等奖项。</w:t>
            </w:r>
          </w:p>
        </w:tc>
      </w:tr>
      <w:tr w14:paraId="01D7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1271" w:type="dxa"/>
            <w:shd w:val="clear" w:color="auto" w:fill="E7E6E6" w:themeFill="background2"/>
            <w:noWrap/>
            <w:vAlign w:val="center"/>
          </w:tcPr>
          <w:p w14:paraId="3EFCE09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20D7499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1.申请人应是应届博士毕业生，或近3年获得博士学位人员，年龄一般不超过35岁；</w:t>
            </w:r>
          </w:p>
          <w:p w14:paraId="2023AE7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2.具有良好的科研潜质和学术道德，有较高的学术水平；</w:t>
            </w:r>
          </w:p>
          <w:p w14:paraId="02CB960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3.申请人须全职从事博士后研究工作。申请者需要满足博士后进站的基本条件，原则上不招收在职人员。</w:t>
            </w:r>
          </w:p>
          <w:p w14:paraId="568D63B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4.博士后按在职职工管理，年薪酬约25万-30万。入职享受七险两金、国家法定假期、人才公寓、误餐补贴、免费班车等福利。</w:t>
            </w:r>
          </w:p>
        </w:tc>
      </w:tr>
      <w:tr w14:paraId="24A3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356" w:type="dxa"/>
            <w:gridSpan w:val="2"/>
            <w:shd w:val="clear" w:color="auto" w:fill="E7E6E6" w:themeFill="background2"/>
            <w:noWrap/>
            <w:vAlign w:val="center"/>
          </w:tcPr>
          <w:p w14:paraId="2CEBDCB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732" w:type="dxa"/>
            <w:gridSpan w:val="2"/>
            <w:shd w:val="clear" w:color="auto" w:fill="E7E6E6" w:themeFill="background2"/>
            <w:vAlign w:val="center"/>
          </w:tcPr>
          <w:p w14:paraId="046CCE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728CB6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57D80B9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5737DE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41" w:type="dxa"/>
            <w:shd w:val="clear" w:color="auto" w:fill="E7E6E6" w:themeFill="background2"/>
            <w:vAlign w:val="center"/>
          </w:tcPr>
          <w:p w14:paraId="1B71EF9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A3949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9" w:type="dxa"/>
            <w:shd w:val="clear" w:color="auto" w:fill="E7E6E6" w:themeFill="background2"/>
            <w:vAlign w:val="center"/>
          </w:tcPr>
          <w:p w14:paraId="168885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DFE3B6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CC5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5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B206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飞行器总体设计；系统综合设计；重量设计；全系统数字仿真设计及多学科优化设计环境开发</w:t>
            </w:r>
          </w:p>
        </w:tc>
        <w:tc>
          <w:tcPr>
            <w:tcW w:w="7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BFC0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781B6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FA46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航空宇航科学与技术</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3941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科研经费充足，</w:t>
            </w:r>
            <w:r>
              <w:rPr>
                <w:rFonts w:hint="eastAsia" w:ascii="Times New Roman" w:hAnsi="Times New Roman" w:cs="Times New Roman" w:eastAsiaTheme="minorEastAsia"/>
                <w:sz w:val="21"/>
                <w:szCs w:val="21"/>
                <w:lang w:val="en-US" w:eastAsia="zh-CN"/>
              </w:rPr>
              <w:t>年薪酬约</w:t>
            </w:r>
            <w:r>
              <w:rPr>
                <w:rFonts w:hint="eastAsia" w:ascii="Times New Roman" w:hAnsi="Times New Roman" w:cs="Times New Roman" w:eastAsiaTheme="minorEastAsia"/>
                <w:sz w:val="21"/>
                <w:szCs w:val="21"/>
              </w:rPr>
              <w:t>25-</w:t>
            </w:r>
            <w:r>
              <w:rPr>
                <w:rFonts w:hint="eastAsia" w:ascii="Times New Roman" w:hAnsi="Times New Roman" w:cs="Times New Roman" w:eastAsiaTheme="minorEastAsia"/>
                <w:sz w:val="21"/>
                <w:szCs w:val="21"/>
                <w:lang w:val="en-US" w:eastAsia="zh-CN"/>
              </w:rPr>
              <w:t>30</w:t>
            </w:r>
            <w:r>
              <w:rPr>
                <w:rFonts w:hint="eastAsia" w:ascii="Times New Roman" w:hAnsi="Times New Roman" w:cs="Times New Roman" w:eastAsiaTheme="minorEastAsia"/>
                <w:sz w:val="21"/>
                <w:szCs w:val="21"/>
              </w:rPr>
              <w:t>万（</w:t>
            </w:r>
            <w:r>
              <w:rPr>
                <w:rFonts w:hint="eastAsia" w:ascii="Times New Roman" w:hAnsi="Times New Roman" w:cs="Times New Roman" w:eastAsiaTheme="minorEastAsia"/>
                <w:sz w:val="21"/>
                <w:szCs w:val="21"/>
                <w:lang w:val="en-US" w:eastAsia="zh-CN"/>
              </w:rPr>
              <w:t>地方</w:t>
            </w:r>
            <w:r>
              <w:rPr>
                <w:rFonts w:hint="eastAsia" w:ascii="Times New Roman" w:hAnsi="Times New Roman" w:cs="Times New Roman" w:eastAsiaTheme="minorEastAsia"/>
                <w:sz w:val="21"/>
                <w:szCs w:val="21"/>
              </w:rPr>
              <w:t>人才经费另计）</w:t>
            </w:r>
          </w:p>
        </w:tc>
        <w:tc>
          <w:tcPr>
            <w:tcW w:w="177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0B63A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航空航天相关院校和学科</w:t>
            </w:r>
          </w:p>
        </w:tc>
      </w:tr>
      <w:tr w14:paraId="6831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35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AF5DF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数字孪生技术开发；仿真软件设计与开发；数字模型设计与集成；数据分析与挖掘</w:t>
            </w:r>
          </w:p>
        </w:tc>
        <w:tc>
          <w:tcPr>
            <w:tcW w:w="7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36AA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8B20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8E80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计算机科学与技术</w:t>
            </w:r>
          </w:p>
        </w:tc>
        <w:tc>
          <w:tcPr>
            <w:tcW w:w="174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A5A6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科研经费充足，</w:t>
            </w:r>
            <w:r>
              <w:rPr>
                <w:rFonts w:hint="eastAsia" w:ascii="Times New Roman" w:hAnsi="Times New Roman" w:cs="Times New Roman" w:eastAsiaTheme="minorEastAsia"/>
                <w:sz w:val="21"/>
                <w:szCs w:val="21"/>
                <w:lang w:val="en-US" w:eastAsia="zh-CN"/>
              </w:rPr>
              <w:t>年薪酬约</w:t>
            </w:r>
            <w:r>
              <w:rPr>
                <w:rFonts w:hint="eastAsia" w:ascii="Times New Roman" w:hAnsi="Times New Roman" w:cs="Times New Roman" w:eastAsiaTheme="minorEastAsia"/>
                <w:sz w:val="21"/>
                <w:szCs w:val="21"/>
              </w:rPr>
              <w:t>25-</w:t>
            </w:r>
            <w:r>
              <w:rPr>
                <w:rFonts w:hint="eastAsia" w:ascii="Times New Roman" w:hAnsi="Times New Roman" w:cs="Times New Roman" w:eastAsiaTheme="minorEastAsia"/>
                <w:sz w:val="21"/>
                <w:szCs w:val="21"/>
                <w:lang w:val="en-US" w:eastAsia="zh-CN"/>
              </w:rPr>
              <w:t>30</w:t>
            </w:r>
            <w:r>
              <w:rPr>
                <w:rFonts w:hint="eastAsia" w:ascii="Times New Roman" w:hAnsi="Times New Roman" w:cs="Times New Roman" w:eastAsiaTheme="minorEastAsia"/>
                <w:sz w:val="21"/>
                <w:szCs w:val="21"/>
              </w:rPr>
              <w:t>万（</w:t>
            </w:r>
            <w:r>
              <w:rPr>
                <w:rFonts w:hint="eastAsia" w:ascii="Times New Roman" w:hAnsi="Times New Roman" w:cs="Times New Roman" w:eastAsiaTheme="minorEastAsia"/>
                <w:sz w:val="21"/>
                <w:szCs w:val="21"/>
                <w:lang w:val="en-US" w:eastAsia="zh-CN"/>
              </w:rPr>
              <w:t>地方</w:t>
            </w:r>
            <w:r>
              <w:rPr>
                <w:rFonts w:hint="eastAsia" w:ascii="Times New Roman" w:hAnsi="Times New Roman" w:cs="Times New Roman" w:eastAsiaTheme="minorEastAsia"/>
                <w:sz w:val="21"/>
                <w:szCs w:val="21"/>
              </w:rPr>
              <w:t>人才经费另计）</w:t>
            </w:r>
          </w:p>
        </w:tc>
        <w:tc>
          <w:tcPr>
            <w:tcW w:w="1779" w:type="dxa"/>
            <w:vMerge w:val="continue"/>
            <w:tcBorders>
              <w:left w:val="single" w:color="auto" w:sz="4" w:space="0"/>
              <w:right w:val="single" w:color="auto" w:sz="4" w:space="0"/>
              <w:tl2br w:val="nil"/>
              <w:tr2bl w:val="nil"/>
            </w:tcBorders>
            <w:shd w:val="clear" w:color="auto" w:fill="FFFFFF"/>
            <w:vAlign w:val="center"/>
          </w:tcPr>
          <w:p w14:paraId="23B02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p>
        </w:tc>
      </w:tr>
    </w:tbl>
    <w:p w14:paraId="6F3DB9E4">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4F30F922">
      <w:pPr>
        <w:pStyle w:val="5"/>
        <w:adjustRightInd w:val="0"/>
        <w:snapToGrid w:val="0"/>
        <w:spacing w:line="240" w:lineRule="auto"/>
        <w:ind w:firstLine="0"/>
        <w:jc w:val="center"/>
        <w:outlineLvl w:val="0"/>
        <w:rPr>
          <w:rFonts w:eastAsia="方正小标宋简体"/>
          <w:sz w:val="44"/>
          <w:szCs w:val="44"/>
          <w:highlight w:val="yellow"/>
        </w:rPr>
      </w:pPr>
      <w:bookmarkStart w:id="564" w:name="_Toc7875"/>
      <w:bookmarkStart w:id="565" w:name="_Toc29960"/>
      <w:bookmarkStart w:id="566" w:name="_Toc1092"/>
      <w:bookmarkStart w:id="567" w:name="_Toc7636"/>
      <w:bookmarkStart w:id="568" w:name="_Toc10721"/>
      <w:r>
        <w:rPr>
          <w:rFonts w:hint="eastAsia" w:eastAsia="方正小标宋简体"/>
          <w:sz w:val="44"/>
          <w:szCs w:val="44"/>
          <w:highlight w:val="none"/>
        </w:rPr>
        <w:t>中国石油化工股份有限公司西南油气分公司</w:t>
      </w:r>
      <w:bookmarkEnd w:id="564"/>
      <w:bookmarkEnd w:id="565"/>
      <w:bookmarkEnd w:id="566"/>
      <w:bookmarkEnd w:id="567"/>
      <w:bookmarkEnd w:id="568"/>
    </w:p>
    <w:p w14:paraId="42ABDAA1">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4"/>
        <w:gridCol w:w="420"/>
        <w:gridCol w:w="809"/>
        <w:gridCol w:w="871"/>
        <w:gridCol w:w="332"/>
        <w:gridCol w:w="1516"/>
        <w:gridCol w:w="215"/>
        <w:gridCol w:w="1351"/>
        <w:gridCol w:w="1443"/>
      </w:tblGrid>
      <w:tr w14:paraId="2CAB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047D87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14" w:type="dxa"/>
            <w:gridSpan w:val="2"/>
            <w:shd w:val="clear" w:color="000000" w:fill="FFFFFF"/>
            <w:noWrap/>
            <w:vAlign w:val="center"/>
          </w:tcPr>
          <w:p w14:paraId="10333C39">
            <w:pPr>
              <w:adjustRightInd w:val="0"/>
              <w:snapToGrid w:val="0"/>
              <w:spacing w:line="240" w:lineRule="auto"/>
              <w:ind w:firstLine="0"/>
              <w:jc w:val="center"/>
              <w:rPr>
                <w:rFonts w:eastAsiaTheme="minorEastAsia"/>
                <w:sz w:val="21"/>
                <w:szCs w:val="21"/>
              </w:rPr>
            </w:pPr>
            <w:r>
              <w:rPr>
                <w:rFonts w:hint="eastAsia" w:eastAsiaTheme="minorEastAsia"/>
                <w:sz w:val="21"/>
                <w:szCs w:val="21"/>
              </w:rPr>
              <w:t>国有企业</w:t>
            </w:r>
          </w:p>
        </w:tc>
        <w:tc>
          <w:tcPr>
            <w:tcW w:w="1680" w:type="dxa"/>
            <w:gridSpan w:val="2"/>
            <w:shd w:val="clear" w:color="auto" w:fill="E7E6E6" w:themeFill="background2"/>
            <w:noWrap/>
            <w:vAlign w:val="center"/>
          </w:tcPr>
          <w:p w14:paraId="5C652F9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48" w:type="dxa"/>
            <w:gridSpan w:val="2"/>
            <w:shd w:val="clear" w:color="000000" w:fill="FFFFFF"/>
            <w:noWrap/>
            <w:vAlign w:val="center"/>
          </w:tcPr>
          <w:p w14:paraId="56A4299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66" w:type="dxa"/>
            <w:gridSpan w:val="2"/>
            <w:shd w:val="clear" w:color="auto" w:fill="E7E6E6" w:themeFill="background2"/>
            <w:noWrap/>
            <w:vAlign w:val="center"/>
          </w:tcPr>
          <w:p w14:paraId="046102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443" w:type="dxa"/>
            <w:shd w:val="clear" w:color="000000" w:fill="FFFFFF"/>
            <w:noWrap/>
            <w:vAlign w:val="center"/>
          </w:tcPr>
          <w:p w14:paraId="10F8FFA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17E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31ECE10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14:paraId="15A19F50">
            <w:pPr>
              <w:adjustRightInd w:val="0"/>
              <w:snapToGrid w:val="0"/>
              <w:spacing w:line="240" w:lineRule="auto"/>
              <w:ind w:firstLine="0"/>
              <w:jc w:val="center"/>
              <w:rPr>
                <w:rFonts w:eastAsiaTheme="minorEastAsia"/>
                <w:sz w:val="21"/>
                <w:szCs w:val="21"/>
              </w:rPr>
            </w:pPr>
            <w:r>
              <w:rPr>
                <w:rFonts w:hint="eastAsia" w:cs="Times New Roman" w:eastAsiaTheme="minorEastAsia"/>
                <w:sz w:val="21"/>
                <w:szCs w:val="21"/>
                <w:lang w:val="en-US" w:eastAsia="zh-CN"/>
              </w:rPr>
              <w:t>四川省成都市高新区吉泰路688号中石化西南科研办公基地</w:t>
            </w:r>
          </w:p>
        </w:tc>
      </w:tr>
      <w:tr w14:paraId="3782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1300" w:type="dxa"/>
            <w:shd w:val="clear" w:color="auto" w:fill="E7E6E6" w:themeFill="background2"/>
            <w:noWrap/>
            <w:vAlign w:val="center"/>
          </w:tcPr>
          <w:p w14:paraId="160CB9F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14:paraId="609CBE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西南油气分公司作为中国石化集团直属油气田企业 ，主要负责四川盆地及周缘地区油气勘探开发与销售业务。历经多年发展，在致密砂岩气、海相含硫气和深层页岩气三大油气领域形成了独特技术优势 ，先后发现并成功开发新场、马井、中江、元坝等一批大中型气田，现正全力推进川西海相、川南页岩气等新区开发建设，加快建成百亿气田。</w:t>
            </w:r>
          </w:p>
          <w:p w14:paraId="2E84CA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博士后科研工作站于2003年12月26日建立，曾获得四川省优秀博士后科研工作站和全国优秀博士后工作站称号。</w:t>
            </w:r>
          </w:p>
        </w:tc>
      </w:tr>
      <w:tr w14:paraId="6C8E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1300" w:type="dxa"/>
            <w:shd w:val="clear" w:color="auto" w:fill="E7E6E6" w:themeFill="background2"/>
            <w:noWrap/>
            <w:vAlign w:val="center"/>
          </w:tcPr>
          <w:p w14:paraId="110C13A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14:paraId="79E7AE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招收条件：已获得或即将获得国内外博士学位；具有勘探、开发、物探、钻井工程等所需专业背景；需脱产从事博后研究；原则上年龄在35岁及以下。</w:t>
            </w:r>
          </w:p>
          <w:p w14:paraId="32F3B3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相关待遇：比照在职高岗级科研人员发放年薪及绩效；享受省及市两级博士后研究人员生活补助；提供科研相关场所及设备设施；缴纳“五险一金”、生活补贴及工会福利等；提供公寓。</w:t>
            </w:r>
          </w:p>
        </w:tc>
      </w:tr>
      <w:tr w14:paraId="0784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94" w:type="dxa"/>
            <w:gridSpan w:val="2"/>
            <w:shd w:val="clear" w:color="auto" w:fill="E7E6E6" w:themeFill="background2"/>
            <w:noWrap/>
            <w:vAlign w:val="center"/>
          </w:tcPr>
          <w:p w14:paraId="3978565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9" w:type="dxa"/>
            <w:gridSpan w:val="2"/>
            <w:shd w:val="clear" w:color="auto" w:fill="E7E6E6" w:themeFill="background2"/>
            <w:vAlign w:val="center"/>
          </w:tcPr>
          <w:p w14:paraId="726F7619">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03" w:type="dxa"/>
            <w:gridSpan w:val="2"/>
            <w:shd w:val="clear" w:color="auto" w:fill="E7E6E6" w:themeFill="background2"/>
            <w:vAlign w:val="center"/>
          </w:tcPr>
          <w:p w14:paraId="27E4A5B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31" w:type="dxa"/>
            <w:gridSpan w:val="2"/>
            <w:shd w:val="clear" w:color="auto" w:fill="E7E6E6" w:themeFill="background2"/>
            <w:vAlign w:val="center"/>
          </w:tcPr>
          <w:p w14:paraId="44D853E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DB29A1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51" w:type="dxa"/>
            <w:shd w:val="clear" w:color="auto" w:fill="E7E6E6" w:themeFill="background2"/>
            <w:vAlign w:val="center"/>
          </w:tcPr>
          <w:p w14:paraId="13E293D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39F95A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443" w:type="dxa"/>
            <w:shd w:val="clear" w:color="auto" w:fill="E7E6E6" w:themeFill="background2"/>
            <w:vAlign w:val="center"/>
          </w:tcPr>
          <w:p w14:paraId="302F297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B04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2060399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测井岩石力学与地应力研究</w:t>
            </w:r>
          </w:p>
        </w:tc>
        <w:tc>
          <w:tcPr>
            <w:tcW w:w="1229" w:type="dxa"/>
            <w:gridSpan w:val="2"/>
            <w:shd w:val="clear" w:color="000000" w:fill="FFFFFF"/>
            <w:vAlign w:val="center"/>
          </w:tcPr>
          <w:p w14:paraId="2230DCB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687BCD2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731" w:type="dxa"/>
            <w:gridSpan w:val="2"/>
            <w:shd w:val="clear" w:color="000000" w:fill="FFFFFF"/>
            <w:vAlign w:val="center"/>
          </w:tcPr>
          <w:p w14:paraId="2534ACFD">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w:t>
            </w:r>
          </w:p>
        </w:tc>
        <w:tc>
          <w:tcPr>
            <w:tcW w:w="1351" w:type="dxa"/>
            <w:vMerge w:val="restart"/>
            <w:shd w:val="clear" w:color="000000" w:fill="FFFFFF"/>
            <w:vAlign w:val="center"/>
          </w:tcPr>
          <w:p w14:paraId="45D81F6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根据科研项目而定</w:t>
            </w:r>
          </w:p>
        </w:tc>
        <w:tc>
          <w:tcPr>
            <w:tcW w:w="1443" w:type="dxa"/>
            <w:vMerge w:val="restart"/>
            <w:shd w:val="clear" w:color="000000" w:fill="FFFFFF"/>
            <w:vAlign w:val="center"/>
          </w:tcPr>
          <w:p w14:paraId="4D2EA97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 xml:space="preserve">相关专业院校         </w:t>
            </w:r>
          </w:p>
        </w:tc>
      </w:tr>
      <w:tr w14:paraId="7529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262FC87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复杂山前带高精度速度建模及成像技术</w:t>
            </w:r>
          </w:p>
        </w:tc>
        <w:tc>
          <w:tcPr>
            <w:tcW w:w="1229" w:type="dxa"/>
            <w:gridSpan w:val="2"/>
            <w:shd w:val="clear" w:color="000000" w:fill="FFFFFF"/>
            <w:vAlign w:val="center"/>
          </w:tcPr>
          <w:p w14:paraId="68C4CDA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69E13D1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BSH002</w:t>
            </w:r>
          </w:p>
        </w:tc>
        <w:tc>
          <w:tcPr>
            <w:tcW w:w="1731" w:type="dxa"/>
            <w:gridSpan w:val="2"/>
            <w:shd w:val="clear" w:color="000000" w:fill="FFFFFF"/>
            <w:vAlign w:val="center"/>
          </w:tcPr>
          <w:p w14:paraId="7D86489D">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w:t>
            </w:r>
          </w:p>
        </w:tc>
        <w:tc>
          <w:tcPr>
            <w:tcW w:w="1351" w:type="dxa"/>
            <w:vMerge w:val="continue"/>
            <w:shd w:val="clear" w:color="000000" w:fill="FFFFFF"/>
            <w:vAlign w:val="center"/>
          </w:tcPr>
          <w:p w14:paraId="6A3E380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1443" w:type="dxa"/>
            <w:vMerge w:val="continue"/>
            <w:shd w:val="clear" w:color="000000" w:fill="FFFFFF"/>
            <w:vAlign w:val="center"/>
          </w:tcPr>
          <w:p w14:paraId="6285554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F48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00EF9A8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复杂储层地震预测</w:t>
            </w:r>
          </w:p>
        </w:tc>
        <w:tc>
          <w:tcPr>
            <w:tcW w:w="1229" w:type="dxa"/>
            <w:gridSpan w:val="2"/>
            <w:shd w:val="clear" w:color="000000" w:fill="FFFFFF"/>
            <w:vAlign w:val="center"/>
          </w:tcPr>
          <w:p w14:paraId="263C139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1F61BAF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BSH003</w:t>
            </w:r>
          </w:p>
        </w:tc>
        <w:tc>
          <w:tcPr>
            <w:tcW w:w="1731" w:type="dxa"/>
            <w:gridSpan w:val="2"/>
            <w:shd w:val="clear" w:color="000000" w:fill="FFFFFF"/>
            <w:vAlign w:val="center"/>
          </w:tcPr>
          <w:p w14:paraId="720B79DA">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w:t>
            </w:r>
          </w:p>
        </w:tc>
        <w:tc>
          <w:tcPr>
            <w:tcW w:w="1351" w:type="dxa"/>
            <w:vMerge w:val="continue"/>
            <w:shd w:val="clear" w:color="000000" w:fill="FFFFFF"/>
            <w:vAlign w:val="center"/>
          </w:tcPr>
          <w:p w14:paraId="610DCF3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1443" w:type="dxa"/>
            <w:vMerge w:val="continue"/>
            <w:shd w:val="clear" w:color="000000" w:fill="FFFFFF"/>
            <w:vAlign w:val="center"/>
          </w:tcPr>
          <w:p w14:paraId="2D65DE3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7717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77CDCA9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不同构造条件下筇竹寺组页岩气差异富集机理研究</w:t>
            </w:r>
          </w:p>
        </w:tc>
        <w:tc>
          <w:tcPr>
            <w:tcW w:w="1229" w:type="dxa"/>
            <w:gridSpan w:val="2"/>
            <w:shd w:val="clear" w:color="auto" w:fill="FFFFFF"/>
            <w:vAlign w:val="center"/>
          </w:tcPr>
          <w:p w14:paraId="48000AD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59550F3F">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BSH004</w:t>
            </w:r>
          </w:p>
        </w:tc>
        <w:tc>
          <w:tcPr>
            <w:tcW w:w="1731" w:type="dxa"/>
            <w:gridSpan w:val="2"/>
            <w:shd w:val="clear" w:color="auto" w:fill="FFFFFF"/>
            <w:vAlign w:val="center"/>
          </w:tcPr>
          <w:p w14:paraId="730B4F62">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continue"/>
            <w:shd w:val="clear" w:color="auto" w:fill="FFFFFF"/>
            <w:vAlign w:val="center"/>
          </w:tcPr>
          <w:p w14:paraId="7F41789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auto" w:fill="FFFFFF"/>
            <w:vAlign w:val="center"/>
          </w:tcPr>
          <w:p w14:paraId="7F43338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7F13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6E24F4BB">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新场构造带须二段致密砂岩裂缝成因及其发育模式</w:t>
            </w:r>
          </w:p>
        </w:tc>
        <w:tc>
          <w:tcPr>
            <w:tcW w:w="1229" w:type="dxa"/>
            <w:gridSpan w:val="2"/>
            <w:shd w:val="clear" w:color="auto" w:fill="FFFFFF"/>
            <w:vAlign w:val="center"/>
          </w:tcPr>
          <w:p w14:paraId="3FFF3AE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1C2C3C95">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BSH005</w:t>
            </w:r>
          </w:p>
        </w:tc>
        <w:tc>
          <w:tcPr>
            <w:tcW w:w="1731" w:type="dxa"/>
            <w:gridSpan w:val="2"/>
            <w:shd w:val="clear" w:color="auto" w:fill="FFFFFF"/>
            <w:vAlign w:val="center"/>
          </w:tcPr>
          <w:p w14:paraId="6CB10CD7">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continue"/>
            <w:shd w:val="clear" w:color="auto" w:fill="FFFFFF"/>
            <w:vAlign w:val="center"/>
          </w:tcPr>
          <w:p w14:paraId="7EB6574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auto" w:fill="FFFFFF"/>
            <w:vAlign w:val="center"/>
          </w:tcPr>
          <w:p w14:paraId="5D4715C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2293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4" w:type="dxa"/>
            <w:gridSpan w:val="2"/>
            <w:shd w:val="clear" w:color="auto" w:fill="E7E6E6" w:themeFill="background2"/>
            <w:noWrap/>
            <w:vAlign w:val="center"/>
          </w:tcPr>
          <w:p w14:paraId="570A45A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1229" w:type="dxa"/>
            <w:gridSpan w:val="2"/>
            <w:shd w:val="clear" w:color="auto" w:fill="E7E6E6" w:themeFill="background2"/>
            <w:vAlign w:val="center"/>
          </w:tcPr>
          <w:p w14:paraId="35587F5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203" w:type="dxa"/>
            <w:gridSpan w:val="2"/>
            <w:shd w:val="clear" w:color="auto" w:fill="E7E6E6" w:themeFill="background2"/>
            <w:vAlign w:val="center"/>
          </w:tcPr>
          <w:p w14:paraId="2A4F668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731" w:type="dxa"/>
            <w:gridSpan w:val="2"/>
            <w:shd w:val="clear" w:color="auto" w:fill="E7E6E6" w:themeFill="background2"/>
            <w:vAlign w:val="center"/>
          </w:tcPr>
          <w:p w14:paraId="0CDAA14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3B1354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51" w:type="dxa"/>
            <w:shd w:val="clear" w:color="auto" w:fill="E7E6E6" w:themeFill="background2"/>
            <w:vAlign w:val="center"/>
          </w:tcPr>
          <w:p w14:paraId="3F80A7B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403088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443" w:type="dxa"/>
            <w:shd w:val="clear" w:color="auto" w:fill="E7E6E6" w:themeFill="background2"/>
            <w:vAlign w:val="center"/>
          </w:tcPr>
          <w:p w14:paraId="24E30634">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博士生源单位等要求</w:t>
            </w:r>
          </w:p>
        </w:tc>
      </w:tr>
      <w:tr w14:paraId="71C7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7EE7DC7F">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四川盆地中二叠统沉积特征及演化研究</w:t>
            </w:r>
          </w:p>
        </w:tc>
        <w:tc>
          <w:tcPr>
            <w:tcW w:w="1229" w:type="dxa"/>
            <w:gridSpan w:val="2"/>
            <w:shd w:val="clear" w:color="auto" w:fill="FFFFFF"/>
            <w:vAlign w:val="center"/>
          </w:tcPr>
          <w:p w14:paraId="0216A13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4F6D64E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BSH006</w:t>
            </w:r>
          </w:p>
        </w:tc>
        <w:tc>
          <w:tcPr>
            <w:tcW w:w="1731" w:type="dxa"/>
            <w:gridSpan w:val="2"/>
            <w:shd w:val="clear" w:color="auto" w:fill="FFFFFF"/>
            <w:vAlign w:val="center"/>
          </w:tcPr>
          <w:p w14:paraId="3839EE46">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restart"/>
            <w:shd w:val="clear" w:color="auto" w:fill="FFFFFF"/>
            <w:vAlign w:val="center"/>
          </w:tcPr>
          <w:p w14:paraId="7ADA6DB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根据科研项目而定</w:t>
            </w:r>
          </w:p>
        </w:tc>
        <w:tc>
          <w:tcPr>
            <w:tcW w:w="1443" w:type="dxa"/>
            <w:vMerge w:val="restart"/>
            <w:shd w:val="clear" w:color="auto" w:fill="FFFFFF"/>
            <w:vAlign w:val="center"/>
          </w:tcPr>
          <w:p w14:paraId="688D54E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相关专业院校</w:t>
            </w:r>
          </w:p>
        </w:tc>
      </w:tr>
      <w:tr w14:paraId="0382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3BCF3CF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川北上三叠统陆相有利储层地震预测方法及技术</w:t>
            </w:r>
          </w:p>
        </w:tc>
        <w:tc>
          <w:tcPr>
            <w:tcW w:w="1229" w:type="dxa"/>
            <w:gridSpan w:val="2"/>
            <w:shd w:val="clear" w:color="auto" w:fill="FFFFFF"/>
            <w:vAlign w:val="center"/>
          </w:tcPr>
          <w:p w14:paraId="0163FF5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15816978">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BSH007</w:t>
            </w:r>
          </w:p>
        </w:tc>
        <w:tc>
          <w:tcPr>
            <w:tcW w:w="1731" w:type="dxa"/>
            <w:gridSpan w:val="2"/>
            <w:shd w:val="clear" w:color="auto" w:fill="FFFFFF"/>
            <w:vAlign w:val="center"/>
          </w:tcPr>
          <w:p w14:paraId="0591356B">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continue"/>
            <w:shd w:val="clear" w:color="auto" w:fill="FFFFFF"/>
            <w:vAlign w:val="center"/>
          </w:tcPr>
          <w:p w14:paraId="0F655DF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auto" w:fill="FFFFFF"/>
            <w:vAlign w:val="center"/>
          </w:tcPr>
          <w:p w14:paraId="10045A2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1AED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643671F4">
            <w:pPr>
              <w:adjustRightInd w:val="0"/>
              <w:snapToGrid w:val="0"/>
              <w:spacing w:line="240" w:lineRule="auto"/>
              <w:ind w:firstLine="0" w:firstLineChars="0"/>
              <w:jc w:val="both"/>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rPr>
              <w:t>井研-资阳地区筇竹寺组构造及应力场演化</w:t>
            </w:r>
          </w:p>
        </w:tc>
        <w:tc>
          <w:tcPr>
            <w:tcW w:w="1229" w:type="dxa"/>
            <w:gridSpan w:val="2"/>
            <w:shd w:val="clear" w:color="auto" w:fill="FFFFFF"/>
            <w:vAlign w:val="center"/>
          </w:tcPr>
          <w:p w14:paraId="5D46CF4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40E50A9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BSH008</w:t>
            </w:r>
          </w:p>
        </w:tc>
        <w:tc>
          <w:tcPr>
            <w:tcW w:w="1731" w:type="dxa"/>
            <w:gridSpan w:val="2"/>
            <w:shd w:val="clear" w:color="auto" w:fill="FFFFFF"/>
            <w:vAlign w:val="center"/>
          </w:tcPr>
          <w:p w14:paraId="1D68916C">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continue"/>
            <w:shd w:val="clear" w:color="auto" w:fill="FFFFFF"/>
            <w:vAlign w:val="center"/>
          </w:tcPr>
          <w:p w14:paraId="10B1E9A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auto" w:fill="FFFFFF"/>
            <w:vAlign w:val="center"/>
          </w:tcPr>
          <w:p w14:paraId="7D2EA44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27DB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auto" w:fill="FFFFFF"/>
            <w:noWrap/>
            <w:vAlign w:val="center"/>
          </w:tcPr>
          <w:p w14:paraId="19F6856D">
            <w:pPr>
              <w:adjustRightInd w:val="0"/>
              <w:snapToGrid w:val="0"/>
              <w:spacing w:line="240" w:lineRule="auto"/>
              <w:ind w:firstLine="0" w:firstLineChars="0"/>
              <w:jc w:val="both"/>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rPr>
              <w:t>复杂地区高精度成像技术</w:t>
            </w:r>
          </w:p>
        </w:tc>
        <w:tc>
          <w:tcPr>
            <w:tcW w:w="1229" w:type="dxa"/>
            <w:gridSpan w:val="2"/>
            <w:shd w:val="clear" w:color="auto" w:fill="FFFFFF"/>
            <w:vAlign w:val="center"/>
          </w:tcPr>
          <w:p w14:paraId="3686A8D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auto" w:fill="FFFFFF"/>
            <w:vAlign w:val="center"/>
          </w:tcPr>
          <w:p w14:paraId="1911C46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BSH009</w:t>
            </w:r>
          </w:p>
        </w:tc>
        <w:tc>
          <w:tcPr>
            <w:tcW w:w="1731" w:type="dxa"/>
            <w:gridSpan w:val="2"/>
            <w:shd w:val="clear" w:color="auto" w:fill="FFFFFF"/>
            <w:vAlign w:val="center"/>
          </w:tcPr>
          <w:p w14:paraId="190BE292">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地质资源与地质工程</w:t>
            </w:r>
          </w:p>
        </w:tc>
        <w:tc>
          <w:tcPr>
            <w:tcW w:w="1351" w:type="dxa"/>
            <w:vMerge w:val="continue"/>
            <w:shd w:val="clear" w:color="auto" w:fill="FFFFFF"/>
            <w:vAlign w:val="center"/>
          </w:tcPr>
          <w:p w14:paraId="10C16FB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auto" w:fill="FFFFFF"/>
            <w:vAlign w:val="center"/>
          </w:tcPr>
          <w:p w14:paraId="72F4A0A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7B0D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31174B3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川西地区致密气剩余储量评价与效益开发技术研究</w:t>
            </w:r>
          </w:p>
        </w:tc>
        <w:tc>
          <w:tcPr>
            <w:tcW w:w="1229" w:type="dxa"/>
            <w:gridSpan w:val="2"/>
            <w:shd w:val="clear" w:color="000000" w:fill="FFFFFF"/>
            <w:vAlign w:val="center"/>
          </w:tcPr>
          <w:p w14:paraId="05AA511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97E5AA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BSH010</w:t>
            </w:r>
          </w:p>
        </w:tc>
        <w:tc>
          <w:tcPr>
            <w:tcW w:w="1731" w:type="dxa"/>
            <w:gridSpan w:val="2"/>
            <w:shd w:val="clear" w:color="000000" w:fill="FFFFFF"/>
            <w:vAlign w:val="center"/>
          </w:tcPr>
          <w:p w14:paraId="55401D4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273BD51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68FE8C2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803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2373DC4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川西地区致密气主力气藏稳产技术研究</w:t>
            </w:r>
          </w:p>
        </w:tc>
        <w:tc>
          <w:tcPr>
            <w:tcW w:w="1229" w:type="dxa"/>
            <w:gridSpan w:val="2"/>
            <w:shd w:val="clear" w:color="000000" w:fill="FFFFFF"/>
            <w:vAlign w:val="center"/>
          </w:tcPr>
          <w:p w14:paraId="4AA6FD1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1D9C50B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BSH011</w:t>
            </w:r>
          </w:p>
        </w:tc>
        <w:tc>
          <w:tcPr>
            <w:tcW w:w="1731" w:type="dxa"/>
            <w:gridSpan w:val="2"/>
            <w:shd w:val="clear" w:color="000000" w:fill="FFFFFF"/>
            <w:vAlign w:val="center"/>
          </w:tcPr>
          <w:p w14:paraId="6451D76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7CB460D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479AD12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52AD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4AABF1D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（边）底水气藏水侵规律及控水对策</w:t>
            </w:r>
          </w:p>
        </w:tc>
        <w:tc>
          <w:tcPr>
            <w:tcW w:w="1229" w:type="dxa"/>
            <w:gridSpan w:val="2"/>
            <w:shd w:val="clear" w:color="000000" w:fill="FFFFFF"/>
            <w:vAlign w:val="center"/>
          </w:tcPr>
          <w:p w14:paraId="77072B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986184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BSH012</w:t>
            </w:r>
          </w:p>
        </w:tc>
        <w:tc>
          <w:tcPr>
            <w:tcW w:w="1731" w:type="dxa"/>
            <w:gridSpan w:val="2"/>
            <w:shd w:val="clear" w:color="000000" w:fill="FFFFFF"/>
            <w:vAlign w:val="center"/>
          </w:tcPr>
          <w:p w14:paraId="718967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1412432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7E133C8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F6B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56ED028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不同类型气藏合理配产</w:t>
            </w:r>
          </w:p>
        </w:tc>
        <w:tc>
          <w:tcPr>
            <w:tcW w:w="1229" w:type="dxa"/>
            <w:gridSpan w:val="2"/>
            <w:shd w:val="clear" w:color="000000" w:fill="FFFFFF"/>
            <w:vAlign w:val="center"/>
          </w:tcPr>
          <w:p w14:paraId="4E57C5B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921B8B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BSH013</w:t>
            </w:r>
          </w:p>
        </w:tc>
        <w:tc>
          <w:tcPr>
            <w:tcW w:w="1731" w:type="dxa"/>
            <w:gridSpan w:val="2"/>
            <w:shd w:val="clear" w:color="000000" w:fill="FFFFFF"/>
            <w:vAlign w:val="center"/>
          </w:tcPr>
          <w:p w14:paraId="6C22004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23CB5DE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1CF26E3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63F0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76BD2E3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裂缝性低孔（特）低渗气藏储层评价</w:t>
            </w:r>
          </w:p>
        </w:tc>
        <w:tc>
          <w:tcPr>
            <w:tcW w:w="1229" w:type="dxa"/>
            <w:gridSpan w:val="2"/>
            <w:shd w:val="clear" w:color="000000" w:fill="FFFFFF"/>
            <w:vAlign w:val="center"/>
          </w:tcPr>
          <w:p w14:paraId="318AC9D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3762AFE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BSH014</w:t>
            </w:r>
          </w:p>
        </w:tc>
        <w:tc>
          <w:tcPr>
            <w:tcW w:w="1731" w:type="dxa"/>
            <w:gridSpan w:val="2"/>
            <w:shd w:val="clear" w:color="000000" w:fill="FFFFFF"/>
            <w:vAlign w:val="center"/>
          </w:tcPr>
          <w:p w14:paraId="2CD6132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30E998C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6DE2F5C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C3D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21BBEC1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川西须二双重介质气藏精细建模技术研究</w:t>
            </w:r>
          </w:p>
        </w:tc>
        <w:tc>
          <w:tcPr>
            <w:tcW w:w="1229" w:type="dxa"/>
            <w:gridSpan w:val="2"/>
            <w:shd w:val="clear" w:color="000000" w:fill="FFFFFF"/>
            <w:vAlign w:val="center"/>
          </w:tcPr>
          <w:p w14:paraId="1DD8991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3037BA7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BSH015</w:t>
            </w:r>
          </w:p>
        </w:tc>
        <w:tc>
          <w:tcPr>
            <w:tcW w:w="1731" w:type="dxa"/>
            <w:gridSpan w:val="2"/>
            <w:shd w:val="clear" w:color="000000" w:fill="FFFFFF"/>
            <w:vAlign w:val="center"/>
          </w:tcPr>
          <w:p w14:paraId="09AAD75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6239AB5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01AA7BA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589A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351839B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裂缝性边底水气藏提高采收率技术研究</w:t>
            </w:r>
          </w:p>
        </w:tc>
        <w:tc>
          <w:tcPr>
            <w:tcW w:w="1229" w:type="dxa"/>
            <w:gridSpan w:val="2"/>
            <w:shd w:val="clear" w:color="000000" w:fill="FFFFFF"/>
            <w:vAlign w:val="center"/>
          </w:tcPr>
          <w:p w14:paraId="06E262D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004CCF6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BSH016</w:t>
            </w:r>
          </w:p>
        </w:tc>
        <w:tc>
          <w:tcPr>
            <w:tcW w:w="1731" w:type="dxa"/>
            <w:gridSpan w:val="2"/>
            <w:shd w:val="clear" w:color="000000" w:fill="FFFFFF"/>
            <w:vAlign w:val="center"/>
          </w:tcPr>
          <w:p w14:paraId="59445A0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71A1D65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278CCB3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B6C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1EE7FEE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（难）未动用储量开发潜力评价</w:t>
            </w:r>
          </w:p>
        </w:tc>
        <w:tc>
          <w:tcPr>
            <w:tcW w:w="1229" w:type="dxa"/>
            <w:gridSpan w:val="2"/>
            <w:shd w:val="clear" w:color="000000" w:fill="FFFFFF"/>
            <w:vAlign w:val="center"/>
          </w:tcPr>
          <w:p w14:paraId="7A84D0E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316155F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BSH017</w:t>
            </w:r>
          </w:p>
        </w:tc>
        <w:tc>
          <w:tcPr>
            <w:tcW w:w="1731" w:type="dxa"/>
            <w:gridSpan w:val="2"/>
            <w:shd w:val="clear" w:color="000000" w:fill="FFFFFF"/>
            <w:vAlign w:val="center"/>
          </w:tcPr>
          <w:p w14:paraId="65F0704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56D8B81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7BD7D49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3C51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7055F13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深层页岩气开发调整技术研究</w:t>
            </w:r>
          </w:p>
        </w:tc>
        <w:tc>
          <w:tcPr>
            <w:tcW w:w="1229" w:type="dxa"/>
            <w:gridSpan w:val="2"/>
            <w:shd w:val="clear" w:color="000000" w:fill="FFFFFF"/>
            <w:vAlign w:val="center"/>
          </w:tcPr>
          <w:p w14:paraId="48652B3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6077C34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BSH018</w:t>
            </w:r>
          </w:p>
        </w:tc>
        <w:tc>
          <w:tcPr>
            <w:tcW w:w="1731" w:type="dxa"/>
            <w:gridSpan w:val="2"/>
            <w:shd w:val="clear" w:color="000000" w:fill="FFFFFF"/>
            <w:vAlign w:val="center"/>
          </w:tcPr>
          <w:p w14:paraId="0A884AA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5171E1B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08BE5A7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29E4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4" w:type="dxa"/>
            <w:gridSpan w:val="2"/>
            <w:shd w:val="clear" w:color="000000" w:fill="E7E6E6" w:themeFill="background2"/>
            <w:noWrap/>
            <w:vAlign w:val="center"/>
          </w:tcPr>
          <w:p w14:paraId="0BCA51F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项目名称</w:t>
            </w:r>
          </w:p>
        </w:tc>
        <w:tc>
          <w:tcPr>
            <w:tcW w:w="1229" w:type="dxa"/>
            <w:gridSpan w:val="2"/>
            <w:shd w:val="clear" w:color="000000" w:fill="E7E6E6" w:themeFill="background2"/>
            <w:vAlign w:val="center"/>
          </w:tcPr>
          <w:p w14:paraId="78684CA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需求人数</w:t>
            </w:r>
          </w:p>
        </w:tc>
        <w:tc>
          <w:tcPr>
            <w:tcW w:w="1203" w:type="dxa"/>
            <w:gridSpan w:val="2"/>
            <w:shd w:val="clear" w:color="000000" w:fill="E7E6E6" w:themeFill="background2"/>
            <w:vAlign w:val="center"/>
          </w:tcPr>
          <w:p w14:paraId="5F21042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岗位编号</w:t>
            </w:r>
          </w:p>
        </w:tc>
        <w:tc>
          <w:tcPr>
            <w:tcW w:w="1731" w:type="dxa"/>
            <w:gridSpan w:val="2"/>
            <w:shd w:val="clear" w:color="000000" w:fill="E7E6E6" w:themeFill="background2"/>
            <w:vAlign w:val="center"/>
          </w:tcPr>
          <w:p w14:paraId="04379D1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B25D25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51" w:type="dxa"/>
            <w:shd w:val="clear" w:color="000000" w:fill="E7E6E6" w:themeFill="background2"/>
            <w:vAlign w:val="center"/>
          </w:tcPr>
          <w:p w14:paraId="1A01E2A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600942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443" w:type="dxa"/>
            <w:shd w:val="clear" w:color="000000" w:fill="E7E6E6" w:themeFill="background2"/>
            <w:vAlign w:val="center"/>
          </w:tcPr>
          <w:p w14:paraId="5F67060A">
            <w:pPr>
              <w:adjustRightInd w:val="0"/>
              <w:snapToGrid w:val="0"/>
              <w:spacing w:line="240" w:lineRule="auto"/>
              <w:ind w:firstLine="0"/>
              <w:jc w:val="center"/>
              <w:rPr>
                <w:rFonts w:hint="default" w:ascii="Times New Roman" w:hAnsi="Times New Roman" w:cs="Times New Roman" w:eastAsiaTheme="minorEastAsia"/>
                <w:kern w:val="2"/>
                <w:sz w:val="21"/>
                <w:szCs w:val="21"/>
                <w:lang w:val="en-US" w:eastAsia="zh-CN" w:bidi="ar-SA"/>
              </w:rPr>
            </w:pPr>
            <w:r>
              <w:rPr>
                <w:rFonts w:eastAsiaTheme="minorEastAsia"/>
                <w:b/>
                <w:bCs/>
                <w:sz w:val="21"/>
                <w:szCs w:val="21"/>
              </w:rPr>
              <w:t>博士生源单位等要求</w:t>
            </w:r>
          </w:p>
        </w:tc>
      </w:tr>
      <w:tr w14:paraId="4DE8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0EEA969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川西须二建模数模一体化研究</w:t>
            </w:r>
          </w:p>
        </w:tc>
        <w:tc>
          <w:tcPr>
            <w:tcW w:w="1229" w:type="dxa"/>
            <w:gridSpan w:val="2"/>
            <w:shd w:val="clear" w:color="000000" w:fill="FFFFFF"/>
            <w:vAlign w:val="center"/>
          </w:tcPr>
          <w:p w14:paraId="1C31EED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4B78831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BSH019</w:t>
            </w:r>
          </w:p>
        </w:tc>
        <w:tc>
          <w:tcPr>
            <w:tcW w:w="1731" w:type="dxa"/>
            <w:gridSpan w:val="2"/>
            <w:shd w:val="clear" w:color="000000" w:fill="FFFFFF"/>
            <w:vAlign w:val="center"/>
          </w:tcPr>
          <w:p w14:paraId="226BCC2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restart"/>
            <w:shd w:val="clear" w:color="000000" w:fill="FFFFFF"/>
            <w:vAlign w:val="center"/>
          </w:tcPr>
          <w:p w14:paraId="13271B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根据科研项目而定</w:t>
            </w:r>
          </w:p>
        </w:tc>
        <w:tc>
          <w:tcPr>
            <w:tcW w:w="1443" w:type="dxa"/>
            <w:vMerge w:val="restart"/>
            <w:shd w:val="clear" w:color="000000" w:fill="FFFFFF"/>
            <w:vAlign w:val="center"/>
          </w:tcPr>
          <w:p w14:paraId="31F16B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相关专业院校</w:t>
            </w:r>
          </w:p>
        </w:tc>
      </w:tr>
      <w:tr w14:paraId="703F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3E41EBD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深层页岩气储层工程甜点识别及人工裂缝延伸规律研究</w:t>
            </w:r>
          </w:p>
        </w:tc>
        <w:tc>
          <w:tcPr>
            <w:tcW w:w="1229" w:type="dxa"/>
            <w:gridSpan w:val="2"/>
            <w:shd w:val="clear" w:color="000000" w:fill="FFFFFF"/>
            <w:vAlign w:val="center"/>
          </w:tcPr>
          <w:p w14:paraId="1236322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42D01A6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BSH020</w:t>
            </w:r>
          </w:p>
        </w:tc>
        <w:tc>
          <w:tcPr>
            <w:tcW w:w="1731" w:type="dxa"/>
            <w:gridSpan w:val="2"/>
            <w:shd w:val="clear" w:color="000000" w:fill="FFFFFF"/>
            <w:vAlign w:val="center"/>
          </w:tcPr>
          <w:p w14:paraId="0118E5A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274B788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1C0447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06C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1F25271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深层多重叠置页岩气储层地质力学参数场及人工缝网延展规律研究</w:t>
            </w:r>
          </w:p>
        </w:tc>
        <w:tc>
          <w:tcPr>
            <w:tcW w:w="1229" w:type="dxa"/>
            <w:gridSpan w:val="2"/>
            <w:shd w:val="clear" w:color="000000" w:fill="FFFFFF"/>
            <w:vAlign w:val="center"/>
          </w:tcPr>
          <w:p w14:paraId="0ACE015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0D2F74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BSH021</w:t>
            </w:r>
          </w:p>
        </w:tc>
        <w:tc>
          <w:tcPr>
            <w:tcW w:w="1731" w:type="dxa"/>
            <w:gridSpan w:val="2"/>
            <w:shd w:val="clear" w:color="000000" w:fill="FFFFFF"/>
            <w:vAlign w:val="center"/>
          </w:tcPr>
          <w:p w14:paraId="593655D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4E6D53B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564084C3">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05AE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11A8872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基于信息化平台的压裂辅助智能设计系统开发</w:t>
            </w:r>
          </w:p>
        </w:tc>
        <w:tc>
          <w:tcPr>
            <w:tcW w:w="1229" w:type="dxa"/>
            <w:gridSpan w:val="2"/>
            <w:shd w:val="clear" w:color="000000" w:fill="FFFFFF"/>
            <w:vAlign w:val="center"/>
          </w:tcPr>
          <w:p w14:paraId="491A96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66F7CB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BSH022</w:t>
            </w:r>
          </w:p>
        </w:tc>
        <w:tc>
          <w:tcPr>
            <w:tcW w:w="1731" w:type="dxa"/>
            <w:gridSpan w:val="2"/>
            <w:shd w:val="clear" w:color="000000" w:fill="FFFFFF"/>
            <w:vAlign w:val="center"/>
          </w:tcPr>
          <w:p w14:paraId="374200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5972B9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2DF93D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6C8A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1D694CC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基于产剖测试的储层改造后评估技术及压裂对策研究</w:t>
            </w:r>
          </w:p>
        </w:tc>
        <w:tc>
          <w:tcPr>
            <w:tcW w:w="1229" w:type="dxa"/>
            <w:gridSpan w:val="2"/>
            <w:shd w:val="clear" w:color="000000" w:fill="FFFFFF"/>
            <w:vAlign w:val="center"/>
          </w:tcPr>
          <w:p w14:paraId="44639C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23124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BSH023</w:t>
            </w:r>
          </w:p>
        </w:tc>
        <w:tc>
          <w:tcPr>
            <w:tcW w:w="1731" w:type="dxa"/>
            <w:gridSpan w:val="2"/>
            <w:shd w:val="clear" w:color="000000" w:fill="FFFFFF"/>
            <w:vAlign w:val="center"/>
          </w:tcPr>
          <w:p w14:paraId="104FD4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494181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6726DF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36CC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6F68D27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高含硫气田气藏-井筒-地面一体化增压模拟技术</w:t>
            </w:r>
          </w:p>
        </w:tc>
        <w:tc>
          <w:tcPr>
            <w:tcW w:w="1229" w:type="dxa"/>
            <w:gridSpan w:val="2"/>
            <w:shd w:val="clear" w:color="000000" w:fill="FFFFFF"/>
            <w:vAlign w:val="center"/>
          </w:tcPr>
          <w:p w14:paraId="33979D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0BDA20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w:t>
            </w:r>
            <w:r>
              <w:rPr>
                <w:rFonts w:hint="default" w:ascii="Times New Roman" w:hAnsi="Times New Roman" w:cs="Times New Roman" w:eastAsiaTheme="minorEastAsia"/>
                <w:sz w:val="21"/>
                <w:szCs w:val="21"/>
                <w:lang w:val="en-US" w:eastAsia="zh-CN"/>
              </w:rPr>
              <w:t>4</w:t>
            </w:r>
          </w:p>
        </w:tc>
        <w:tc>
          <w:tcPr>
            <w:tcW w:w="1731" w:type="dxa"/>
            <w:gridSpan w:val="2"/>
            <w:shd w:val="clear" w:color="000000" w:fill="FFFFFF"/>
            <w:vAlign w:val="center"/>
          </w:tcPr>
          <w:p w14:paraId="7676FB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03BE47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1FB28F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030F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5F9ADC5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深层页岩气井下工况诊断与排采智能决策技术</w:t>
            </w:r>
          </w:p>
        </w:tc>
        <w:tc>
          <w:tcPr>
            <w:tcW w:w="1229" w:type="dxa"/>
            <w:gridSpan w:val="2"/>
            <w:shd w:val="clear" w:color="000000" w:fill="FFFFFF"/>
            <w:vAlign w:val="center"/>
          </w:tcPr>
          <w:p w14:paraId="03929C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7F5A38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w:t>
            </w:r>
            <w:r>
              <w:rPr>
                <w:rFonts w:hint="default" w:ascii="Times New Roman" w:hAnsi="Times New Roman" w:cs="Times New Roman" w:eastAsiaTheme="minorEastAsia"/>
                <w:sz w:val="21"/>
                <w:szCs w:val="21"/>
                <w:lang w:val="en-US" w:eastAsia="zh-CN"/>
              </w:rPr>
              <w:t>5</w:t>
            </w:r>
          </w:p>
        </w:tc>
        <w:tc>
          <w:tcPr>
            <w:tcW w:w="1731" w:type="dxa"/>
            <w:gridSpan w:val="2"/>
            <w:shd w:val="clear" w:color="000000" w:fill="FFFFFF"/>
            <w:vAlign w:val="center"/>
          </w:tcPr>
          <w:p w14:paraId="3CB936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64EC87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47E624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66B8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6B5129F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深层页岩气水平井储层污染及井底净化技术</w:t>
            </w:r>
          </w:p>
        </w:tc>
        <w:tc>
          <w:tcPr>
            <w:tcW w:w="1229" w:type="dxa"/>
            <w:gridSpan w:val="2"/>
            <w:shd w:val="clear" w:color="000000" w:fill="FFFFFF"/>
            <w:vAlign w:val="center"/>
          </w:tcPr>
          <w:p w14:paraId="5985A3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52B628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w:t>
            </w:r>
            <w:r>
              <w:rPr>
                <w:rFonts w:hint="default" w:ascii="Times New Roman" w:hAnsi="Times New Roman" w:cs="Times New Roman" w:eastAsiaTheme="minorEastAsia"/>
                <w:sz w:val="21"/>
                <w:szCs w:val="21"/>
                <w:lang w:val="en-US" w:eastAsia="zh-CN"/>
              </w:rPr>
              <w:t>6</w:t>
            </w:r>
          </w:p>
        </w:tc>
        <w:tc>
          <w:tcPr>
            <w:tcW w:w="1731" w:type="dxa"/>
            <w:gridSpan w:val="2"/>
            <w:shd w:val="clear" w:color="000000" w:fill="FFFFFF"/>
            <w:vAlign w:val="center"/>
          </w:tcPr>
          <w:p w14:paraId="1C66F8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石油与天然气工程</w:t>
            </w:r>
          </w:p>
        </w:tc>
        <w:tc>
          <w:tcPr>
            <w:tcW w:w="1351" w:type="dxa"/>
            <w:vMerge w:val="continue"/>
            <w:shd w:val="clear" w:color="000000" w:fill="FFFFFF"/>
            <w:vAlign w:val="center"/>
          </w:tcPr>
          <w:p w14:paraId="45443A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0B64D7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6C43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751CCB4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准确可控长效示踪剂研发</w:t>
            </w:r>
          </w:p>
        </w:tc>
        <w:tc>
          <w:tcPr>
            <w:tcW w:w="1229" w:type="dxa"/>
            <w:gridSpan w:val="2"/>
            <w:shd w:val="clear" w:color="000000" w:fill="FFFFFF"/>
            <w:vAlign w:val="center"/>
          </w:tcPr>
          <w:p w14:paraId="73BC18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233C3F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w:t>
            </w:r>
            <w:r>
              <w:rPr>
                <w:rFonts w:hint="default" w:ascii="Times New Roman" w:hAnsi="Times New Roman" w:cs="Times New Roman" w:eastAsiaTheme="minorEastAsia"/>
                <w:sz w:val="21"/>
                <w:szCs w:val="21"/>
                <w:lang w:val="en-US" w:eastAsia="zh-CN"/>
              </w:rPr>
              <w:t>7</w:t>
            </w:r>
          </w:p>
        </w:tc>
        <w:tc>
          <w:tcPr>
            <w:tcW w:w="1731" w:type="dxa"/>
            <w:gridSpan w:val="2"/>
            <w:shd w:val="clear" w:color="000000" w:fill="FFFFFF"/>
            <w:vAlign w:val="center"/>
          </w:tcPr>
          <w:p w14:paraId="3C0602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化学工程与技术</w:t>
            </w:r>
          </w:p>
        </w:tc>
        <w:tc>
          <w:tcPr>
            <w:tcW w:w="1351" w:type="dxa"/>
            <w:vMerge w:val="continue"/>
            <w:shd w:val="clear" w:color="000000" w:fill="FFFFFF"/>
            <w:vAlign w:val="center"/>
          </w:tcPr>
          <w:p w14:paraId="6D0AEF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35E699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4993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792DE8E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高含硫产品气收率提升研究</w:t>
            </w:r>
          </w:p>
        </w:tc>
        <w:tc>
          <w:tcPr>
            <w:tcW w:w="1229" w:type="dxa"/>
            <w:gridSpan w:val="2"/>
            <w:shd w:val="clear" w:color="000000" w:fill="FFFFFF"/>
            <w:vAlign w:val="center"/>
          </w:tcPr>
          <w:p w14:paraId="65B41F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483725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BSH02</w:t>
            </w:r>
            <w:r>
              <w:rPr>
                <w:rFonts w:hint="default" w:ascii="Times New Roman" w:hAnsi="Times New Roman" w:cs="Times New Roman" w:eastAsiaTheme="minorEastAsia"/>
                <w:sz w:val="21"/>
                <w:szCs w:val="21"/>
                <w:lang w:val="en-US" w:eastAsia="zh-CN"/>
              </w:rPr>
              <w:t>8</w:t>
            </w:r>
          </w:p>
        </w:tc>
        <w:tc>
          <w:tcPr>
            <w:tcW w:w="1731" w:type="dxa"/>
            <w:gridSpan w:val="2"/>
            <w:shd w:val="clear" w:color="000000" w:fill="FFFFFF"/>
            <w:vAlign w:val="center"/>
          </w:tcPr>
          <w:p w14:paraId="642FD37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化学工程与技术</w:t>
            </w:r>
          </w:p>
        </w:tc>
        <w:tc>
          <w:tcPr>
            <w:tcW w:w="1351" w:type="dxa"/>
            <w:vMerge w:val="continue"/>
            <w:shd w:val="clear" w:color="000000" w:fill="FFFFFF"/>
            <w:vAlign w:val="center"/>
          </w:tcPr>
          <w:p w14:paraId="4CFD9D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717857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7DEE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94" w:type="dxa"/>
            <w:gridSpan w:val="2"/>
            <w:shd w:val="clear" w:color="000000" w:fill="FFFFFF"/>
            <w:noWrap/>
            <w:vAlign w:val="center"/>
          </w:tcPr>
          <w:p w14:paraId="651C119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高含硫净化厂工业水资源化利用技术开发及应用</w:t>
            </w:r>
          </w:p>
        </w:tc>
        <w:tc>
          <w:tcPr>
            <w:tcW w:w="1229" w:type="dxa"/>
            <w:gridSpan w:val="2"/>
            <w:shd w:val="clear" w:color="000000" w:fill="FFFFFF"/>
            <w:vAlign w:val="center"/>
          </w:tcPr>
          <w:p w14:paraId="1DDD98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203" w:type="dxa"/>
            <w:gridSpan w:val="2"/>
            <w:shd w:val="clear" w:color="000000" w:fill="FFFFFF"/>
            <w:vAlign w:val="center"/>
          </w:tcPr>
          <w:p w14:paraId="476407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w:t>
            </w:r>
            <w:r>
              <w:rPr>
                <w:rFonts w:hint="default" w:ascii="Times New Roman" w:hAnsi="Times New Roman" w:cs="Times New Roman" w:eastAsiaTheme="minorEastAsia"/>
                <w:sz w:val="21"/>
                <w:szCs w:val="21"/>
                <w:lang w:val="en-US" w:eastAsia="zh-CN"/>
              </w:rPr>
              <w:t>29</w:t>
            </w:r>
          </w:p>
        </w:tc>
        <w:tc>
          <w:tcPr>
            <w:tcW w:w="1731" w:type="dxa"/>
            <w:gridSpan w:val="2"/>
            <w:shd w:val="clear" w:color="000000" w:fill="FFFFFF"/>
            <w:vAlign w:val="center"/>
          </w:tcPr>
          <w:p w14:paraId="247C0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化学工程与技术</w:t>
            </w:r>
          </w:p>
        </w:tc>
        <w:tc>
          <w:tcPr>
            <w:tcW w:w="1351" w:type="dxa"/>
            <w:vMerge w:val="continue"/>
            <w:shd w:val="clear" w:color="000000" w:fill="FFFFFF"/>
            <w:vAlign w:val="center"/>
          </w:tcPr>
          <w:p w14:paraId="591676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c>
          <w:tcPr>
            <w:tcW w:w="1443" w:type="dxa"/>
            <w:vMerge w:val="continue"/>
            <w:shd w:val="clear" w:color="000000" w:fill="FFFFFF"/>
            <w:vAlign w:val="center"/>
          </w:tcPr>
          <w:p w14:paraId="26EF23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bl>
    <w:p w14:paraId="3B23E98F">
      <w:pPr>
        <w:pStyle w:val="5"/>
        <w:adjustRightInd w:val="0"/>
        <w:snapToGrid w:val="0"/>
        <w:spacing w:line="240" w:lineRule="auto"/>
        <w:ind w:firstLine="0"/>
        <w:jc w:val="center"/>
        <w:rPr>
          <w:rFonts w:eastAsia="方正小标宋简体"/>
          <w:sz w:val="44"/>
          <w:szCs w:val="44"/>
        </w:rPr>
      </w:pPr>
    </w:p>
    <w:p w14:paraId="3405B40E">
      <w:pPr>
        <w:pStyle w:val="5"/>
        <w:adjustRightInd w:val="0"/>
        <w:snapToGrid w:val="0"/>
        <w:spacing w:line="240" w:lineRule="auto"/>
        <w:ind w:firstLine="0"/>
        <w:jc w:val="center"/>
        <w:rPr>
          <w:rFonts w:eastAsia="方正小标宋简体"/>
          <w:sz w:val="44"/>
          <w:szCs w:val="44"/>
        </w:rPr>
      </w:pPr>
    </w:p>
    <w:p w14:paraId="064A7144">
      <w:pPr>
        <w:pStyle w:val="5"/>
        <w:adjustRightInd w:val="0"/>
        <w:snapToGrid w:val="0"/>
        <w:spacing w:line="240" w:lineRule="auto"/>
        <w:ind w:firstLine="0"/>
        <w:jc w:val="center"/>
        <w:rPr>
          <w:rFonts w:eastAsia="方正小标宋简体"/>
          <w:sz w:val="44"/>
          <w:szCs w:val="44"/>
        </w:rPr>
      </w:pPr>
    </w:p>
    <w:p w14:paraId="40C70AA4">
      <w:pPr>
        <w:pStyle w:val="5"/>
        <w:adjustRightInd w:val="0"/>
        <w:snapToGrid w:val="0"/>
        <w:spacing w:line="240" w:lineRule="auto"/>
        <w:ind w:firstLine="0"/>
        <w:jc w:val="center"/>
        <w:rPr>
          <w:rFonts w:eastAsia="方正小标宋简体"/>
          <w:sz w:val="44"/>
          <w:szCs w:val="44"/>
        </w:rPr>
      </w:pPr>
    </w:p>
    <w:p w14:paraId="564BB5B2">
      <w:pPr>
        <w:pStyle w:val="5"/>
        <w:adjustRightInd w:val="0"/>
        <w:snapToGrid w:val="0"/>
        <w:spacing w:line="240" w:lineRule="auto"/>
        <w:ind w:firstLine="0"/>
        <w:jc w:val="center"/>
        <w:rPr>
          <w:rFonts w:hint="eastAsia" w:eastAsia="方正小标宋简体"/>
          <w:sz w:val="44"/>
          <w:szCs w:val="44"/>
          <w:highlight w:val="yellow"/>
        </w:rPr>
      </w:pPr>
    </w:p>
    <w:p w14:paraId="78EDBB0A">
      <w:pPr>
        <w:pStyle w:val="5"/>
        <w:adjustRightInd w:val="0"/>
        <w:snapToGrid w:val="0"/>
        <w:spacing w:line="240" w:lineRule="auto"/>
        <w:ind w:firstLine="0"/>
        <w:jc w:val="center"/>
        <w:outlineLvl w:val="0"/>
        <w:rPr>
          <w:rFonts w:eastAsia="方正小标宋简体"/>
          <w:sz w:val="44"/>
          <w:szCs w:val="44"/>
          <w:highlight w:val="yellow"/>
        </w:rPr>
      </w:pPr>
      <w:bookmarkStart w:id="569" w:name="_Toc2209"/>
      <w:bookmarkStart w:id="570" w:name="_Toc16192"/>
      <w:bookmarkStart w:id="571" w:name="_Toc28253"/>
      <w:bookmarkStart w:id="572" w:name="_Toc18791"/>
      <w:bookmarkStart w:id="573" w:name="_Toc31326"/>
      <w:r>
        <w:rPr>
          <w:rFonts w:hint="eastAsia" w:eastAsia="方正小标宋简体"/>
          <w:sz w:val="44"/>
          <w:szCs w:val="44"/>
          <w:highlight w:val="none"/>
        </w:rPr>
        <w:t>中国石油集团川庆钻探工程有限公司</w:t>
      </w:r>
      <w:bookmarkEnd w:id="569"/>
      <w:bookmarkEnd w:id="570"/>
      <w:bookmarkEnd w:id="571"/>
      <w:bookmarkEnd w:id="572"/>
      <w:bookmarkEnd w:id="573"/>
    </w:p>
    <w:p w14:paraId="0C449824">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585"/>
        <w:gridCol w:w="1166"/>
        <w:gridCol w:w="1105"/>
        <w:gridCol w:w="381"/>
        <w:gridCol w:w="1547"/>
        <w:gridCol w:w="79"/>
        <w:gridCol w:w="1247"/>
        <w:gridCol w:w="317"/>
        <w:gridCol w:w="2024"/>
      </w:tblGrid>
      <w:tr w14:paraId="7F42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CECB8B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2" w:type="dxa"/>
            <w:gridSpan w:val="2"/>
            <w:shd w:val="clear" w:color="000000" w:fill="FFFFFF"/>
            <w:noWrap/>
            <w:vAlign w:val="center"/>
          </w:tcPr>
          <w:p w14:paraId="1EEB21D1">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国有企业</w:t>
            </w:r>
          </w:p>
        </w:tc>
        <w:tc>
          <w:tcPr>
            <w:tcW w:w="1452" w:type="dxa"/>
            <w:gridSpan w:val="2"/>
            <w:shd w:val="clear" w:color="auto" w:fill="E7E6E6" w:themeFill="background2"/>
            <w:noWrap/>
            <w:vAlign w:val="center"/>
          </w:tcPr>
          <w:p w14:paraId="6CFFCD0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A671A1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076C44E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14:paraId="2648B094">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F1A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A5FCACA">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14:paraId="4CD0A169">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成都市成华区猛追湾街6号</w:t>
            </w:r>
          </w:p>
        </w:tc>
      </w:tr>
      <w:tr w14:paraId="0AC8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1271" w:type="dxa"/>
            <w:shd w:val="clear" w:color="auto" w:fill="E7E6E6" w:themeFill="background2"/>
            <w:noWrap/>
            <w:vAlign w:val="center"/>
          </w:tcPr>
          <w:p w14:paraId="46CD456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14:paraId="3E7C65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川庆钻探工程有限公司隶属中国石油天然气集团有限公司，成立于2008年2月，由原四川石油管理局、长庆石油勘探局及塔里木油田的工程技术等相关业务单位组建而成。公司主营钻井工程、录井、固井、储层改造、试修井及油气合作开发等业务，是国内技术实力最强的油气工程技术服务商。主要服务于国内四川、重庆、陕西、新疆、内蒙古、甘肃等省（自治区、直辖市）以及海外土库曼斯坦、巴基斯坦、厄瓜多尔等国家和地区。</w:t>
            </w:r>
          </w:p>
          <w:p w14:paraId="29B74D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公司为国家高新技术企业，建有7个国家级、省部级重点实验室，近年来承担参与15项国家级重大科研项目，年运行各级科研项目500余项，年均科技创新投入达14亿元，先后获得国家科技奖励7项，省部级科技奖励200余项，拥有有效专利2000余件。</w:t>
            </w:r>
          </w:p>
        </w:tc>
      </w:tr>
      <w:tr w14:paraId="4D8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1271" w:type="dxa"/>
            <w:shd w:val="clear" w:color="auto" w:fill="E7E6E6" w:themeFill="background2"/>
            <w:noWrap/>
            <w:vAlign w:val="center"/>
          </w:tcPr>
          <w:p w14:paraId="36D447B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14:paraId="5ADBCA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公司为在站博士后研究人员提供足够的科研经费，博士后人员在站期间执行公司员工薪酬待遇或协议工资制，在站期间计算工作年限。博士后人员在站期间，每年可按国家和公司有关规定享受休假、健康体检等。博士后人员、配偶及子女的户口，根据本人意愿可落到工作站所在地。可依据科研课题需求情况选择在四川成都、四川广汉、陕西西安、陕西咸阳等地开展研究工作。博士后研究人员工作期满出站后志愿在公司工作的，依据双向选择的原则办理。</w:t>
            </w:r>
          </w:p>
        </w:tc>
      </w:tr>
      <w:tr w14:paraId="1DC1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843" w:type="dxa"/>
            <w:gridSpan w:val="2"/>
            <w:shd w:val="clear" w:color="auto" w:fill="E7E6E6" w:themeFill="background2"/>
            <w:noWrap/>
            <w:vAlign w:val="center"/>
          </w:tcPr>
          <w:p w14:paraId="38766B2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14:paraId="4414F51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0" w:type="dxa"/>
            <w:shd w:val="clear" w:color="auto" w:fill="E7E6E6" w:themeFill="background2"/>
            <w:vAlign w:val="center"/>
          </w:tcPr>
          <w:p w14:paraId="5436BA06">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84" w:type="dxa"/>
            <w:gridSpan w:val="2"/>
            <w:shd w:val="clear" w:color="auto" w:fill="E7E6E6" w:themeFill="background2"/>
            <w:vAlign w:val="center"/>
          </w:tcPr>
          <w:p w14:paraId="3683C4D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D857A1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0ABA204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38BE02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7" w:type="dxa"/>
            <w:gridSpan w:val="2"/>
            <w:shd w:val="clear" w:color="auto" w:fill="E7E6E6" w:themeFill="background2"/>
            <w:vAlign w:val="center"/>
          </w:tcPr>
          <w:p w14:paraId="1164727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24C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43" w:type="dxa"/>
            <w:gridSpan w:val="2"/>
            <w:shd w:val="clear" w:color="000000" w:fill="FFFFFF"/>
            <w:noWrap/>
            <w:vAlign w:val="center"/>
          </w:tcPr>
          <w:p w14:paraId="7A2303E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highlight w:val="none"/>
                <w:lang w:val="en-US" w:eastAsia="zh-CN"/>
              </w:rPr>
              <w:t>井下数据采集及传输技术</w:t>
            </w:r>
          </w:p>
        </w:tc>
        <w:tc>
          <w:tcPr>
            <w:tcW w:w="1140" w:type="dxa"/>
            <w:shd w:val="clear" w:color="000000" w:fill="FFFFFF"/>
            <w:vAlign w:val="center"/>
          </w:tcPr>
          <w:p w14:paraId="6B3A251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088B165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highlight w:val="none"/>
                <w:lang w:val="en-US" w:eastAsia="zh-CN"/>
              </w:rPr>
              <w:t>BSH001</w:t>
            </w:r>
          </w:p>
        </w:tc>
        <w:tc>
          <w:tcPr>
            <w:tcW w:w="1884" w:type="dxa"/>
            <w:gridSpan w:val="2"/>
            <w:shd w:val="clear" w:color="000000" w:fill="FFFFFF"/>
            <w:vAlign w:val="center"/>
          </w:tcPr>
          <w:p w14:paraId="03D7E02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highlight w:val="none"/>
                <w:lang w:val="en-US" w:eastAsia="zh-CN"/>
              </w:rPr>
              <w:t>电子信息工程、通信工程、石油与天然气工程</w:t>
            </w:r>
          </w:p>
        </w:tc>
        <w:tc>
          <w:tcPr>
            <w:tcW w:w="1296" w:type="dxa"/>
            <w:gridSpan w:val="2"/>
            <w:shd w:val="clear" w:color="000000" w:fill="FFFFFF"/>
            <w:vAlign w:val="center"/>
          </w:tcPr>
          <w:p w14:paraId="5B97502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restart"/>
            <w:shd w:val="clear" w:color="000000" w:fill="FFFFFF"/>
            <w:vAlign w:val="center"/>
          </w:tcPr>
          <w:p w14:paraId="6AC472B2">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年龄在35周岁以下，所学专业为双一流学科或毕业院校为双一流学校优先，特别优秀者可适当放宽。</w:t>
            </w:r>
          </w:p>
        </w:tc>
      </w:tr>
      <w:tr w14:paraId="48E9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43" w:type="dxa"/>
            <w:gridSpan w:val="2"/>
            <w:shd w:val="clear" w:color="000000" w:fill="FFFFFF"/>
            <w:noWrap/>
            <w:vAlign w:val="center"/>
          </w:tcPr>
          <w:p w14:paraId="204D13A1">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耐高温电子电路设计与耐高温传感器研发</w:t>
            </w:r>
          </w:p>
        </w:tc>
        <w:tc>
          <w:tcPr>
            <w:tcW w:w="1140" w:type="dxa"/>
            <w:shd w:val="clear" w:color="000000" w:fill="FFFFFF"/>
            <w:vAlign w:val="center"/>
          </w:tcPr>
          <w:p w14:paraId="61797E8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161D9F2F">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BSH002</w:t>
            </w:r>
          </w:p>
        </w:tc>
        <w:tc>
          <w:tcPr>
            <w:tcW w:w="1884" w:type="dxa"/>
            <w:gridSpan w:val="2"/>
            <w:shd w:val="clear" w:color="000000" w:fill="FFFFFF"/>
            <w:vAlign w:val="center"/>
          </w:tcPr>
          <w:p w14:paraId="136C9035">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电子科学与技术、信息与通信工程、机械</w:t>
            </w:r>
          </w:p>
        </w:tc>
        <w:tc>
          <w:tcPr>
            <w:tcW w:w="1296" w:type="dxa"/>
            <w:gridSpan w:val="2"/>
            <w:shd w:val="clear" w:color="000000" w:fill="FFFFFF"/>
            <w:vAlign w:val="center"/>
          </w:tcPr>
          <w:p w14:paraId="40611D0E">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continue"/>
            <w:shd w:val="clear" w:color="000000" w:fill="FFFFFF"/>
            <w:vAlign w:val="center"/>
          </w:tcPr>
          <w:p w14:paraId="6B8FF1A2">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r>
      <w:tr w14:paraId="0518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43" w:type="dxa"/>
            <w:gridSpan w:val="2"/>
            <w:shd w:val="clear" w:color="000000" w:fill="E7E6E6" w:themeFill="background2"/>
            <w:noWrap/>
            <w:vAlign w:val="center"/>
          </w:tcPr>
          <w:p w14:paraId="1AABFFF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eastAsiaTheme="minorEastAsia"/>
                <w:b/>
                <w:bCs/>
                <w:sz w:val="21"/>
                <w:szCs w:val="21"/>
              </w:rPr>
              <w:t>项目名称</w:t>
            </w:r>
          </w:p>
        </w:tc>
        <w:tc>
          <w:tcPr>
            <w:tcW w:w="1140" w:type="dxa"/>
            <w:shd w:val="clear" w:color="000000" w:fill="E7E6E6" w:themeFill="background2"/>
            <w:vAlign w:val="center"/>
          </w:tcPr>
          <w:p w14:paraId="3E1FC897">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eastAsiaTheme="minorEastAsia"/>
                <w:b/>
                <w:bCs/>
                <w:sz w:val="21"/>
                <w:szCs w:val="21"/>
              </w:rPr>
              <w:t>需求人数</w:t>
            </w:r>
          </w:p>
        </w:tc>
        <w:tc>
          <w:tcPr>
            <w:tcW w:w="1080" w:type="dxa"/>
            <w:shd w:val="clear" w:color="000000" w:fill="E7E6E6" w:themeFill="background2"/>
            <w:vAlign w:val="center"/>
          </w:tcPr>
          <w:p w14:paraId="5AEE64DD">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eastAsiaTheme="minorEastAsia"/>
                <w:b/>
                <w:bCs/>
                <w:sz w:val="21"/>
                <w:szCs w:val="21"/>
              </w:rPr>
              <w:t>岗位编号</w:t>
            </w:r>
          </w:p>
        </w:tc>
        <w:tc>
          <w:tcPr>
            <w:tcW w:w="1884" w:type="dxa"/>
            <w:gridSpan w:val="2"/>
            <w:shd w:val="clear" w:color="000000" w:fill="E7E6E6" w:themeFill="background2"/>
            <w:vAlign w:val="center"/>
          </w:tcPr>
          <w:p w14:paraId="57EFE64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5AACBAA">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000000" w:fill="E7E6E6" w:themeFill="background2"/>
            <w:vAlign w:val="center"/>
          </w:tcPr>
          <w:p w14:paraId="3203361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0391E26">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87" w:type="dxa"/>
            <w:gridSpan w:val="2"/>
            <w:shd w:val="clear" w:color="000000" w:fill="E7E6E6" w:themeFill="background2"/>
            <w:vAlign w:val="center"/>
          </w:tcPr>
          <w:p w14:paraId="1D262D0D">
            <w:pPr>
              <w:adjustRightInd w:val="0"/>
              <w:snapToGrid w:val="0"/>
              <w:spacing w:line="240" w:lineRule="auto"/>
              <w:ind w:firstLine="0"/>
              <w:jc w:val="center"/>
              <w:rPr>
                <w:rFonts w:hint="default" w:ascii="Times New Roman" w:hAnsi="Times New Roman" w:cs="Times New Roman" w:eastAsiaTheme="minorEastAsia"/>
                <w:color w:val="auto"/>
                <w:sz w:val="21"/>
                <w:szCs w:val="21"/>
                <w:highlight w:val="none"/>
                <w:lang w:val="en-US" w:eastAsia="zh-CN"/>
              </w:rPr>
            </w:pPr>
            <w:r>
              <w:rPr>
                <w:rFonts w:eastAsiaTheme="minorEastAsia"/>
                <w:b/>
                <w:bCs/>
                <w:sz w:val="21"/>
                <w:szCs w:val="21"/>
              </w:rPr>
              <w:t>博士生源单位等要求</w:t>
            </w:r>
          </w:p>
        </w:tc>
      </w:tr>
      <w:tr w14:paraId="1A06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843" w:type="dxa"/>
            <w:gridSpan w:val="2"/>
            <w:shd w:val="clear" w:color="000000" w:fill="FFFFFF"/>
            <w:noWrap/>
            <w:vAlign w:val="center"/>
          </w:tcPr>
          <w:p w14:paraId="79511321">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基于三维仿真技术的固井顶替水力学模型构建与软件开发</w:t>
            </w:r>
          </w:p>
        </w:tc>
        <w:tc>
          <w:tcPr>
            <w:tcW w:w="1140" w:type="dxa"/>
            <w:shd w:val="clear" w:color="000000" w:fill="FFFFFF"/>
            <w:vAlign w:val="center"/>
          </w:tcPr>
          <w:p w14:paraId="470CEB1A">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453B4ECE">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BSH003</w:t>
            </w:r>
          </w:p>
        </w:tc>
        <w:tc>
          <w:tcPr>
            <w:tcW w:w="1884" w:type="dxa"/>
            <w:gridSpan w:val="2"/>
            <w:shd w:val="clear" w:color="000000" w:fill="FFFFFF"/>
            <w:vAlign w:val="center"/>
          </w:tcPr>
          <w:p w14:paraId="415D6098">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石油与天然气工程</w:t>
            </w:r>
          </w:p>
        </w:tc>
        <w:tc>
          <w:tcPr>
            <w:tcW w:w="1296" w:type="dxa"/>
            <w:gridSpan w:val="2"/>
            <w:shd w:val="clear" w:color="000000" w:fill="FFFFFF"/>
            <w:vAlign w:val="center"/>
          </w:tcPr>
          <w:p w14:paraId="6FC55DA0">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restart"/>
            <w:shd w:val="clear" w:color="000000" w:fill="FFFFFF"/>
            <w:vAlign w:val="center"/>
          </w:tcPr>
          <w:p w14:paraId="2A5DEBD7">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年龄在35周岁以下，所学专业为双一流学科或毕业院校为双一流学校优先</w:t>
            </w:r>
          </w:p>
        </w:tc>
      </w:tr>
      <w:tr w14:paraId="10CF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843" w:type="dxa"/>
            <w:gridSpan w:val="2"/>
            <w:shd w:val="clear" w:color="000000" w:fill="FFFFFF"/>
            <w:noWrap/>
            <w:vAlign w:val="center"/>
          </w:tcPr>
          <w:p w14:paraId="291261EA">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固井液压裂液关键处理剂机理研究与产品研发</w:t>
            </w:r>
          </w:p>
        </w:tc>
        <w:tc>
          <w:tcPr>
            <w:tcW w:w="1140" w:type="dxa"/>
            <w:shd w:val="clear" w:color="000000" w:fill="FFFFFF"/>
            <w:vAlign w:val="center"/>
          </w:tcPr>
          <w:p w14:paraId="42B345B8">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00BD846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BSH004</w:t>
            </w:r>
          </w:p>
        </w:tc>
        <w:tc>
          <w:tcPr>
            <w:tcW w:w="1884" w:type="dxa"/>
            <w:gridSpan w:val="2"/>
            <w:shd w:val="clear" w:color="000000" w:fill="FFFFFF"/>
            <w:vAlign w:val="center"/>
          </w:tcPr>
          <w:p w14:paraId="029E0840">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化学工程</w:t>
            </w:r>
          </w:p>
        </w:tc>
        <w:tc>
          <w:tcPr>
            <w:tcW w:w="1296" w:type="dxa"/>
            <w:gridSpan w:val="2"/>
            <w:shd w:val="clear" w:color="000000" w:fill="FFFFFF"/>
            <w:vAlign w:val="center"/>
          </w:tcPr>
          <w:p w14:paraId="328C5400">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150</w:t>
            </w:r>
          </w:p>
        </w:tc>
        <w:tc>
          <w:tcPr>
            <w:tcW w:w="2287" w:type="dxa"/>
            <w:gridSpan w:val="2"/>
            <w:vMerge w:val="continue"/>
            <w:shd w:val="clear" w:color="000000" w:fill="FFFFFF"/>
            <w:vAlign w:val="center"/>
          </w:tcPr>
          <w:p w14:paraId="56B59F98">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p>
        </w:tc>
      </w:tr>
      <w:tr w14:paraId="3090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843" w:type="dxa"/>
            <w:gridSpan w:val="2"/>
            <w:shd w:val="clear" w:color="000000" w:fill="FFFFFF"/>
            <w:noWrap/>
            <w:vAlign w:val="center"/>
          </w:tcPr>
          <w:p w14:paraId="59B644DA">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固井/压裂数据挖掘及数字孪生技术研究</w:t>
            </w:r>
          </w:p>
        </w:tc>
        <w:tc>
          <w:tcPr>
            <w:tcW w:w="1140" w:type="dxa"/>
            <w:shd w:val="clear" w:color="000000" w:fill="FFFFFF"/>
            <w:vAlign w:val="center"/>
          </w:tcPr>
          <w:p w14:paraId="0CB45E12">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7949608A">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BSH005</w:t>
            </w:r>
          </w:p>
        </w:tc>
        <w:tc>
          <w:tcPr>
            <w:tcW w:w="1884" w:type="dxa"/>
            <w:gridSpan w:val="2"/>
            <w:shd w:val="clear" w:color="000000" w:fill="FFFFFF"/>
            <w:vAlign w:val="center"/>
          </w:tcPr>
          <w:p w14:paraId="4D6E2BCB">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计算机工程（大数据技术、人工AI智能技术）</w:t>
            </w:r>
          </w:p>
        </w:tc>
        <w:tc>
          <w:tcPr>
            <w:tcW w:w="1296" w:type="dxa"/>
            <w:gridSpan w:val="2"/>
            <w:shd w:val="clear" w:color="000000" w:fill="FFFFFF"/>
            <w:vAlign w:val="center"/>
          </w:tcPr>
          <w:p w14:paraId="14ED3757">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continue"/>
            <w:shd w:val="clear" w:color="000000" w:fill="FFFFFF"/>
            <w:vAlign w:val="center"/>
          </w:tcPr>
          <w:p w14:paraId="41DF1A66">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p>
        </w:tc>
      </w:tr>
      <w:tr w14:paraId="651C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843" w:type="dxa"/>
            <w:gridSpan w:val="2"/>
            <w:shd w:val="clear" w:color="000000" w:fill="FFFFFF"/>
            <w:noWrap/>
            <w:vAlign w:val="center"/>
          </w:tcPr>
          <w:p w14:paraId="3EC4A256">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深层地质信息智能传输</w:t>
            </w:r>
          </w:p>
        </w:tc>
        <w:tc>
          <w:tcPr>
            <w:tcW w:w="1140" w:type="dxa"/>
            <w:shd w:val="clear" w:color="000000" w:fill="FFFFFF"/>
            <w:vAlign w:val="center"/>
          </w:tcPr>
          <w:p w14:paraId="79F7223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4CB5F4EF">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BSH006</w:t>
            </w:r>
          </w:p>
        </w:tc>
        <w:tc>
          <w:tcPr>
            <w:tcW w:w="1884" w:type="dxa"/>
            <w:gridSpan w:val="2"/>
            <w:shd w:val="clear" w:color="000000" w:fill="FFFFFF"/>
            <w:vAlign w:val="center"/>
          </w:tcPr>
          <w:p w14:paraId="160FCD3E">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石油机械</w:t>
            </w:r>
          </w:p>
        </w:tc>
        <w:tc>
          <w:tcPr>
            <w:tcW w:w="1296" w:type="dxa"/>
            <w:gridSpan w:val="2"/>
            <w:shd w:val="clear" w:color="000000" w:fill="FFFFFF"/>
            <w:vAlign w:val="center"/>
          </w:tcPr>
          <w:p w14:paraId="2AF32893">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continue"/>
            <w:shd w:val="clear" w:color="000000" w:fill="FFFFFF"/>
            <w:vAlign w:val="center"/>
          </w:tcPr>
          <w:p w14:paraId="15FE60E1">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p>
        </w:tc>
      </w:tr>
      <w:tr w14:paraId="46F8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843" w:type="dxa"/>
            <w:gridSpan w:val="2"/>
            <w:shd w:val="clear" w:color="000000" w:fill="FFFFFF"/>
            <w:noWrap/>
            <w:vAlign w:val="center"/>
          </w:tcPr>
          <w:p w14:paraId="29784940">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盐下礁滩低幅度缝洞型储层预测方法深化研究</w:t>
            </w:r>
          </w:p>
        </w:tc>
        <w:tc>
          <w:tcPr>
            <w:tcW w:w="1140" w:type="dxa"/>
            <w:shd w:val="clear" w:color="000000" w:fill="FFFFFF"/>
            <w:vAlign w:val="center"/>
          </w:tcPr>
          <w:p w14:paraId="3FF2E91F">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80" w:type="dxa"/>
            <w:shd w:val="clear" w:color="000000" w:fill="FFFFFF"/>
            <w:vAlign w:val="center"/>
          </w:tcPr>
          <w:p w14:paraId="734910C7">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BSH007</w:t>
            </w:r>
          </w:p>
        </w:tc>
        <w:tc>
          <w:tcPr>
            <w:tcW w:w="1884" w:type="dxa"/>
            <w:gridSpan w:val="2"/>
            <w:shd w:val="clear" w:color="000000" w:fill="FFFFFF"/>
            <w:vAlign w:val="center"/>
          </w:tcPr>
          <w:p w14:paraId="0D962E07">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地球物理</w:t>
            </w:r>
          </w:p>
        </w:tc>
        <w:tc>
          <w:tcPr>
            <w:tcW w:w="1296" w:type="dxa"/>
            <w:gridSpan w:val="2"/>
            <w:shd w:val="clear" w:color="000000" w:fill="FFFFFF"/>
            <w:vAlign w:val="center"/>
          </w:tcPr>
          <w:p w14:paraId="02C05865">
            <w:pPr>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287" w:type="dxa"/>
            <w:gridSpan w:val="2"/>
            <w:vMerge w:val="continue"/>
            <w:shd w:val="clear" w:color="000000" w:fill="FFFFFF"/>
            <w:vAlign w:val="center"/>
          </w:tcPr>
          <w:p w14:paraId="3637D6AC">
            <w:pPr>
              <w:adjustRightInd w:val="0"/>
              <w:snapToGrid w:val="0"/>
              <w:spacing w:line="240" w:lineRule="auto"/>
              <w:ind w:firstLine="0" w:firstLineChars="0"/>
              <w:jc w:val="both"/>
              <w:rPr>
                <w:rFonts w:hint="default" w:ascii="Times New Roman" w:hAnsi="Times New Roman" w:cs="Times New Roman" w:eastAsiaTheme="minorEastAsia"/>
                <w:color w:val="auto"/>
                <w:sz w:val="21"/>
                <w:szCs w:val="21"/>
                <w:highlight w:val="none"/>
                <w:lang w:val="en-US" w:eastAsia="zh-CN"/>
              </w:rPr>
            </w:pPr>
          </w:p>
        </w:tc>
      </w:tr>
    </w:tbl>
    <w:p w14:paraId="112220C3">
      <w:pPr>
        <w:pStyle w:val="5"/>
        <w:adjustRightInd w:val="0"/>
        <w:snapToGrid w:val="0"/>
        <w:spacing w:line="240" w:lineRule="auto"/>
        <w:ind w:firstLine="0"/>
        <w:jc w:val="center"/>
        <w:rPr>
          <w:rFonts w:eastAsia="方正小标宋简体"/>
          <w:sz w:val="44"/>
          <w:szCs w:val="44"/>
        </w:rPr>
      </w:pPr>
    </w:p>
    <w:p w14:paraId="45E0B0FA">
      <w:pPr>
        <w:pStyle w:val="5"/>
        <w:adjustRightInd w:val="0"/>
        <w:snapToGrid w:val="0"/>
        <w:spacing w:line="240" w:lineRule="auto"/>
        <w:ind w:firstLine="0"/>
        <w:jc w:val="center"/>
        <w:rPr>
          <w:rFonts w:eastAsia="方正小标宋简体"/>
          <w:sz w:val="44"/>
          <w:szCs w:val="44"/>
        </w:rPr>
      </w:pPr>
    </w:p>
    <w:p w14:paraId="2F9183F8">
      <w:pPr>
        <w:pStyle w:val="5"/>
        <w:adjustRightInd w:val="0"/>
        <w:snapToGrid w:val="0"/>
        <w:spacing w:line="240" w:lineRule="auto"/>
        <w:ind w:firstLine="0"/>
        <w:jc w:val="center"/>
        <w:rPr>
          <w:rFonts w:eastAsia="方正小标宋简体"/>
          <w:sz w:val="44"/>
          <w:szCs w:val="44"/>
        </w:rPr>
      </w:pPr>
    </w:p>
    <w:p w14:paraId="399818DD">
      <w:pPr>
        <w:pStyle w:val="5"/>
        <w:adjustRightInd w:val="0"/>
        <w:snapToGrid w:val="0"/>
        <w:spacing w:line="240" w:lineRule="auto"/>
        <w:ind w:firstLine="0"/>
        <w:jc w:val="center"/>
        <w:rPr>
          <w:rFonts w:eastAsia="方正小标宋简体"/>
          <w:sz w:val="44"/>
          <w:szCs w:val="44"/>
        </w:rPr>
      </w:pPr>
    </w:p>
    <w:p w14:paraId="5830F624">
      <w:pPr>
        <w:pStyle w:val="5"/>
        <w:adjustRightInd w:val="0"/>
        <w:snapToGrid w:val="0"/>
        <w:spacing w:line="240" w:lineRule="auto"/>
        <w:ind w:firstLine="0"/>
        <w:jc w:val="center"/>
        <w:rPr>
          <w:rFonts w:eastAsia="方正小标宋简体"/>
          <w:sz w:val="44"/>
          <w:szCs w:val="44"/>
        </w:rPr>
      </w:pPr>
    </w:p>
    <w:p w14:paraId="32C1D125">
      <w:pPr>
        <w:pStyle w:val="5"/>
        <w:adjustRightInd w:val="0"/>
        <w:snapToGrid w:val="0"/>
        <w:spacing w:line="240" w:lineRule="auto"/>
        <w:ind w:firstLine="0"/>
        <w:jc w:val="center"/>
        <w:rPr>
          <w:rFonts w:eastAsia="方正小标宋简体"/>
          <w:sz w:val="44"/>
          <w:szCs w:val="44"/>
        </w:rPr>
      </w:pPr>
    </w:p>
    <w:p w14:paraId="594C2C47">
      <w:pPr>
        <w:pStyle w:val="5"/>
        <w:adjustRightInd w:val="0"/>
        <w:snapToGrid w:val="0"/>
        <w:spacing w:line="240" w:lineRule="auto"/>
        <w:ind w:firstLine="0"/>
        <w:jc w:val="center"/>
        <w:rPr>
          <w:rFonts w:eastAsia="方正小标宋简体"/>
          <w:sz w:val="44"/>
          <w:szCs w:val="44"/>
        </w:rPr>
      </w:pPr>
    </w:p>
    <w:p w14:paraId="4C3D8F1E">
      <w:pPr>
        <w:pStyle w:val="5"/>
        <w:adjustRightInd w:val="0"/>
        <w:snapToGrid w:val="0"/>
        <w:spacing w:line="240" w:lineRule="auto"/>
        <w:ind w:firstLine="0"/>
        <w:jc w:val="center"/>
        <w:rPr>
          <w:rFonts w:eastAsia="方正小标宋简体"/>
          <w:sz w:val="44"/>
          <w:szCs w:val="44"/>
        </w:rPr>
      </w:pPr>
    </w:p>
    <w:p w14:paraId="7F81FEC2">
      <w:pPr>
        <w:pStyle w:val="5"/>
        <w:adjustRightInd w:val="0"/>
        <w:snapToGrid w:val="0"/>
        <w:spacing w:line="240" w:lineRule="auto"/>
        <w:ind w:firstLine="0"/>
        <w:jc w:val="center"/>
        <w:rPr>
          <w:rFonts w:eastAsia="方正小标宋简体"/>
          <w:sz w:val="44"/>
          <w:szCs w:val="44"/>
        </w:rPr>
      </w:pPr>
    </w:p>
    <w:p w14:paraId="2447F0B6">
      <w:pPr>
        <w:pStyle w:val="5"/>
        <w:adjustRightInd w:val="0"/>
        <w:snapToGrid w:val="0"/>
        <w:spacing w:line="240" w:lineRule="auto"/>
        <w:ind w:firstLine="0"/>
        <w:jc w:val="center"/>
        <w:outlineLvl w:val="0"/>
        <w:rPr>
          <w:rFonts w:eastAsia="方正小标宋简体"/>
          <w:sz w:val="44"/>
          <w:szCs w:val="44"/>
          <w:highlight w:val="yellow"/>
        </w:rPr>
      </w:pPr>
      <w:bookmarkStart w:id="574" w:name="_Toc29600"/>
      <w:bookmarkStart w:id="575" w:name="_Toc20109"/>
      <w:bookmarkStart w:id="576" w:name="_Toc4488"/>
      <w:bookmarkStart w:id="577" w:name="_Toc2290"/>
      <w:bookmarkStart w:id="578" w:name="_Toc13568"/>
      <w:r>
        <w:rPr>
          <w:rFonts w:hint="eastAsia" w:eastAsia="方正小标宋简体"/>
          <w:sz w:val="44"/>
          <w:szCs w:val="44"/>
          <w:highlight w:val="none"/>
        </w:rPr>
        <w:t>中国石油四川石油管理局西南油气田分公司</w:t>
      </w:r>
      <w:bookmarkEnd w:id="574"/>
      <w:bookmarkEnd w:id="575"/>
      <w:bookmarkEnd w:id="576"/>
      <w:bookmarkEnd w:id="577"/>
      <w:bookmarkEnd w:id="578"/>
      <w:r>
        <w:rPr>
          <w:rFonts w:hint="eastAsia" w:eastAsia="方正小标宋简体"/>
          <w:sz w:val="44"/>
          <w:szCs w:val="44"/>
          <w:highlight w:val="none"/>
        </w:rPr>
        <w:t xml:space="preserve"> </w:t>
      </w:r>
    </w:p>
    <w:p w14:paraId="0F2FC986">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4"/>
        <w:gridCol w:w="408"/>
        <w:gridCol w:w="304"/>
        <w:gridCol w:w="1216"/>
        <w:gridCol w:w="1456"/>
        <w:gridCol w:w="165"/>
        <w:gridCol w:w="1473"/>
        <w:gridCol w:w="1935"/>
      </w:tblGrid>
      <w:tr w14:paraId="3397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11820C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单位性质</w:t>
            </w:r>
          </w:p>
        </w:tc>
        <w:tc>
          <w:tcPr>
            <w:tcW w:w="1902" w:type="dxa"/>
            <w:gridSpan w:val="2"/>
            <w:shd w:val="clear" w:color="000000" w:fill="FFFFFF"/>
            <w:noWrap/>
            <w:vAlign w:val="center"/>
          </w:tcPr>
          <w:p w14:paraId="54FCB05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eastAsiaTheme="minorEastAsia"/>
                <w:sz w:val="21"/>
                <w:szCs w:val="21"/>
              </w:rPr>
              <w:t>国有企业</w:t>
            </w:r>
          </w:p>
        </w:tc>
        <w:tc>
          <w:tcPr>
            <w:tcW w:w="1520" w:type="dxa"/>
            <w:gridSpan w:val="2"/>
            <w:shd w:val="clear" w:color="auto" w:fill="E7E6E6" w:themeFill="background2"/>
            <w:noWrap/>
            <w:vAlign w:val="center"/>
          </w:tcPr>
          <w:p w14:paraId="3C8E3E8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设站单位类型</w:t>
            </w:r>
          </w:p>
        </w:tc>
        <w:tc>
          <w:tcPr>
            <w:tcW w:w="1456" w:type="dxa"/>
            <w:shd w:val="clear" w:color="000000" w:fill="FFFFFF"/>
            <w:noWrap/>
            <w:vAlign w:val="center"/>
          </w:tcPr>
          <w:p w14:paraId="3825F00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Theme="minorEastAsia"/>
                <w:sz w:val="21"/>
                <w:szCs w:val="21"/>
                <w:lang w:eastAsia="zh-CN"/>
              </w:rPr>
            </w:pPr>
            <w:r>
              <w:rPr>
                <w:rFonts w:hint="eastAsia" w:eastAsiaTheme="minorEastAsia"/>
                <w:sz w:val="21"/>
                <w:szCs w:val="21"/>
                <w:lang w:val="en-US" w:eastAsia="zh-CN"/>
              </w:rPr>
              <w:t>工作站</w:t>
            </w:r>
          </w:p>
        </w:tc>
        <w:tc>
          <w:tcPr>
            <w:tcW w:w="1638" w:type="dxa"/>
            <w:gridSpan w:val="2"/>
            <w:shd w:val="clear" w:color="auto" w:fill="E7E6E6" w:themeFill="background2"/>
            <w:noWrap/>
            <w:vAlign w:val="center"/>
          </w:tcPr>
          <w:p w14:paraId="5FE0E5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单位所在城市</w:t>
            </w:r>
          </w:p>
        </w:tc>
        <w:tc>
          <w:tcPr>
            <w:tcW w:w="1935" w:type="dxa"/>
            <w:shd w:val="clear" w:color="000000" w:fill="FFFFFF"/>
            <w:noWrap/>
            <w:vAlign w:val="center"/>
          </w:tcPr>
          <w:p w14:paraId="68FC5BB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成都</w:t>
            </w:r>
          </w:p>
        </w:tc>
      </w:tr>
      <w:tr w14:paraId="28CB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552E984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通讯地址</w:t>
            </w:r>
          </w:p>
        </w:tc>
        <w:tc>
          <w:tcPr>
            <w:tcW w:w="8451" w:type="dxa"/>
            <w:gridSpan w:val="8"/>
            <w:shd w:val="clear" w:color="000000" w:fill="FFFFFF"/>
            <w:noWrap/>
            <w:vAlign w:val="center"/>
          </w:tcPr>
          <w:p w14:paraId="3F5DA86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cs="Times New Roman" w:eastAsiaTheme="minorEastAsia"/>
                <w:sz w:val="21"/>
                <w:szCs w:val="21"/>
                <w:lang w:val="en-US" w:eastAsia="zh-CN"/>
              </w:rPr>
              <w:t>四川省</w:t>
            </w:r>
            <w:r>
              <w:rPr>
                <w:rFonts w:hint="eastAsia" w:ascii="Times New Roman" w:hAnsi="Times New Roman" w:cs="Times New Roman" w:eastAsiaTheme="minorEastAsia"/>
                <w:sz w:val="21"/>
                <w:szCs w:val="21"/>
                <w:lang w:val="en-US" w:eastAsia="zh-CN"/>
              </w:rPr>
              <w:t>成都市成华区府青路一段三号</w:t>
            </w:r>
          </w:p>
        </w:tc>
      </w:tr>
      <w:tr w14:paraId="06D0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1300" w:type="dxa"/>
            <w:shd w:val="clear" w:color="auto" w:fill="E7E6E6" w:themeFill="background2"/>
            <w:noWrap/>
            <w:vAlign w:val="center"/>
          </w:tcPr>
          <w:p w14:paraId="491928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14:paraId="2BD14A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default" w:ascii="Times New Roman" w:hAnsi="Times New Roman" w:cs="Times New Roman" w:eastAsiaTheme="minorEastAsia"/>
                <w:sz w:val="21"/>
                <w:szCs w:val="21"/>
              </w:rPr>
              <w:t>中国石油西南油气田分公司由原四川石油管理局在1999年重组改制成立，是我国西南地区最大的天然气生产和供应企业，所属二级单位44个，合同化员工近3万人，资产总额约1600亿元，年经营收入约700亿元，主要负责四川盆地的油气勘探开发、天然气输配、储气库以及川渝地区的天然气销售和终端业务。2023年，公司天然气产量突破420亿立方米，油气当量达到3361万吨，跃居集团公司上游板块第三位，持续巩固全国第二大天然气田地位。</w:t>
            </w:r>
          </w:p>
        </w:tc>
      </w:tr>
      <w:tr w14:paraId="3CCF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1300" w:type="dxa"/>
            <w:shd w:val="clear" w:color="auto" w:fill="E7E6E6" w:themeFill="background2"/>
            <w:noWrap/>
            <w:vAlign w:val="center"/>
          </w:tcPr>
          <w:p w14:paraId="341912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14:paraId="3074DB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1.博士后研究人员进站后与分公司签订工作协议，工作期限两年，一般不超过三年；</w:t>
            </w:r>
          </w:p>
          <w:p w14:paraId="18D07BF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2.分公司为博士后研究人员提供科研项目经费，并配备必要的办公设备和器材；</w:t>
            </w:r>
          </w:p>
          <w:p w14:paraId="602C2A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3.博士后研究人员进站后薪资待遇按照国家有关标准和中国石油相关管理规定执行；</w:t>
            </w:r>
          </w:p>
          <w:p w14:paraId="16D660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4.在站期间分公司为博士后研究人员提供住宿</w:t>
            </w:r>
            <w:r>
              <w:rPr>
                <w:rFonts w:hint="eastAsia" w:eastAsiaTheme="minorEastAsia"/>
                <w:sz w:val="21"/>
                <w:szCs w:val="21"/>
                <w:lang w:eastAsia="zh-CN"/>
              </w:rPr>
              <w:t>。</w:t>
            </w:r>
          </w:p>
        </w:tc>
      </w:tr>
      <w:tr w14:paraId="7F5F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94" w:type="dxa"/>
            <w:gridSpan w:val="2"/>
            <w:shd w:val="clear" w:color="auto" w:fill="E7E6E6" w:themeFill="background2"/>
            <w:noWrap/>
            <w:vAlign w:val="center"/>
          </w:tcPr>
          <w:p w14:paraId="272922B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14:paraId="3075ED4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14:paraId="0602BC7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gridSpan w:val="2"/>
            <w:shd w:val="clear" w:color="auto" w:fill="E7E6E6" w:themeFill="background2"/>
            <w:vAlign w:val="center"/>
          </w:tcPr>
          <w:p w14:paraId="499B6E8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F0CB48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73" w:type="dxa"/>
            <w:shd w:val="clear" w:color="auto" w:fill="E7E6E6" w:themeFill="background2"/>
            <w:vAlign w:val="center"/>
          </w:tcPr>
          <w:p w14:paraId="09E9E0A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CE43DF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35" w:type="dxa"/>
            <w:shd w:val="clear" w:color="auto" w:fill="E7E6E6" w:themeFill="background2"/>
            <w:vAlign w:val="center"/>
          </w:tcPr>
          <w:p w14:paraId="16E517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EAFCBB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572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794" w:type="dxa"/>
            <w:gridSpan w:val="2"/>
            <w:shd w:val="clear" w:color="000000" w:fill="FFFFFF"/>
            <w:noWrap/>
            <w:vAlign w:val="center"/>
          </w:tcPr>
          <w:p w14:paraId="2DA061C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深层-超深层弱云化储层形成机制及分布规律研究</w:t>
            </w:r>
          </w:p>
          <w:p w14:paraId="569C3A7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深层-超深层碳酸盐岩油气成藏机理研究</w:t>
            </w:r>
          </w:p>
          <w:p w14:paraId="7E544EC2">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深层页岩地层可压性评价及其矿场应用</w:t>
            </w:r>
          </w:p>
        </w:tc>
        <w:tc>
          <w:tcPr>
            <w:tcW w:w="712" w:type="dxa"/>
            <w:gridSpan w:val="2"/>
            <w:shd w:val="clear" w:color="000000" w:fill="FFFFFF"/>
            <w:vAlign w:val="center"/>
          </w:tcPr>
          <w:p w14:paraId="18C4650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216" w:type="dxa"/>
            <w:shd w:val="clear" w:color="000000" w:fill="FFFFFF"/>
            <w:vAlign w:val="center"/>
          </w:tcPr>
          <w:p w14:paraId="3F89145E">
            <w:pPr>
              <w:adjustRightInd w:val="0"/>
              <w:snapToGrid w:val="0"/>
              <w:spacing w:line="400" w:lineRule="exact"/>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1" w:type="dxa"/>
            <w:gridSpan w:val="2"/>
            <w:shd w:val="clear" w:color="000000" w:fill="FFFFFF"/>
            <w:vAlign w:val="center"/>
          </w:tcPr>
          <w:p w14:paraId="45C6D0C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地质学</w:t>
            </w:r>
          </w:p>
        </w:tc>
        <w:tc>
          <w:tcPr>
            <w:tcW w:w="1473" w:type="dxa"/>
            <w:shd w:val="clear" w:color="000000" w:fill="FFFFFF"/>
            <w:vAlign w:val="center"/>
          </w:tcPr>
          <w:p w14:paraId="4A37F89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120</w:t>
            </w:r>
          </w:p>
        </w:tc>
        <w:tc>
          <w:tcPr>
            <w:tcW w:w="1935" w:type="dxa"/>
            <w:shd w:val="clear" w:color="000000" w:fill="FFFFFF"/>
            <w:vAlign w:val="center"/>
          </w:tcPr>
          <w:p w14:paraId="4387E42B">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全脱产博士后</w:t>
            </w:r>
          </w:p>
          <w:p w14:paraId="53FB30B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985或211高校或一流专业优先</w:t>
            </w:r>
          </w:p>
        </w:tc>
      </w:tr>
      <w:tr w14:paraId="73D9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2794" w:type="dxa"/>
            <w:gridSpan w:val="2"/>
            <w:shd w:val="clear" w:color="000000" w:fill="FFFFFF"/>
            <w:noWrap/>
            <w:vAlign w:val="center"/>
          </w:tcPr>
          <w:p w14:paraId="5E5A4D40">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复杂地质特征页岩压裂裂缝扩展影响及压裂优化研究</w:t>
            </w:r>
          </w:p>
        </w:tc>
        <w:tc>
          <w:tcPr>
            <w:tcW w:w="712" w:type="dxa"/>
            <w:gridSpan w:val="2"/>
            <w:shd w:val="clear" w:color="000000" w:fill="FFFFFF"/>
            <w:vAlign w:val="center"/>
          </w:tcPr>
          <w:p w14:paraId="67990EF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216" w:type="dxa"/>
            <w:shd w:val="clear" w:color="000000" w:fill="FFFFFF"/>
            <w:vAlign w:val="center"/>
          </w:tcPr>
          <w:p w14:paraId="6D17C21F">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lang w:val="en-US" w:eastAsia="zh-CN"/>
              </w:rPr>
              <w:t>BSH002</w:t>
            </w:r>
          </w:p>
        </w:tc>
        <w:tc>
          <w:tcPr>
            <w:tcW w:w="1621" w:type="dxa"/>
            <w:gridSpan w:val="2"/>
            <w:shd w:val="clear" w:color="000000" w:fill="FFFFFF"/>
            <w:vAlign w:val="center"/>
          </w:tcPr>
          <w:p w14:paraId="1D28B1F3">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地质资源与地质工程</w:t>
            </w:r>
          </w:p>
        </w:tc>
        <w:tc>
          <w:tcPr>
            <w:tcW w:w="1473" w:type="dxa"/>
            <w:shd w:val="clear" w:color="000000" w:fill="FFFFFF"/>
            <w:vAlign w:val="center"/>
          </w:tcPr>
          <w:p w14:paraId="6085136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80</w:t>
            </w:r>
          </w:p>
        </w:tc>
        <w:tc>
          <w:tcPr>
            <w:tcW w:w="1935" w:type="dxa"/>
            <w:shd w:val="clear" w:color="000000" w:fill="FFFFFF"/>
            <w:vAlign w:val="center"/>
          </w:tcPr>
          <w:p w14:paraId="7A5DC00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具备页岩储层压裂改造相关实践经历及现场实施经验</w:t>
            </w:r>
          </w:p>
        </w:tc>
      </w:tr>
      <w:tr w14:paraId="7790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94" w:type="dxa"/>
            <w:gridSpan w:val="2"/>
            <w:shd w:val="clear" w:color="auto" w:fill="E7E6E6" w:themeFill="background2"/>
            <w:noWrap/>
            <w:vAlign w:val="center"/>
          </w:tcPr>
          <w:p w14:paraId="52D4BD55">
            <w:pPr>
              <w:adjustRightInd w:val="0"/>
              <w:snapToGrid w:val="0"/>
              <w:spacing w:line="240" w:lineRule="auto"/>
              <w:ind w:firstLine="0" w:firstLineChars="0"/>
              <w:jc w:val="center"/>
              <w:rPr>
                <w:rFonts w:hint="default" w:ascii="Times New Roman" w:hAnsi="Times New Roman" w:cs="Times New Roman" w:eastAsiaTheme="minorEastAsia"/>
                <w:i w:val="0"/>
                <w:iCs w:val="0"/>
                <w:color w:val="000000"/>
                <w:kern w:val="0"/>
                <w:sz w:val="21"/>
                <w:szCs w:val="21"/>
                <w:u w:val="none"/>
                <w:lang w:val="en-US" w:eastAsia="zh-CN" w:bidi="ar"/>
              </w:rPr>
            </w:pPr>
            <w:r>
              <w:rPr>
                <w:rFonts w:eastAsiaTheme="minorEastAsia"/>
                <w:b/>
                <w:bCs/>
                <w:sz w:val="21"/>
                <w:szCs w:val="21"/>
              </w:rPr>
              <w:t>项目名称</w:t>
            </w:r>
          </w:p>
        </w:tc>
        <w:tc>
          <w:tcPr>
            <w:tcW w:w="712" w:type="dxa"/>
            <w:gridSpan w:val="2"/>
            <w:shd w:val="clear" w:color="auto" w:fill="E7E6E6" w:themeFill="background2"/>
            <w:vAlign w:val="center"/>
          </w:tcPr>
          <w:p w14:paraId="0B1FE7D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需求人数</w:t>
            </w:r>
          </w:p>
        </w:tc>
        <w:tc>
          <w:tcPr>
            <w:tcW w:w="1216" w:type="dxa"/>
            <w:shd w:val="clear" w:color="auto" w:fill="E7E6E6" w:themeFill="background2"/>
            <w:vAlign w:val="center"/>
          </w:tcPr>
          <w:p w14:paraId="1C0DDF3E">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eastAsiaTheme="minorEastAsia"/>
                <w:b/>
                <w:bCs/>
                <w:sz w:val="21"/>
                <w:szCs w:val="21"/>
              </w:rPr>
              <w:t>岗位编号</w:t>
            </w:r>
          </w:p>
        </w:tc>
        <w:tc>
          <w:tcPr>
            <w:tcW w:w="1621" w:type="dxa"/>
            <w:gridSpan w:val="2"/>
            <w:shd w:val="clear" w:color="auto" w:fill="E7E6E6" w:themeFill="background2"/>
            <w:vAlign w:val="center"/>
          </w:tcPr>
          <w:p w14:paraId="27AC24A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C9FE8BA">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473" w:type="dxa"/>
            <w:shd w:val="clear" w:color="auto" w:fill="E7E6E6" w:themeFill="background2"/>
            <w:vAlign w:val="center"/>
          </w:tcPr>
          <w:p w14:paraId="7567577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6C4160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35" w:type="dxa"/>
            <w:shd w:val="clear" w:color="auto" w:fill="E7E6E6" w:themeFill="background2"/>
            <w:vAlign w:val="center"/>
          </w:tcPr>
          <w:p w14:paraId="15AB031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3D8032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等要求</w:t>
            </w:r>
          </w:p>
        </w:tc>
      </w:tr>
      <w:tr w14:paraId="79D4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794" w:type="dxa"/>
            <w:gridSpan w:val="2"/>
            <w:shd w:val="clear" w:color="000000" w:fill="FFFFFF"/>
            <w:noWrap/>
            <w:vAlign w:val="center"/>
          </w:tcPr>
          <w:p w14:paraId="683E9077">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气水两相多尺度渗流</w:t>
            </w:r>
          </w:p>
          <w:p w14:paraId="2304130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气液两相流测量方法开发</w:t>
            </w:r>
          </w:p>
          <w:p w14:paraId="0941BDF8">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iCs w:val="0"/>
                <w:color w:val="000000"/>
                <w:kern w:val="0"/>
                <w:sz w:val="21"/>
                <w:szCs w:val="21"/>
                <w:u w:val="none"/>
                <w:lang w:val="en-US" w:eastAsia="zh-CN" w:bidi="ar"/>
              </w:rPr>
              <w:t>超深层气井抗超高温固井水泥浆体系研究</w:t>
            </w:r>
          </w:p>
        </w:tc>
        <w:tc>
          <w:tcPr>
            <w:tcW w:w="712" w:type="dxa"/>
            <w:gridSpan w:val="2"/>
            <w:shd w:val="clear" w:color="000000" w:fill="FFFFFF"/>
            <w:vAlign w:val="center"/>
          </w:tcPr>
          <w:p w14:paraId="06B9E4A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216" w:type="dxa"/>
            <w:shd w:val="clear" w:color="000000" w:fill="FFFFFF"/>
            <w:vAlign w:val="center"/>
          </w:tcPr>
          <w:p w14:paraId="5464814E">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621" w:type="dxa"/>
            <w:gridSpan w:val="2"/>
            <w:shd w:val="clear" w:color="000000" w:fill="FFFFFF"/>
            <w:vAlign w:val="center"/>
          </w:tcPr>
          <w:p w14:paraId="78452A9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石油与天然气工程</w:t>
            </w:r>
          </w:p>
        </w:tc>
        <w:tc>
          <w:tcPr>
            <w:tcW w:w="1473" w:type="dxa"/>
            <w:shd w:val="clear" w:color="000000" w:fill="FFFFFF"/>
            <w:vAlign w:val="center"/>
          </w:tcPr>
          <w:p w14:paraId="3FB9C26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120</w:t>
            </w:r>
          </w:p>
        </w:tc>
        <w:tc>
          <w:tcPr>
            <w:tcW w:w="1935" w:type="dxa"/>
            <w:shd w:val="clear" w:color="000000" w:fill="FFFFFF"/>
            <w:vAlign w:val="center"/>
          </w:tcPr>
          <w:p w14:paraId="09ADAF2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全脱产博士后</w:t>
            </w:r>
          </w:p>
        </w:tc>
      </w:tr>
      <w:tr w14:paraId="04BD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794" w:type="dxa"/>
            <w:gridSpan w:val="2"/>
            <w:shd w:val="clear" w:color="auto" w:fill="FFFFFF"/>
            <w:noWrap/>
            <w:vAlign w:val="center"/>
          </w:tcPr>
          <w:p w14:paraId="2CC69D4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超临界二氧化碳驱材料腐蚀控制关键技术研究</w:t>
            </w:r>
          </w:p>
          <w:p w14:paraId="0E48EBA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页岩油气开发腐蚀控制关键技术研发</w:t>
            </w:r>
          </w:p>
        </w:tc>
        <w:tc>
          <w:tcPr>
            <w:tcW w:w="712" w:type="dxa"/>
            <w:gridSpan w:val="2"/>
            <w:shd w:val="clear" w:color="auto" w:fill="FFFFFF"/>
            <w:vAlign w:val="center"/>
          </w:tcPr>
          <w:p w14:paraId="2A0C55D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216" w:type="dxa"/>
            <w:shd w:val="clear" w:color="auto" w:fill="FFFFFF"/>
            <w:vAlign w:val="center"/>
          </w:tcPr>
          <w:p w14:paraId="5735D9EE">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621" w:type="dxa"/>
            <w:gridSpan w:val="2"/>
            <w:shd w:val="clear" w:color="auto" w:fill="FFFFFF"/>
            <w:vAlign w:val="center"/>
          </w:tcPr>
          <w:p w14:paraId="7F976FA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材料科学与工程</w:t>
            </w:r>
          </w:p>
        </w:tc>
        <w:tc>
          <w:tcPr>
            <w:tcW w:w="1473" w:type="dxa"/>
            <w:shd w:val="clear" w:color="auto" w:fill="FFFFFF"/>
            <w:vAlign w:val="center"/>
          </w:tcPr>
          <w:p w14:paraId="0960DB7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80</w:t>
            </w:r>
          </w:p>
        </w:tc>
        <w:tc>
          <w:tcPr>
            <w:tcW w:w="1935" w:type="dxa"/>
            <w:shd w:val="clear" w:color="auto" w:fill="FFFFFF"/>
            <w:vAlign w:val="center"/>
          </w:tcPr>
          <w:p w14:paraId="3FFAFDB0">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全脱产博士后</w:t>
            </w:r>
          </w:p>
          <w:p w14:paraId="17B92C6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985或211高校或一流专业优先</w:t>
            </w:r>
          </w:p>
        </w:tc>
      </w:tr>
      <w:tr w14:paraId="3C02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794" w:type="dxa"/>
            <w:gridSpan w:val="2"/>
            <w:shd w:val="clear" w:color="auto" w:fill="FFFFFF"/>
            <w:noWrap/>
            <w:vAlign w:val="center"/>
          </w:tcPr>
          <w:p w14:paraId="4CA4332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二氧化碳化工利用技术及应用研究</w:t>
            </w:r>
          </w:p>
          <w:p w14:paraId="770305A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天然气制备高值碳材料及碳材料高值化利用技术研究</w:t>
            </w:r>
          </w:p>
        </w:tc>
        <w:tc>
          <w:tcPr>
            <w:tcW w:w="712" w:type="dxa"/>
            <w:gridSpan w:val="2"/>
            <w:shd w:val="clear" w:color="auto" w:fill="FFFFFF"/>
            <w:vAlign w:val="center"/>
          </w:tcPr>
          <w:p w14:paraId="2BA6C2E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216" w:type="dxa"/>
            <w:shd w:val="clear" w:color="auto" w:fill="FFFFFF"/>
            <w:vAlign w:val="center"/>
          </w:tcPr>
          <w:p w14:paraId="544B814E">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621" w:type="dxa"/>
            <w:gridSpan w:val="2"/>
            <w:shd w:val="clear" w:color="auto" w:fill="FFFFFF"/>
            <w:vAlign w:val="center"/>
          </w:tcPr>
          <w:p w14:paraId="0FAB6A9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化学</w:t>
            </w:r>
          </w:p>
        </w:tc>
        <w:tc>
          <w:tcPr>
            <w:tcW w:w="1473" w:type="dxa"/>
            <w:shd w:val="clear" w:color="auto" w:fill="FFFFFF"/>
            <w:vAlign w:val="center"/>
          </w:tcPr>
          <w:p w14:paraId="6CF533D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40</w:t>
            </w:r>
          </w:p>
        </w:tc>
        <w:tc>
          <w:tcPr>
            <w:tcW w:w="1935" w:type="dxa"/>
            <w:shd w:val="clear" w:color="auto" w:fill="FFFFFF"/>
            <w:vAlign w:val="center"/>
          </w:tcPr>
          <w:p w14:paraId="7CAB719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全脱产博士后</w:t>
            </w:r>
          </w:p>
        </w:tc>
      </w:tr>
      <w:tr w14:paraId="31A8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794" w:type="dxa"/>
            <w:gridSpan w:val="2"/>
            <w:shd w:val="clear" w:color="auto" w:fill="FFFFFF"/>
            <w:noWrap/>
            <w:vAlign w:val="center"/>
          </w:tcPr>
          <w:p w14:paraId="0ADFDCF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安全科学与工程</w:t>
            </w:r>
          </w:p>
          <w:p w14:paraId="212C1FC4">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信息与计算科学</w:t>
            </w:r>
          </w:p>
          <w:p w14:paraId="06AC3325">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土木工程</w:t>
            </w:r>
          </w:p>
        </w:tc>
        <w:tc>
          <w:tcPr>
            <w:tcW w:w="712" w:type="dxa"/>
            <w:gridSpan w:val="2"/>
            <w:shd w:val="clear" w:color="auto" w:fill="FFFFFF"/>
            <w:vAlign w:val="center"/>
          </w:tcPr>
          <w:p w14:paraId="02A1FA4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216" w:type="dxa"/>
            <w:shd w:val="clear" w:color="auto" w:fill="FFFFFF"/>
            <w:vAlign w:val="center"/>
          </w:tcPr>
          <w:p w14:paraId="67367408">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w:t>
            </w:r>
            <w:r>
              <w:rPr>
                <w:rFonts w:hint="default" w:ascii="Times New Roman" w:hAnsi="Times New Roman" w:cs="Times New Roman" w:eastAsiaTheme="minorEastAsia"/>
                <w:kern w:val="0"/>
                <w:sz w:val="21"/>
                <w:szCs w:val="21"/>
                <w:lang w:val="en-US" w:eastAsia="zh-CN"/>
              </w:rPr>
              <w:t>06</w:t>
            </w:r>
          </w:p>
        </w:tc>
        <w:tc>
          <w:tcPr>
            <w:tcW w:w="1621" w:type="dxa"/>
            <w:gridSpan w:val="2"/>
            <w:shd w:val="clear" w:color="auto" w:fill="FFFFFF"/>
            <w:vAlign w:val="center"/>
          </w:tcPr>
          <w:p w14:paraId="144395D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计算机科学与技术</w:t>
            </w:r>
          </w:p>
        </w:tc>
        <w:tc>
          <w:tcPr>
            <w:tcW w:w="1473" w:type="dxa"/>
            <w:shd w:val="clear" w:color="auto" w:fill="FFFFFF"/>
            <w:vAlign w:val="center"/>
          </w:tcPr>
          <w:p w14:paraId="49D93A44">
            <w:pPr>
              <w:tabs>
                <w:tab w:val="left" w:pos="431"/>
                <w:tab w:val="center" w:pos="677"/>
              </w:tabs>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80</w:t>
            </w:r>
          </w:p>
        </w:tc>
        <w:tc>
          <w:tcPr>
            <w:tcW w:w="1935" w:type="dxa"/>
            <w:shd w:val="clear" w:color="auto" w:fill="FFFFFF"/>
            <w:vAlign w:val="center"/>
          </w:tcPr>
          <w:p w14:paraId="128E970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全脱产博士后</w:t>
            </w:r>
          </w:p>
        </w:tc>
      </w:tr>
      <w:tr w14:paraId="7411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794" w:type="dxa"/>
            <w:gridSpan w:val="2"/>
            <w:shd w:val="clear" w:color="auto" w:fill="FFFFFF"/>
            <w:noWrap/>
            <w:vAlign w:val="center"/>
          </w:tcPr>
          <w:p w14:paraId="1012BA70">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井筒-气藏全生命周期能量耦合利用技术研究</w:t>
            </w:r>
          </w:p>
        </w:tc>
        <w:tc>
          <w:tcPr>
            <w:tcW w:w="712" w:type="dxa"/>
            <w:gridSpan w:val="2"/>
            <w:shd w:val="clear" w:color="auto" w:fill="FFFFFF"/>
            <w:vAlign w:val="center"/>
          </w:tcPr>
          <w:p w14:paraId="0622898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216" w:type="dxa"/>
            <w:shd w:val="clear" w:color="auto" w:fill="FFFFFF"/>
            <w:vAlign w:val="center"/>
          </w:tcPr>
          <w:p w14:paraId="493A72E9">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7</w:t>
            </w:r>
          </w:p>
        </w:tc>
        <w:tc>
          <w:tcPr>
            <w:tcW w:w="1621" w:type="dxa"/>
            <w:gridSpan w:val="2"/>
            <w:shd w:val="clear" w:color="auto" w:fill="FFFFFF"/>
            <w:vAlign w:val="center"/>
          </w:tcPr>
          <w:p w14:paraId="0F21833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力学</w:t>
            </w:r>
          </w:p>
        </w:tc>
        <w:tc>
          <w:tcPr>
            <w:tcW w:w="1473" w:type="dxa"/>
            <w:shd w:val="clear" w:color="auto" w:fill="FFFFFF"/>
            <w:vAlign w:val="center"/>
          </w:tcPr>
          <w:p w14:paraId="2740379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80</w:t>
            </w:r>
          </w:p>
        </w:tc>
        <w:tc>
          <w:tcPr>
            <w:tcW w:w="1935" w:type="dxa"/>
            <w:shd w:val="clear" w:color="auto" w:fill="FFFFFF"/>
            <w:vAlign w:val="center"/>
          </w:tcPr>
          <w:p w14:paraId="0BFE80B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全脱产博士后</w:t>
            </w:r>
          </w:p>
        </w:tc>
      </w:tr>
      <w:tr w14:paraId="6752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794" w:type="dxa"/>
            <w:gridSpan w:val="2"/>
            <w:shd w:val="clear" w:color="auto" w:fill="FFFFFF"/>
            <w:noWrap/>
            <w:vAlign w:val="center"/>
          </w:tcPr>
          <w:p w14:paraId="5292FE31">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油气田地面工程仪器仪表失效数据处理、分析与计算及失效数据库构建自控系统评价技术体系研究</w:t>
            </w:r>
          </w:p>
        </w:tc>
        <w:tc>
          <w:tcPr>
            <w:tcW w:w="712" w:type="dxa"/>
            <w:gridSpan w:val="2"/>
            <w:shd w:val="clear" w:color="auto" w:fill="FFFFFF"/>
            <w:vAlign w:val="center"/>
          </w:tcPr>
          <w:p w14:paraId="3EA2020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216" w:type="dxa"/>
            <w:shd w:val="clear" w:color="auto" w:fill="FFFFFF"/>
            <w:vAlign w:val="center"/>
          </w:tcPr>
          <w:p w14:paraId="06782044">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8</w:t>
            </w:r>
          </w:p>
        </w:tc>
        <w:tc>
          <w:tcPr>
            <w:tcW w:w="1621" w:type="dxa"/>
            <w:gridSpan w:val="2"/>
            <w:shd w:val="clear" w:color="auto" w:fill="FFFFFF"/>
            <w:vAlign w:val="center"/>
          </w:tcPr>
          <w:p w14:paraId="0121E41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机械工程</w:t>
            </w:r>
          </w:p>
        </w:tc>
        <w:tc>
          <w:tcPr>
            <w:tcW w:w="1473" w:type="dxa"/>
            <w:shd w:val="clear" w:color="auto" w:fill="FFFFFF"/>
            <w:vAlign w:val="center"/>
          </w:tcPr>
          <w:p w14:paraId="58F07AE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40</w:t>
            </w:r>
          </w:p>
        </w:tc>
        <w:tc>
          <w:tcPr>
            <w:tcW w:w="1935" w:type="dxa"/>
            <w:shd w:val="clear" w:color="auto" w:fill="FFFFFF"/>
            <w:vAlign w:val="center"/>
          </w:tcPr>
          <w:p w14:paraId="1F2F836B">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全脱产博士后</w:t>
            </w:r>
          </w:p>
          <w:p w14:paraId="7E61A3D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熟读自动化专业外文文献资料</w:t>
            </w:r>
          </w:p>
          <w:p w14:paraId="0425578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跨文化沟通和交流</w:t>
            </w:r>
          </w:p>
        </w:tc>
      </w:tr>
      <w:tr w14:paraId="08E9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794" w:type="dxa"/>
            <w:gridSpan w:val="2"/>
            <w:shd w:val="clear" w:color="auto" w:fill="FFFFFF"/>
            <w:noWrap/>
            <w:vAlign w:val="center"/>
          </w:tcPr>
          <w:p w14:paraId="78C76A37">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能源大数据与人工智能</w:t>
            </w:r>
          </w:p>
          <w:p w14:paraId="04C7F48B">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新能源与天然气融合发展</w:t>
            </w:r>
          </w:p>
          <w:p w14:paraId="675CBA5A">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能源经济、图书情报</w:t>
            </w:r>
          </w:p>
        </w:tc>
        <w:tc>
          <w:tcPr>
            <w:tcW w:w="712" w:type="dxa"/>
            <w:gridSpan w:val="2"/>
            <w:shd w:val="clear" w:color="auto" w:fill="FFFFFF"/>
            <w:vAlign w:val="center"/>
          </w:tcPr>
          <w:p w14:paraId="1F75ACA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216" w:type="dxa"/>
            <w:shd w:val="clear" w:color="auto" w:fill="FFFFFF"/>
            <w:vAlign w:val="center"/>
          </w:tcPr>
          <w:p w14:paraId="0E57D52F">
            <w:pPr>
              <w:adjustRightInd w:val="0"/>
              <w:snapToGrid w:val="0"/>
              <w:spacing w:line="400" w:lineRule="exact"/>
              <w:ind w:left="0" w:leftChars="0"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9</w:t>
            </w:r>
          </w:p>
        </w:tc>
        <w:tc>
          <w:tcPr>
            <w:tcW w:w="1621" w:type="dxa"/>
            <w:gridSpan w:val="2"/>
            <w:shd w:val="clear" w:color="auto" w:fill="FFFFFF"/>
            <w:vAlign w:val="center"/>
          </w:tcPr>
          <w:p w14:paraId="02D10E3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图书情报与档案管理</w:t>
            </w:r>
          </w:p>
        </w:tc>
        <w:tc>
          <w:tcPr>
            <w:tcW w:w="1473" w:type="dxa"/>
            <w:shd w:val="clear" w:color="auto" w:fill="FFFFFF"/>
            <w:vAlign w:val="center"/>
          </w:tcPr>
          <w:p w14:paraId="2034559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40</w:t>
            </w:r>
          </w:p>
        </w:tc>
        <w:tc>
          <w:tcPr>
            <w:tcW w:w="1935" w:type="dxa"/>
            <w:shd w:val="clear" w:color="auto" w:fill="FFFFFF"/>
            <w:vAlign w:val="center"/>
          </w:tcPr>
          <w:p w14:paraId="73B26AF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全脱产博士后</w:t>
            </w:r>
          </w:p>
        </w:tc>
      </w:tr>
    </w:tbl>
    <w:p w14:paraId="03FABA0E">
      <w:pPr>
        <w:pStyle w:val="5"/>
        <w:adjustRightInd w:val="0"/>
        <w:snapToGrid w:val="0"/>
        <w:spacing w:line="240" w:lineRule="auto"/>
        <w:ind w:firstLine="0"/>
        <w:jc w:val="both"/>
        <w:rPr>
          <w:rFonts w:hint="eastAsia" w:eastAsia="方正小标宋简体"/>
          <w:sz w:val="44"/>
          <w:szCs w:val="44"/>
          <w:highlight w:val="yellow"/>
        </w:rPr>
      </w:pPr>
    </w:p>
    <w:p w14:paraId="335014B8">
      <w:pPr>
        <w:pStyle w:val="5"/>
        <w:adjustRightInd w:val="0"/>
        <w:snapToGrid w:val="0"/>
        <w:spacing w:line="240" w:lineRule="auto"/>
        <w:ind w:firstLine="0"/>
        <w:jc w:val="center"/>
        <w:outlineLvl w:val="0"/>
        <w:rPr>
          <w:rFonts w:eastAsia="方正小标宋简体"/>
          <w:sz w:val="44"/>
          <w:szCs w:val="44"/>
          <w:highlight w:val="yellow"/>
        </w:rPr>
      </w:pPr>
      <w:bookmarkStart w:id="579" w:name="_Toc29562"/>
      <w:bookmarkStart w:id="580" w:name="_Toc5382"/>
      <w:bookmarkStart w:id="581" w:name="_Toc28219"/>
      <w:bookmarkStart w:id="582" w:name="_Toc16187"/>
      <w:bookmarkStart w:id="583" w:name="_Toc3747"/>
      <w:r>
        <w:rPr>
          <w:rFonts w:hint="eastAsia" w:eastAsia="方正小标宋简体"/>
          <w:sz w:val="44"/>
          <w:szCs w:val="44"/>
          <w:highlight w:val="none"/>
        </w:rPr>
        <w:t>中国市政工程西南设计研究总院有限公司</w:t>
      </w:r>
      <w:bookmarkEnd w:id="579"/>
      <w:bookmarkEnd w:id="580"/>
      <w:bookmarkEnd w:id="581"/>
      <w:bookmarkEnd w:id="582"/>
      <w:bookmarkEnd w:id="583"/>
    </w:p>
    <w:p w14:paraId="48D2ED40">
      <w:pPr>
        <w:adjustRightInd w:val="0"/>
        <w:snapToGrid w:val="0"/>
        <w:spacing w:line="240" w:lineRule="auto"/>
        <w:ind w:firstLine="420" w:firstLineChars="200"/>
        <w:rPr>
          <w:rFonts w:eastAsiaTheme="minorEastAsia"/>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4"/>
        <w:gridCol w:w="396"/>
        <w:gridCol w:w="316"/>
        <w:gridCol w:w="1216"/>
        <w:gridCol w:w="1696"/>
        <w:gridCol w:w="171"/>
        <w:gridCol w:w="1375"/>
        <w:gridCol w:w="1787"/>
      </w:tblGrid>
      <w:tr w14:paraId="4BC6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3BED2DE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890" w:type="dxa"/>
            <w:gridSpan w:val="2"/>
            <w:shd w:val="clear" w:color="000000" w:fill="FFFFFF"/>
            <w:noWrap/>
            <w:vAlign w:val="center"/>
          </w:tcPr>
          <w:p w14:paraId="08202E8C">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国有企业</w:t>
            </w:r>
          </w:p>
        </w:tc>
        <w:tc>
          <w:tcPr>
            <w:tcW w:w="1532" w:type="dxa"/>
            <w:gridSpan w:val="2"/>
            <w:shd w:val="clear" w:color="auto" w:fill="E7E6E6" w:themeFill="background2"/>
            <w:noWrap/>
            <w:vAlign w:val="center"/>
          </w:tcPr>
          <w:p w14:paraId="6C838DA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设站单位类型</w:t>
            </w:r>
          </w:p>
        </w:tc>
        <w:tc>
          <w:tcPr>
            <w:tcW w:w="1696" w:type="dxa"/>
            <w:shd w:val="clear" w:color="000000" w:fill="FFFFFF"/>
            <w:noWrap/>
            <w:vAlign w:val="center"/>
          </w:tcPr>
          <w:p w14:paraId="6BDB5CB5">
            <w:pPr>
              <w:adjustRightInd w:val="0"/>
              <w:snapToGrid w:val="0"/>
              <w:spacing w:line="240" w:lineRule="auto"/>
              <w:ind w:firstLine="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工作站</w:t>
            </w:r>
          </w:p>
        </w:tc>
        <w:tc>
          <w:tcPr>
            <w:tcW w:w="1546" w:type="dxa"/>
            <w:gridSpan w:val="2"/>
            <w:shd w:val="clear" w:color="auto" w:fill="E7E6E6" w:themeFill="background2"/>
            <w:noWrap/>
            <w:vAlign w:val="center"/>
          </w:tcPr>
          <w:p w14:paraId="26CBB39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单位所在城市</w:t>
            </w:r>
          </w:p>
        </w:tc>
        <w:tc>
          <w:tcPr>
            <w:tcW w:w="1787" w:type="dxa"/>
            <w:shd w:val="clear" w:color="000000" w:fill="FFFFFF"/>
            <w:noWrap/>
            <w:vAlign w:val="center"/>
          </w:tcPr>
          <w:p w14:paraId="105A7B4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74A8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0" w:type="dxa"/>
            <w:shd w:val="clear" w:color="auto" w:fill="E7E6E6" w:themeFill="background2"/>
            <w:noWrap/>
            <w:vAlign w:val="center"/>
          </w:tcPr>
          <w:p w14:paraId="20C2626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1" w:type="dxa"/>
            <w:gridSpan w:val="8"/>
            <w:shd w:val="clear" w:color="000000" w:fill="FFFFFF"/>
            <w:noWrap/>
            <w:vAlign w:val="center"/>
          </w:tcPr>
          <w:p w14:paraId="592EB4BC">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四川省成都市天府新区创意路1899号</w:t>
            </w:r>
          </w:p>
        </w:tc>
      </w:tr>
      <w:tr w14:paraId="6EAE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1" w:hRule="atLeast"/>
          <w:jc w:val="center"/>
        </w:trPr>
        <w:tc>
          <w:tcPr>
            <w:tcW w:w="1300" w:type="dxa"/>
            <w:shd w:val="clear" w:color="auto" w:fill="E7E6E6" w:themeFill="background2"/>
            <w:noWrap/>
            <w:vAlign w:val="center"/>
          </w:tcPr>
          <w:p w14:paraId="474EB60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14:paraId="590CA25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国市政工程西南设计研究总院有限公司（简称：中国市政西南院）成立于1956年，是原国家住房和城乡建设部直属的市政、建筑、风景园林、公路与城市防洪甲级勘察科研设计咨询单位，现为中国交通建设集团有限公司和中交设计咨询集团股份有限公司旗下骨干企业，是市政行业设计咨询领军企业及知识密集型高新技术企业。</w:t>
            </w:r>
          </w:p>
          <w:p w14:paraId="5AB404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现有在职员工1700余人，专业技术人员1500余人，享受政府特殊津贴，国家、部、省级突出贡献专家15人；四川省学术与科技带头人、勘察设计大师14人，四川省学术与技术带头人后备人选、优秀中青年工程勘察设计师、水业杰出青年27人，四川省住房和城乡建设厅入库专家60人，注册人员600余人次，人才队伍精良。</w:t>
            </w:r>
          </w:p>
          <w:p w14:paraId="4322C9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近年来，公司累计承担完成国家科研攻关课题80余项，编写国家、行业及地方标准规范140余项，获得国家、省部级等各类科技成果奖55项，国家、省部级等各类优秀设计咨询奖675项，授权专利总数264项。</w:t>
            </w:r>
          </w:p>
        </w:tc>
      </w:tr>
      <w:tr w14:paraId="147A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5" w:hRule="atLeast"/>
          <w:jc w:val="center"/>
        </w:trPr>
        <w:tc>
          <w:tcPr>
            <w:tcW w:w="1300" w:type="dxa"/>
            <w:shd w:val="clear" w:color="auto" w:fill="E7E6E6" w:themeFill="background2"/>
            <w:noWrap/>
            <w:vAlign w:val="center"/>
          </w:tcPr>
          <w:p w14:paraId="177244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14:paraId="03C7FB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1.博士后研究人员在站期间，公司提供研究项目经费、薪酬福利等日常经费；</w:t>
            </w:r>
          </w:p>
          <w:p w14:paraId="393FBD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2.可向博士后研究人员提供优质住房用于周转，设施齐全，可以拎包入住。配合家属就业，协调好子女入学、入托；</w:t>
            </w:r>
          </w:p>
          <w:p w14:paraId="57E748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3.在公司现行制度中，对于考核优秀者，经本人提出申请可留公司工作。</w:t>
            </w:r>
          </w:p>
        </w:tc>
      </w:tr>
      <w:tr w14:paraId="0533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794" w:type="dxa"/>
            <w:gridSpan w:val="2"/>
            <w:shd w:val="clear" w:color="auto" w:fill="E7E6E6" w:themeFill="background2"/>
            <w:noWrap/>
            <w:vAlign w:val="center"/>
          </w:tcPr>
          <w:p w14:paraId="3C60651A">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14:paraId="35CD4C66">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14:paraId="19B3B46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67" w:type="dxa"/>
            <w:gridSpan w:val="2"/>
            <w:shd w:val="clear" w:color="auto" w:fill="E7E6E6" w:themeFill="background2"/>
            <w:vAlign w:val="center"/>
          </w:tcPr>
          <w:p w14:paraId="79A8742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441667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75" w:type="dxa"/>
            <w:shd w:val="clear" w:color="auto" w:fill="E7E6E6" w:themeFill="background2"/>
            <w:vAlign w:val="center"/>
          </w:tcPr>
          <w:p w14:paraId="73126F6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DC29923">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87" w:type="dxa"/>
            <w:shd w:val="clear" w:color="auto" w:fill="E7E6E6" w:themeFill="background2"/>
            <w:vAlign w:val="center"/>
          </w:tcPr>
          <w:p w14:paraId="29527A8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1E9EF9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298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94" w:type="dxa"/>
            <w:gridSpan w:val="2"/>
            <w:shd w:val="clear" w:color="000000" w:fill="FFFFFF"/>
            <w:noWrap/>
            <w:vAlign w:val="center"/>
          </w:tcPr>
          <w:p w14:paraId="762D3E9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水处理、固废方向环境功能材料研发</w:t>
            </w:r>
          </w:p>
        </w:tc>
        <w:tc>
          <w:tcPr>
            <w:tcW w:w="712" w:type="dxa"/>
            <w:gridSpan w:val="2"/>
            <w:shd w:val="clear" w:color="000000" w:fill="FFFFFF"/>
            <w:vAlign w:val="center"/>
          </w:tcPr>
          <w:p w14:paraId="0B89F68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1</w:t>
            </w:r>
          </w:p>
        </w:tc>
        <w:tc>
          <w:tcPr>
            <w:tcW w:w="1216" w:type="dxa"/>
            <w:shd w:val="clear" w:color="000000" w:fill="FFFFFF"/>
            <w:vAlign w:val="center"/>
          </w:tcPr>
          <w:p w14:paraId="2603468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867" w:type="dxa"/>
            <w:gridSpan w:val="2"/>
            <w:shd w:val="clear" w:color="000000" w:fill="FFFFFF"/>
            <w:vAlign w:val="center"/>
          </w:tcPr>
          <w:p w14:paraId="4F585CA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材料科学与工程、环境科学与工程、化学工程与技术</w:t>
            </w:r>
          </w:p>
        </w:tc>
        <w:tc>
          <w:tcPr>
            <w:tcW w:w="1375" w:type="dxa"/>
            <w:shd w:val="clear" w:color="000000" w:fill="FFFFFF"/>
            <w:vAlign w:val="center"/>
          </w:tcPr>
          <w:p w14:paraId="2B8360F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30</w:t>
            </w:r>
          </w:p>
        </w:tc>
        <w:tc>
          <w:tcPr>
            <w:tcW w:w="1787" w:type="dxa"/>
            <w:shd w:val="clear" w:color="000000" w:fill="FFFFFF"/>
            <w:vAlign w:val="center"/>
          </w:tcPr>
          <w:p w14:paraId="6628C07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eastAsia="zh-CN"/>
              </w:rPr>
              <w:t>无</w:t>
            </w:r>
          </w:p>
        </w:tc>
      </w:tr>
    </w:tbl>
    <w:p w14:paraId="2AEFF6FC">
      <w:pPr>
        <w:pStyle w:val="5"/>
        <w:tabs>
          <w:tab w:val="center" w:pos="4705"/>
          <w:tab w:val="left" w:pos="7680"/>
        </w:tabs>
        <w:adjustRightInd w:val="0"/>
        <w:snapToGrid w:val="0"/>
        <w:spacing w:line="240" w:lineRule="auto"/>
        <w:ind w:left="0" w:leftChars="0" w:firstLine="0" w:firstLineChars="0"/>
        <w:jc w:val="both"/>
        <w:rPr>
          <w:rFonts w:eastAsia="方正小标宋简体"/>
          <w:sz w:val="44"/>
          <w:szCs w:val="44"/>
        </w:rPr>
      </w:pPr>
    </w:p>
    <w:bookmarkEnd w:id="142"/>
    <w:p w14:paraId="110C269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eastAsia="方正小标宋简体"/>
          <w:sz w:val="44"/>
          <w:szCs w:val="44"/>
          <w:highlight w:val="none"/>
        </w:rPr>
      </w:pPr>
      <w:bookmarkStart w:id="584" w:name="_Toc31420"/>
    </w:p>
    <w:p w14:paraId="640C8F2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585" w:name="_Toc4004"/>
      <w:bookmarkStart w:id="586" w:name="_Toc1875"/>
      <w:bookmarkStart w:id="587" w:name="_Toc16828"/>
      <w:bookmarkStart w:id="588" w:name="_Toc14163"/>
      <w:r>
        <w:rPr>
          <w:rFonts w:eastAsia="方正小标宋简体"/>
          <w:sz w:val="44"/>
          <w:szCs w:val="44"/>
          <w:highlight w:val="none"/>
        </w:rPr>
        <w:t>中昊黑元化工研究设计院有限公司</w:t>
      </w:r>
      <w:bookmarkEnd w:id="584"/>
      <w:bookmarkEnd w:id="585"/>
      <w:bookmarkEnd w:id="586"/>
      <w:bookmarkEnd w:id="587"/>
      <w:bookmarkEnd w:id="588"/>
    </w:p>
    <w:p w14:paraId="2712DD0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799"/>
        <w:gridCol w:w="758"/>
        <w:gridCol w:w="566"/>
        <w:gridCol w:w="1120"/>
        <w:gridCol w:w="266"/>
        <w:gridCol w:w="1358"/>
        <w:gridCol w:w="371"/>
        <w:gridCol w:w="1192"/>
        <w:gridCol w:w="280"/>
        <w:gridCol w:w="1735"/>
        <w:gridCol w:w="7"/>
      </w:tblGrid>
      <w:tr w14:paraId="60ED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1271" w:type="dxa"/>
            <w:shd w:val="clear" w:color="auto" w:fill="E7E6E6" w:themeFill="background2"/>
            <w:noWrap/>
            <w:vAlign w:val="center"/>
          </w:tcPr>
          <w:p w14:paraId="099B2AE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4173F12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50" w:type="dxa"/>
            <w:gridSpan w:val="2"/>
            <w:shd w:val="clear" w:color="auto" w:fill="E7E6E6" w:themeFill="background2"/>
            <w:noWrap/>
            <w:vAlign w:val="center"/>
          </w:tcPr>
          <w:p w14:paraId="3C4C023A">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FBC0434">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4C41E15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7BB3A9FB">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2F8E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609FF3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1"/>
            <w:shd w:val="clear" w:color="000000" w:fill="FFFFFF"/>
            <w:noWrap/>
            <w:vAlign w:val="center"/>
          </w:tcPr>
          <w:p w14:paraId="7DC007DB">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自贡市沿滩区高新工业园区科创二路88号</w:t>
            </w:r>
          </w:p>
        </w:tc>
      </w:tr>
      <w:tr w14:paraId="1051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shd w:val="clear" w:color="auto" w:fill="E7E6E6" w:themeFill="background2"/>
            <w:noWrap/>
            <w:vAlign w:val="center"/>
          </w:tcPr>
          <w:p w14:paraId="0B0BA0D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1"/>
            <w:shd w:val="clear" w:color="000000" w:fill="FFFFFF"/>
            <w:vAlign w:val="center"/>
          </w:tcPr>
          <w:p w14:paraId="586A86EA">
            <w:pPr>
              <w:adjustRightInd w:val="0"/>
              <w:snapToGrid w:val="0"/>
              <w:spacing w:line="288" w:lineRule="auto"/>
              <w:ind w:firstLine="420" w:firstLineChars="200"/>
              <w:rPr>
                <w:rFonts w:hint="eastAsia" w:eastAsiaTheme="minorEastAsia"/>
                <w:sz w:val="21"/>
                <w:szCs w:val="21"/>
              </w:rPr>
            </w:pPr>
            <w:r>
              <w:rPr>
                <w:rFonts w:hint="eastAsia" w:eastAsiaTheme="minorEastAsia"/>
                <w:sz w:val="21"/>
                <w:szCs w:val="21"/>
              </w:rPr>
              <w:t>中昊黑元化工研究设计院有限公司（简称中昊黑元）始建于1965年，为原化工部直属科研院所，现为中国中化控股有限责任公司所属全资公司。科技人员占比超70%，享受国务院政府津贴专家14人。</w:t>
            </w:r>
          </w:p>
          <w:p w14:paraId="45CE8539">
            <w:pPr>
              <w:adjustRightInd w:val="0"/>
              <w:snapToGrid w:val="0"/>
              <w:spacing w:line="288" w:lineRule="auto"/>
              <w:ind w:firstLine="420" w:firstLineChars="200"/>
              <w:rPr>
                <w:rFonts w:hint="eastAsia" w:eastAsiaTheme="minorEastAsia"/>
                <w:sz w:val="21"/>
                <w:szCs w:val="21"/>
              </w:rPr>
            </w:pPr>
            <w:r>
              <w:rPr>
                <w:rFonts w:hint="eastAsia" w:eastAsiaTheme="minorEastAsia"/>
                <w:sz w:val="21"/>
                <w:szCs w:val="21"/>
              </w:rPr>
              <w:t>中昊黑元拥有国家炭黑材料工程技术研究中心、国家炭黑质量检验检测中心、炭黑及浅色补强材料标准化归口单位、炭黑行业信息及培训中心、博士后科研工作站、工业产品质量控制和技术评价实验室、四川省特种炭黑制备与应用技术工程研究中心、四川省企业技术中心等国家级、省部级创新平台十个。拥有CNAS认可、CMA认证和国家授权检测实验室资质。拥有化工工程设计甲级、工程咨询甲级、环境工程设计乙级、压力管道设计（GC1、GCD）、压力容器设计等资质。</w:t>
            </w:r>
          </w:p>
          <w:p w14:paraId="69456D5B">
            <w:pPr>
              <w:adjustRightInd w:val="0"/>
              <w:snapToGrid w:val="0"/>
              <w:spacing w:line="288" w:lineRule="auto"/>
              <w:ind w:firstLine="420" w:firstLineChars="200"/>
              <w:rPr>
                <w:rFonts w:eastAsiaTheme="minorEastAsia"/>
                <w:sz w:val="21"/>
                <w:szCs w:val="21"/>
              </w:rPr>
            </w:pPr>
            <w:r>
              <w:rPr>
                <w:rFonts w:hint="eastAsia" w:eastAsiaTheme="minorEastAsia"/>
                <w:sz w:val="21"/>
                <w:szCs w:val="21"/>
              </w:rPr>
              <w:t xml:space="preserve">   中昊黑元作为中国炭黑行业集科研、设计、生产、服务为一体的国家高新技术企业，取得了300多项科技成果，获国家、省部级科技奖励60多项，其中“新工艺炭黑生产技术”先后三次荣获国家科技进步奖；申请专利200余件、专有技术3件；制定/修订国家和行业标准90余项；拥有“黑元”和“CCBI”两个知名品牌，行业技术覆盖率达80%以上，为中国炭黑工业崛起并成为全球第一大炭黑生产国作出了突出贡献。</w:t>
            </w:r>
          </w:p>
        </w:tc>
      </w:tr>
      <w:tr w14:paraId="0F4D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1271" w:type="dxa"/>
            <w:shd w:val="clear" w:color="auto" w:fill="E7E6E6" w:themeFill="background2"/>
            <w:noWrap/>
            <w:vAlign w:val="center"/>
          </w:tcPr>
          <w:p w14:paraId="05F2BB2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1"/>
            <w:shd w:val="clear" w:color="000000" w:fill="FFFFFF"/>
            <w:vAlign w:val="center"/>
          </w:tcPr>
          <w:p w14:paraId="39A32BFD">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1.薪酬：实行基本薪酬+项目激励的薪酬发放方式，其中基本薪酬20万元/年，项目绩效5-10万元/年。科技成果转化推广应用根据收益情况进行分配。</w:t>
            </w:r>
          </w:p>
          <w:p w14:paraId="12407B77">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2.住房：享受地方人才政策规定和企业安家补助待遇。</w:t>
            </w:r>
          </w:p>
          <w:p w14:paraId="30E10A65">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3.提供项目团队所需的人员、资金、物资等资源支持。成熟项目提供产业化落地资源。</w:t>
            </w:r>
          </w:p>
        </w:tc>
      </w:tr>
      <w:tr w14:paraId="028C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053" w:type="dxa"/>
            <w:gridSpan w:val="2"/>
            <w:shd w:val="clear" w:color="auto" w:fill="E7E6E6" w:themeFill="background2"/>
            <w:noWrap/>
            <w:vAlign w:val="center"/>
          </w:tcPr>
          <w:p w14:paraId="2DE782D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96" w:type="dxa"/>
            <w:gridSpan w:val="2"/>
            <w:shd w:val="clear" w:color="auto" w:fill="E7E6E6" w:themeFill="background2"/>
            <w:vAlign w:val="center"/>
          </w:tcPr>
          <w:p w14:paraId="420DF5F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56" w:type="dxa"/>
            <w:gridSpan w:val="2"/>
            <w:shd w:val="clear" w:color="auto" w:fill="E7E6E6" w:themeFill="background2"/>
            <w:vAlign w:val="center"/>
          </w:tcPr>
          <w:p w14:paraId="0F5BA149">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14:paraId="0B40411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55D75C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40" w:type="dxa"/>
            <w:gridSpan w:val="2"/>
            <w:shd w:val="clear" w:color="auto" w:fill="E7E6E6" w:themeFill="background2"/>
            <w:vAlign w:val="center"/>
          </w:tcPr>
          <w:p w14:paraId="1FCE75E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F88E03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03" w:type="dxa"/>
            <w:gridSpan w:val="2"/>
            <w:shd w:val="clear" w:color="auto" w:fill="E7E6E6" w:themeFill="background2"/>
            <w:vAlign w:val="center"/>
          </w:tcPr>
          <w:p w14:paraId="1DB5A7E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F1B7A9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9CC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53"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C64A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新能源用高结构特种炭黑关键技术开发</w:t>
            </w:r>
          </w:p>
        </w:tc>
        <w:tc>
          <w:tcPr>
            <w:tcW w:w="12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A9A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35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AC85D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6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498A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材料科学与工程</w:t>
            </w:r>
          </w:p>
        </w:tc>
        <w:tc>
          <w:tcPr>
            <w:tcW w:w="14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933F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100万元</w:t>
            </w:r>
          </w:p>
        </w:tc>
        <w:tc>
          <w:tcPr>
            <w:tcW w:w="1703" w:type="dxa"/>
            <w:gridSpan w:val="2"/>
            <w:vMerge w:val="restart"/>
            <w:tcBorders>
              <w:top w:val="single" w:color="auto" w:sz="4" w:space="0"/>
              <w:left w:val="single" w:color="auto" w:sz="4" w:space="0"/>
              <w:right w:val="single" w:color="auto" w:sz="4" w:space="0"/>
            </w:tcBorders>
            <w:shd w:val="clear" w:color="auto" w:fill="FFFFFF"/>
            <w:vAlign w:val="center"/>
          </w:tcPr>
          <w:p w14:paraId="272F7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r w14:paraId="5D0F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53"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29B6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炭黑专用设备自动化升级研发</w:t>
            </w:r>
          </w:p>
        </w:tc>
        <w:tc>
          <w:tcPr>
            <w:tcW w:w="12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0516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35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531E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39EA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机械自动化</w:t>
            </w:r>
          </w:p>
        </w:tc>
        <w:tc>
          <w:tcPr>
            <w:tcW w:w="14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A201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50万元</w:t>
            </w:r>
          </w:p>
        </w:tc>
        <w:tc>
          <w:tcPr>
            <w:tcW w:w="1703" w:type="dxa"/>
            <w:gridSpan w:val="2"/>
            <w:vMerge w:val="continue"/>
            <w:tcBorders>
              <w:left w:val="single" w:color="auto" w:sz="4" w:space="0"/>
              <w:right w:val="single" w:color="auto" w:sz="4" w:space="0"/>
            </w:tcBorders>
            <w:shd w:val="clear" w:color="auto" w:fill="FFFFFF"/>
            <w:vAlign w:val="center"/>
          </w:tcPr>
          <w:p w14:paraId="68A7C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4EE2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53"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5F39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废旧轮胎裂解回收炭黑改性与应用研究</w:t>
            </w:r>
          </w:p>
        </w:tc>
        <w:tc>
          <w:tcPr>
            <w:tcW w:w="12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E228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35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9F5B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4DA4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化学工程与工艺</w:t>
            </w:r>
          </w:p>
        </w:tc>
        <w:tc>
          <w:tcPr>
            <w:tcW w:w="14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D2B54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50万元</w:t>
            </w:r>
          </w:p>
        </w:tc>
        <w:tc>
          <w:tcPr>
            <w:tcW w:w="1703" w:type="dxa"/>
            <w:gridSpan w:val="2"/>
            <w:vMerge w:val="continue"/>
            <w:tcBorders>
              <w:left w:val="single" w:color="auto" w:sz="4" w:space="0"/>
              <w:bottom w:val="single" w:color="auto" w:sz="4" w:space="0"/>
              <w:right w:val="single" w:color="auto" w:sz="4" w:space="0"/>
            </w:tcBorders>
            <w:shd w:val="clear" w:color="auto" w:fill="FFFFFF"/>
            <w:vAlign w:val="center"/>
          </w:tcPr>
          <w:p w14:paraId="4402E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0C8AD22C">
      <w:pPr>
        <w:pStyle w:val="3"/>
        <w:adjustRightInd w:val="0"/>
        <w:snapToGrid w:val="0"/>
        <w:spacing w:before="0" w:after="0" w:line="240" w:lineRule="auto"/>
        <w:outlineLvl w:val="9"/>
        <w:rPr>
          <w:rFonts w:ascii="Times New Roman" w:hAnsi="Times New Roman" w:eastAsia="方正小标宋简体"/>
          <w:sz w:val="21"/>
          <w:szCs w:val="21"/>
        </w:rPr>
      </w:pPr>
      <w:r>
        <w:rPr>
          <w:rFonts w:ascii="Times New Roman" w:hAnsi="Times New Roman"/>
          <w:sz w:val="21"/>
          <w:szCs w:val="21"/>
        </w:rPr>
        <w:br w:type="page"/>
      </w:r>
    </w:p>
    <w:p w14:paraId="3223307A">
      <w:pPr>
        <w:pStyle w:val="5"/>
        <w:adjustRightInd w:val="0"/>
        <w:snapToGrid w:val="0"/>
        <w:spacing w:line="240" w:lineRule="auto"/>
        <w:ind w:firstLine="0"/>
        <w:jc w:val="center"/>
        <w:rPr>
          <w:rFonts w:eastAsia="方正小标宋简体"/>
          <w:sz w:val="44"/>
          <w:szCs w:val="44"/>
        </w:rPr>
      </w:pPr>
    </w:p>
    <w:p w14:paraId="67C67C25">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589" w:name="_Toc23752"/>
      <w:bookmarkStart w:id="590" w:name="_Toc29679"/>
      <w:bookmarkStart w:id="591" w:name="_Toc14168"/>
      <w:bookmarkStart w:id="592" w:name="_Toc11552"/>
      <w:bookmarkStart w:id="593" w:name="_Toc29949"/>
      <w:bookmarkStart w:id="594" w:name="_Toc28241"/>
      <w:r>
        <w:rPr>
          <w:rFonts w:hint="eastAsia" w:eastAsia="方正小标宋简体"/>
          <w:sz w:val="44"/>
          <w:szCs w:val="44"/>
          <w:highlight w:val="none"/>
        </w:rPr>
        <w:t>中蓝晨光化工研究设计院有限公司</w:t>
      </w:r>
      <w:bookmarkEnd w:id="589"/>
      <w:bookmarkEnd w:id="590"/>
      <w:bookmarkEnd w:id="591"/>
      <w:bookmarkEnd w:id="592"/>
      <w:bookmarkEnd w:id="593"/>
    </w:p>
    <w:p w14:paraId="3D36B0AA">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66"/>
        <w:gridCol w:w="693"/>
        <w:gridCol w:w="560"/>
        <w:gridCol w:w="1120"/>
        <w:gridCol w:w="1627"/>
        <w:gridCol w:w="312"/>
        <w:gridCol w:w="1253"/>
        <w:gridCol w:w="160"/>
        <w:gridCol w:w="1859"/>
      </w:tblGrid>
      <w:tr w14:paraId="0921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189617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510D8FC2">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14:paraId="576FA485">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47FE4298">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71F671CE">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3EE3485D">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4964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543CF8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7CA2F23A">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成都市人民南路四段30号</w:t>
            </w:r>
          </w:p>
        </w:tc>
      </w:tr>
      <w:tr w14:paraId="0C35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4" w:hRule="atLeast"/>
          <w:jc w:val="center"/>
        </w:trPr>
        <w:tc>
          <w:tcPr>
            <w:tcW w:w="1271" w:type="dxa"/>
            <w:shd w:val="clear" w:color="auto" w:fill="E7E6E6" w:themeFill="background2"/>
            <w:noWrap/>
            <w:vAlign w:val="center"/>
          </w:tcPr>
          <w:p w14:paraId="3433A21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5986E918">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中蓝晨光化工研究设计院有限公司为中国中化的直管单位，属于在川央企，是中国中化高端材料研究中心和多个国家级技术机构的依托单位，科研实力和技术水平处于国内先进水平，具备较高国际知名度。是国家高新技术企业、科技创新示范企业、专精特新“小巨人”企业。</w:t>
            </w:r>
          </w:p>
          <w:p w14:paraId="5E42B0CE">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中国中化控股有限责任公司（简称中国中化）是国务院国资委监管的国有重要骨干企业，是全球规模领先的综合性化工企业。2023年《财富》世界500强第38位、化学品行业榜单第1位。</w:t>
            </w:r>
          </w:p>
        </w:tc>
      </w:tr>
      <w:tr w14:paraId="3E46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1271" w:type="dxa"/>
            <w:shd w:val="clear" w:color="auto" w:fill="E7E6E6" w:themeFill="background2"/>
            <w:noWrap/>
            <w:vAlign w:val="center"/>
          </w:tcPr>
          <w:p w14:paraId="789004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3865740E">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工作站为博士后研究人员提供良好的科研、生活条件。博士后研究人员工资标准参照不低于公司新聘博士研究生岗位工资标准执行，享受同等的社会保障待遇，基地不能提供公寓的情况下，博士后可按公司规定享受按月住房（安家）补贴；在站期间的项目成果、获奖等科研奖励标准，按公司科研管理相关规定执行；全职博士后可加入工会，享受公司工会会员的各项福利。</w:t>
            </w:r>
          </w:p>
        </w:tc>
      </w:tr>
      <w:tr w14:paraId="137B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17" w:type="dxa"/>
            <w:gridSpan w:val="2"/>
            <w:shd w:val="clear" w:color="auto" w:fill="E7E6E6" w:themeFill="background2"/>
            <w:noWrap/>
            <w:vAlign w:val="center"/>
          </w:tcPr>
          <w:p w14:paraId="212A5FF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14:paraId="64AA4DE8">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14:paraId="18C0C2C5">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14:paraId="400C49D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CF231C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0" w:type="dxa"/>
            <w:gridSpan w:val="2"/>
            <w:shd w:val="clear" w:color="auto" w:fill="E7E6E6" w:themeFill="background2"/>
            <w:vAlign w:val="center"/>
          </w:tcPr>
          <w:p w14:paraId="11CD4BA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C723D0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5" w:type="dxa"/>
            <w:shd w:val="clear" w:color="auto" w:fill="E7E6E6" w:themeFill="background2"/>
            <w:vAlign w:val="center"/>
          </w:tcPr>
          <w:p w14:paraId="2E945F0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15AAF8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C2D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7C05F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有机高分子先进材料研发项目</w:t>
            </w:r>
          </w:p>
        </w:tc>
        <w:tc>
          <w:tcPr>
            <w:tcW w:w="1224" w:type="dxa"/>
            <w:gridSpan w:val="2"/>
            <w:shd w:val="clear" w:color="000000" w:fill="FFFFFF"/>
            <w:vAlign w:val="center"/>
          </w:tcPr>
          <w:p w14:paraId="6F427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094" w:type="dxa"/>
            <w:shd w:val="clear" w:color="000000" w:fill="FFFFFF"/>
            <w:vAlign w:val="center"/>
          </w:tcPr>
          <w:p w14:paraId="40744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894" w:type="dxa"/>
            <w:gridSpan w:val="2"/>
            <w:shd w:val="clear" w:color="000000" w:fill="FFFFFF"/>
            <w:vAlign w:val="center"/>
          </w:tcPr>
          <w:p w14:paraId="72F4D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材料科学与工程</w:t>
            </w:r>
          </w:p>
        </w:tc>
        <w:tc>
          <w:tcPr>
            <w:tcW w:w="1380" w:type="dxa"/>
            <w:gridSpan w:val="2"/>
            <w:shd w:val="clear" w:color="000000" w:fill="FFFFFF"/>
            <w:vAlign w:val="center"/>
          </w:tcPr>
          <w:p w14:paraId="5FCE4C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40万元</w:t>
            </w:r>
          </w:p>
          <w:p w14:paraId="442B1D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其中生活经费不低于15万元</w:t>
            </w:r>
          </w:p>
        </w:tc>
        <w:tc>
          <w:tcPr>
            <w:tcW w:w="1815" w:type="dxa"/>
            <w:vMerge w:val="restart"/>
            <w:shd w:val="clear" w:color="000000" w:fill="FFFFFF"/>
            <w:vAlign w:val="center"/>
          </w:tcPr>
          <w:p w14:paraId="3BF265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不限</w:t>
            </w:r>
          </w:p>
        </w:tc>
      </w:tr>
      <w:tr w14:paraId="5939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7" w:type="dxa"/>
            <w:gridSpan w:val="2"/>
            <w:shd w:val="clear" w:color="000000" w:fill="FFFFFF"/>
            <w:noWrap/>
            <w:vAlign w:val="center"/>
          </w:tcPr>
          <w:p w14:paraId="57F6A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高分子化工工程化研究项目</w:t>
            </w:r>
          </w:p>
        </w:tc>
        <w:tc>
          <w:tcPr>
            <w:tcW w:w="1224" w:type="dxa"/>
            <w:gridSpan w:val="2"/>
            <w:shd w:val="clear" w:color="000000" w:fill="FFFFFF"/>
            <w:vAlign w:val="center"/>
          </w:tcPr>
          <w:p w14:paraId="6104D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5C8F4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894" w:type="dxa"/>
            <w:gridSpan w:val="2"/>
            <w:shd w:val="clear" w:color="000000" w:fill="FFFFFF"/>
            <w:vAlign w:val="center"/>
          </w:tcPr>
          <w:p w14:paraId="12BBB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化学工程</w:t>
            </w:r>
          </w:p>
        </w:tc>
        <w:tc>
          <w:tcPr>
            <w:tcW w:w="1380" w:type="dxa"/>
            <w:gridSpan w:val="2"/>
            <w:shd w:val="clear" w:color="000000" w:fill="FFFFFF"/>
            <w:vAlign w:val="center"/>
          </w:tcPr>
          <w:p w14:paraId="3350C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40万元</w:t>
            </w:r>
          </w:p>
          <w:p w14:paraId="6B5E1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其中生活经费不低于15万元</w:t>
            </w:r>
          </w:p>
        </w:tc>
        <w:tc>
          <w:tcPr>
            <w:tcW w:w="1815" w:type="dxa"/>
            <w:vMerge w:val="continue"/>
            <w:shd w:val="clear" w:color="000000" w:fill="FFFFFF"/>
            <w:vAlign w:val="center"/>
          </w:tcPr>
          <w:p w14:paraId="3DCF4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63AB2C14">
      <w:pPr>
        <w:pStyle w:val="5"/>
        <w:adjustRightInd w:val="0"/>
        <w:snapToGrid w:val="0"/>
        <w:spacing w:line="240" w:lineRule="auto"/>
        <w:ind w:firstLine="0"/>
        <w:jc w:val="center"/>
        <w:rPr>
          <w:rFonts w:eastAsia="方正小标宋简体"/>
          <w:sz w:val="44"/>
          <w:szCs w:val="44"/>
        </w:rPr>
      </w:pPr>
    </w:p>
    <w:p w14:paraId="6FBBD7BA">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3467BD7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595" w:name="_Toc1408"/>
      <w:bookmarkStart w:id="596" w:name="_Toc27180"/>
      <w:bookmarkStart w:id="597" w:name="_Toc951"/>
      <w:bookmarkStart w:id="598" w:name="_Toc3046"/>
      <w:bookmarkStart w:id="599" w:name="_Toc22412"/>
      <w:r>
        <w:rPr>
          <w:rFonts w:hint="eastAsia" w:eastAsia="方正小标宋简体"/>
          <w:sz w:val="44"/>
          <w:szCs w:val="44"/>
          <w:highlight w:val="none"/>
        </w:rPr>
        <w:t>中密控股股份有限公司</w:t>
      </w:r>
      <w:bookmarkEnd w:id="595"/>
      <w:bookmarkEnd w:id="596"/>
      <w:bookmarkEnd w:id="597"/>
      <w:bookmarkEnd w:id="598"/>
      <w:bookmarkEnd w:id="599"/>
    </w:p>
    <w:p w14:paraId="17C5524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783D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0BE8EB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16CECB30">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国有企业</w:t>
            </w:r>
          </w:p>
        </w:tc>
        <w:tc>
          <w:tcPr>
            <w:tcW w:w="1650" w:type="dxa"/>
            <w:gridSpan w:val="2"/>
            <w:shd w:val="clear" w:color="auto" w:fill="E7E6E6" w:themeFill="background2"/>
            <w:noWrap/>
            <w:vAlign w:val="center"/>
          </w:tcPr>
          <w:p w14:paraId="610AD52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AC3464B">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539279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01694EAE">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成都</w:t>
            </w:r>
          </w:p>
        </w:tc>
      </w:tr>
      <w:tr w14:paraId="65F9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818B74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202E7089">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四川省成都市武侯区武科西四路八号</w:t>
            </w:r>
          </w:p>
        </w:tc>
      </w:tr>
      <w:tr w14:paraId="59A4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6" w:hRule="atLeast"/>
          <w:jc w:val="center"/>
        </w:trPr>
        <w:tc>
          <w:tcPr>
            <w:tcW w:w="1271" w:type="dxa"/>
            <w:shd w:val="clear" w:color="auto" w:fill="E7E6E6" w:themeFill="background2"/>
            <w:noWrap/>
            <w:vAlign w:val="center"/>
          </w:tcPr>
          <w:p w14:paraId="686785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7B3FE0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密控股前身是四川省机械研究设计院密封技术研究所，成立于1978年7月，是中国最早开展密封技术研究的单位。历经40余年发展，现已成为中国流体密封行业的领军企业。2015年6月，公司股票在深圳创业板上市，目前是国内机械密封行业唯一一家A股上市公司。公司主要从事机械密封、干气密封、辅助（控制）系统、核电密封、橡塑密封、旋喷泵及轴流式止回阀、压缩机防喘阀（活塞式调节阀）等产品理论研究、技术研发、密封整体解决方案、产品制造，同时提供密封技术咨询、解决现场问题和技术培训等全方位技术服务工作。</w:t>
            </w:r>
          </w:p>
          <w:p w14:paraId="7564F1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公司是国家高新技术企业、国家专精特新小巨人企业，拥有国家企业技术中心、国家博士科研工作站、院士（专家）创新工作站，2019年入选工信部“寻找隐形冠军企业”目录，产品被评为“中国机械工业名牌产品”。</w:t>
            </w:r>
          </w:p>
        </w:tc>
      </w:tr>
      <w:tr w14:paraId="4831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1271" w:type="dxa"/>
            <w:shd w:val="clear" w:color="auto" w:fill="E7E6E6" w:themeFill="background2"/>
            <w:noWrap/>
            <w:vAlign w:val="center"/>
          </w:tcPr>
          <w:p w14:paraId="0808E33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7624F9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为入站博士后提供住房补助、交通补助和生产补助，公司指定科技研发管理部负责解决博士后生活和工作问题，给予博士后相对独立的工作空间，为其配备相应的科研助手，为其提供良好的条件，保证科研工作的顺利完成。</w:t>
            </w:r>
          </w:p>
          <w:p w14:paraId="29F65F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为博士后申请成都市新入站博士人员生活资助资金。</w:t>
            </w:r>
          </w:p>
        </w:tc>
      </w:tr>
      <w:tr w14:paraId="7DA3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14CB5B7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2ABA303D">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0ECE29AE">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20BC8AD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455191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2AD4A52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825C84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4361B94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61CCE5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D8B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461" w:type="dxa"/>
            <w:gridSpan w:val="2"/>
            <w:shd w:val="clear" w:color="000000" w:fill="FFFFFF"/>
            <w:noWrap/>
            <w:vAlign w:val="center"/>
          </w:tcPr>
          <w:p w14:paraId="438A5E3E">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密封端面形貌研究</w:t>
            </w:r>
          </w:p>
        </w:tc>
        <w:tc>
          <w:tcPr>
            <w:tcW w:w="1116" w:type="dxa"/>
            <w:gridSpan w:val="2"/>
            <w:shd w:val="clear" w:color="000000" w:fill="FFFFFF"/>
            <w:vAlign w:val="center"/>
          </w:tcPr>
          <w:p w14:paraId="0BBF9F95">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7528B245">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704" w:type="dxa"/>
            <w:gridSpan w:val="2"/>
            <w:shd w:val="clear" w:color="000000" w:fill="FFFFFF"/>
            <w:vAlign w:val="center"/>
          </w:tcPr>
          <w:p w14:paraId="2AD29A9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材料学、摩擦学、流体力学</w:t>
            </w:r>
          </w:p>
        </w:tc>
        <w:tc>
          <w:tcPr>
            <w:tcW w:w="1428" w:type="dxa"/>
            <w:gridSpan w:val="2"/>
            <w:shd w:val="clear" w:color="000000" w:fill="FFFFFF"/>
            <w:vAlign w:val="center"/>
          </w:tcPr>
          <w:p w14:paraId="34EDF5D1">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50</w:t>
            </w:r>
          </w:p>
        </w:tc>
        <w:tc>
          <w:tcPr>
            <w:tcW w:w="1715" w:type="dxa"/>
            <w:vMerge w:val="restart"/>
            <w:shd w:val="clear" w:color="000000" w:fill="FFFFFF"/>
            <w:vAlign w:val="center"/>
          </w:tcPr>
          <w:p w14:paraId="1E49742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不限</w:t>
            </w:r>
          </w:p>
        </w:tc>
      </w:tr>
      <w:tr w14:paraId="22B5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461" w:type="dxa"/>
            <w:gridSpan w:val="2"/>
            <w:shd w:val="clear" w:color="000000" w:fill="FFFFFF"/>
            <w:noWrap/>
            <w:vAlign w:val="center"/>
          </w:tcPr>
          <w:p w14:paraId="0A12E30B">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密封材料改性研究</w:t>
            </w:r>
          </w:p>
        </w:tc>
        <w:tc>
          <w:tcPr>
            <w:tcW w:w="1116" w:type="dxa"/>
            <w:gridSpan w:val="2"/>
            <w:shd w:val="clear" w:color="000000" w:fill="FFFFFF"/>
            <w:vAlign w:val="center"/>
          </w:tcPr>
          <w:p w14:paraId="776BABF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318C3531">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BSH002</w:t>
            </w:r>
          </w:p>
        </w:tc>
        <w:tc>
          <w:tcPr>
            <w:tcW w:w="1704" w:type="dxa"/>
            <w:gridSpan w:val="2"/>
            <w:shd w:val="clear" w:color="000000" w:fill="FFFFFF"/>
            <w:vAlign w:val="center"/>
          </w:tcPr>
          <w:p w14:paraId="7297DBE6">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材料学、摩擦学、流体力学</w:t>
            </w:r>
          </w:p>
        </w:tc>
        <w:tc>
          <w:tcPr>
            <w:tcW w:w="1428" w:type="dxa"/>
            <w:gridSpan w:val="2"/>
            <w:shd w:val="clear" w:color="000000" w:fill="FFFFFF"/>
            <w:vAlign w:val="center"/>
          </w:tcPr>
          <w:p w14:paraId="69CDADF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c>
          <w:tcPr>
            <w:tcW w:w="1715" w:type="dxa"/>
            <w:vMerge w:val="continue"/>
            <w:shd w:val="clear" w:color="000000" w:fill="FFFFFF"/>
            <w:vAlign w:val="center"/>
          </w:tcPr>
          <w:p w14:paraId="4A77C6E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p>
        </w:tc>
      </w:tr>
      <w:tr w14:paraId="69CF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461" w:type="dxa"/>
            <w:gridSpan w:val="2"/>
            <w:shd w:val="clear" w:color="000000" w:fill="FFFFFF"/>
            <w:noWrap/>
            <w:vAlign w:val="center"/>
          </w:tcPr>
          <w:p w14:paraId="5B860A94">
            <w:pPr>
              <w:keepNext w:val="0"/>
              <w:keepLines w:val="0"/>
              <w:pageBreakBefore w:val="0"/>
              <w:wordWrap/>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高效节能旋转喷射泵的研究</w:t>
            </w:r>
          </w:p>
        </w:tc>
        <w:tc>
          <w:tcPr>
            <w:tcW w:w="1116" w:type="dxa"/>
            <w:gridSpan w:val="2"/>
            <w:shd w:val="clear" w:color="000000" w:fill="FFFFFF"/>
            <w:vAlign w:val="center"/>
          </w:tcPr>
          <w:p w14:paraId="3AB6013B">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16" w:type="dxa"/>
            <w:gridSpan w:val="2"/>
            <w:shd w:val="clear" w:color="000000" w:fill="FFFFFF"/>
            <w:vAlign w:val="center"/>
          </w:tcPr>
          <w:p w14:paraId="64A2B0F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BSH003</w:t>
            </w:r>
          </w:p>
        </w:tc>
        <w:tc>
          <w:tcPr>
            <w:tcW w:w="1704" w:type="dxa"/>
            <w:gridSpan w:val="2"/>
            <w:shd w:val="clear" w:color="000000" w:fill="FFFFFF"/>
            <w:vAlign w:val="center"/>
          </w:tcPr>
          <w:p w14:paraId="5D64DE9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材料学、摩擦学、流体力学</w:t>
            </w:r>
          </w:p>
        </w:tc>
        <w:tc>
          <w:tcPr>
            <w:tcW w:w="1428" w:type="dxa"/>
            <w:gridSpan w:val="2"/>
            <w:shd w:val="clear" w:color="000000" w:fill="FFFFFF"/>
            <w:vAlign w:val="center"/>
          </w:tcPr>
          <w:p w14:paraId="60684976">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c>
          <w:tcPr>
            <w:tcW w:w="1715" w:type="dxa"/>
            <w:vMerge w:val="continue"/>
            <w:shd w:val="clear" w:color="000000" w:fill="FFFFFF"/>
            <w:vAlign w:val="center"/>
          </w:tcPr>
          <w:p w14:paraId="05F5684C">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p>
        </w:tc>
      </w:tr>
    </w:tbl>
    <w:p w14:paraId="3F6AA28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方正小标宋简体"/>
          <w:sz w:val="44"/>
          <w:szCs w:val="44"/>
          <w:highlight w:val="yellow"/>
        </w:rPr>
      </w:pPr>
    </w:p>
    <w:p w14:paraId="530C0A0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600" w:name="_Toc19786"/>
      <w:bookmarkStart w:id="601" w:name="_Toc25250"/>
      <w:bookmarkStart w:id="602" w:name="_Toc3762"/>
      <w:bookmarkStart w:id="603" w:name="_Toc9424"/>
      <w:bookmarkStart w:id="604" w:name="_Toc25126"/>
      <w:r>
        <w:rPr>
          <w:rFonts w:eastAsia="方正小标宋简体"/>
          <w:sz w:val="44"/>
          <w:szCs w:val="44"/>
          <w:highlight w:val="none"/>
        </w:rPr>
        <w:t>中铁二院工程集团有限责任公司</w:t>
      </w:r>
      <w:bookmarkEnd w:id="600"/>
      <w:bookmarkEnd w:id="601"/>
      <w:bookmarkEnd w:id="602"/>
      <w:bookmarkEnd w:id="603"/>
      <w:bookmarkEnd w:id="604"/>
    </w:p>
    <w:p w14:paraId="1C753431">
      <w:pPr>
        <w:pStyle w:val="5"/>
        <w:keepNext w:val="0"/>
        <w:keepLines w:val="0"/>
        <w:pageBreakBefore w:val="0"/>
        <w:widowControl w:val="0"/>
        <w:kinsoku/>
        <w:wordWrap/>
        <w:overflowPunct/>
        <w:topLinePunct w:val="0"/>
        <w:autoSpaceDE/>
        <w:autoSpaceDN/>
        <w:bidi w:val="0"/>
        <w:adjustRightInd w:val="0"/>
        <w:snapToGrid w:val="0"/>
        <w:spacing w:line="240" w:lineRule="auto"/>
        <w:ind w:left="1060"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589"/>
        <w:gridCol w:w="1710"/>
        <w:gridCol w:w="1657"/>
        <w:gridCol w:w="1594"/>
        <w:gridCol w:w="1876"/>
      </w:tblGrid>
      <w:tr w14:paraId="14FA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521A78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14:paraId="2E24D219">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14:paraId="289A0636">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13FF3AC3">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14:paraId="7F121C6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shd w:val="clear" w:color="000000" w:fill="FFFFFF"/>
            <w:noWrap/>
            <w:vAlign w:val="center"/>
          </w:tcPr>
          <w:p w14:paraId="2A5ABCD8">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6FD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AC11B06">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14:paraId="5E7A743A">
            <w:pPr>
              <w:adjustRightInd w:val="0"/>
              <w:snapToGrid w:val="0"/>
              <w:spacing w:line="240" w:lineRule="auto"/>
              <w:ind w:firstLine="0"/>
              <w:jc w:val="center"/>
              <w:rPr>
                <w:rFonts w:eastAsiaTheme="minorEastAsia"/>
                <w:sz w:val="21"/>
                <w:szCs w:val="21"/>
              </w:rPr>
            </w:pPr>
            <w:r>
              <w:rPr>
                <w:rFonts w:eastAsiaTheme="minorEastAsia"/>
                <w:sz w:val="21"/>
                <w:szCs w:val="21"/>
              </w:rPr>
              <w:t>四川省成都市</w:t>
            </w:r>
            <w:r>
              <w:rPr>
                <w:rFonts w:hint="eastAsia" w:eastAsiaTheme="minorEastAsia"/>
                <w:sz w:val="21"/>
                <w:szCs w:val="21"/>
              </w:rPr>
              <w:t>金牛区通锦路3号中铁二院</w:t>
            </w:r>
          </w:p>
        </w:tc>
      </w:tr>
      <w:tr w14:paraId="3FB8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1" w:hRule="atLeast"/>
          <w:jc w:val="center"/>
        </w:trPr>
        <w:tc>
          <w:tcPr>
            <w:tcW w:w="1271" w:type="dxa"/>
            <w:shd w:val="clear" w:color="auto" w:fill="E7E6E6" w:themeFill="background2"/>
            <w:noWrap/>
            <w:vAlign w:val="center"/>
          </w:tcPr>
          <w:p w14:paraId="63E6FD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14:paraId="503A68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铁二院工程集团有限责任公司,简称中铁二院，成立于1952年，隶属于世界双500强企业——中国中铁股份有限公司，是国内特大型工程综合勘察设计企业，两次获得国家科技进步最高奖，四次获全球FIDIC杰出工程项目奖。</w:t>
            </w:r>
          </w:p>
          <w:p w14:paraId="51BE6D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中铁二院业务范围涵盖规划、勘察设计、咨询、监理、产品产业化、工程总承包等基本建设全过程服务，横跨铁路、城市轨道交通、公路、市政、港口码头、民航机场、生态环境等多个领域。设立经济运量、运输组织、城市规划、线路、轨道、路基、桥涵、隧道、站场、机务、车辆、机械、建筑、结构、暖通、电力、牵引供变电、接触网、通信、信号、信息、环保、给水排水、施预、地质、测绘共26个专业。</w:t>
            </w:r>
          </w:p>
          <w:p w14:paraId="471529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 xml:space="preserve">        公司现有员5600人，拥有全国工程勘察设计大师6人，省级工程勘察设计大师25人，享受国务院政府特殊津贴专家近43人，各类省部级专家250余人次。</w:t>
            </w:r>
          </w:p>
        </w:tc>
      </w:tr>
      <w:tr w14:paraId="3C3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jc w:val="center"/>
        </w:trPr>
        <w:tc>
          <w:tcPr>
            <w:tcW w:w="1271" w:type="dxa"/>
            <w:shd w:val="clear" w:color="auto" w:fill="E7E6E6" w:themeFill="background2"/>
            <w:noWrap/>
            <w:vAlign w:val="center"/>
          </w:tcPr>
          <w:p w14:paraId="15F1FE3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14:paraId="320C24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1.已经或即将在国内外获得博士学位、品学兼优、身体健康、年龄原则上应在35周岁以下，特别优秀的进站年龄可放宽至40周岁，出站后愿意留在中铁二院工作的博士优先。</w:t>
            </w:r>
          </w:p>
          <w:p w14:paraId="2F8776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2.博士后人员薪酬待遇20~35万元，享受正式职工待遇，在站期间可参评高级职称，其他按国家及《中铁二院工程集团有限责任公司博士后薪酬管理办法》的相关规定执行。</w:t>
            </w:r>
          </w:p>
        </w:tc>
      </w:tr>
    </w:tbl>
    <w:p w14:paraId="5E23FBC4">
      <w:pPr>
        <w:adjustRightInd w:val="0"/>
        <w:snapToGrid w:val="0"/>
        <w:spacing w:line="20"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227"/>
        <w:gridCol w:w="1110"/>
        <w:gridCol w:w="1797"/>
        <w:gridCol w:w="1460"/>
        <w:gridCol w:w="2255"/>
      </w:tblGrid>
      <w:tr w14:paraId="63D1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822" w:type="dxa"/>
            <w:shd w:val="clear" w:color="auto" w:fill="E7E6E6" w:themeFill="background2"/>
            <w:noWrap/>
            <w:vAlign w:val="center"/>
          </w:tcPr>
          <w:p w14:paraId="3B469E71">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0E0D4DD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7346CB98">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shd w:val="clear" w:color="auto" w:fill="E7E6E6" w:themeFill="background2"/>
            <w:vAlign w:val="center"/>
          </w:tcPr>
          <w:p w14:paraId="6D4712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498C33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shd w:val="clear" w:color="auto" w:fill="E7E6E6" w:themeFill="background2"/>
            <w:vAlign w:val="center"/>
          </w:tcPr>
          <w:p w14:paraId="359B784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6A89A5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60" w:type="dxa"/>
            <w:shd w:val="clear" w:color="auto" w:fill="E7E6E6" w:themeFill="background2"/>
            <w:vAlign w:val="center"/>
          </w:tcPr>
          <w:p w14:paraId="528F46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75E2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CB070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表生地质灾害数智勘察技术及装备</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2DBFA80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4919816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4102607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fldChar w:fldCharType="begin"/>
            </w:r>
            <w:r>
              <w:rPr>
                <w:rFonts w:hint="default" w:ascii="Times New Roman" w:hAnsi="Times New Roman" w:cs="Times New Roman" w:eastAsiaTheme="minorEastAsia"/>
                <w:sz w:val="21"/>
                <w:szCs w:val="21"/>
              </w:rPr>
              <w:instrText xml:space="preserve"> HYPERLINK "http://baike.baidu.com/view/2354579.htm" \t "_blank" </w:instrText>
            </w:r>
            <w:r>
              <w:rPr>
                <w:rFonts w:hint="default" w:ascii="Times New Roman" w:hAnsi="Times New Roman" w:cs="Times New Roman" w:eastAsiaTheme="minorEastAsia"/>
                <w:sz w:val="21"/>
                <w:szCs w:val="21"/>
              </w:rPr>
              <w:fldChar w:fldCharType="separate"/>
            </w:r>
            <w:r>
              <w:rPr>
                <w:rFonts w:hint="default" w:ascii="Times New Roman" w:hAnsi="Times New Roman" w:cs="Times New Roman" w:eastAsiaTheme="minorEastAsia"/>
                <w:sz w:val="21"/>
                <w:szCs w:val="21"/>
              </w:rPr>
              <w:t>测绘科学与技术</w:t>
            </w:r>
            <w:r>
              <w:rPr>
                <w:rFonts w:hint="default" w:ascii="Times New Roman" w:hAnsi="Times New Roman" w:cs="Times New Roman" w:eastAsiaTheme="minorEastAsia"/>
                <w:sz w:val="21"/>
                <w:szCs w:val="21"/>
              </w:rPr>
              <w:fldChar w:fldCharType="end"/>
            </w:r>
            <w:r>
              <w:rPr>
                <w:rFonts w:hint="default" w:ascii="Times New Roman" w:hAnsi="Times New Roman" w:cs="Times New Roman" w:eastAsiaTheme="minorEastAsia"/>
                <w:sz w:val="21"/>
                <w:szCs w:val="21"/>
              </w:rPr>
              <w:t>（摄影测量与遥感）</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1F9A878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2CCF1BC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985、211、双一流院校，具有地质灾害遥感工作经历，从事InSAR技术研究者优先</w:t>
            </w:r>
          </w:p>
        </w:tc>
      </w:tr>
      <w:tr w14:paraId="51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9DF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深埋长大隧道数智勘察技术及装备</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2145E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0FF501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25F1B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地质资源与地质工程（地球探测与信息技术）</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2AB05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76112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985、211、双一流院校，具有工程物探专业经历，地震或电磁类方向，具有良好的计算机编程和信号处理能力，具有一定的物探设备硬件知识。</w:t>
            </w:r>
          </w:p>
        </w:tc>
      </w:tr>
      <w:tr w14:paraId="64DA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5D8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深埋长大隧道数智勘察技术及装备</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7A493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2B0A5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06FA9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地质资源与地质工程（地质工程）</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65914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61D91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985、211、双一流院校，具有深部工程地质问题研究经历</w:t>
            </w:r>
          </w:p>
        </w:tc>
      </w:tr>
      <w:tr w14:paraId="1F87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A65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铁路工程地质数智勘察平台</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07A4D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590EE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5AC56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地理学（地图学与地理信息系统）</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1CB8E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04C0D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985、211、双一流院校，具有虚拟现实技术与三维GIS或地理信息系统等研究经历。</w:t>
            </w:r>
          </w:p>
        </w:tc>
      </w:tr>
      <w:tr w14:paraId="39FC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12FB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川藏铁路复杂堆积体站场路基空间变形演化规律与长期稳定性控制关键技术</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341D27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39305D3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BSH00</w:t>
            </w:r>
            <w:r>
              <w:rPr>
                <w:rFonts w:hint="default" w:ascii="Times New Roman" w:hAnsi="Times New Roman" w:cs="Times New Roman" w:eastAsiaTheme="minorEastAsia"/>
                <w:spacing w:val="-2"/>
                <w:sz w:val="21"/>
                <w:szCs w:val="21"/>
                <w:lang w:val="en-US" w:eastAsia="zh-CN"/>
              </w:rPr>
              <w:t>5</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7B7D4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交通运输工程（道路工程—路基工程）</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5BCC0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60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024ED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西南交大、同济大学、北方交大、东南大学、中南大学等单位，要求熟悉岩土工程、抗震减灾等领域</w:t>
            </w:r>
          </w:p>
        </w:tc>
      </w:tr>
      <w:tr w14:paraId="77CE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0CBF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复杂多变地质TBM装备及智能建造技术</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622CB4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506EF5B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BSH00</w:t>
            </w:r>
            <w:r>
              <w:rPr>
                <w:rFonts w:hint="default" w:ascii="Times New Roman" w:hAnsi="Times New Roman" w:cs="Times New Roman" w:eastAsiaTheme="minorEastAsia"/>
                <w:spacing w:val="-2"/>
                <w:sz w:val="21"/>
                <w:szCs w:val="21"/>
                <w:lang w:val="en-US" w:eastAsia="zh-CN"/>
              </w:rPr>
              <w:t>6</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3F877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交通运输工程（道路工程—隧道工程）</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68747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40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34700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西南交大、北京交大、中南大学等</w:t>
            </w:r>
          </w:p>
        </w:tc>
      </w:tr>
      <w:tr w14:paraId="0F91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AF3E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近临断层铁路桥梁抗断层变位结构体系与设计方法</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13F14E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432E988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BSH00</w:t>
            </w:r>
            <w:r>
              <w:rPr>
                <w:rFonts w:hint="default" w:ascii="Times New Roman" w:hAnsi="Times New Roman" w:cs="Times New Roman" w:eastAsiaTheme="minorEastAsia"/>
                <w:spacing w:val="-2"/>
                <w:sz w:val="21"/>
                <w:szCs w:val="21"/>
                <w:lang w:val="en-US" w:eastAsia="zh-CN"/>
              </w:rPr>
              <w:t>7</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4CC46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交通运输工程（道路工程—桥涵工程）</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75DAA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30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1BB19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985大学或者铁路相关院校</w:t>
            </w:r>
          </w:p>
        </w:tc>
      </w:tr>
      <w:tr w14:paraId="01CE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A74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恶劣环境及超长大坡道条件下钢轨爬行机理及控制技术研究</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628C2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3BA753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8</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6AC34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交通运输工程（道路工程</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rPr>
              <w:t>道路工程）</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574BD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59DBE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985</w:t>
            </w:r>
            <w:r>
              <w:rPr>
                <w:rFonts w:hint="eastAsia" w:ascii="Times New Roman" w:hAnsi="Times New Roman" w:cs="Times New Roman" w:eastAsiaTheme="minorEastAsia"/>
                <w:sz w:val="21"/>
                <w:szCs w:val="21"/>
              </w:rPr>
              <w:t>大学或者铁路相关院校</w:t>
            </w:r>
          </w:p>
        </w:tc>
      </w:tr>
      <w:tr w14:paraId="7556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82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F20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轨道交通车站智能化低碳运营技术研究</w:t>
            </w:r>
          </w:p>
        </w:tc>
        <w:tc>
          <w:tcPr>
            <w:tcW w:w="1176" w:type="dxa"/>
            <w:tcBorders>
              <w:top w:val="single" w:color="auto" w:sz="4" w:space="0"/>
              <w:left w:val="nil"/>
              <w:bottom w:val="single" w:color="auto" w:sz="4" w:space="0"/>
              <w:right w:val="single" w:color="auto" w:sz="4" w:space="0"/>
            </w:tcBorders>
            <w:shd w:val="clear" w:color="auto" w:fill="FFFFFF"/>
            <w:vAlign w:val="center"/>
          </w:tcPr>
          <w:p w14:paraId="54A6B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w:t>
            </w:r>
          </w:p>
        </w:tc>
        <w:tc>
          <w:tcPr>
            <w:tcW w:w="1064" w:type="dxa"/>
            <w:tcBorders>
              <w:top w:val="single" w:color="auto" w:sz="4" w:space="0"/>
              <w:left w:val="nil"/>
              <w:bottom w:val="single" w:color="auto" w:sz="4" w:space="0"/>
              <w:right w:val="single" w:color="auto" w:sz="4" w:space="0"/>
            </w:tcBorders>
            <w:shd w:val="clear" w:color="auto" w:fill="FFFFFF"/>
            <w:vAlign w:val="center"/>
          </w:tcPr>
          <w:p w14:paraId="530C06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9</w:t>
            </w:r>
          </w:p>
        </w:tc>
        <w:tc>
          <w:tcPr>
            <w:tcW w:w="1722" w:type="dxa"/>
            <w:tcBorders>
              <w:top w:val="single" w:color="auto" w:sz="4" w:space="0"/>
              <w:left w:val="nil"/>
              <w:bottom w:val="single" w:color="auto" w:sz="4" w:space="0"/>
              <w:right w:val="single" w:color="auto" w:sz="4" w:space="0"/>
            </w:tcBorders>
            <w:shd w:val="clear" w:color="auto" w:fill="FFFFFF"/>
            <w:vAlign w:val="center"/>
          </w:tcPr>
          <w:p w14:paraId="1FBCE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土木工程</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rPr>
              <w:t>通风及空调</w:t>
            </w:r>
            <w:r>
              <w:rPr>
                <w:rFonts w:hint="eastAsia" w:ascii="Times New Roman" w:hAnsi="Times New Roman" w:cs="Times New Roman" w:eastAsiaTheme="minorEastAsia"/>
                <w:sz w:val="21"/>
                <w:szCs w:val="21"/>
                <w:lang w:eastAsia="zh-CN"/>
              </w:rPr>
              <w:t>）</w:t>
            </w:r>
          </w:p>
        </w:tc>
        <w:tc>
          <w:tcPr>
            <w:tcW w:w="1399" w:type="dxa"/>
            <w:tcBorders>
              <w:top w:val="single" w:color="auto" w:sz="4" w:space="0"/>
              <w:left w:val="nil"/>
              <w:bottom w:val="single" w:color="auto" w:sz="4" w:space="0"/>
              <w:right w:val="single" w:color="auto" w:sz="4" w:space="0"/>
            </w:tcBorders>
            <w:shd w:val="clear" w:color="auto" w:fill="FFFFFF"/>
            <w:vAlign w:val="center"/>
          </w:tcPr>
          <w:p w14:paraId="5FD56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100</w:t>
            </w:r>
          </w:p>
        </w:tc>
        <w:tc>
          <w:tcPr>
            <w:tcW w:w="2160" w:type="dxa"/>
            <w:tcBorders>
              <w:top w:val="single" w:color="auto" w:sz="4" w:space="0"/>
              <w:left w:val="nil"/>
              <w:bottom w:val="single" w:color="auto" w:sz="4" w:space="0"/>
              <w:right w:val="single" w:color="auto" w:sz="4" w:space="0"/>
            </w:tcBorders>
            <w:shd w:val="clear" w:color="auto" w:fill="FFFFFF"/>
            <w:vAlign w:val="center"/>
          </w:tcPr>
          <w:p w14:paraId="7AF27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rPr>
              <w:t>985、211、双一流院校，</w:t>
            </w:r>
            <w:r>
              <w:rPr>
                <w:rFonts w:hint="eastAsia" w:ascii="Times New Roman" w:hAnsi="Times New Roman" w:cs="Times New Roman" w:eastAsiaTheme="minorEastAsia"/>
                <w:sz w:val="21"/>
                <w:szCs w:val="21"/>
                <w:lang w:val="en-US" w:eastAsia="zh-CN"/>
              </w:rPr>
              <w:t>具有铁路、城轨站房或建筑机电设备低碳节能</w:t>
            </w:r>
            <w:r>
              <w:rPr>
                <w:rFonts w:hint="eastAsia" w:ascii="Times New Roman" w:hAnsi="Times New Roman" w:cs="Times New Roman" w:eastAsiaTheme="minorEastAsia"/>
                <w:sz w:val="21"/>
                <w:szCs w:val="21"/>
              </w:rPr>
              <w:t>研究经历。</w:t>
            </w:r>
          </w:p>
        </w:tc>
      </w:tr>
    </w:tbl>
    <w:p w14:paraId="3A914AF9">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5737E88E">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eastAsia="方正小标宋简体"/>
          <w:sz w:val="44"/>
          <w:szCs w:val="44"/>
        </w:rPr>
      </w:pPr>
    </w:p>
    <w:p w14:paraId="398E0C11">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605" w:name="_Toc3147"/>
      <w:bookmarkStart w:id="606" w:name="_Toc31139"/>
      <w:bookmarkStart w:id="607" w:name="_Toc9979"/>
      <w:bookmarkStart w:id="608" w:name="_Toc7347"/>
      <w:bookmarkStart w:id="609" w:name="_Toc30163"/>
      <w:r>
        <w:rPr>
          <w:rFonts w:hint="eastAsia" w:eastAsia="方正小标宋简体"/>
          <w:sz w:val="44"/>
          <w:szCs w:val="44"/>
          <w:highlight w:val="none"/>
        </w:rPr>
        <w:t>中移（成都）信息通信科技有限公司</w:t>
      </w:r>
      <w:bookmarkEnd w:id="605"/>
      <w:bookmarkEnd w:id="606"/>
      <w:bookmarkEnd w:id="607"/>
      <w:bookmarkEnd w:id="608"/>
      <w:bookmarkEnd w:id="609"/>
    </w:p>
    <w:p w14:paraId="1EF91EA5">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66"/>
        <w:gridCol w:w="693"/>
        <w:gridCol w:w="560"/>
        <w:gridCol w:w="1120"/>
        <w:gridCol w:w="1627"/>
        <w:gridCol w:w="312"/>
        <w:gridCol w:w="1253"/>
        <w:gridCol w:w="160"/>
        <w:gridCol w:w="1859"/>
      </w:tblGrid>
      <w:tr w14:paraId="299C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3A35C2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07AA7CFC">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14:paraId="4E2089DE">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25BE1AC5">
            <w:pPr>
              <w:adjustRightInd w:val="0"/>
              <w:snapToGrid w:val="0"/>
              <w:spacing w:line="240" w:lineRule="auto"/>
              <w:ind w:firstLine="0"/>
              <w:jc w:val="center"/>
              <w:rPr>
                <w:rFonts w:hint="eastAsia" w:eastAsiaTheme="minorEastAsia"/>
                <w:sz w:val="21"/>
                <w:szCs w:val="21"/>
                <w:lang w:eastAsia="zh-CN"/>
              </w:rPr>
            </w:pPr>
            <w:r>
              <w:rPr>
                <w:rFonts w:hint="eastAsia" w:eastAsiaTheme="minorEastAsia"/>
                <w:sz w:val="21"/>
                <w:szCs w:val="21"/>
                <w:lang w:val="en-US" w:eastAsia="zh-CN"/>
              </w:rPr>
              <w:t>工作站</w:t>
            </w:r>
          </w:p>
        </w:tc>
        <w:tc>
          <w:tcPr>
            <w:tcW w:w="1529" w:type="dxa"/>
            <w:gridSpan w:val="2"/>
            <w:shd w:val="clear" w:color="auto" w:fill="E7E6E6" w:themeFill="background2"/>
            <w:noWrap/>
            <w:vAlign w:val="center"/>
          </w:tcPr>
          <w:p w14:paraId="611B5A67">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268BBEDE">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0F3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B22FC5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3017CB9B">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rPr>
              <w:t>中国（四川）自由贸易试验区成都高新区和乐二街150号</w:t>
            </w:r>
          </w:p>
        </w:tc>
      </w:tr>
      <w:tr w14:paraId="3A8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4" w:hRule="atLeast"/>
          <w:jc w:val="center"/>
        </w:trPr>
        <w:tc>
          <w:tcPr>
            <w:tcW w:w="1271" w:type="dxa"/>
            <w:shd w:val="clear" w:color="auto" w:fill="E7E6E6" w:themeFill="background2"/>
            <w:noWrap/>
            <w:vAlign w:val="center"/>
          </w:tcPr>
          <w:p w14:paraId="72BBBE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784E4AD5">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中国移动（成都）产业研究院【工商注册名为：中移（成都）信息通信科技有限公司】2018年9月成立，注册资金20亿，是中国移动通信集团致力于教育、医疗、农业、无人机、安全专网等垂直专业领域的创新者、产业资源的整合者、产业智能发展的赋能者。目前人员规模达1105人，全职研发人员883人，其中数智化人才占比92%，本科及以上学历占比100%，硕士和博士学历占比54%。其中国家高层次专家1名（原国家“千人计划”），国家技术发明奖二等奖获得者1人，国务院特殊津贴获得者2人，四川省天府峨眉计划（原四川省“千人计划”）3人、四川省天府青城计划（原四川省“万人计划”）1人、四川省“天府峨眉计划”创新团队1个。</w:t>
            </w:r>
          </w:p>
        </w:tc>
      </w:tr>
      <w:tr w14:paraId="1793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1271" w:type="dxa"/>
            <w:shd w:val="clear" w:color="auto" w:fill="E7E6E6" w:themeFill="background2"/>
            <w:noWrap/>
            <w:vAlign w:val="center"/>
          </w:tcPr>
          <w:p w14:paraId="49EAB82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2D8B6DBA">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1、享受正式员工待遇、六险一金</w:t>
            </w:r>
          </w:p>
          <w:p w14:paraId="16BDD519">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2、免费单位食堂、健身设施</w:t>
            </w:r>
          </w:p>
          <w:p w14:paraId="682052A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3、协助办理人才认定，享有购买高新区人才公寓资格</w:t>
            </w:r>
          </w:p>
          <w:p w14:paraId="1264747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4、充足的科研经费支撑，提供与院士、杰青、国家千人计划专家交流机会</w:t>
            </w:r>
          </w:p>
        </w:tc>
      </w:tr>
      <w:tr w14:paraId="2D4C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17" w:type="dxa"/>
            <w:gridSpan w:val="2"/>
            <w:shd w:val="clear" w:color="auto" w:fill="E7E6E6" w:themeFill="background2"/>
            <w:noWrap/>
            <w:vAlign w:val="center"/>
          </w:tcPr>
          <w:p w14:paraId="746AB8B4">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14:paraId="265941C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14:paraId="2B2DAE7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14:paraId="1B625AF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378BD6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0" w:type="dxa"/>
            <w:gridSpan w:val="2"/>
            <w:shd w:val="clear" w:color="auto" w:fill="E7E6E6" w:themeFill="background2"/>
            <w:vAlign w:val="center"/>
          </w:tcPr>
          <w:p w14:paraId="0A83F07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FB4F1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5" w:type="dxa"/>
            <w:shd w:val="clear" w:color="auto" w:fill="E7E6E6" w:themeFill="background2"/>
            <w:vAlign w:val="center"/>
          </w:tcPr>
          <w:p w14:paraId="2C9494C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161467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FF5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17" w:type="dxa"/>
            <w:gridSpan w:val="2"/>
            <w:shd w:val="clear" w:color="000000" w:fill="FFFFFF"/>
            <w:noWrap/>
            <w:vAlign w:val="center"/>
          </w:tcPr>
          <w:p w14:paraId="29105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低空智联网安全管控与服务关键技术</w:t>
            </w:r>
          </w:p>
        </w:tc>
        <w:tc>
          <w:tcPr>
            <w:tcW w:w="1224" w:type="dxa"/>
            <w:gridSpan w:val="2"/>
            <w:shd w:val="clear" w:color="000000" w:fill="FFFFFF"/>
            <w:vAlign w:val="center"/>
          </w:tcPr>
          <w:p w14:paraId="7D680A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7AD19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894" w:type="dxa"/>
            <w:gridSpan w:val="2"/>
            <w:shd w:val="clear" w:color="000000" w:fill="FFFFFF"/>
            <w:vAlign w:val="center"/>
          </w:tcPr>
          <w:p w14:paraId="659C2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电子与通信工程、计算机技术、软件工程、信息安全技术等</w:t>
            </w:r>
          </w:p>
        </w:tc>
        <w:tc>
          <w:tcPr>
            <w:tcW w:w="1380" w:type="dxa"/>
            <w:gridSpan w:val="2"/>
            <w:shd w:val="clear" w:color="000000" w:fill="FFFFFF"/>
            <w:vAlign w:val="center"/>
          </w:tcPr>
          <w:p w14:paraId="421F1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450</w:t>
            </w:r>
          </w:p>
        </w:tc>
        <w:tc>
          <w:tcPr>
            <w:tcW w:w="1815" w:type="dxa"/>
            <w:shd w:val="clear" w:color="000000" w:fill="FFFFFF"/>
            <w:vAlign w:val="center"/>
          </w:tcPr>
          <w:p w14:paraId="10075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清华大学、北京 大学、北京邮电大学、电子科技大学等</w:t>
            </w:r>
          </w:p>
        </w:tc>
      </w:tr>
      <w:tr w14:paraId="5445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17" w:type="dxa"/>
            <w:gridSpan w:val="2"/>
            <w:shd w:val="clear" w:color="000000" w:fill="FFFFFF"/>
            <w:noWrap/>
            <w:vAlign w:val="center"/>
          </w:tcPr>
          <w:p w14:paraId="1742A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5G网联无人机云网端核心技术研究</w:t>
            </w:r>
          </w:p>
        </w:tc>
        <w:tc>
          <w:tcPr>
            <w:tcW w:w="1224" w:type="dxa"/>
            <w:gridSpan w:val="2"/>
            <w:shd w:val="clear" w:color="000000" w:fill="FFFFFF"/>
            <w:vAlign w:val="center"/>
          </w:tcPr>
          <w:p w14:paraId="57B50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68311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894" w:type="dxa"/>
            <w:gridSpan w:val="2"/>
            <w:shd w:val="clear" w:color="000000" w:fill="FFFFFF"/>
            <w:vAlign w:val="center"/>
          </w:tcPr>
          <w:p w14:paraId="360AF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电子与通信工程、计算机技术、软件工程、信息安全技术等</w:t>
            </w:r>
          </w:p>
        </w:tc>
        <w:tc>
          <w:tcPr>
            <w:tcW w:w="1380" w:type="dxa"/>
            <w:gridSpan w:val="2"/>
            <w:shd w:val="clear" w:color="000000" w:fill="FFFFFF"/>
            <w:vAlign w:val="center"/>
          </w:tcPr>
          <w:p w14:paraId="541794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1815" w:type="dxa"/>
            <w:shd w:val="clear" w:color="000000" w:fill="FFFFFF"/>
            <w:vAlign w:val="center"/>
          </w:tcPr>
          <w:p w14:paraId="743AF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清华大学、北京 大学、北京邮电大学、电子科技大学等</w:t>
            </w:r>
          </w:p>
        </w:tc>
      </w:tr>
      <w:tr w14:paraId="6A55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17" w:type="dxa"/>
            <w:gridSpan w:val="2"/>
            <w:shd w:val="clear" w:color="000000" w:fill="FFFFFF"/>
            <w:noWrap/>
            <w:vAlign w:val="center"/>
          </w:tcPr>
          <w:p w14:paraId="23FCD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面向专科疾病辅助诊治的资源受限多模态医疗大模型研究</w:t>
            </w:r>
          </w:p>
        </w:tc>
        <w:tc>
          <w:tcPr>
            <w:tcW w:w="1224" w:type="dxa"/>
            <w:gridSpan w:val="2"/>
            <w:shd w:val="clear" w:color="000000" w:fill="FFFFFF"/>
            <w:vAlign w:val="center"/>
          </w:tcPr>
          <w:p w14:paraId="2F383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1BF3F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894" w:type="dxa"/>
            <w:gridSpan w:val="2"/>
            <w:shd w:val="clear" w:color="000000" w:fill="FFFFFF"/>
            <w:vAlign w:val="center"/>
          </w:tcPr>
          <w:p w14:paraId="29F72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计算机科学技术、</w:t>
            </w:r>
            <w:r>
              <w:rPr>
                <w:rFonts w:hint="eastAsia" w:ascii="Times New Roman" w:hAnsi="Times New Roman" w:cs="Times New Roman" w:eastAsiaTheme="minorEastAsia"/>
                <w:sz w:val="21"/>
                <w:szCs w:val="21"/>
                <w:lang w:val="en-US" w:eastAsia="zh-CN"/>
              </w:rPr>
              <w:fldChar w:fldCharType="begin"/>
            </w:r>
            <w:r>
              <w:rPr>
                <w:rFonts w:hint="eastAsia" w:ascii="Times New Roman" w:hAnsi="Times New Roman" w:cs="Times New Roman" w:eastAsiaTheme="minorEastAsia"/>
                <w:sz w:val="21"/>
                <w:szCs w:val="21"/>
                <w:lang w:val="en-US" w:eastAsia="zh-CN"/>
              </w:rPr>
              <w:instrText xml:space="preserve"> HYPERLINK "https://baike.baidu.com/item/%E4%BF%A1%E6%81%AF%E4%B8%8E%E9%80%9A%E4%BF%A1%E5%B7%A5%E7%A8%8B/7121751?fromModule=lemma_inlink" \t "https://baike.baidu.com/item/%E4%B8%80%E7%BA%A7%E5%AD%A6%E7%A7%91/_blank" </w:instrText>
            </w:r>
            <w:r>
              <w:rPr>
                <w:rFonts w:hint="eastAsia"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信息与通信工程</w:t>
            </w:r>
            <w:r>
              <w:rPr>
                <w:rFonts w:hint="default" w:ascii="Times New Roman" w:hAnsi="Times New Roman" w:cs="Times New Roman" w:eastAsiaTheme="minorEastAsia"/>
                <w:sz w:val="21"/>
                <w:szCs w:val="21"/>
                <w:lang w:val="en-US" w:eastAsia="zh-CN"/>
              </w:rPr>
              <w:fldChar w:fldCharType="end"/>
            </w:r>
            <w:r>
              <w:rPr>
                <w:rFonts w:hint="eastAsia"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fldChar w:fldCharType="begin"/>
            </w:r>
            <w:r>
              <w:rPr>
                <w:rFonts w:hint="eastAsia" w:ascii="Times New Roman" w:hAnsi="Times New Roman" w:cs="Times New Roman" w:eastAsiaTheme="minorEastAsia"/>
                <w:sz w:val="21"/>
                <w:szCs w:val="21"/>
                <w:lang w:val="en-US" w:eastAsia="zh-CN"/>
              </w:rPr>
              <w:instrText xml:space="preserve"> HYPERLINK "https://baike.baidu.com/item/%E5%8C%BB%E5%AD%A6%E6%8A%80%E6%9C%AF/1701018?fromModule=lemma_inlink" \t "https://baike.baidu.com/item/%E4%B8%80%E7%BA%A7%E5%AD%A6%E7%A7%91/_blank" </w:instrText>
            </w:r>
            <w:r>
              <w:rPr>
                <w:rFonts w:hint="eastAsia"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医学技术</w:t>
            </w:r>
            <w:r>
              <w:rPr>
                <w:rFonts w:hint="default" w:ascii="Times New Roman" w:hAnsi="Times New Roman" w:cs="Times New Roman" w:eastAsiaTheme="minorEastAsia"/>
                <w:sz w:val="21"/>
                <w:szCs w:val="21"/>
                <w:lang w:val="en-US" w:eastAsia="zh-CN"/>
              </w:rPr>
              <w:fldChar w:fldCharType="end"/>
            </w:r>
            <w:r>
              <w:rPr>
                <w:rFonts w:hint="eastAsia" w:ascii="Times New Roman" w:hAnsi="Times New Roman" w:cs="Times New Roman" w:eastAsiaTheme="minorEastAsia"/>
                <w:sz w:val="21"/>
                <w:szCs w:val="21"/>
                <w:lang w:val="en-US" w:eastAsia="zh-CN"/>
              </w:rPr>
              <w:t>等相关学科</w:t>
            </w:r>
          </w:p>
        </w:tc>
        <w:tc>
          <w:tcPr>
            <w:tcW w:w="1380" w:type="dxa"/>
            <w:gridSpan w:val="2"/>
            <w:shd w:val="clear" w:color="000000" w:fill="FFFFFF"/>
            <w:vAlign w:val="center"/>
          </w:tcPr>
          <w:p w14:paraId="4E333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p>
        </w:tc>
        <w:tc>
          <w:tcPr>
            <w:tcW w:w="1815" w:type="dxa"/>
            <w:shd w:val="clear" w:color="000000" w:fill="FFFFFF"/>
            <w:vAlign w:val="center"/>
          </w:tcPr>
          <w:p w14:paraId="0F3C1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清华大学、北京 大学、北京邮电大学、电子科技大学等</w:t>
            </w:r>
          </w:p>
        </w:tc>
      </w:tr>
      <w:tr w14:paraId="2A1B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17" w:type="dxa"/>
            <w:gridSpan w:val="2"/>
            <w:shd w:val="clear" w:color="000000" w:fill="FFFFFF"/>
            <w:noWrap/>
            <w:vAlign w:val="center"/>
          </w:tcPr>
          <w:p w14:paraId="3DCAA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基于数字孪生与大模型技术的特定人群机能监测、健康评估与提升指导</w:t>
            </w:r>
          </w:p>
        </w:tc>
        <w:tc>
          <w:tcPr>
            <w:tcW w:w="1224" w:type="dxa"/>
            <w:gridSpan w:val="2"/>
            <w:shd w:val="clear" w:color="000000" w:fill="FFFFFF"/>
            <w:vAlign w:val="center"/>
          </w:tcPr>
          <w:p w14:paraId="75D139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094" w:type="dxa"/>
            <w:shd w:val="clear" w:color="000000" w:fill="FFFFFF"/>
            <w:vAlign w:val="center"/>
          </w:tcPr>
          <w:p w14:paraId="253D1A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BSH004</w:t>
            </w:r>
          </w:p>
        </w:tc>
        <w:tc>
          <w:tcPr>
            <w:tcW w:w="1894" w:type="dxa"/>
            <w:gridSpan w:val="2"/>
            <w:shd w:val="clear" w:color="000000" w:fill="FFFFFF"/>
            <w:vAlign w:val="center"/>
          </w:tcPr>
          <w:p w14:paraId="50B13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计算机科学技术、</w:t>
            </w:r>
            <w:r>
              <w:rPr>
                <w:rFonts w:hint="eastAsia" w:ascii="Times New Roman" w:hAnsi="Times New Roman" w:cs="Times New Roman" w:eastAsiaTheme="minorEastAsia"/>
                <w:sz w:val="21"/>
                <w:szCs w:val="21"/>
                <w:lang w:val="en-US" w:eastAsia="zh-CN"/>
              </w:rPr>
              <w:fldChar w:fldCharType="begin"/>
            </w:r>
            <w:r>
              <w:rPr>
                <w:rFonts w:hint="eastAsia" w:ascii="Times New Roman" w:hAnsi="Times New Roman" w:cs="Times New Roman" w:eastAsiaTheme="minorEastAsia"/>
                <w:sz w:val="21"/>
                <w:szCs w:val="21"/>
                <w:lang w:val="en-US" w:eastAsia="zh-CN"/>
              </w:rPr>
              <w:instrText xml:space="preserve"> HYPERLINK "https://baike.baidu.com/item/%E4%BF%A1%E6%81%AF%E4%B8%8E%E9%80%9A%E4%BF%A1%E5%B7%A5%E7%A8%8B/7121751?fromModule=lemma_inlink" \t "https://baike.baidu.com/item/%E4%B8%80%E7%BA%A7%E5%AD%A6%E7%A7%91/_blank" </w:instrText>
            </w:r>
            <w:r>
              <w:rPr>
                <w:rFonts w:hint="eastAsia"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信息与通信工程</w:t>
            </w:r>
            <w:r>
              <w:rPr>
                <w:rFonts w:hint="default" w:ascii="Times New Roman" w:hAnsi="Times New Roman" w:cs="Times New Roman" w:eastAsiaTheme="minorEastAsia"/>
                <w:sz w:val="21"/>
                <w:szCs w:val="21"/>
                <w:lang w:val="en-US" w:eastAsia="zh-CN"/>
              </w:rPr>
              <w:fldChar w:fldCharType="end"/>
            </w:r>
            <w:r>
              <w:rPr>
                <w:rFonts w:hint="eastAsia"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fldChar w:fldCharType="begin"/>
            </w:r>
            <w:r>
              <w:rPr>
                <w:rFonts w:hint="eastAsia" w:ascii="Times New Roman" w:hAnsi="Times New Roman" w:cs="Times New Roman" w:eastAsiaTheme="minorEastAsia"/>
                <w:sz w:val="21"/>
                <w:szCs w:val="21"/>
                <w:lang w:val="en-US" w:eastAsia="zh-CN"/>
              </w:rPr>
              <w:instrText xml:space="preserve"> HYPERLINK "https://baike.baidu.com/item/%E5%8C%BB%E5%AD%A6%E6%8A%80%E6%9C%AF/1701018?fromModule=lemma_inlink" \t "https://baike.baidu.com/item/%E4%B8%80%E7%BA%A7%E5%AD%A6%E7%A7%91/_blank" </w:instrText>
            </w:r>
            <w:r>
              <w:rPr>
                <w:rFonts w:hint="eastAsia"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医学技术</w:t>
            </w:r>
            <w:r>
              <w:rPr>
                <w:rFonts w:hint="default" w:ascii="Times New Roman" w:hAnsi="Times New Roman" w:cs="Times New Roman" w:eastAsiaTheme="minorEastAsia"/>
                <w:sz w:val="21"/>
                <w:szCs w:val="21"/>
                <w:lang w:val="en-US" w:eastAsia="zh-CN"/>
              </w:rPr>
              <w:fldChar w:fldCharType="end"/>
            </w:r>
            <w:r>
              <w:rPr>
                <w:rFonts w:hint="eastAsia" w:ascii="Times New Roman" w:hAnsi="Times New Roman" w:cs="Times New Roman" w:eastAsiaTheme="minorEastAsia"/>
                <w:sz w:val="21"/>
                <w:szCs w:val="21"/>
                <w:lang w:val="en-US" w:eastAsia="zh-CN"/>
              </w:rPr>
              <w:t>等相关学科</w:t>
            </w:r>
          </w:p>
        </w:tc>
        <w:tc>
          <w:tcPr>
            <w:tcW w:w="1380" w:type="dxa"/>
            <w:gridSpan w:val="2"/>
            <w:shd w:val="clear" w:color="000000" w:fill="FFFFFF"/>
            <w:vAlign w:val="center"/>
          </w:tcPr>
          <w:p w14:paraId="3C0EC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400</w:t>
            </w:r>
          </w:p>
        </w:tc>
        <w:tc>
          <w:tcPr>
            <w:tcW w:w="1815" w:type="dxa"/>
            <w:shd w:val="clear" w:color="000000" w:fill="FFFFFF"/>
            <w:vAlign w:val="center"/>
          </w:tcPr>
          <w:p w14:paraId="533B5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清华大学、北京 大学、北京邮电大学、电子科技大学等</w:t>
            </w:r>
          </w:p>
        </w:tc>
      </w:tr>
    </w:tbl>
    <w:p w14:paraId="56E3FF5C">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44"/>
          <w:szCs w:val="44"/>
        </w:rPr>
      </w:pPr>
    </w:p>
    <w:p w14:paraId="2781C319">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outlineLvl w:val="0"/>
        <w:rPr>
          <w:rFonts w:eastAsia="方正小标宋简体"/>
          <w:sz w:val="44"/>
          <w:szCs w:val="44"/>
        </w:rPr>
      </w:pPr>
      <w:bookmarkStart w:id="610" w:name="_Toc329"/>
      <w:bookmarkStart w:id="611" w:name="_Toc16763"/>
      <w:bookmarkStart w:id="612" w:name="_Toc22117"/>
      <w:bookmarkStart w:id="613" w:name="_Toc17898"/>
      <w:r>
        <w:rPr>
          <w:rFonts w:eastAsia="方正小标宋简体"/>
          <w:sz w:val="44"/>
          <w:szCs w:val="44"/>
          <w:highlight w:val="none"/>
        </w:rPr>
        <w:t>自贡硬质合金有限责任公司</w:t>
      </w:r>
      <w:bookmarkEnd w:id="594"/>
      <w:bookmarkEnd w:id="610"/>
      <w:bookmarkEnd w:id="611"/>
      <w:bookmarkEnd w:id="612"/>
      <w:bookmarkEnd w:id="613"/>
    </w:p>
    <w:p w14:paraId="5DF93E73">
      <w:pPr>
        <w:pStyle w:val="5"/>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855"/>
        <w:gridCol w:w="734"/>
        <w:gridCol w:w="392"/>
        <w:gridCol w:w="1318"/>
        <w:gridCol w:w="108"/>
        <w:gridCol w:w="1549"/>
        <w:gridCol w:w="141"/>
        <w:gridCol w:w="1454"/>
        <w:gridCol w:w="73"/>
        <w:gridCol w:w="1802"/>
      </w:tblGrid>
      <w:tr w14:paraId="47CA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CD8771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00AA9E9E">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14:paraId="06DB2AFD">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2F351FF3">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14:paraId="087335F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gridSpan w:val="2"/>
            <w:shd w:val="clear" w:color="000000" w:fill="FFFFFF"/>
            <w:noWrap/>
            <w:vAlign w:val="center"/>
          </w:tcPr>
          <w:p w14:paraId="60601D37">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37AA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1B76B03">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10"/>
            <w:shd w:val="clear" w:color="000000" w:fill="FFFFFF"/>
            <w:noWrap/>
            <w:vAlign w:val="center"/>
          </w:tcPr>
          <w:p w14:paraId="7CC281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自贡市大安区人民路111号</w:t>
            </w:r>
          </w:p>
        </w:tc>
      </w:tr>
      <w:tr w14:paraId="7113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271" w:type="dxa"/>
            <w:shd w:val="clear" w:color="auto" w:fill="E7E6E6" w:themeFill="background2"/>
            <w:noWrap/>
            <w:vAlign w:val="center"/>
          </w:tcPr>
          <w:p w14:paraId="75F5A1F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10"/>
            <w:shd w:val="clear" w:color="000000" w:fill="FFFFFF"/>
            <w:vAlign w:val="center"/>
          </w:tcPr>
          <w:p w14:paraId="3F1C30A1">
            <w:pPr>
              <w:adjustRightInd w:val="0"/>
              <w:snapToGrid w:val="0"/>
              <w:spacing w:line="360" w:lineRule="auto"/>
              <w:ind w:firstLine="420" w:firstLineChars="200"/>
              <w:rPr>
                <w:rFonts w:eastAsiaTheme="minorEastAsia"/>
                <w:sz w:val="18"/>
                <w:szCs w:val="18"/>
              </w:rPr>
            </w:pPr>
            <w:r>
              <w:rPr>
                <w:rFonts w:hint="eastAsia" w:eastAsiaTheme="minorEastAsia"/>
                <w:sz w:val="21"/>
                <w:szCs w:val="21"/>
              </w:rPr>
              <w:t>自贡硬质合金有限责任公司始建于1965年，是我国自主设计建设的第一家大型硬质合金生产企业。2006年7月，湖南有色通过增资扩股方式，对自硬公司进行了产权制度改革；2010年，世界500强中国五矿成功并购湖南有色，公司成为中国五矿集团有限公司旗下硬质合金及钨钼产业的核心成员之一。产品广泛应用于机械、冶金、石油、矿山、建筑、电子、航天航空等领域。是国家第一批知识产权示范企业，累计获得授权专利超过300项，获得“全国五一劳动奖状”“全国用户满意企业”“中国驰名商标”“中国名牌产品”“国家级绿色工厂”等荣誉。公司2023年实现产值33.4亿元、实现税收收入2709万元。</w:t>
            </w:r>
          </w:p>
        </w:tc>
      </w:tr>
      <w:tr w14:paraId="37B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9" w:hRule="atLeast"/>
          <w:jc w:val="center"/>
        </w:trPr>
        <w:tc>
          <w:tcPr>
            <w:tcW w:w="1271" w:type="dxa"/>
            <w:shd w:val="clear" w:color="auto" w:fill="E7E6E6" w:themeFill="background2"/>
            <w:noWrap/>
            <w:vAlign w:val="center"/>
          </w:tcPr>
          <w:p w14:paraId="01A1F3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10"/>
            <w:shd w:val="clear" w:color="000000" w:fill="FFFFFF"/>
            <w:vAlign w:val="center"/>
          </w:tcPr>
          <w:p w14:paraId="1B0A03AD">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&lt;自贡硬质合金有限责任公司博士后科研工作站管理办法&gt;（节选）</w:t>
            </w:r>
          </w:p>
          <w:p w14:paraId="2AEA41E7">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第六条 公司成立博士后科研工作站领导小组（以下简称：博研工作站领导小组）。公司总经理任领导小组组长，主管技术副总经理任领导小组副组长，技术部、研发中心、人力资源部、企业发展部等部门负责人为领导小组成员。</w:t>
            </w:r>
          </w:p>
          <w:p w14:paraId="17E2B4E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 xml:space="preserve">  第十八条 对在科研中有创造性成果、重大技术革新或解决了关键性技术难题、具有显著的经济效益和社会效益的博士后，应给予重奖，具体奖励办法由公司博研工作站领导小组决定。</w:t>
            </w:r>
          </w:p>
        </w:tc>
      </w:tr>
      <w:tr w14:paraId="2D5C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091" w:type="dxa"/>
            <w:gridSpan w:val="2"/>
            <w:shd w:val="clear" w:color="auto" w:fill="E7E6E6" w:themeFill="background2"/>
            <w:noWrap/>
            <w:vAlign w:val="center"/>
          </w:tcPr>
          <w:p w14:paraId="0CC9DAF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0" w:type="dxa"/>
            <w:gridSpan w:val="2"/>
            <w:shd w:val="clear" w:color="auto" w:fill="E7E6E6" w:themeFill="background2"/>
            <w:vAlign w:val="center"/>
          </w:tcPr>
          <w:p w14:paraId="0DEAB284">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68" w:type="dxa"/>
            <w:gridSpan w:val="2"/>
            <w:shd w:val="clear" w:color="auto" w:fill="E7E6E6" w:themeFill="background2"/>
            <w:vAlign w:val="center"/>
          </w:tcPr>
          <w:p w14:paraId="606E76C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0" w:type="dxa"/>
            <w:gridSpan w:val="2"/>
            <w:shd w:val="clear" w:color="auto" w:fill="E7E6E6" w:themeFill="background2"/>
            <w:vAlign w:val="center"/>
          </w:tcPr>
          <w:p w14:paraId="3675B38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7D0FA0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64" w:type="dxa"/>
            <w:gridSpan w:val="2"/>
            <w:shd w:val="clear" w:color="auto" w:fill="E7E6E6" w:themeFill="background2"/>
            <w:vAlign w:val="center"/>
          </w:tcPr>
          <w:p w14:paraId="08C5A55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BDFCDE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28" w:type="dxa"/>
            <w:shd w:val="clear" w:color="auto" w:fill="E7E6E6" w:themeFill="background2"/>
            <w:vAlign w:val="center"/>
          </w:tcPr>
          <w:p w14:paraId="42DBB39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692741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3D5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9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40D9F5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特殊工况下冲压模失效模式和微观组织结构调控</w:t>
            </w:r>
          </w:p>
        </w:tc>
        <w:tc>
          <w:tcPr>
            <w:tcW w:w="1080" w:type="dxa"/>
            <w:gridSpan w:val="2"/>
            <w:tcBorders>
              <w:top w:val="single" w:color="auto" w:sz="4" w:space="0"/>
              <w:left w:val="nil"/>
              <w:bottom w:val="single" w:color="auto" w:sz="4" w:space="0"/>
              <w:right w:val="single" w:color="auto" w:sz="4" w:space="0"/>
            </w:tcBorders>
            <w:shd w:val="clear" w:color="auto" w:fill="FFFFFF"/>
            <w:vAlign w:val="center"/>
          </w:tcPr>
          <w:p w14:paraId="4ED55F4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68" w:type="dxa"/>
            <w:gridSpan w:val="2"/>
            <w:tcBorders>
              <w:top w:val="single" w:color="auto" w:sz="4" w:space="0"/>
              <w:left w:val="nil"/>
              <w:bottom w:val="single" w:color="auto" w:sz="4" w:space="0"/>
              <w:right w:val="single" w:color="auto" w:sz="4" w:space="0"/>
            </w:tcBorders>
            <w:shd w:val="clear" w:color="auto" w:fill="FFFFFF"/>
            <w:vAlign w:val="center"/>
          </w:tcPr>
          <w:p w14:paraId="603103D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20" w:type="dxa"/>
            <w:gridSpan w:val="2"/>
            <w:tcBorders>
              <w:top w:val="single" w:color="auto" w:sz="4" w:space="0"/>
              <w:left w:val="nil"/>
              <w:bottom w:val="single" w:color="auto" w:sz="4" w:space="0"/>
              <w:right w:val="single" w:color="auto" w:sz="4" w:space="0"/>
            </w:tcBorders>
            <w:shd w:val="clear" w:color="auto" w:fill="FFFFFF"/>
            <w:vAlign w:val="center"/>
          </w:tcPr>
          <w:p w14:paraId="70A62A7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材料</w:t>
            </w:r>
          </w:p>
        </w:tc>
        <w:tc>
          <w:tcPr>
            <w:tcW w:w="1464" w:type="dxa"/>
            <w:gridSpan w:val="2"/>
            <w:tcBorders>
              <w:top w:val="single" w:color="auto" w:sz="4" w:space="0"/>
              <w:left w:val="nil"/>
              <w:bottom w:val="single" w:color="auto" w:sz="4" w:space="0"/>
              <w:right w:val="single" w:color="auto" w:sz="4" w:space="0"/>
            </w:tcBorders>
            <w:shd w:val="clear" w:color="auto" w:fill="FFFFFF"/>
            <w:vAlign w:val="center"/>
          </w:tcPr>
          <w:p w14:paraId="4999337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728" w:type="dxa"/>
            <w:vMerge w:val="restart"/>
            <w:tcBorders>
              <w:top w:val="single" w:color="auto" w:sz="4" w:space="0"/>
              <w:left w:val="nil"/>
              <w:right w:val="single" w:color="auto" w:sz="4" w:space="0"/>
            </w:tcBorders>
            <w:shd w:val="clear" w:color="auto" w:fill="FFFFFF"/>
            <w:vAlign w:val="center"/>
          </w:tcPr>
          <w:p w14:paraId="089ADBF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985院校</w:t>
            </w:r>
          </w:p>
        </w:tc>
      </w:tr>
      <w:tr w14:paraId="68D8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09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31BBCD1">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内冷螺旋孔棒</w:t>
            </w:r>
            <w:r>
              <w:rPr>
                <w:rFonts w:hint="default" w:ascii="Times New Roman" w:hAnsi="Times New Roman" w:cs="Times New Roman" w:eastAsiaTheme="minorEastAsia"/>
                <w:sz w:val="21"/>
                <w:szCs w:val="21"/>
                <w:lang w:eastAsia="zh-CN"/>
              </w:rPr>
              <w:t>关键核心技术研究</w:t>
            </w:r>
          </w:p>
        </w:tc>
        <w:tc>
          <w:tcPr>
            <w:tcW w:w="1080" w:type="dxa"/>
            <w:gridSpan w:val="2"/>
            <w:tcBorders>
              <w:top w:val="single" w:color="auto" w:sz="4" w:space="0"/>
              <w:left w:val="nil"/>
              <w:bottom w:val="single" w:color="auto" w:sz="4" w:space="0"/>
              <w:right w:val="single" w:color="auto" w:sz="4" w:space="0"/>
            </w:tcBorders>
            <w:shd w:val="clear" w:color="auto" w:fill="FFFFFF"/>
            <w:vAlign w:val="center"/>
          </w:tcPr>
          <w:p w14:paraId="6B10828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68" w:type="dxa"/>
            <w:gridSpan w:val="2"/>
            <w:tcBorders>
              <w:top w:val="single" w:color="auto" w:sz="4" w:space="0"/>
              <w:left w:val="nil"/>
              <w:bottom w:val="single" w:color="auto" w:sz="4" w:space="0"/>
              <w:right w:val="single" w:color="auto" w:sz="4" w:space="0"/>
            </w:tcBorders>
            <w:shd w:val="clear" w:color="auto" w:fill="FFFFFF"/>
            <w:vAlign w:val="center"/>
          </w:tcPr>
          <w:p w14:paraId="2B0A1BC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20" w:type="dxa"/>
            <w:gridSpan w:val="2"/>
            <w:tcBorders>
              <w:top w:val="single" w:color="auto" w:sz="4" w:space="0"/>
              <w:left w:val="nil"/>
              <w:bottom w:val="single" w:color="auto" w:sz="4" w:space="0"/>
              <w:right w:val="single" w:color="auto" w:sz="4" w:space="0"/>
            </w:tcBorders>
            <w:shd w:val="clear" w:color="auto" w:fill="FFFFFF"/>
            <w:vAlign w:val="center"/>
          </w:tcPr>
          <w:p w14:paraId="37B61BC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i w:val="0"/>
                <w:caps w:val="0"/>
                <w:color w:val="333333"/>
                <w:spacing w:val="0"/>
                <w:sz w:val="21"/>
                <w:szCs w:val="21"/>
                <w:shd w:val="clear" w:color="auto" w:fill="FFFFFF"/>
              </w:rPr>
              <w:t>机械</w:t>
            </w:r>
          </w:p>
        </w:tc>
        <w:tc>
          <w:tcPr>
            <w:tcW w:w="1464" w:type="dxa"/>
            <w:gridSpan w:val="2"/>
            <w:tcBorders>
              <w:top w:val="single" w:color="auto" w:sz="4" w:space="0"/>
              <w:left w:val="nil"/>
              <w:bottom w:val="single" w:color="auto" w:sz="4" w:space="0"/>
              <w:right w:val="single" w:color="auto" w:sz="4" w:space="0"/>
            </w:tcBorders>
            <w:shd w:val="clear" w:color="auto" w:fill="FFFFFF"/>
            <w:vAlign w:val="center"/>
          </w:tcPr>
          <w:p w14:paraId="07B9D6A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728" w:type="dxa"/>
            <w:vMerge w:val="continue"/>
            <w:tcBorders>
              <w:left w:val="nil"/>
              <w:bottom w:val="single" w:color="auto" w:sz="4" w:space="0"/>
              <w:right w:val="single" w:color="auto" w:sz="4" w:space="0"/>
            </w:tcBorders>
            <w:shd w:val="clear" w:color="auto" w:fill="FFFFFF"/>
            <w:vAlign w:val="center"/>
          </w:tcPr>
          <w:p w14:paraId="2E5E7B5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6C0632A5">
      <w:pPr>
        <w:pStyle w:val="3"/>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721B92B6">
      <w:pPr>
        <w:pStyle w:val="5"/>
        <w:keepNext w:val="0"/>
        <w:keepLines w:val="0"/>
        <w:pageBreakBefore w:val="0"/>
        <w:widowControl w:val="0"/>
        <w:kinsoku/>
        <w:wordWrap/>
        <w:overflowPunct/>
        <w:topLinePunct w:val="0"/>
        <w:autoSpaceDE/>
        <w:autoSpaceDN/>
        <w:bidi w:val="0"/>
        <w:adjustRightInd w:val="0"/>
        <w:snapToGrid w:val="0"/>
        <w:spacing w:line="240" w:lineRule="auto"/>
        <w:ind w:left="1060" w:firstLine="0"/>
        <w:jc w:val="center"/>
        <w:textAlignment w:val="auto"/>
        <w:rPr>
          <w:rFonts w:eastAsia="方正小标宋简体"/>
          <w:sz w:val="44"/>
          <w:szCs w:val="44"/>
        </w:rPr>
      </w:pPr>
    </w:p>
    <w:p w14:paraId="562BD12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14" w:name="_Toc23798"/>
      <w:bookmarkStart w:id="615" w:name="_Toc13187"/>
      <w:bookmarkStart w:id="616" w:name="_Toc13797"/>
      <w:bookmarkStart w:id="617" w:name="_Toc27468"/>
      <w:bookmarkStart w:id="618" w:name="_Toc27890"/>
      <w:bookmarkStart w:id="619" w:name="_Toc19858"/>
      <w:r>
        <w:rPr>
          <w:rFonts w:hint="eastAsia" w:ascii="Times New Roman" w:hAnsi="Times New Roman" w:eastAsia="方正小标宋简体" w:cs="Times New Roman"/>
          <w:sz w:val="44"/>
          <w:szCs w:val="44"/>
          <w:highlight w:val="none"/>
        </w:rPr>
        <w:t>爱斯特（成都）生物制药股份有限公司</w:t>
      </w:r>
      <w:bookmarkEnd w:id="614"/>
      <w:bookmarkEnd w:id="615"/>
      <w:bookmarkEnd w:id="616"/>
      <w:bookmarkEnd w:id="617"/>
      <w:bookmarkEnd w:id="618"/>
    </w:p>
    <w:p w14:paraId="7AAE9766">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596"/>
        <w:gridCol w:w="1017"/>
        <w:gridCol w:w="581"/>
        <w:gridCol w:w="519"/>
        <w:gridCol w:w="1154"/>
        <w:gridCol w:w="463"/>
        <w:gridCol w:w="1492"/>
        <w:gridCol w:w="1629"/>
      </w:tblGrid>
      <w:tr w14:paraId="4AB3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E6E3A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shd w:val="clear" w:color="000000" w:fill="FFFFFF"/>
            <w:noWrap/>
            <w:vAlign w:val="center"/>
          </w:tcPr>
          <w:p w14:paraId="39AD9E4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hint="eastAsia" w:eastAsiaTheme="minorEastAsia"/>
                <w:sz w:val="21"/>
                <w:szCs w:val="21"/>
              </w:rPr>
              <w:t>外/合资企业</w:t>
            </w:r>
          </w:p>
        </w:tc>
        <w:tc>
          <w:tcPr>
            <w:tcW w:w="1560" w:type="dxa"/>
            <w:gridSpan w:val="2"/>
            <w:shd w:val="clear" w:color="auto" w:fill="E7E6E6" w:themeFill="background2"/>
            <w:noWrap/>
            <w:vAlign w:val="center"/>
          </w:tcPr>
          <w:p w14:paraId="6F228B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14:paraId="4B4F9ED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14:paraId="3E58FD8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14:paraId="3EC8195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成都</w:t>
            </w:r>
          </w:p>
        </w:tc>
      </w:tr>
      <w:tr w14:paraId="766F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028242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14:paraId="5838D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成都市温江区科林路西段488号</w:t>
            </w:r>
          </w:p>
        </w:tc>
      </w:tr>
      <w:tr w14:paraId="57D0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1271" w:type="dxa"/>
            <w:shd w:val="clear" w:color="auto" w:fill="E7E6E6" w:themeFill="background2"/>
            <w:noWrap/>
            <w:vAlign w:val="center"/>
          </w:tcPr>
          <w:p w14:paraId="780BDA4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72E674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爱斯特（成都）生物制药股份有限公司成立于2005年，专注于为全球制药公司提供医药中间体的定制研发、生产及工艺开发服务。公司位于成都，拥有大型研发和生产设施，员工680余人，其中科研人员200余，包括17名博士。经过近二十年的发展，爱斯特为众多客户提供从临床前到上市新药原料药的高级中间体，具备从小试到工业量产的生产体系，并建立了完善的工艺技术研发体系和质量、环境、职业健康管理体系。公司拥有150项专利，服务全球1000多名客户，包括前30名全球制药公司，分布于多个国家。</w:t>
            </w:r>
          </w:p>
        </w:tc>
      </w:tr>
      <w:tr w14:paraId="45C0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jc w:val="center"/>
        </w:trPr>
        <w:tc>
          <w:tcPr>
            <w:tcW w:w="1271" w:type="dxa"/>
            <w:shd w:val="clear" w:color="auto" w:fill="E7E6E6" w:themeFill="background2"/>
            <w:noWrap/>
            <w:vAlign w:val="center"/>
          </w:tcPr>
          <w:p w14:paraId="73AF5A5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18C8E8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1.研发软硬件</w:t>
            </w:r>
            <w:r>
              <w:rPr>
                <w:rFonts w:hint="eastAsia" w:eastAsiaTheme="minorEastAsia"/>
                <w:sz w:val="21"/>
                <w:szCs w:val="21"/>
                <w:lang w:eastAsia="zh-CN"/>
              </w:rPr>
              <w:t>：</w:t>
            </w:r>
            <w:r>
              <w:rPr>
                <w:rFonts w:hint="eastAsia" w:eastAsiaTheme="minorEastAsia"/>
                <w:sz w:val="21"/>
                <w:szCs w:val="21"/>
              </w:rPr>
              <w:t>在成都市温江区有35000多平方米的研发基地，已有专职研发团队超过200人；</w:t>
            </w:r>
          </w:p>
          <w:p w14:paraId="7C7C88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2.人才激励</w:t>
            </w:r>
            <w:r>
              <w:rPr>
                <w:rFonts w:hint="eastAsia" w:eastAsiaTheme="minorEastAsia"/>
                <w:sz w:val="21"/>
                <w:szCs w:val="21"/>
                <w:lang w:eastAsia="zh-CN"/>
              </w:rPr>
              <w:t>：</w:t>
            </w:r>
            <w:r>
              <w:rPr>
                <w:rFonts w:hint="eastAsia" w:eastAsiaTheme="minorEastAsia"/>
                <w:sz w:val="21"/>
                <w:szCs w:val="21"/>
              </w:rPr>
              <w:t>竞争力薪酬+绩效奖励+项目奖励</w:t>
            </w:r>
            <w:r>
              <w:rPr>
                <w:rFonts w:hint="eastAsia" w:eastAsiaTheme="minorEastAsia"/>
                <w:sz w:val="21"/>
                <w:szCs w:val="21"/>
                <w:lang w:eastAsia="zh-CN"/>
              </w:rPr>
              <w:t>；</w:t>
            </w:r>
          </w:p>
          <w:p w14:paraId="127D74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3.政府人才政策及补助项目申请；</w:t>
            </w:r>
          </w:p>
          <w:p w14:paraId="22F5DC5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4.人才公寓购买及租赁支持（视具体岗位）；</w:t>
            </w:r>
          </w:p>
          <w:p w14:paraId="28800CF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5.人才子女教育支持；</w:t>
            </w:r>
          </w:p>
          <w:p w14:paraId="175EB9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6.</w:t>
            </w:r>
            <w:r>
              <w:rPr>
                <w:rFonts w:hint="eastAsia" w:eastAsiaTheme="minorEastAsia"/>
                <w:sz w:val="21"/>
                <w:szCs w:val="21"/>
              </w:rPr>
              <w:t>其它支持</w:t>
            </w:r>
            <w:r>
              <w:rPr>
                <w:rFonts w:hint="eastAsia" w:eastAsiaTheme="minorEastAsia"/>
                <w:sz w:val="21"/>
                <w:szCs w:val="21"/>
                <w:lang w:eastAsia="zh-CN"/>
              </w:rPr>
              <w:t>。</w:t>
            </w:r>
          </w:p>
        </w:tc>
      </w:tr>
      <w:tr w14:paraId="79CA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0" w:type="dxa"/>
            <w:gridSpan w:val="2"/>
            <w:shd w:val="clear" w:color="auto" w:fill="E7E6E6" w:themeFill="background2"/>
            <w:noWrap/>
            <w:vAlign w:val="center"/>
          </w:tcPr>
          <w:p w14:paraId="046B5BF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14:paraId="05966D2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3ABA33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14:paraId="669EE49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1332BE9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14:paraId="2C1F64E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228198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shd w:val="clear" w:color="auto" w:fill="E7E6E6" w:themeFill="background2"/>
            <w:vAlign w:val="center"/>
          </w:tcPr>
          <w:p w14:paraId="5273B94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C0906E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shd w:val="clear" w:color="auto" w:fill="E7E6E6" w:themeFill="background2"/>
            <w:vAlign w:val="center"/>
          </w:tcPr>
          <w:p w14:paraId="218D8BC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69DC7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1F4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E1973C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小分子创新药物创新工艺研究</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88880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64F45D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5CAFB2B">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化学、药学、化学工程和工艺</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7B660E">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500–1000</w:t>
            </w:r>
          </w:p>
          <w:p w14:paraId="5711576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个人：30-40</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5306A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有小分子药物合成经验、精通多种合成方法学</w:t>
            </w:r>
          </w:p>
        </w:tc>
      </w:tr>
      <w:tr w14:paraId="7D8E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4D704A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自动化流体化学合成工艺研究</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CDFBF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9DFFE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0E83E1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化学、药学、化学工程和工艺、计算机科学与技术</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2A4938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项目：1000–2000</w:t>
            </w:r>
          </w:p>
          <w:p w14:paraId="35169B9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个人：35-45</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B0D244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熟悉小分子药物合成流程，从事流体化学、微流控或者计算机编程等相关研究工作</w:t>
            </w:r>
          </w:p>
        </w:tc>
      </w:tr>
      <w:tr w14:paraId="3EB5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E0A0DE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小分子药物的创新性合成路径研究</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0735DD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76618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7B483A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人工智能、计算机科学与技术、化学、药学</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B5843BB">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项目：1000–2000</w:t>
            </w:r>
          </w:p>
          <w:p w14:paraId="521AF52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个人：45-60</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33B33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精通机器学习，具备人工智能在相关细分领域应用性研究经历</w:t>
            </w:r>
          </w:p>
        </w:tc>
      </w:tr>
    </w:tbl>
    <w:p w14:paraId="078459F9">
      <w:pPr>
        <w:pStyle w:val="5"/>
        <w:adjustRightInd w:val="0"/>
        <w:snapToGrid w:val="0"/>
        <w:spacing w:line="240" w:lineRule="auto"/>
        <w:ind w:firstLine="0"/>
        <w:jc w:val="both"/>
        <w:rPr>
          <w:rFonts w:eastAsia="方正小标宋简体"/>
          <w:sz w:val="44"/>
          <w:szCs w:val="44"/>
        </w:rPr>
      </w:pPr>
    </w:p>
    <w:p w14:paraId="2F5C4FDA">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20" w:name="_Toc24875"/>
      <w:bookmarkStart w:id="621" w:name="_Toc29136"/>
      <w:bookmarkStart w:id="622" w:name="_Toc7563"/>
      <w:bookmarkStart w:id="623" w:name="_Toc3441"/>
      <w:bookmarkStart w:id="624" w:name="_Toc9017"/>
      <w:r>
        <w:rPr>
          <w:rFonts w:hint="eastAsia" w:ascii="Times New Roman" w:hAnsi="Times New Roman" w:eastAsia="方正小标宋简体" w:cs="Times New Roman"/>
          <w:sz w:val="44"/>
          <w:szCs w:val="44"/>
          <w:highlight w:val="none"/>
        </w:rPr>
        <w:t>安岳县柠檬产业展中心</w:t>
      </w:r>
      <w:bookmarkEnd w:id="620"/>
      <w:bookmarkEnd w:id="621"/>
      <w:bookmarkEnd w:id="622"/>
      <w:bookmarkEnd w:id="623"/>
      <w:bookmarkEnd w:id="624"/>
    </w:p>
    <w:p w14:paraId="751C8A3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4A8D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ED123C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297DF1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其他</w:t>
            </w:r>
          </w:p>
        </w:tc>
        <w:tc>
          <w:tcPr>
            <w:tcW w:w="1616" w:type="dxa"/>
            <w:gridSpan w:val="2"/>
            <w:shd w:val="clear" w:color="auto" w:fill="E7E6E6" w:themeFill="background2"/>
            <w:noWrap/>
            <w:vAlign w:val="center"/>
          </w:tcPr>
          <w:p w14:paraId="5644752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28419E9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7970FBB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29432EA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安岳</w:t>
            </w:r>
          </w:p>
        </w:tc>
      </w:tr>
      <w:tr w14:paraId="2419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2FCAE05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3ADD0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四川省安岳县县级机关集中办公区3号楼104室</w:t>
            </w:r>
          </w:p>
        </w:tc>
      </w:tr>
      <w:tr w14:paraId="68CE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123" w:hRule="atLeast"/>
          <w:jc w:val="center"/>
        </w:trPr>
        <w:tc>
          <w:tcPr>
            <w:tcW w:w="1271" w:type="dxa"/>
            <w:shd w:val="clear" w:color="auto" w:fill="E7E6E6" w:themeFill="background2"/>
            <w:noWrap/>
            <w:vAlign w:val="center"/>
          </w:tcPr>
          <w:p w14:paraId="4B130AD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365F750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安岳县柠檬产业发展中心为安岳县政府特设正科级一类事业单位，主要承担安岳县柠檬种植技术研究、推广、营销等公益性、事务性职责。单位设科技研发股、生产发展股、品牌建设股三个股室，加挂安岳县柠檬科学技术研究所牌子，现有职工28名，其中：全日制硕士研究生4人、全日制本科6人；专业技术岗位人员21人（其中：农业推广研究员1人，高级农艺师13人，农艺师4人，助理农艺师3人）。安岳县柠檬产业发展中心搭建有科技部国际科技合作基地、四川省“天府学者”、四川省专家智力服务基地、四川省农产品外贸出口示范基地、2023年省级农业国际贸易高质量发展基地、安岳柠檬院士（专家）工作站、安岳柠檬产业技术研究院等合作平台。</w:t>
            </w:r>
          </w:p>
        </w:tc>
      </w:tr>
      <w:tr w14:paraId="6912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656" w:hRule="atLeast"/>
          <w:jc w:val="center"/>
        </w:trPr>
        <w:tc>
          <w:tcPr>
            <w:tcW w:w="1271" w:type="dxa"/>
            <w:shd w:val="clear" w:color="auto" w:fill="E7E6E6" w:themeFill="background2"/>
            <w:noWrap/>
            <w:vAlign w:val="center"/>
          </w:tcPr>
          <w:p w14:paraId="68B691F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0A3ED4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与博士后流动工作站联系培养，每年支付流动站管理费3－5万元。以项目合作方式等方式，每年给予30经费保障（包括引进基地博士后的课题研究经费），支持创新实践基地博士后争取中国博士后科学基金会、国家博士后国际交流计划等国省科研项目。为进基地博士后提供在实践基地工作期间居住保障；指派合作导师，并配备一定数量的科研助手，成立科研项目小组，保障博士后工作开展。</w:t>
            </w:r>
          </w:p>
        </w:tc>
      </w:tr>
      <w:tr w14:paraId="6258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20E1652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45BF789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5672661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25548F7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E4F33A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6927CBC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E5FB8E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33FB92C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619C8A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F78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45D263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柠檬加工产品研发</w:t>
            </w:r>
          </w:p>
        </w:tc>
        <w:tc>
          <w:tcPr>
            <w:tcW w:w="1132" w:type="dxa"/>
            <w:gridSpan w:val="2"/>
            <w:shd w:val="clear" w:color="auto" w:fill="auto"/>
            <w:vAlign w:val="center"/>
          </w:tcPr>
          <w:p w14:paraId="7C988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w:t>
            </w:r>
          </w:p>
        </w:tc>
        <w:tc>
          <w:tcPr>
            <w:tcW w:w="1116" w:type="dxa"/>
            <w:gridSpan w:val="2"/>
            <w:shd w:val="clear" w:color="auto" w:fill="auto"/>
            <w:vAlign w:val="center"/>
          </w:tcPr>
          <w:p w14:paraId="497E8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4824F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食品科学与工程</w:t>
            </w:r>
          </w:p>
        </w:tc>
        <w:tc>
          <w:tcPr>
            <w:tcW w:w="1632" w:type="dxa"/>
            <w:shd w:val="clear" w:color="auto" w:fill="auto"/>
            <w:vAlign w:val="center"/>
          </w:tcPr>
          <w:p w14:paraId="7E8A4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30</w:t>
            </w:r>
          </w:p>
        </w:tc>
        <w:tc>
          <w:tcPr>
            <w:tcW w:w="2023" w:type="dxa"/>
            <w:gridSpan w:val="3"/>
            <w:shd w:val="clear" w:color="auto" w:fill="auto"/>
            <w:vAlign w:val="center"/>
          </w:tcPr>
          <w:p w14:paraId="448CC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川内高校、科研院所</w:t>
            </w:r>
          </w:p>
        </w:tc>
      </w:tr>
      <w:tr w14:paraId="50BD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29D7C4A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柠檬生产技术的精简化、高效化研究</w:t>
            </w:r>
          </w:p>
        </w:tc>
        <w:tc>
          <w:tcPr>
            <w:tcW w:w="1132" w:type="dxa"/>
            <w:gridSpan w:val="2"/>
            <w:shd w:val="clear" w:color="auto" w:fill="auto"/>
            <w:vAlign w:val="center"/>
          </w:tcPr>
          <w:p w14:paraId="39856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w:t>
            </w:r>
          </w:p>
        </w:tc>
        <w:tc>
          <w:tcPr>
            <w:tcW w:w="1116" w:type="dxa"/>
            <w:gridSpan w:val="2"/>
            <w:shd w:val="clear" w:color="auto" w:fill="auto"/>
            <w:vAlign w:val="center"/>
          </w:tcPr>
          <w:p w14:paraId="7F58D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BSH002</w:t>
            </w:r>
          </w:p>
        </w:tc>
        <w:tc>
          <w:tcPr>
            <w:tcW w:w="1512" w:type="dxa"/>
            <w:gridSpan w:val="2"/>
            <w:shd w:val="clear" w:color="auto" w:fill="auto"/>
            <w:vAlign w:val="center"/>
          </w:tcPr>
          <w:p w14:paraId="79A10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园艺学、农业工程</w:t>
            </w:r>
          </w:p>
        </w:tc>
        <w:tc>
          <w:tcPr>
            <w:tcW w:w="1632" w:type="dxa"/>
            <w:shd w:val="clear" w:color="auto" w:fill="auto"/>
            <w:vAlign w:val="center"/>
          </w:tcPr>
          <w:p w14:paraId="233A9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30</w:t>
            </w:r>
          </w:p>
        </w:tc>
        <w:tc>
          <w:tcPr>
            <w:tcW w:w="2023" w:type="dxa"/>
            <w:gridSpan w:val="3"/>
            <w:shd w:val="clear" w:color="auto" w:fill="auto"/>
            <w:vAlign w:val="center"/>
          </w:tcPr>
          <w:p w14:paraId="45880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川内高校、科研院所</w:t>
            </w:r>
          </w:p>
        </w:tc>
      </w:tr>
    </w:tbl>
    <w:p w14:paraId="0FB4CB27">
      <w:pPr>
        <w:pStyle w:val="5"/>
        <w:adjustRightInd w:val="0"/>
        <w:snapToGrid w:val="0"/>
        <w:spacing w:line="240" w:lineRule="auto"/>
        <w:ind w:firstLine="0"/>
        <w:rPr>
          <w:rFonts w:eastAsiaTheme="minorEastAsia"/>
          <w:sz w:val="21"/>
          <w:szCs w:val="21"/>
        </w:rPr>
      </w:pPr>
    </w:p>
    <w:p w14:paraId="17BA49C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6DF77C0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25" w:name="_Toc20732"/>
      <w:bookmarkStart w:id="626" w:name="_Toc11534"/>
      <w:bookmarkStart w:id="627" w:name="_Toc24196"/>
      <w:bookmarkStart w:id="628" w:name="_Toc18702"/>
      <w:bookmarkStart w:id="629" w:name="_Toc16858"/>
      <w:r>
        <w:rPr>
          <w:rFonts w:hint="eastAsia" w:ascii="Times New Roman" w:hAnsi="Times New Roman" w:eastAsia="方正小标宋简体" w:cs="Times New Roman"/>
          <w:sz w:val="44"/>
          <w:szCs w:val="44"/>
          <w:highlight w:val="none"/>
        </w:rPr>
        <w:t>奥泰医疗系统有限责任公司</w:t>
      </w:r>
      <w:bookmarkEnd w:id="625"/>
      <w:bookmarkEnd w:id="626"/>
      <w:bookmarkEnd w:id="627"/>
      <w:bookmarkEnd w:id="628"/>
      <w:bookmarkEnd w:id="629"/>
    </w:p>
    <w:p w14:paraId="7F70860C">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4799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52E1634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64EDEC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616" w:type="dxa"/>
            <w:gridSpan w:val="2"/>
            <w:shd w:val="clear" w:color="auto" w:fill="E7E6E6" w:themeFill="background2"/>
            <w:noWrap/>
            <w:vAlign w:val="center"/>
          </w:tcPr>
          <w:p w14:paraId="2E55B78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0BB69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4960EE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4292106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58A6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A705E5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5E19B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四川省成都市高新西区天勤路201号</w:t>
            </w:r>
          </w:p>
        </w:tc>
      </w:tr>
      <w:tr w14:paraId="5261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710" w:hRule="atLeast"/>
          <w:jc w:val="center"/>
        </w:trPr>
        <w:tc>
          <w:tcPr>
            <w:tcW w:w="1271" w:type="dxa"/>
            <w:shd w:val="clear" w:color="auto" w:fill="E7E6E6" w:themeFill="background2"/>
            <w:noWrap/>
            <w:vAlign w:val="center"/>
          </w:tcPr>
          <w:p w14:paraId="04AFE8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7041EC0E">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奥泰医疗系统有限责任公司，现为先导科技集团旗下成员，创立于2005年，是中国第一家打破超导磁共振行业技术壁垒的创新型高科技企业，用户遍布全球。</w:t>
            </w:r>
          </w:p>
          <w:p w14:paraId="5D033D8F">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创始人邹学明为美国医学与生物工程院院士、 麻省理工学院医学物理学博士，曾任GE医疗集团全球副总裁。</w:t>
            </w:r>
          </w:p>
          <w:p w14:paraId="1C9B27D0">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作为中国超导磁共振“破冰者”，奥泰医疗一直深耕医学影像领域，经过近20年的发展，产品线已覆盖MRI、X-Ray、US、Mammo。</w:t>
            </w:r>
          </w:p>
          <w:p w14:paraId="457E512A">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立足中国，放眼全球，依托先导科技集团全球产业布局所带来的全面视野与坚实支撑，奥泰医疗汇集全球精英人才，始终专注技术与工艺创新，不断改善用户体验，深耕医疗装备领域，提供从原材料→元器件→系统部件→医疗装备整机的一体化产业链整体解决方案，成为国际领先的技术创新型高科技医疗企业。</w:t>
            </w:r>
          </w:p>
        </w:tc>
      </w:tr>
      <w:tr w14:paraId="5B7D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7226" w:hRule="atLeast"/>
          <w:jc w:val="center"/>
        </w:trPr>
        <w:tc>
          <w:tcPr>
            <w:tcW w:w="1271" w:type="dxa"/>
            <w:shd w:val="clear" w:color="auto" w:fill="E7E6E6" w:themeFill="background2"/>
            <w:noWrap/>
            <w:vAlign w:val="center"/>
          </w:tcPr>
          <w:p w14:paraId="13CCB4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183CF438">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四川省博士后支持政策：</w:t>
            </w:r>
          </w:p>
          <w:p w14:paraId="6BA55F8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1、新设立的博士后科研工作站和博士后创新实践基地一次性给予20万元资助。</w:t>
            </w:r>
          </w:p>
          <w:p w14:paraId="61C5DF71">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val="en-US" w:eastAsia="zh-CN"/>
              </w:rPr>
            </w:pPr>
            <w:r>
              <w:rPr>
                <w:rFonts w:hint="eastAsia" w:eastAsiaTheme="minorEastAsia"/>
                <w:sz w:val="21"/>
                <w:szCs w:val="21"/>
                <w:lang w:eastAsia="zh-CN"/>
              </w:rPr>
              <w:t>2、对博士后科研流动站、工作站和创新实践基地招收的博士后，给予每人两年16万元日常经费资助</w:t>
            </w:r>
            <w:r>
              <w:rPr>
                <w:rFonts w:hint="eastAsia" w:eastAsiaTheme="minorEastAsia"/>
                <w:sz w:val="21"/>
                <w:szCs w:val="21"/>
                <w:lang w:val="en-US" w:eastAsia="zh-CN"/>
              </w:rPr>
              <w:t>。</w:t>
            </w:r>
          </w:p>
          <w:p w14:paraId="3E3FD6C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3、开展博士后科研项目特别资助，每年资助100项，资助标准分为特等资助20万元/项、一等资助10万元/项、二等资助8万元/项、三等资助5万元/项。</w:t>
            </w:r>
          </w:p>
          <w:p w14:paraId="7816BF8A">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4、实施四川省博士后创新人才支持项目，每年遴选25名左右应届或新近毕业的优秀博士给予每人两年40万元资助。</w:t>
            </w:r>
          </w:p>
          <w:p w14:paraId="7FC5F377">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成都市博士后支持政策：</w:t>
            </w:r>
          </w:p>
          <w:p w14:paraId="72F42775">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1、2022年7月起，新获批设立的流动站、工作站（不含分站）和基地，招收1名及以上博士后人员进站后，一次性给予20万元资助。</w:t>
            </w:r>
          </w:p>
          <w:p w14:paraId="71B4A2C1">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2、2022年7月起，新进入流动站、工作站或基地的全职博士后人员，在站期间给予每人每年10万元生活资助，连续资助期不超过2年；在职博士后人员，在站期间给予每人每年5万元生活资助，连续资助期不超过2年。</w:t>
            </w:r>
          </w:p>
          <w:p w14:paraId="2EB6DDF2">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3、2022年7月起，新入选“国家博士后创新人才支持计划”或“四川省博士后创新人才支持项目”并在蓉工作的博士后人员，按每人每年20万元的标准给予资助，连续资助期不超过2年。</w:t>
            </w:r>
          </w:p>
          <w:p w14:paraId="1DDB081C">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成都高新区博士后支持政策：</w:t>
            </w:r>
          </w:p>
          <w:p w14:paraId="0E609495">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对新进入成都高新区博士后站点从事科研工作的博士，经认定后，按中期考核和出站考核两次，分别给予15万元生活补贴，总计给予30万元生活补贴。</w:t>
            </w:r>
          </w:p>
        </w:tc>
      </w:tr>
      <w:tr w14:paraId="2D54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6331F3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5532715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0A5274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7B09123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F5B60A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7572F68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9A80C3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347EAF6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FD1AD2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C2C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41" w:type="dxa"/>
            <w:gridSpan w:val="2"/>
            <w:shd w:val="clear" w:color="auto" w:fill="auto"/>
            <w:noWrap/>
            <w:vAlign w:val="center"/>
          </w:tcPr>
          <w:p w14:paraId="2E363E13">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研制3.0T高场磁共振核心部件及整机</w:t>
            </w:r>
          </w:p>
        </w:tc>
        <w:tc>
          <w:tcPr>
            <w:tcW w:w="1132" w:type="dxa"/>
            <w:gridSpan w:val="2"/>
            <w:shd w:val="clear" w:color="auto" w:fill="auto"/>
            <w:vAlign w:val="center"/>
          </w:tcPr>
          <w:p w14:paraId="3ECCDE3D">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若干</w:t>
            </w:r>
          </w:p>
        </w:tc>
        <w:tc>
          <w:tcPr>
            <w:tcW w:w="1116" w:type="dxa"/>
            <w:gridSpan w:val="2"/>
            <w:shd w:val="clear" w:color="auto" w:fill="auto"/>
            <w:vAlign w:val="center"/>
          </w:tcPr>
          <w:p w14:paraId="6993FB0D">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BSH001</w:t>
            </w:r>
          </w:p>
        </w:tc>
        <w:tc>
          <w:tcPr>
            <w:tcW w:w="1908" w:type="dxa"/>
            <w:gridSpan w:val="2"/>
            <w:shd w:val="clear" w:color="auto" w:fill="auto"/>
            <w:vAlign w:val="center"/>
          </w:tcPr>
          <w:p w14:paraId="5FFE2DA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生物医学工程、磁共振物理学</w:t>
            </w:r>
          </w:p>
        </w:tc>
        <w:tc>
          <w:tcPr>
            <w:tcW w:w="1488" w:type="dxa"/>
            <w:gridSpan w:val="2"/>
            <w:shd w:val="clear" w:color="auto" w:fill="auto"/>
            <w:vAlign w:val="center"/>
          </w:tcPr>
          <w:p w14:paraId="6197DC47">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1000</w:t>
            </w:r>
          </w:p>
        </w:tc>
        <w:tc>
          <w:tcPr>
            <w:tcW w:w="1771" w:type="dxa"/>
            <w:gridSpan w:val="2"/>
            <w:vMerge w:val="restart"/>
            <w:shd w:val="clear" w:color="auto" w:fill="auto"/>
            <w:vAlign w:val="center"/>
          </w:tcPr>
          <w:p w14:paraId="38ACC13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无</w:t>
            </w:r>
          </w:p>
        </w:tc>
      </w:tr>
      <w:tr w14:paraId="083A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41" w:type="dxa"/>
            <w:gridSpan w:val="2"/>
            <w:shd w:val="clear" w:color="auto" w:fill="auto"/>
            <w:noWrap/>
            <w:vAlign w:val="center"/>
          </w:tcPr>
          <w:p w14:paraId="04C64820">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研制7.0T高场磁共振核心部件及整机</w:t>
            </w:r>
          </w:p>
        </w:tc>
        <w:tc>
          <w:tcPr>
            <w:tcW w:w="1132" w:type="dxa"/>
            <w:gridSpan w:val="2"/>
            <w:shd w:val="clear" w:color="auto" w:fill="auto"/>
            <w:vAlign w:val="center"/>
          </w:tcPr>
          <w:p w14:paraId="2543D71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若干</w:t>
            </w:r>
          </w:p>
        </w:tc>
        <w:tc>
          <w:tcPr>
            <w:tcW w:w="1116" w:type="dxa"/>
            <w:gridSpan w:val="2"/>
            <w:shd w:val="clear" w:color="auto" w:fill="auto"/>
            <w:vAlign w:val="center"/>
          </w:tcPr>
          <w:p w14:paraId="34938D98">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w:t>
            </w:r>
            <w:r>
              <w:rPr>
                <w:rFonts w:hint="eastAsia" w:cs="Times New Roman" w:eastAsiaTheme="minorEastAsia"/>
                <w:b w:val="0"/>
                <w:bCs w:val="0"/>
                <w:color w:val="000000"/>
                <w:sz w:val="21"/>
                <w:szCs w:val="21"/>
                <w:lang w:val="en-US" w:eastAsia="zh-CN" w:bidi="ar-SA"/>
              </w:rPr>
              <w:t>02</w:t>
            </w:r>
          </w:p>
        </w:tc>
        <w:tc>
          <w:tcPr>
            <w:tcW w:w="1908" w:type="dxa"/>
            <w:gridSpan w:val="2"/>
            <w:shd w:val="clear" w:color="auto" w:fill="auto"/>
            <w:vAlign w:val="center"/>
          </w:tcPr>
          <w:p w14:paraId="75A8DAF5">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超导，电气工程，计算机、自动化、电子科学</w:t>
            </w:r>
          </w:p>
        </w:tc>
        <w:tc>
          <w:tcPr>
            <w:tcW w:w="1488" w:type="dxa"/>
            <w:gridSpan w:val="2"/>
            <w:shd w:val="clear" w:color="auto" w:fill="auto"/>
            <w:vAlign w:val="center"/>
          </w:tcPr>
          <w:p w14:paraId="26481C4F">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1200</w:t>
            </w:r>
          </w:p>
        </w:tc>
        <w:tc>
          <w:tcPr>
            <w:tcW w:w="1771" w:type="dxa"/>
            <w:gridSpan w:val="2"/>
            <w:vMerge w:val="continue"/>
            <w:shd w:val="clear" w:color="auto" w:fill="auto"/>
            <w:vAlign w:val="center"/>
          </w:tcPr>
          <w:p w14:paraId="4D376E2E">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bl>
    <w:p w14:paraId="4CAAAC7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3A493A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A2BEED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99663A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1C96B7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3A69DE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C94DF8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ACBB72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5514AB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C71541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5A742C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6E075B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2117E8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01AA9A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90D824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1F851B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80672C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667CFF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B1C24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419FF8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30" w:name="_Toc14743"/>
      <w:bookmarkStart w:id="631" w:name="_Toc16632"/>
      <w:bookmarkStart w:id="632" w:name="_Toc12918"/>
      <w:bookmarkStart w:id="633" w:name="_Toc8258"/>
      <w:bookmarkStart w:id="634" w:name="_Toc16098"/>
      <w:r>
        <w:rPr>
          <w:rFonts w:hint="eastAsia" w:ascii="Times New Roman" w:hAnsi="Times New Roman" w:eastAsia="方正小标宋简体" w:cs="Times New Roman"/>
          <w:sz w:val="44"/>
          <w:szCs w:val="44"/>
          <w:highlight w:val="none"/>
        </w:rPr>
        <w:t>巴中市南江黄羊科学研究所</w:t>
      </w:r>
      <w:bookmarkEnd w:id="630"/>
      <w:bookmarkEnd w:id="631"/>
      <w:bookmarkEnd w:id="632"/>
      <w:bookmarkEnd w:id="633"/>
      <w:bookmarkEnd w:id="634"/>
    </w:p>
    <w:p w14:paraId="07B5441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3E3F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90B002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3051128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24B1F44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87EDAB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40FFE5A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43CA065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巴中</w:t>
            </w:r>
          </w:p>
        </w:tc>
      </w:tr>
      <w:tr w14:paraId="7CB7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65AC44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2770A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w:t>
            </w:r>
            <w:r>
              <w:rPr>
                <w:rFonts w:hint="eastAsia" w:cs="Times New Roman" w:eastAsiaTheme="minorEastAsia"/>
                <w:sz w:val="21"/>
                <w:szCs w:val="21"/>
                <w:lang w:val="en-US" w:eastAsia="zh-CN"/>
              </w:rPr>
              <w:t>巴中市</w:t>
            </w:r>
            <w:r>
              <w:rPr>
                <w:rFonts w:hint="default" w:ascii="Times New Roman" w:hAnsi="Times New Roman" w:cs="Times New Roman" w:eastAsiaTheme="minorEastAsia"/>
                <w:sz w:val="21"/>
                <w:szCs w:val="21"/>
              </w:rPr>
              <w:t>南江县农业农村局（西佛山）</w:t>
            </w:r>
          </w:p>
        </w:tc>
      </w:tr>
      <w:tr w14:paraId="067B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1271" w:type="dxa"/>
            <w:shd w:val="clear" w:color="auto" w:fill="E7E6E6" w:themeFill="background2"/>
            <w:noWrap/>
            <w:vAlign w:val="center"/>
          </w:tcPr>
          <w:p w14:paraId="72A8A68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0281054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黄羊科研所是市属正科级事业单位，现有正高级职称3人、副高级职称6人，主要负责南江黄羊选育、育种、保种、繁育、推广、产品研发等科学研究。先后承担了国家“863”计划、火炬计划等专项行动，并实施了四川省一系列重大科技项目。南江黄羊是国内人工培育的肉用山羊新品种，获国家科技进步二等奖、省科技进步一等奖，出版养羊专业著作7部，发表学术论文195篇。2020年至今，获得新型实用专利20项，发明专利2项，制订技术标准6项。建立省级工程技术研究中心、博士后创新实践基地等省级创新平台7个。南江黄羊品牌价值达41.85亿元，位列国家区域公共品牌排行榜100强第85位，南江黄羊2023年纳入国家农业品牌精品培育计划。</w:t>
            </w:r>
          </w:p>
        </w:tc>
      </w:tr>
      <w:tr w14:paraId="1D67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1" w:type="dxa"/>
            <w:shd w:val="clear" w:color="auto" w:fill="E7E6E6" w:themeFill="background2"/>
            <w:noWrap/>
            <w:vAlign w:val="center"/>
          </w:tcPr>
          <w:p w14:paraId="3BC8D80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622D7A9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一是资金支持政策，按照年提供12万元的经费发放；二是拥有高水平的研发队伍，有一定数量具有正（副）高级职称或相应水平、担任博士后合作导师的本单位全职科研人员；三是能为博士后研究人员提供较好的科研条件和必要的生活条件，确保博士后研究人员享受设站单位职工同等待遇，薪酬不低于同等资历职工；四是具有创新性博士后科研项目。</w:t>
            </w:r>
          </w:p>
        </w:tc>
      </w:tr>
      <w:tr w14:paraId="374C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15102E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651DF7B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002973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6F55199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0362F7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577B7B8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A490CC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6B3974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19D8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10F134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lang w:eastAsia="zh-CN"/>
              </w:rPr>
              <w:t>南江黄羊育种攻关项目</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9AF6E3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2C9B38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D7069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sz w:val="21"/>
                <w:szCs w:val="21"/>
                <w:lang w:eastAsia="zh-CN"/>
              </w:rPr>
              <w:t>遗传育种</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0D70C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sz w:val="21"/>
                <w:szCs w:val="21"/>
                <w:lang w:val="en-US" w:eastAsia="zh-CN"/>
              </w:rPr>
              <w:t>12</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4BA35BC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eastAsia="zh-CN"/>
              </w:rPr>
              <w:t>无</w:t>
            </w:r>
          </w:p>
        </w:tc>
      </w:tr>
    </w:tbl>
    <w:p w14:paraId="0431C34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4F0E5A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8157A3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865B81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56AC0DD">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35" w:name="_Toc11073"/>
      <w:bookmarkStart w:id="636" w:name="_Toc32041"/>
      <w:bookmarkStart w:id="637" w:name="_Toc6263"/>
      <w:bookmarkStart w:id="638" w:name="_Toc30025"/>
      <w:bookmarkStart w:id="639" w:name="_Toc28395"/>
      <w:r>
        <w:rPr>
          <w:rFonts w:hint="eastAsia" w:ascii="Times New Roman" w:hAnsi="Times New Roman" w:eastAsia="方正小标宋简体" w:cs="Times New Roman"/>
          <w:sz w:val="44"/>
          <w:szCs w:val="44"/>
          <w:highlight w:val="none"/>
        </w:rPr>
        <w:t>巴中市通江银耳（食用菌）产业发展中心</w:t>
      </w:r>
      <w:bookmarkEnd w:id="635"/>
      <w:bookmarkEnd w:id="636"/>
      <w:bookmarkEnd w:id="637"/>
      <w:bookmarkEnd w:id="638"/>
      <w:bookmarkEnd w:id="639"/>
    </w:p>
    <w:p w14:paraId="3E44F8E8">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645B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3212D5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1AE1CE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2960705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14642C0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0A7A2CA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70FD8D9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巴中</w:t>
            </w:r>
          </w:p>
        </w:tc>
      </w:tr>
      <w:tr w14:paraId="1224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98A6E3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423AB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四川省巴中市通江县周子坪大道100号</w:t>
            </w:r>
          </w:p>
        </w:tc>
      </w:tr>
      <w:tr w14:paraId="0F42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1271" w:type="dxa"/>
            <w:shd w:val="clear" w:color="auto" w:fill="E7E6E6" w:themeFill="background2"/>
            <w:noWrap/>
            <w:vAlign w:val="center"/>
          </w:tcPr>
          <w:p w14:paraId="434F569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0E846FE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我所现有在编制正式职工24人，其中硕士研究生3名、本科4名，有高级职称资格6人，中级职称9人。其职能职责贯彻执行国家、省、市、县有关银耳（食用菌）产业发展和科学技术研究方面的方针政策、法律法规及各种规范性文件；拟订通江银耳（食用菌）产业发展和科学技术研究工作规划、年度计划并组织实施；负责通江银耳（食用菌)产业基地、园区、品牌建设和新型经营主体培育等工作负责通江银耳（食用菌）产业科研攻关、技术培训指导和新品种，新技术、新工艺试验示范推广以及科技创新、科技合作、产品精深加工研究等工作；负责通江银耳（食用菌）产业投资促进及对外交流合作；承办县委、县政府及主管部门交办的其他事项。</w:t>
            </w:r>
          </w:p>
        </w:tc>
      </w:tr>
      <w:tr w14:paraId="4BB5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1" w:type="dxa"/>
            <w:shd w:val="clear" w:color="auto" w:fill="E7E6E6" w:themeFill="background2"/>
            <w:noWrap/>
            <w:vAlign w:val="center"/>
          </w:tcPr>
          <w:p w14:paraId="28138E5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314EF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2"/>
                <w:sz w:val="21"/>
                <w:szCs w:val="21"/>
                <w:lang w:val="en-US" w:eastAsia="zh-CN" w:bidi="ar-SA"/>
              </w:rPr>
              <w:t>1、</w:t>
            </w:r>
            <w:r>
              <w:rPr>
                <w:rFonts w:hint="default" w:ascii="Times New Roman" w:hAnsi="Times New Roman" w:cs="Times New Roman" w:eastAsiaTheme="minorEastAsia"/>
                <w:sz w:val="21"/>
                <w:szCs w:val="21"/>
                <w:lang w:eastAsia="zh-CN"/>
              </w:rPr>
              <w:t>提供免费食宿；</w:t>
            </w:r>
          </w:p>
          <w:p w14:paraId="49F0ED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SA"/>
              </w:rPr>
              <w:t>2、</w:t>
            </w:r>
            <w:r>
              <w:rPr>
                <w:rFonts w:hint="default" w:ascii="Times New Roman" w:hAnsi="Times New Roman" w:cs="Times New Roman" w:eastAsiaTheme="minorEastAsia"/>
                <w:sz w:val="21"/>
                <w:szCs w:val="21"/>
                <w:lang w:val="en-US" w:eastAsia="zh-CN"/>
              </w:rPr>
              <w:t>提供5-10万元科研基金；</w:t>
            </w:r>
          </w:p>
          <w:p w14:paraId="66EF37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default" w:ascii="Times New Roman" w:hAnsi="Times New Roman" w:cs="Times New Roman" w:eastAsiaTheme="minorEastAsia"/>
                <w:sz w:val="21"/>
                <w:szCs w:val="21"/>
                <w:lang w:val="en-US" w:eastAsia="zh-CN"/>
              </w:rPr>
              <w:t>3、报销往返差旅费。</w:t>
            </w:r>
          </w:p>
        </w:tc>
      </w:tr>
      <w:tr w14:paraId="266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6E74C7E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583BF2C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74A21E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1C6ED87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974715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1105A9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35DC0A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6AC3619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3D9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63C2E77">
            <w:pPr>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通江银耳高质高效优良新品种的研究应用推广项目</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351A210">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E9716D">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DC1BC68">
            <w:pPr>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微生物</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9A865C0">
            <w:pPr>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5-10</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5E4BE3CF">
            <w:pPr>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11719D2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DF8A25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7299B7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A41E4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B79F51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640" w:name="_Toc8700"/>
      <w:bookmarkStart w:id="641" w:name="_Toc23985"/>
      <w:bookmarkStart w:id="642" w:name="_Toc25266"/>
      <w:bookmarkStart w:id="643" w:name="_Toc18282"/>
      <w:bookmarkStart w:id="644" w:name="_Toc13570"/>
      <w:r>
        <w:rPr>
          <w:rFonts w:eastAsia="方正小标宋简体"/>
          <w:sz w:val="44"/>
          <w:szCs w:val="44"/>
          <w:highlight w:val="none"/>
        </w:rPr>
        <w:t>成都大学</w:t>
      </w:r>
      <w:bookmarkEnd w:id="640"/>
      <w:bookmarkEnd w:id="641"/>
      <w:bookmarkEnd w:id="642"/>
      <w:bookmarkEnd w:id="643"/>
      <w:bookmarkEnd w:id="644"/>
    </w:p>
    <w:p w14:paraId="6F457B7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368"/>
        <w:gridCol w:w="1245"/>
        <w:gridCol w:w="1258"/>
        <w:gridCol w:w="479"/>
        <w:gridCol w:w="1213"/>
        <w:gridCol w:w="469"/>
        <w:gridCol w:w="1619"/>
        <w:gridCol w:w="1754"/>
      </w:tblGrid>
      <w:tr w14:paraId="68C4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B712A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54AAFD5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40" w:type="dxa"/>
            <w:gridSpan w:val="2"/>
            <w:shd w:val="clear" w:color="auto" w:fill="E7E6E6" w:themeFill="background2"/>
            <w:noWrap/>
            <w:vAlign w:val="center"/>
          </w:tcPr>
          <w:p w14:paraId="6007D71B">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5B7152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14:paraId="00CE30B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56" w:type="dxa"/>
            <w:shd w:val="clear" w:color="000000" w:fill="FFFFFF"/>
            <w:noWrap/>
            <w:vAlign w:val="center"/>
          </w:tcPr>
          <w:p w14:paraId="171DBF55">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167C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EEF84B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8"/>
            <w:shd w:val="clear" w:color="000000" w:fill="FFFFFF"/>
            <w:noWrap/>
            <w:vAlign w:val="center"/>
          </w:tcPr>
          <w:p w14:paraId="48720867">
            <w:pPr>
              <w:adjustRightInd w:val="0"/>
              <w:snapToGrid w:val="0"/>
              <w:spacing w:line="240" w:lineRule="auto"/>
              <w:ind w:firstLine="0"/>
              <w:jc w:val="center"/>
              <w:rPr>
                <w:rFonts w:eastAsiaTheme="minorEastAsia"/>
                <w:sz w:val="21"/>
                <w:szCs w:val="21"/>
              </w:rPr>
            </w:pPr>
            <w:r>
              <w:rPr>
                <w:rFonts w:eastAsiaTheme="minorEastAsia"/>
                <w:sz w:val="21"/>
                <w:szCs w:val="21"/>
              </w:rPr>
              <w:t>四川省成都市龙泉驿区成洛大道2025号</w:t>
            </w:r>
          </w:p>
        </w:tc>
      </w:tr>
      <w:tr w14:paraId="35E3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2" w:hRule="atLeast"/>
          <w:jc w:val="center"/>
        </w:trPr>
        <w:tc>
          <w:tcPr>
            <w:tcW w:w="1271" w:type="dxa"/>
            <w:shd w:val="clear" w:color="auto" w:fill="E7E6E6" w:themeFill="background2"/>
            <w:noWrap/>
            <w:vAlign w:val="center"/>
          </w:tcPr>
          <w:p w14:paraId="05D0298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8"/>
            <w:shd w:val="clear" w:color="000000" w:fill="FFFFFF"/>
            <w:vAlign w:val="center"/>
          </w:tcPr>
          <w:p w14:paraId="6EE70D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大学创建于1978年，是改革开放后首批地方城市主办的全日制普通本科院校。学校实行省市共建、以市为主的办学体制，是四川省、成都市重点建设大学，是第31届世界大学生夏季运动会运动员村承办大学。学校现拥有百年历史的三级甲等综合附属医院，国家级抗生素研发基地的四川抗菌素工业研究所，有硕士学位授权点28个，19个硕士专业学位授权类别，建有四川省博士后实践基地，是教育部“卓越工程师教育培养计划”高校、教育部国防教育特色高校、教育部“双万计划”一流本科专业建设点立项单位、四川省博士建设单位递进培育计划“优先培育”类建设单位，获FISU“健康校园”银级认证。</w:t>
            </w:r>
          </w:p>
        </w:tc>
      </w:tr>
      <w:tr w14:paraId="774F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1271" w:type="dxa"/>
            <w:shd w:val="clear" w:color="auto" w:fill="E7E6E6" w:themeFill="background2"/>
            <w:noWrap/>
            <w:vAlign w:val="center"/>
          </w:tcPr>
          <w:p w14:paraId="0EAD68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8"/>
            <w:shd w:val="clear" w:color="000000" w:fill="FFFFFF"/>
            <w:vAlign w:val="center"/>
          </w:tcPr>
          <w:p w14:paraId="444E7E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成都大学高等研究院博士后创新实践基地与四川大学签订了联合培养博士后协议，开展博士后联合培养工作。博士后待遇包括薪酬、生活补贴和科研经费，突出奖励包括：对2年期满（含不满2年）达到出站标准出站的，一次性奖励1万元；超额完成出站科研任务，超出部分可按相关规定在出站后申请学校科学研究奖励。</w:t>
            </w:r>
          </w:p>
        </w:tc>
      </w:tr>
      <w:tr w14:paraId="682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2E993F2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14:paraId="422460E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shd w:val="clear" w:color="auto" w:fill="E7E6E6" w:themeFill="background2"/>
            <w:vAlign w:val="center"/>
          </w:tcPr>
          <w:p w14:paraId="7B70373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14:paraId="27C5DB6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DB0A75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972" w:type="dxa"/>
            <w:gridSpan w:val="2"/>
            <w:shd w:val="clear" w:color="auto" w:fill="E7E6E6" w:themeFill="background2"/>
            <w:vAlign w:val="center"/>
          </w:tcPr>
          <w:p w14:paraId="2A2B454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9BC630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56" w:type="dxa"/>
            <w:shd w:val="clear" w:color="auto" w:fill="E7E6E6" w:themeFill="background2"/>
            <w:vAlign w:val="center"/>
          </w:tcPr>
          <w:p w14:paraId="7F4EB86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887CB2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381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7E1416B6">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成都大学四川省博士后创新实践基地</w:t>
            </w:r>
          </w:p>
        </w:tc>
        <w:tc>
          <w:tcPr>
            <w:tcW w:w="1176" w:type="dxa"/>
            <w:shd w:val="clear" w:color="000000" w:fill="FFFFFF"/>
            <w:vAlign w:val="center"/>
          </w:tcPr>
          <w:p w14:paraId="0A1EE1F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w:t>
            </w:r>
          </w:p>
        </w:tc>
        <w:tc>
          <w:tcPr>
            <w:tcW w:w="1188" w:type="dxa"/>
            <w:shd w:val="clear" w:color="000000" w:fill="FFFFFF"/>
            <w:vAlign w:val="center"/>
          </w:tcPr>
          <w:p w14:paraId="2618978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98" w:type="dxa"/>
            <w:gridSpan w:val="2"/>
            <w:shd w:val="clear" w:color="000000" w:fill="FFFFFF"/>
            <w:vAlign w:val="center"/>
          </w:tcPr>
          <w:p w14:paraId="662F042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材料、力学、生物、药学、化学等</w:t>
            </w:r>
          </w:p>
        </w:tc>
        <w:tc>
          <w:tcPr>
            <w:tcW w:w="1972" w:type="dxa"/>
            <w:gridSpan w:val="2"/>
            <w:shd w:val="clear" w:color="000000" w:fill="FFFFFF"/>
            <w:vAlign w:val="center"/>
          </w:tcPr>
          <w:p w14:paraId="2BA39C5B">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1.年薪：20万元（税前）。</w:t>
            </w:r>
          </w:p>
          <w:p w14:paraId="7A9EE863">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2.生活补贴：2500元/月（税前），共发放2年。</w:t>
            </w:r>
          </w:p>
          <w:p w14:paraId="178010B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3.科研经费：15-20万元。</w:t>
            </w:r>
          </w:p>
        </w:tc>
        <w:tc>
          <w:tcPr>
            <w:tcW w:w="1656" w:type="dxa"/>
            <w:shd w:val="clear" w:color="000000" w:fill="FFFFFF"/>
            <w:vAlign w:val="center"/>
          </w:tcPr>
          <w:p w14:paraId="4DA37A7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25FD005B">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14:paraId="6C9B264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44"/>
          <w:szCs w:val="44"/>
        </w:rPr>
      </w:pPr>
    </w:p>
    <w:p w14:paraId="1722A47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645" w:name="_Toc31645"/>
      <w:bookmarkStart w:id="646" w:name="_Toc22683"/>
      <w:bookmarkStart w:id="647" w:name="_Toc18030"/>
      <w:bookmarkStart w:id="648" w:name="_Toc9482"/>
      <w:bookmarkStart w:id="649" w:name="_Toc231"/>
      <w:r>
        <w:rPr>
          <w:rFonts w:eastAsia="方正小标宋简体"/>
          <w:sz w:val="44"/>
          <w:szCs w:val="44"/>
          <w:highlight w:val="none"/>
        </w:rPr>
        <w:t>成都东软学院</w:t>
      </w:r>
      <w:bookmarkEnd w:id="645"/>
      <w:bookmarkEnd w:id="646"/>
      <w:bookmarkEnd w:id="647"/>
      <w:bookmarkEnd w:id="648"/>
      <w:bookmarkEnd w:id="649"/>
    </w:p>
    <w:p w14:paraId="6C05198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49"/>
        <w:gridCol w:w="1179"/>
        <w:gridCol w:w="1516"/>
        <w:gridCol w:w="1597"/>
        <w:gridCol w:w="452"/>
        <w:gridCol w:w="950"/>
        <w:gridCol w:w="582"/>
        <w:gridCol w:w="1852"/>
      </w:tblGrid>
      <w:tr w14:paraId="6EC0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69666B5F">
            <w:pPr>
              <w:adjustRightInd w:val="0"/>
              <w:snapToGrid w:val="0"/>
              <w:spacing w:line="240" w:lineRule="auto"/>
              <w:ind w:firstLine="0"/>
              <w:jc w:val="center"/>
              <w:rPr>
                <w:rFonts w:eastAsia="宋体"/>
                <w:sz w:val="21"/>
                <w:szCs w:val="21"/>
              </w:rPr>
            </w:pPr>
            <w:r>
              <w:rPr>
                <w:rFonts w:eastAsiaTheme="minorEastAsia"/>
                <w:b/>
                <w:bCs/>
                <w:sz w:val="21"/>
                <w:szCs w:val="21"/>
              </w:rPr>
              <w:t>单位性质</w:t>
            </w:r>
          </w:p>
        </w:tc>
        <w:tc>
          <w:tcPr>
            <w:tcW w:w="1524"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BA4D67C">
            <w:pPr>
              <w:adjustRightInd w:val="0"/>
              <w:snapToGrid w:val="0"/>
              <w:spacing w:line="240" w:lineRule="auto"/>
              <w:ind w:firstLine="0"/>
              <w:jc w:val="center"/>
              <w:rPr>
                <w:rFonts w:eastAsia="宋体"/>
                <w:sz w:val="21"/>
                <w:szCs w:val="21"/>
              </w:rPr>
            </w:pPr>
            <w:r>
              <w:rPr>
                <w:rFonts w:eastAsia="宋体"/>
                <w:sz w:val="21"/>
                <w:szCs w:val="21"/>
              </w:rPr>
              <w:t>高等院校</w:t>
            </w:r>
          </w:p>
        </w:tc>
        <w:tc>
          <w:tcPr>
            <w:tcW w:w="1512"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1AA832C4">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2044"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2550473">
            <w:pPr>
              <w:adjustRightInd w:val="0"/>
              <w:snapToGrid w:val="0"/>
              <w:spacing w:line="240" w:lineRule="auto"/>
              <w:ind w:firstLine="0"/>
              <w:jc w:val="center"/>
              <w:rPr>
                <w:rFonts w:eastAsia="宋体"/>
                <w:sz w:val="21"/>
                <w:szCs w:val="21"/>
              </w:rPr>
            </w:pPr>
            <w:r>
              <w:rPr>
                <w:rFonts w:eastAsia="宋体"/>
                <w:sz w:val="21"/>
                <w:szCs w:val="21"/>
              </w:rPr>
              <w:t>创新实践基地</w:t>
            </w:r>
          </w:p>
        </w:tc>
        <w:tc>
          <w:tcPr>
            <w:tcW w:w="1529" w:type="dxa"/>
            <w:gridSpan w:val="2"/>
            <w:tcBorders>
              <w:top w:val="single" w:color="auto" w:sz="4" w:space="0"/>
              <w:left w:val="single" w:color="auto" w:sz="4" w:space="0"/>
              <w:bottom w:val="single" w:color="auto" w:sz="4" w:space="0"/>
              <w:right w:val="single" w:color="auto" w:sz="4" w:space="0"/>
            </w:tcBorders>
            <w:shd w:val="clear" w:color="auto" w:fill="E7E6E6"/>
            <w:noWrap/>
            <w:vAlign w:val="center"/>
          </w:tcPr>
          <w:p w14:paraId="1B1209C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CD036F">
            <w:pPr>
              <w:adjustRightInd w:val="0"/>
              <w:snapToGrid w:val="0"/>
              <w:spacing w:line="240" w:lineRule="auto"/>
              <w:ind w:firstLine="0"/>
              <w:jc w:val="center"/>
              <w:rPr>
                <w:rFonts w:eastAsia="宋体"/>
                <w:sz w:val="21"/>
                <w:szCs w:val="21"/>
              </w:rPr>
            </w:pPr>
            <w:r>
              <w:rPr>
                <w:rFonts w:eastAsia="宋体"/>
                <w:sz w:val="21"/>
                <w:szCs w:val="21"/>
              </w:rPr>
              <w:t>都江堰</w:t>
            </w:r>
          </w:p>
        </w:tc>
      </w:tr>
      <w:tr w14:paraId="1562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70EAEF73">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456" w:type="dxa"/>
            <w:gridSpan w:val="8"/>
            <w:tcBorders>
              <w:top w:val="single" w:color="auto" w:sz="4" w:space="0"/>
              <w:left w:val="single" w:color="auto" w:sz="4" w:space="0"/>
              <w:bottom w:val="single" w:color="auto" w:sz="4" w:space="0"/>
              <w:right w:val="single" w:color="auto" w:sz="4" w:space="0"/>
            </w:tcBorders>
            <w:shd w:val="clear" w:color="auto" w:fill="FFFFFF"/>
            <w:noWrap/>
            <w:vAlign w:val="center"/>
          </w:tcPr>
          <w:p w14:paraId="48D0E8BF">
            <w:pPr>
              <w:adjustRightInd w:val="0"/>
              <w:snapToGrid w:val="0"/>
              <w:spacing w:line="240" w:lineRule="auto"/>
              <w:ind w:firstLine="0"/>
              <w:jc w:val="center"/>
              <w:rPr>
                <w:rFonts w:eastAsia="宋体"/>
                <w:sz w:val="21"/>
                <w:szCs w:val="21"/>
              </w:rPr>
            </w:pPr>
            <w:r>
              <w:rPr>
                <w:rFonts w:hint="eastAsia" w:eastAsia="宋体"/>
                <w:sz w:val="21"/>
                <w:szCs w:val="21"/>
                <w:lang w:val="en-US" w:eastAsia="zh-CN"/>
              </w:rPr>
              <w:t>四川省</w:t>
            </w:r>
            <w:r>
              <w:rPr>
                <w:rFonts w:eastAsia="宋体"/>
                <w:sz w:val="21"/>
                <w:szCs w:val="21"/>
              </w:rPr>
              <w:t>成都市都江堰市青城山镇东软大道1号</w:t>
            </w:r>
          </w:p>
        </w:tc>
      </w:tr>
      <w:tr w14:paraId="7116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6AACEDF0">
            <w:pPr>
              <w:adjustRightInd w:val="0"/>
              <w:snapToGrid w:val="0"/>
              <w:spacing w:line="240" w:lineRule="auto"/>
              <w:ind w:firstLine="0"/>
              <w:jc w:val="center"/>
              <w:rPr>
                <w:rFonts w:eastAsia="宋体"/>
                <w:b/>
                <w:bCs/>
                <w:sz w:val="21"/>
                <w:szCs w:val="21"/>
              </w:rPr>
            </w:pPr>
            <w:r>
              <w:rPr>
                <w:rFonts w:eastAsia="宋体"/>
                <w:b/>
                <w:bCs/>
                <w:sz w:val="21"/>
                <w:szCs w:val="21"/>
              </w:rPr>
              <w:t>单位简介</w:t>
            </w:r>
          </w:p>
        </w:tc>
        <w:tc>
          <w:tcPr>
            <w:tcW w:w="8456"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14:paraId="48655F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sz w:val="21"/>
                <w:szCs w:val="21"/>
              </w:rPr>
            </w:pPr>
            <w:r>
              <w:rPr>
                <w:rFonts w:hint="eastAsia" w:eastAsia="宋体"/>
                <w:sz w:val="21"/>
                <w:szCs w:val="21"/>
              </w:rPr>
              <w:t>成都东软学院是经国家教育部批准设立，由东软出资举办的一所民办普通高等院校。2003年经四川省人民政府批准设立成都东软信息技术职业学院；2011年经教育部批准，学校升格为成都东软学院；2015年通过新建本科院校学士学位评估；2016年成为四川省民办教育协会会长单位；2021年成为四川省第一所顺利通过普通高等学校本科教学工作合格评估的民办高校。</w:t>
            </w:r>
          </w:p>
          <w:p w14:paraId="7229FE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sz w:val="21"/>
                <w:szCs w:val="21"/>
              </w:rPr>
            </w:pPr>
            <w:r>
              <w:rPr>
                <w:rFonts w:hint="eastAsia" w:eastAsia="宋体"/>
                <w:sz w:val="21"/>
                <w:szCs w:val="21"/>
              </w:rPr>
              <w:t>学校现有在校生2万余人。学校现设有13个教学机构，学科专业涵盖工学、管理学、艺术学、文学、医学5个学科门类，共设置了31个本科专业。2012年12月成为四川省博士后创新实践基地，目前已有2名计算机科学与技术学科博士后先后进站，基地取得国家自然科学基金2项，省自然科学基金3项，政府资助52万元。</w:t>
            </w:r>
          </w:p>
        </w:tc>
      </w:tr>
      <w:tr w14:paraId="65E3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5B8BE08B">
            <w:pPr>
              <w:adjustRightInd w:val="0"/>
              <w:snapToGrid w:val="0"/>
              <w:spacing w:line="240" w:lineRule="auto"/>
              <w:ind w:firstLine="0"/>
              <w:jc w:val="center"/>
              <w:rPr>
                <w:rFonts w:eastAsia="宋体"/>
                <w:b/>
                <w:bCs/>
                <w:sz w:val="21"/>
                <w:szCs w:val="21"/>
              </w:rPr>
            </w:pPr>
            <w:r>
              <w:rPr>
                <w:rFonts w:eastAsia="宋体"/>
                <w:b/>
                <w:bCs/>
                <w:sz w:val="21"/>
                <w:szCs w:val="21"/>
              </w:rPr>
              <w:t>单位博士后主要政策</w:t>
            </w:r>
          </w:p>
        </w:tc>
        <w:tc>
          <w:tcPr>
            <w:tcW w:w="8456"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14:paraId="05D91B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sz w:val="21"/>
                <w:szCs w:val="21"/>
              </w:rPr>
            </w:pPr>
            <w:r>
              <w:rPr>
                <w:rFonts w:hint="eastAsia" w:eastAsia="宋体"/>
                <w:sz w:val="21"/>
                <w:szCs w:val="21"/>
              </w:rPr>
              <w:t>1.薪酬待遇</w:t>
            </w:r>
          </w:p>
          <w:p w14:paraId="7035F2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sz w:val="21"/>
                <w:szCs w:val="21"/>
              </w:rPr>
            </w:pPr>
            <w:r>
              <w:rPr>
                <w:rFonts w:hint="eastAsia" w:eastAsia="宋体"/>
                <w:sz w:val="21"/>
                <w:szCs w:val="21"/>
              </w:rPr>
              <w:t>基本工资+六险二金（五险一金、企业年金、补充医疗保险）+年终奖+其他补贴。</w:t>
            </w:r>
          </w:p>
          <w:p w14:paraId="5D804C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sz w:val="21"/>
                <w:szCs w:val="21"/>
              </w:rPr>
            </w:pPr>
            <w:r>
              <w:rPr>
                <w:rFonts w:hint="eastAsia" w:eastAsia="宋体"/>
                <w:sz w:val="21"/>
                <w:szCs w:val="21"/>
              </w:rPr>
              <w:t>高层次人才薪酬待遇采取“一人一议”制。</w:t>
            </w:r>
          </w:p>
          <w:p w14:paraId="479FEE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sz w:val="21"/>
                <w:szCs w:val="21"/>
              </w:rPr>
            </w:pPr>
            <w:r>
              <w:rPr>
                <w:rFonts w:hint="eastAsia" w:eastAsia="宋体"/>
                <w:sz w:val="21"/>
                <w:szCs w:val="21"/>
              </w:rPr>
              <w:t>2.其他福利</w:t>
            </w:r>
          </w:p>
          <w:p w14:paraId="208E02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eastAsia="宋体"/>
                <w:sz w:val="21"/>
                <w:szCs w:val="21"/>
              </w:rPr>
            </w:pPr>
            <w:r>
              <w:rPr>
                <w:rFonts w:hint="eastAsia" w:eastAsia="宋体"/>
                <w:sz w:val="21"/>
                <w:szCs w:val="21"/>
              </w:rPr>
              <w:t>带薪寒暑假、生日福利、用餐补助、健康体检、教师公寓等。</w:t>
            </w:r>
          </w:p>
        </w:tc>
      </w:tr>
      <w:tr w14:paraId="5ED9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E7E6E6"/>
            <w:noWrap/>
            <w:vAlign w:val="center"/>
          </w:tcPr>
          <w:p w14:paraId="377377D6">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1176" w:type="dxa"/>
            <w:tcBorders>
              <w:top w:val="single" w:color="auto" w:sz="4" w:space="0"/>
              <w:left w:val="single" w:color="auto" w:sz="4" w:space="0"/>
              <w:bottom w:val="single" w:color="auto" w:sz="4" w:space="0"/>
              <w:right w:val="single" w:color="auto" w:sz="4" w:space="0"/>
            </w:tcBorders>
            <w:shd w:val="clear" w:color="auto" w:fill="E7E6E6"/>
            <w:vAlign w:val="center"/>
          </w:tcPr>
          <w:p w14:paraId="625CBEE7">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512" w:type="dxa"/>
            <w:tcBorders>
              <w:top w:val="single" w:color="auto" w:sz="4" w:space="0"/>
              <w:left w:val="single" w:color="auto" w:sz="4" w:space="0"/>
              <w:bottom w:val="single" w:color="auto" w:sz="4" w:space="0"/>
              <w:right w:val="single" w:color="auto" w:sz="4" w:space="0"/>
            </w:tcBorders>
            <w:shd w:val="clear" w:color="auto" w:fill="E7E6E6"/>
            <w:vAlign w:val="center"/>
          </w:tcPr>
          <w:p w14:paraId="07134363">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593" w:type="dxa"/>
            <w:tcBorders>
              <w:top w:val="single" w:color="auto" w:sz="4" w:space="0"/>
              <w:left w:val="single" w:color="auto" w:sz="4" w:space="0"/>
              <w:bottom w:val="single" w:color="auto" w:sz="4" w:space="0"/>
              <w:right w:val="single" w:color="auto" w:sz="4" w:space="0"/>
            </w:tcBorders>
            <w:shd w:val="clear" w:color="auto" w:fill="E7E6E6"/>
            <w:vAlign w:val="center"/>
          </w:tcPr>
          <w:p w14:paraId="0CF7796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C5206CA">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2E62EBA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8AF8C8B">
            <w:pPr>
              <w:adjustRightInd w:val="0"/>
              <w:snapToGrid w:val="0"/>
              <w:spacing w:line="240" w:lineRule="auto"/>
              <w:ind w:firstLine="0" w:firstLineChars="0"/>
              <w:jc w:val="center"/>
              <w:rPr>
                <w:rFonts w:eastAsia="宋体"/>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428"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29B98748">
            <w:pPr>
              <w:adjustRightInd w:val="0"/>
              <w:snapToGrid w:val="0"/>
              <w:spacing w:line="240" w:lineRule="auto"/>
              <w:ind w:firstLine="0"/>
              <w:jc w:val="center"/>
              <w:rPr>
                <w:rFonts w:eastAsia="宋体"/>
                <w:b/>
                <w:bCs/>
                <w:sz w:val="21"/>
                <w:szCs w:val="21"/>
              </w:rPr>
            </w:pPr>
            <w:r>
              <w:rPr>
                <w:rFonts w:eastAsiaTheme="minorEastAsia"/>
                <w:b/>
                <w:bCs/>
                <w:sz w:val="21"/>
                <w:szCs w:val="21"/>
              </w:rPr>
              <w:t>博士生源单位等要求</w:t>
            </w:r>
          </w:p>
        </w:tc>
      </w:tr>
      <w:tr w14:paraId="6C2C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619"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274DC7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学校智慧数据预测平台</w:t>
            </w:r>
          </w:p>
        </w:tc>
        <w:tc>
          <w:tcPr>
            <w:tcW w:w="1176" w:type="dxa"/>
            <w:tcBorders>
              <w:top w:val="single" w:color="auto" w:sz="4" w:space="0"/>
              <w:left w:val="single" w:color="auto" w:sz="4" w:space="0"/>
              <w:bottom w:val="single" w:color="auto" w:sz="4" w:space="0"/>
              <w:right w:val="single" w:color="auto" w:sz="4" w:space="0"/>
            </w:tcBorders>
            <w:vAlign w:val="center"/>
          </w:tcPr>
          <w:p w14:paraId="38F8CBC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w:t>
            </w:r>
          </w:p>
        </w:tc>
        <w:tc>
          <w:tcPr>
            <w:tcW w:w="1512" w:type="dxa"/>
            <w:tcBorders>
              <w:top w:val="single" w:color="auto" w:sz="4" w:space="0"/>
              <w:left w:val="single" w:color="auto" w:sz="4" w:space="0"/>
              <w:bottom w:val="single" w:color="auto" w:sz="4" w:space="0"/>
              <w:right w:val="single" w:color="auto" w:sz="4" w:space="0"/>
            </w:tcBorders>
            <w:vAlign w:val="center"/>
          </w:tcPr>
          <w:p w14:paraId="5F2F64C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1</w:t>
            </w:r>
          </w:p>
        </w:tc>
        <w:tc>
          <w:tcPr>
            <w:tcW w:w="1593" w:type="dxa"/>
            <w:tcBorders>
              <w:top w:val="single" w:color="auto" w:sz="4" w:space="0"/>
              <w:left w:val="single" w:color="auto" w:sz="4" w:space="0"/>
              <w:bottom w:val="single" w:color="auto" w:sz="4" w:space="0"/>
              <w:right w:val="single" w:color="auto" w:sz="4" w:space="0"/>
            </w:tcBorders>
            <w:vAlign w:val="center"/>
          </w:tcPr>
          <w:p w14:paraId="37E2121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计算机科学与技术</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76D955D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restart"/>
            <w:tcBorders>
              <w:top w:val="single" w:color="auto" w:sz="4" w:space="0"/>
              <w:left w:val="single" w:color="auto" w:sz="4" w:space="0"/>
              <w:right w:val="single" w:color="auto" w:sz="4" w:space="0"/>
            </w:tcBorders>
            <w:vAlign w:val="center"/>
          </w:tcPr>
          <w:p w14:paraId="360F5AA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优先录入985与211毕业博士，年龄不超过35岁</w:t>
            </w:r>
          </w:p>
        </w:tc>
      </w:tr>
      <w:tr w14:paraId="236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619"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718BC62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c>
          <w:tcPr>
            <w:tcW w:w="1176" w:type="dxa"/>
            <w:tcBorders>
              <w:top w:val="single" w:color="auto" w:sz="4" w:space="0"/>
              <w:left w:val="single" w:color="auto" w:sz="4" w:space="0"/>
              <w:bottom w:val="single" w:color="auto" w:sz="4" w:space="0"/>
              <w:right w:val="single" w:color="auto" w:sz="4" w:space="0"/>
            </w:tcBorders>
            <w:vAlign w:val="center"/>
          </w:tcPr>
          <w:p w14:paraId="41C12E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vAlign w:val="center"/>
          </w:tcPr>
          <w:p w14:paraId="28C6F6D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2</w:t>
            </w:r>
          </w:p>
        </w:tc>
        <w:tc>
          <w:tcPr>
            <w:tcW w:w="1593" w:type="dxa"/>
            <w:tcBorders>
              <w:top w:val="single" w:color="auto" w:sz="4" w:space="0"/>
              <w:left w:val="single" w:color="auto" w:sz="4" w:space="0"/>
              <w:bottom w:val="single" w:color="auto" w:sz="4" w:space="0"/>
              <w:right w:val="single" w:color="auto" w:sz="4" w:space="0"/>
            </w:tcBorders>
            <w:vAlign w:val="center"/>
          </w:tcPr>
          <w:p w14:paraId="60613F6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网络空间安全</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0EBC6CD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bottom w:val="single" w:color="auto" w:sz="4" w:space="0"/>
              <w:right w:val="single" w:color="auto" w:sz="4" w:space="0"/>
            </w:tcBorders>
            <w:vAlign w:val="center"/>
          </w:tcPr>
          <w:p w14:paraId="2BC3FCB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46D9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E7E6E6" w:themeFill="background2"/>
            <w:noWrap/>
            <w:vAlign w:val="center"/>
          </w:tcPr>
          <w:p w14:paraId="38932818">
            <w:pPr>
              <w:adjustRightInd w:val="0"/>
              <w:snapToGrid w:val="0"/>
              <w:spacing w:line="240" w:lineRule="auto"/>
              <w:ind w:firstLine="0" w:firstLineChars="0"/>
              <w:jc w:val="center"/>
              <w:rPr>
                <w:rFonts w:eastAsia="宋体"/>
                <w:sz w:val="21"/>
                <w:szCs w:val="21"/>
              </w:rPr>
            </w:pPr>
            <w:r>
              <w:rPr>
                <w:rFonts w:eastAsia="宋体"/>
                <w:b/>
                <w:bCs/>
                <w:sz w:val="21"/>
                <w:szCs w:val="21"/>
              </w:rPr>
              <w:t>项目名称</w:t>
            </w:r>
          </w:p>
        </w:tc>
        <w:tc>
          <w:tcPr>
            <w:tcW w:w="1176"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E7C3B2F">
            <w:pPr>
              <w:adjustRightInd w:val="0"/>
              <w:snapToGrid w:val="0"/>
              <w:spacing w:line="240" w:lineRule="auto"/>
              <w:ind w:firstLine="0" w:firstLineChars="0"/>
              <w:jc w:val="center"/>
              <w:rPr>
                <w:rFonts w:eastAsia="宋体"/>
                <w:sz w:val="21"/>
                <w:szCs w:val="21"/>
              </w:rPr>
            </w:pPr>
            <w:r>
              <w:rPr>
                <w:rFonts w:eastAsia="宋体"/>
                <w:b/>
                <w:bCs/>
                <w:sz w:val="21"/>
                <w:szCs w:val="21"/>
              </w:rPr>
              <w:t>需求人数</w:t>
            </w:r>
          </w:p>
        </w:tc>
        <w:tc>
          <w:tcPr>
            <w:tcW w:w="1512"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4C844609">
            <w:pPr>
              <w:adjustRightInd w:val="0"/>
              <w:snapToGrid w:val="0"/>
              <w:spacing w:line="240" w:lineRule="auto"/>
              <w:ind w:firstLine="0" w:firstLineChars="0"/>
              <w:jc w:val="center"/>
              <w:rPr>
                <w:rFonts w:eastAsia="宋体"/>
                <w:sz w:val="21"/>
                <w:szCs w:val="21"/>
              </w:rPr>
            </w:pPr>
            <w:r>
              <w:rPr>
                <w:rFonts w:eastAsia="宋体"/>
                <w:b/>
                <w:bCs/>
                <w:sz w:val="21"/>
                <w:szCs w:val="21"/>
              </w:rPr>
              <w:t>岗位编号</w:t>
            </w:r>
          </w:p>
        </w:tc>
        <w:tc>
          <w:tcPr>
            <w:tcW w:w="1593"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6EC4FB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ED4971D">
            <w:pPr>
              <w:adjustRightInd w:val="0"/>
              <w:snapToGrid w:val="0"/>
              <w:spacing w:line="240" w:lineRule="auto"/>
              <w:ind w:firstLine="0" w:firstLineChars="0"/>
              <w:jc w:val="center"/>
              <w:rPr>
                <w:rFonts w:eastAsia="宋体"/>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4F60CF6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0EE9FF6">
            <w:pPr>
              <w:adjustRightInd w:val="0"/>
              <w:snapToGrid w:val="0"/>
              <w:spacing w:line="240" w:lineRule="auto"/>
              <w:ind w:firstLine="0" w:firstLineChars="0"/>
              <w:jc w:val="center"/>
              <w:rPr>
                <w:rFonts w:eastAsia="宋体"/>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428" w:type="dxa"/>
            <w:gridSpan w:val="2"/>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F4D83BD">
            <w:pPr>
              <w:adjustRightInd w:val="0"/>
              <w:snapToGrid w:val="0"/>
              <w:spacing w:line="240" w:lineRule="auto"/>
              <w:ind w:firstLine="0"/>
              <w:jc w:val="center"/>
              <w:rPr>
                <w:rFonts w:eastAsia="宋体"/>
                <w:sz w:val="21"/>
                <w:szCs w:val="21"/>
              </w:rPr>
            </w:pPr>
            <w:r>
              <w:rPr>
                <w:rFonts w:eastAsiaTheme="minorEastAsia"/>
                <w:b/>
                <w:bCs/>
                <w:sz w:val="21"/>
                <w:szCs w:val="21"/>
              </w:rPr>
              <w:t>博士生源单位等要求</w:t>
            </w:r>
          </w:p>
        </w:tc>
      </w:tr>
      <w:tr w14:paraId="3EB6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FFDB4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基于大模型的智能校园一体化服务平台</w:t>
            </w:r>
          </w:p>
        </w:tc>
        <w:tc>
          <w:tcPr>
            <w:tcW w:w="1176" w:type="dxa"/>
            <w:tcBorders>
              <w:top w:val="single" w:color="auto" w:sz="4" w:space="0"/>
              <w:left w:val="single" w:color="auto" w:sz="4" w:space="0"/>
              <w:bottom w:val="single" w:color="auto" w:sz="4" w:space="0"/>
              <w:right w:val="single" w:color="auto" w:sz="4" w:space="0"/>
            </w:tcBorders>
            <w:vAlign w:val="center"/>
          </w:tcPr>
          <w:p w14:paraId="39BD5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512" w:type="dxa"/>
            <w:tcBorders>
              <w:top w:val="single" w:color="auto" w:sz="4" w:space="0"/>
              <w:left w:val="single" w:color="auto" w:sz="4" w:space="0"/>
              <w:bottom w:val="single" w:color="auto" w:sz="4" w:space="0"/>
              <w:right w:val="single" w:color="auto" w:sz="4" w:space="0"/>
            </w:tcBorders>
            <w:vAlign w:val="center"/>
          </w:tcPr>
          <w:p w14:paraId="1A51E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3</w:t>
            </w:r>
          </w:p>
        </w:tc>
        <w:tc>
          <w:tcPr>
            <w:tcW w:w="1593" w:type="dxa"/>
            <w:tcBorders>
              <w:top w:val="single" w:color="auto" w:sz="4" w:space="0"/>
              <w:left w:val="single" w:color="auto" w:sz="4" w:space="0"/>
              <w:bottom w:val="single" w:color="auto" w:sz="4" w:space="0"/>
              <w:right w:val="single" w:color="auto" w:sz="4" w:space="0"/>
            </w:tcBorders>
            <w:vAlign w:val="center"/>
          </w:tcPr>
          <w:p w14:paraId="2D8B5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计算机科学与技术</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04D35D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restart"/>
            <w:tcBorders>
              <w:top w:val="single" w:color="auto" w:sz="4" w:space="0"/>
              <w:left w:val="single" w:color="auto" w:sz="4" w:space="0"/>
              <w:right w:val="single" w:color="auto" w:sz="4" w:space="0"/>
            </w:tcBorders>
            <w:vAlign w:val="center"/>
          </w:tcPr>
          <w:p w14:paraId="22D5F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优先录入985与211毕业博士，年龄不超过35岁</w:t>
            </w:r>
          </w:p>
        </w:tc>
      </w:tr>
      <w:tr w14:paraId="03C7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3CF2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c>
          <w:tcPr>
            <w:tcW w:w="1176" w:type="dxa"/>
            <w:tcBorders>
              <w:top w:val="single" w:color="auto" w:sz="4" w:space="0"/>
              <w:left w:val="single" w:color="auto" w:sz="4" w:space="0"/>
              <w:bottom w:val="single" w:color="auto" w:sz="4" w:space="0"/>
              <w:right w:val="single" w:color="auto" w:sz="4" w:space="0"/>
            </w:tcBorders>
            <w:vAlign w:val="center"/>
          </w:tcPr>
          <w:p w14:paraId="58001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1</w:t>
            </w:r>
          </w:p>
        </w:tc>
        <w:tc>
          <w:tcPr>
            <w:tcW w:w="1512" w:type="dxa"/>
            <w:tcBorders>
              <w:top w:val="single" w:color="auto" w:sz="4" w:space="0"/>
              <w:left w:val="single" w:color="auto" w:sz="4" w:space="0"/>
              <w:bottom w:val="single" w:color="auto" w:sz="4" w:space="0"/>
              <w:right w:val="single" w:color="auto" w:sz="4" w:space="0"/>
            </w:tcBorders>
            <w:vAlign w:val="center"/>
          </w:tcPr>
          <w:p w14:paraId="1BBC7E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4</w:t>
            </w:r>
          </w:p>
        </w:tc>
        <w:tc>
          <w:tcPr>
            <w:tcW w:w="1593" w:type="dxa"/>
            <w:tcBorders>
              <w:top w:val="single" w:color="auto" w:sz="4" w:space="0"/>
              <w:left w:val="single" w:color="auto" w:sz="4" w:space="0"/>
              <w:bottom w:val="single" w:color="auto" w:sz="4" w:space="0"/>
              <w:right w:val="single" w:color="auto" w:sz="4" w:space="0"/>
            </w:tcBorders>
            <w:vAlign w:val="center"/>
          </w:tcPr>
          <w:p w14:paraId="74644F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网络空间安全</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5070D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right w:val="single" w:color="auto" w:sz="4" w:space="0"/>
            </w:tcBorders>
            <w:vAlign w:val="center"/>
          </w:tcPr>
          <w:p w14:paraId="25761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18DE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restart"/>
            <w:tcBorders>
              <w:top w:val="single" w:color="auto" w:sz="4" w:space="0"/>
              <w:left w:val="single" w:color="auto" w:sz="4" w:space="0"/>
              <w:bottom w:val="single" w:color="auto" w:sz="4" w:space="0"/>
              <w:right w:val="single" w:color="auto" w:sz="4" w:space="0"/>
            </w:tcBorders>
            <w:noWrap/>
            <w:vAlign w:val="center"/>
          </w:tcPr>
          <w:p w14:paraId="02667B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高等学校智能交互私有化平台 </w:t>
            </w:r>
            <w:r>
              <w:rPr>
                <w:rFonts w:hint="default" w:ascii="Times New Roman" w:hAnsi="Times New Roman" w:cs="Times New Roman" w:eastAsiaTheme="minorEastAsia"/>
                <w:sz w:val="21"/>
                <w:szCs w:val="21"/>
                <w:lang w:val="en-US" w:eastAsia="zh-CN"/>
              </w:rPr>
              <w:t>‌</w:t>
            </w:r>
          </w:p>
        </w:tc>
        <w:tc>
          <w:tcPr>
            <w:tcW w:w="1176" w:type="dxa"/>
            <w:tcBorders>
              <w:top w:val="single" w:color="auto" w:sz="4" w:space="0"/>
              <w:left w:val="single" w:color="auto" w:sz="4" w:space="0"/>
              <w:bottom w:val="single" w:color="auto" w:sz="4" w:space="0"/>
              <w:right w:val="single" w:color="auto" w:sz="4" w:space="0"/>
            </w:tcBorders>
            <w:vAlign w:val="center"/>
          </w:tcPr>
          <w:p w14:paraId="2CC03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w:t>
            </w:r>
          </w:p>
        </w:tc>
        <w:tc>
          <w:tcPr>
            <w:tcW w:w="1512" w:type="dxa"/>
            <w:tcBorders>
              <w:top w:val="single" w:color="auto" w:sz="4" w:space="0"/>
              <w:left w:val="single" w:color="auto" w:sz="4" w:space="0"/>
              <w:bottom w:val="single" w:color="auto" w:sz="4" w:space="0"/>
              <w:right w:val="single" w:color="auto" w:sz="4" w:space="0"/>
            </w:tcBorders>
            <w:vAlign w:val="center"/>
          </w:tcPr>
          <w:p w14:paraId="21F1C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eastAsia" w:ascii="Times New Roman" w:hAnsi="Times New Roman" w:cs="Times New Roman" w:eastAsiaTheme="minorEastAsia"/>
                <w:sz w:val="21"/>
                <w:szCs w:val="21"/>
                <w:lang w:val="en-US" w:eastAsia="zh-CN"/>
              </w:rPr>
              <w:t>5</w:t>
            </w:r>
          </w:p>
        </w:tc>
        <w:tc>
          <w:tcPr>
            <w:tcW w:w="1593" w:type="dxa"/>
            <w:tcBorders>
              <w:top w:val="single" w:color="auto" w:sz="4" w:space="0"/>
              <w:left w:val="single" w:color="auto" w:sz="4" w:space="0"/>
              <w:bottom w:val="single" w:color="auto" w:sz="4" w:space="0"/>
              <w:right w:val="single" w:color="auto" w:sz="4" w:space="0"/>
            </w:tcBorders>
            <w:vAlign w:val="center"/>
          </w:tcPr>
          <w:p w14:paraId="69624A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电子信息</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028F8B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right w:val="single" w:color="auto" w:sz="4" w:space="0"/>
            </w:tcBorders>
            <w:vAlign w:val="center"/>
          </w:tcPr>
          <w:p w14:paraId="0BEC7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0493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1AA1D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p>
        </w:tc>
        <w:tc>
          <w:tcPr>
            <w:tcW w:w="1176" w:type="dxa"/>
            <w:tcBorders>
              <w:top w:val="single" w:color="auto" w:sz="4" w:space="0"/>
              <w:left w:val="single" w:color="auto" w:sz="4" w:space="0"/>
              <w:bottom w:val="single" w:color="auto" w:sz="4" w:space="0"/>
              <w:right w:val="single" w:color="auto" w:sz="4" w:space="0"/>
            </w:tcBorders>
            <w:vAlign w:val="center"/>
          </w:tcPr>
          <w:p w14:paraId="19C96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512" w:type="dxa"/>
            <w:tcBorders>
              <w:top w:val="single" w:color="auto" w:sz="4" w:space="0"/>
              <w:left w:val="single" w:color="auto" w:sz="4" w:space="0"/>
              <w:bottom w:val="single" w:color="auto" w:sz="4" w:space="0"/>
              <w:right w:val="single" w:color="auto" w:sz="4" w:space="0"/>
            </w:tcBorders>
            <w:vAlign w:val="center"/>
          </w:tcPr>
          <w:p w14:paraId="3C838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rPr>
              <w:t>BSH0</w:t>
            </w:r>
            <w:r>
              <w:rPr>
                <w:rFonts w:hint="eastAsia" w:ascii="Times New Roman" w:hAnsi="Times New Roman" w:cs="Times New Roman" w:eastAsiaTheme="minorEastAsia"/>
                <w:sz w:val="21"/>
                <w:szCs w:val="21"/>
                <w:lang w:val="en-US" w:eastAsia="zh-CN"/>
              </w:rPr>
              <w:t>06</w:t>
            </w:r>
          </w:p>
        </w:tc>
        <w:tc>
          <w:tcPr>
            <w:tcW w:w="1593" w:type="dxa"/>
            <w:tcBorders>
              <w:top w:val="single" w:color="auto" w:sz="4" w:space="0"/>
              <w:left w:val="single" w:color="auto" w:sz="4" w:space="0"/>
              <w:bottom w:val="single" w:color="auto" w:sz="4" w:space="0"/>
              <w:right w:val="single" w:color="auto" w:sz="4" w:space="0"/>
            </w:tcBorders>
            <w:vAlign w:val="center"/>
          </w:tcPr>
          <w:p w14:paraId="0294D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网络空间安全</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251AE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right w:val="single" w:color="auto" w:sz="4" w:space="0"/>
            </w:tcBorders>
            <w:vAlign w:val="center"/>
          </w:tcPr>
          <w:p w14:paraId="2FEF9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5B00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561D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人工智能大模型实验室解决方案</w:t>
            </w:r>
          </w:p>
        </w:tc>
        <w:tc>
          <w:tcPr>
            <w:tcW w:w="1176" w:type="dxa"/>
            <w:tcBorders>
              <w:top w:val="single" w:color="auto" w:sz="4" w:space="0"/>
              <w:left w:val="single" w:color="auto" w:sz="4" w:space="0"/>
              <w:bottom w:val="single" w:color="auto" w:sz="4" w:space="0"/>
              <w:right w:val="single" w:color="auto" w:sz="4" w:space="0"/>
            </w:tcBorders>
            <w:vAlign w:val="center"/>
          </w:tcPr>
          <w:p w14:paraId="26F01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512" w:type="dxa"/>
            <w:tcBorders>
              <w:top w:val="single" w:color="auto" w:sz="4" w:space="0"/>
              <w:left w:val="single" w:color="auto" w:sz="4" w:space="0"/>
              <w:bottom w:val="single" w:color="auto" w:sz="4" w:space="0"/>
              <w:right w:val="single" w:color="auto" w:sz="4" w:space="0"/>
            </w:tcBorders>
            <w:vAlign w:val="center"/>
          </w:tcPr>
          <w:p w14:paraId="0D509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rPr>
              <w:t>BSH0</w:t>
            </w:r>
            <w:r>
              <w:rPr>
                <w:rFonts w:hint="eastAsia" w:ascii="Times New Roman" w:hAnsi="Times New Roman" w:cs="Times New Roman" w:eastAsiaTheme="minorEastAsia"/>
                <w:sz w:val="21"/>
                <w:szCs w:val="21"/>
                <w:lang w:val="en-US" w:eastAsia="zh-CN"/>
              </w:rPr>
              <w:t>07</w:t>
            </w:r>
          </w:p>
        </w:tc>
        <w:tc>
          <w:tcPr>
            <w:tcW w:w="1593" w:type="dxa"/>
            <w:tcBorders>
              <w:top w:val="single" w:color="auto" w:sz="4" w:space="0"/>
              <w:left w:val="single" w:color="auto" w:sz="4" w:space="0"/>
              <w:bottom w:val="single" w:color="auto" w:sz="4" w:space="0"/>
              <w:right w:val="single" w:color="auto" w:sz="4" w:space="0"/>
            </w:tcBorders>
            <w:vAlign w:val="center"/>
          </w:tcPr>
          <w:p w14:paraId="5FEF90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计算机科学与技术</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5B6DE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right w:val="single" w:color="auto" w:sz="4" w:space="0"/>
            </w:tcBorders>
            <w:vAlign w:val="center"/>
          </w:tcPr>
          <w:p w14:paraId="3B5F1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3576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9"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2D94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c>
          <w:tcPr>
            <w:tcW w:w="1176" w:type="dxa"/>
            <w:tcBorders>
              <w:top w:val="single" w:color="auto" w:sz="4" w:space="0"/>
              <w:left w:val="single" w:color="auto" w:sz="4" w:space="0"/>
              <w:bottom w:val="single" w:color="auto" w:sz="4" w:space="0"/>
              <w:right w:val="single" w:color="auto" w:sz="4" w:space="0"/>
            </w:tcBorders>
            <w:vAlign w:val="center"/>
          </w:tcPr>
          <w:p w14:paraId="0CAC4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512" w:type="dxa"/>
            <w:tcBorders>
              <w:top w:val="single" w:color="auto" w:sz="4" w:space="0"/>
              <w:left w:val="single" w:color="auto" w:sz="4" w:space="0"/>
              <w:bottom w:val="single" w:color="auto" w:sz="4" w:space="0"/>
              <w:right w:val="single" w:color="auto" w:sz="4" w:space="0"/>
            </w:tcBorders>
            <w:vAlign w:val="center"/>
          </w:tcPr>
          <w:p w14:paraId="0444B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rPr>
              <w:t>BSH0</w:t>
            </w:r>
            <w:r>
              <w:rPr>
                <w:rFonts w:hint="eastAsia" w:ascii="Times New Roman" w:hAnsi="Times New Roman" w:cs="Times New Roman" w:eastAsiaTheme="minorEastAsia"/>
                <w:sz w:val="21"/>
                <w:szCs w:val="21"/>
                <w:lang w:val="en-US" w:eastAsia="zh-CN"/>
              </w:rPr>
              <w:t>08</w:t>
            </w:r>
          </w:p>
        </w:tc>
        <w:tc>
          <w:tcPr>
            <w:tcW w:w="1593" w:type="dxa"/>
            <w:tcBorders>
              <w:top w:val="single" w:color="auto" w:sz="4" w:space="0"/>
              <w:left w:val="single" w:color="auto" w:sz="4" w:space="0"/>
              <w:bottom w:val="single" w:color="auto" w:sz="4" w:space="0"/>
              <w:right w:val="single" w:color="auto" w:sz="4" w:space="0"/>
            </w:tcBorders>
            <w:vAlign w:val="center"/>
          </w:tcPr>
          <w:p w14:paraId="6616C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网络空间安全</w:t>
            </w:r>
          </w:p>
        </w:tc>
        <w:tc>
          <w:tcPr>
            <w:tcW w:w="1399" w:type="dxa"/>
            <w:gridSpan w:val="2"/>
            <w:tcBorders>
              <w:top w:val="single" w:color="auto" w:sz="4" w:space="0"/>
              <w:left w:val="single" w:color="auto" w:sz="4" w:space="0"/>
              <w:bottom w:val="single" w:color="auto" w:sz="4" w:space="0"/>
              <w:right w:val="single" w:color="auto" w:sz="4" w:space="0"/>
            </w:tcBorders>
            <w:vAlign w:val="center"/>
          </w:tcPr>
          <w:p w14:paraId="4D2AD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2428" w:type="dxa"/>
            <w:gridSpan w:val="2"/>
            <w:vMerge w:val="continue"/>
            <w:tcBorders>
              <w:left w:val="single" w:color="auto" w:sz="4" w:space="0"/>
              <w:bottom w:val="single" w:color="auto" w:sz="4" w:space="0"/>
              <w:right w:val="single" w:color="auto" w:sz="4" w:space="0"/>
            </w:tcBorders>
            <w:vAlign w:val="center"/>
          </w:tcPr>
          <w:p w14:paraId="03942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040811AD">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5F50D03E">
      <w:pPr>
        <w:pStyle w:val="5"/>
        <w:adjustRightInd w:val="0"/>
        <w:snapToGrid w:val="0"/>
        <w:spacing w:line="240" w:lineRule="auto"/>
        <w:ind w:firstLine="0"/>
        <w:jc w:val="center"/>
        <w:rPr>
          <w:rFonts w:eastAsia="方正小标宋简体"/>
          <w:sz w:val="44"/>
          <w:szCs w:val="44"/>
        </w:rPr>
      </w:pPr>
    </w:p>
    <w:p w14:paraId="69E4DC63">
      <w:pPr>
        <w:pStyle w:val="5"/>
        <w:adjustRightInd w:val="0"/>
        <w:snapToGrid w:val="0"/>
        <w:spacing w:line="240" w:lineRule="auto"/>
        <w:ind w:firstLine="0"/>
        <w:jc w:val="center"/>
        <w:outlineLvl w:val="0"/>
        <w:rPr>
          <w:rFonts w:eastAsia="方正小标宋简体"/>
          <w:sz w:val="44"/>
          <w:szCs w:val="44"/>
        </w:rPr>
      </w:pPr>
      <w:bookmarkStart w:id="650" w:name="_Toc27959"/>
      <w:bookmarkStart w:id="651" w:name="_Toc6140"/>
      <w:bookmarkStart w:id="652" w:name="_Toc13898"/>
      <w:bookmarkStart w:id="653" w:name="_Toc9939"/>
      <w:bookmarkStart w:id="654" w:name="_Toc22908"/>
      <w:r>
        <w:rPr>
          <w:rFonts w:eastAsia="方正小标宋简体"/>
          <w:sz w:val="44"/>
          <w:szCs w:val="44"/>
          <w:highlight w:val="none"/>
        </w:rPr>
        <w:t>成都纺织高等专科学校</w:t>
      </w:r>
      <w:bookmarkEnd w:id="650"/>
      <w:bookmarkEnd w:id="651"/>
      <w:bookmarkEnd w:id="652"/>
      <w:bookmarkEnd w:id="653"/>
      <w:bookmarkEnd w:id="654"/>
    </w:p>
    <w:p w14:paraId="44C0AC5E">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68"/>
        <w:gridCol w:w="1252"/>
        <w:gridCol w:w="1382"/>
        <w:gridCol w:w="348"/>
        <w:gridCol w:w="1603"/>
        <w:gridCol w:w="79"/>
        <w:gridCol w:w="1272"/>
        <w:gridCol w:w="347"/>
        <w:gridCol w:w="1754"/>
      </w:tblGrid>
      <w:tr w14:paraId="6402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40F91E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30" w:type="dxa"/>
            <w:gridSpan w:val="2"/>
            <w:shd w:val="clear" w:color="000000" w:fill="FFFFFF"/>
            <w:noWrap/>
            <w:vAlign w:val="center"/>
          </w:tcPr>
          <w:p w14:paraId="749AB49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34" w:type="dxa"/>
            <w:gridSpan w:val="2"/>
            <w:shd w:val="clear" w:color="auto" w:fill="E7E6E6" w:themeFill="background2"/>
            <w:noWrap/>
            <w:vAlign w:val="center"/>
          </w:tcPr>
          <w:p w14:paraId="1F2C5A8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73F4F67E">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26A13A08">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656" w:type="dxa"/>
            <w:shd w:val="clear" w:color="000000" w:fill="FFFFFF"/>
            <w:noWrap/>
            <w:vAlign w:val="center"/>
          </w:tcPr>
          <w:p w14:paraId="0461E2F9">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9C2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4BD795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9"/>
            <w:shd w:val="clear" w:color="000000" w:fill="FFFFFF"/>
            <w:noWrap/>
            <w:vAlign w:val="center"/>
          </w:tcPr>
          <w:p w14:paraId="7E9FD683">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w:t>
            </w:r>
            <w:r>
              <w:rPr>
                <w:rFonts w:hint="eastAsia" w:eastAsiaTheme="minorEastAsia"/>
                <w:sz w:val="21"/>
                <w:szCs w:val="21"/>
              </w:rPr>
              <w:t>成都市郫都区犀浦泰山南街186号</w:t>
            </w:r>
          </w:p>
        </w:tc>
      </w:tr>
      <w:tr w14:paraId="2141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jc w:val="center"/>
        </w:trPr>
        <w:tc>
          <w:tcPr>
            <w:tcW w:w="1271" w:type="dxa"/>
            <w:shd w:val="clear" w:color="auto" w:fill="E7E6E6" w:themeFill="background2"/>
            <w:noWrap/>
            <w:vAlign w:val="center"/>
          </w:tcPr>
          <w:p w14:paraId="7EEC31E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9"/>
            <w:shd w:val="clear" w:color="000000" w:fill="FFFFFF"/>
            <w:vAlign w:val="center"/>
          </w:tcPr>
          <w:p w14:paraId="53AE87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成都纺织高等专科学校是四川省人民政府举办的公办全日制普通高等学校，现为国家示范（骨干）高职院校、国家优质高等职业院校、国家“双高计划”建设单位。</w:t>
            </w:r>
          </w:p>
          <w:p w14:paraId="371628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学校地处成都市，占地1153亩，拥有犀浦校区和邛崃产教园区。学校现有纺织工程学院、服装工程与设计学院、轻工与材料学院、电气信息工程学院、智能制造与装备学院、数字经贸与管理学院、艺术设计与创意学院、智能建造与环境工程学院、外语与文化旅游学院、马克思主义学院、人文与通识教育学院、体育工作部，学校以服务纺织服装产业为特色，面向现代制造业和现代服务业发展，主要涉及轻工纺织、装备制造、电子信息、土木建筑、材料与环保、财经商贸、文化艺术、艺术设计传媒、旅游等专业大类。</w:t>
            </w:r>
          </w:p>
        </w:tc>
      </w:tr>
      <w:tr w14:paraId="6FBF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4" w:hRule="atLeast"/>
          <w:jc w:val="center"/>
        </w:trPr>
        <w:tc>
          <w:tcPr>
            <w:tcW w:w="1271" w:type="dxa"/>
            <w:shd w:val="clear" w:color="auto" w:fill="E7E6E6" w:themeFill="background2"/>
            <w:noWrap/>
            <w:vAlign w:val="center"/>
          </w:tcPr>
          <w:p w14:paraId="0F5C437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9"/>
            <w:shd w:val="clear" w:color="000000" w:fill="FFFFFF"/>
            <w:vAlign w:val="center"/>
          </w:tcPr>
          <w:p w14:paraId="4FFE13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工资待遇：基本年薪20万元，包括基本工资、岗位绩效、各项补贴、五险一金（个人部分）、社保（单位部分）、住房公积金（单位部分）、年终奖励绩效等。</w:t>
            </w:r>
          </w:p>
          <w:p w14:paraId="1EBD65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工作补贴：在站期间学校提供租房补贴1800元/月，租房补贴根据市场行情适当调整。</w:t>
            </w:r>
          </w:p>
          <w:p w14:paraId="3E235E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工作经费：提供3万元日常工作经费。</w:t>
            </w:r>
          </w:p>
          <w:p w14:paraId="0444E9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科研经费：提供研究经费20-30万元。</w:t>
            </w:r>
          </w:p>
          <w:p w14:paraId="563369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工作奖励：中期考核、出站考核结果为“优秀”等次的博士后，学校分别给予2万元工作奖励；考核为“合格”的给予1万元工作奖励。</w:t>
            </w:r>
          </w:p>
        </w:tc>
      </w:tr>
      <w:tr w14:paraId="6F18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auto" w:fill="E7E6E6" w:themeFill="background2"/>
            <w:noWrap/>
            <w:vAlign w:val="center"/>
          </w:tcPr>
          <w:p w14:paraId="00D33B1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2" w:type="dxa"/>
            <w:shd w:val="clear" w:color="auto" w:fill="E7E6E6" w:themeFill="background2"/>
            <w:vAlign w:val="center"/>
          </w:tcPr>
          <w:p w14:paraId="34DC99A9">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05" w:type="dxa"/>
            <w:shd w:val="clear" w:color="auto" w:fill="E7E6E6" w:themeFill="background2"/>
            <w:vAlign w:val="center"/>
          </w:tcPr>
          <w:p w14:paraId="1F1F393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43" w:type="dxa"/>
            <w:gridSpan w:val="2"/>
            <w:shd w:val="clear" w:color="auto" w:fill="E7E6E6" w:themeFill="background2"/>
            <w:vAlign w:val="center"/>
          </w:tcPr>
          <w:p w14:paraId="6DAFB4A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0B6083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76" w:type="dxa"/>
            <w:gridSpan w:val="2"/>
            <w:shd w:val="clear" w:color="auto" w:fill="E7E6E6" w:themeFill="background2"/>
            <w:vAlign w:val="center"/>
          </w:tcPr>
          <w:p w14:paraId="28A01CA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C5C1FA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84" w:type="dxa"/>
            <w:gridSpan w:val="2"/>
            <w:shd w:val="clear" w:color="auto" w:fill="E7E6E6" w:themeFill="background2"/>
            <w:vAlign w:val="center"/>
          </w:tcPr>
          <w:p w14:paraId="20A842F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03D38E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F45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000000" w:fill="FFFFFF"/>
            <w:noWrap/>
            <w:vAlign w:val="center"/>
          </w:tcPr>
          <w:p w14:paraId="0A2804D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000000" w:fill="FFFFFF"/>
            <w:vAlign w:val="center"/>
          </w:tcPr>
          <w:p w14:paraId="72C214E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000000" w:fill="FFFFFF"/>
            <w:vAlign w:val="center"/>
          </w:tcPr>
          <w:p w14:paraId="039E917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843" w:type="dxa"/>
            <w:gridSpan w:val="2"/>
            <w:shd w:val="clear" w:color="000000" w:fill="FFFFFF"/>
            <w:vAlign w:val="center"/>
          </w:tcPr>
          <w:p w14:paraId="7C4D2EA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控制科学与工程</w:t>
            </w:r>
          </w:p>
        </w:tc>
        <w:tc>
          <w:tcPr>
            <w:tcW w:w="1276" w:type="dxa"/>
            <w:gridSpan w:val="2"/>
            <w:shd w:val="clear" w:color="000000" w:fill="FFFFFF"/>
            <w:vAlign w:val="center"/>
          </w:tcPr>
          <w:p w14:paraId="351409D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restart"/>
            <w:shd w:val="clear" w:color="000000" w:fill="FFFFFF"/>
            <w:vAlign w:val="center"/>
          </w:tcPr>
          <w:p w14:paraId="57C3325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不限</w:t>
            </w:r>
          </w:p>
        </w:tc>
      </w:tr>
      <w:tr w14:paraId="61B5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000000" w:fill="FFFFFF"/>
            <w:noWrap/>
            <w:vAlign w:val="center"/>
          </w:tcPr>
          <w:p w14:paraId="56E7FE0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000000" w:fill="FFFFFF"/>
            <w:vAlign w:val="center"/>
          </w:tcPr>
          <w:p w14:paraId="3007F42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000000" w:fill="FFFFFF"/>
            <w:vAlign w:val="center"/>
          </w:tcPr>
          <w:p w14:paraId="59CA56D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843" w:type="dxa"/>
            <w:gridSpan w:val="2"/>
            <w:shd w:val="clear" w:color="000000" w:fill="FFFFFF"/>
            <w:vAlign w:val="center"/>
          </w:tcPr>
          <w:p w14:paraId="5FCFF00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w:t>
            </w:r>
          </w:p>
        </w:tc>
        <w:tc>
          <w:tcPr>
            <w:tcW w:w="1276" w:type="dxa"/>
            <w:gridSpan w:val="2"/>
            <w:shd w:val="clear" w:color="000000" w:fill="FFFFFF"/>
            <w:vAlign w:val="center"/>
          </w:tcPr>
          <w:p w14:paraId="58CF1A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continue"/>
            <w:shd w:val="clear" w:color="000000" w:fill="FFFFFF"/>
            <w:vAlign w:val="center"/>
          </w:tcPr>
          <w:p w14:paraId="4DEC6C9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491B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auto" w:fill="E7E6E6" w:themeFill="background2"/>
            <w:noWrap/>
            <w:vAlign w:val="center"/>
          </w:tcPr>
          <w:p w14:paraId="49257A72">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1182" w:type="dxa"/>
            <w:shd w:val="clear" w:color="auto" w:fill="E7E6E6" w:themeFill="background2"/>
            <w:vAlign w:val="center"/>
          </w:tcPr>
          <w:p w14:paraId="00755705">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需求人数</w:t>
            </w:r>
          </w:p>
        </w:tc>
        <w:tc>
          <w:tcPr>
            <w:tcW w:w="1305" w:type="dxa"/>
            <w:shd w:val="clear" w:color="auto" w:fill="E7E6E6" w:themeFill="background2"/>
            <w:vAlign w:val="center"/>
          </w:tcPr>
          <w:p w14:paraId="42BC6014">
            <w:pPr>
              <w:adjustRightInd w:val="0"/>
              <w:snapToGrid w:val="0"/>
              <w:spacing w:line="240" w:lineRule="auto"/>
              <w:ind w:firstLine="0" w:firstLineChars="0"/>
              <w:jc w:val="center"/>
              <w:rPr>
                <w:rFonts w:ascii="Times New Roman" w:hAnsi="Times New Roman" w:cs="Times New Roman" w:eastAsiaTheme="minorEastAsia"/>
                <w:b/>
                <w:bCs/>
                <w:kern w:val="2"/>
                <w:sz w:val="21"/>
                <w:szCs w:val="21"/>
                <w:lang w:val="en-US" w:eastAsia="zh-CN" w:bidi="ar-SA"/>
              </w:rPr>
            </w:pPr>
            <w:r>
              <w:rPr>
                <w:rFonts w:eastAsiaTheme="minorEastAsia"/>
                <w:b/>
                <w:bCs/>
                <w:sz w:val="21"/>
                <w:szCs w:val="21"/>
              </w:rPr>
              <w:t>岗位编号</w:t>
            </w:r>
          </w:p>
        </w:tc>
        <w:tc>
          <w:tcPr>
            <w:tcW w:w="1843" w:type="dxa"/>
            <w:gridSpan w:val="2"/>
            <w:shd w:val="clear" w:color="auto" w:fill="E7E6E6" w:themeFill="background2"/>
            <w:vAlign w:val="center"/>
          </w:tcPr>
          <w:p w14:paraId="3184F2B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BC5D436">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276" w:type="dxa"/>
            <w:gridSpan w:val="2"/>
            <w:shd w:val="clear" w:color="auto" w:fill="E7E6E6" w:themeFill="background2"/>
            <w:vAlign w:val="center"/>
          </w:tcPr>
          <w:p w14:paraId="63AFB66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2FB6A57">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84" w:type="dxa"/>
            <w:gridSpan w:val="2"/>
            <w:shd w:val="clear" w:color="auto" w:fill="E7E6E6" w:themeFill="background2"/>
            <w:vAlign w:val="center"/>
          </w:tcPr>
          <w:p w14:paraId="7838E7D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F319C76">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等要求</w:t>
            </w:r>
          </w:p>
        </w:tc>
      </w:tr>
      <w:tr w14:paraId="0480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auto" w:fill="auto"/>
            <w:noWrap/>
            <w:vAlign w:val="center"/>
          </w:tcPr>
          <w:p w14:paraId="6BBB36E9">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auto" w:fill="auto"/>
            <w:vAlign w:val="center"/>
          </w:tcPr>
          <w:p w14:paraId="61A107D8">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auto" w:fill="auto"/>
            <w:vAlign w:val="center"/>
          </w:tcPr>
          <w:p w14:paraId="474C5D31">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BSH003</w:t>
            </w:r>
          </w:p>
        </w:tc>
        <w:tc>
          <w:tcPr>
            <w:tcW w:w="1843" w:type="dxa"/>
            <w:gridSpan w:val="2"/>
            <w:shd w:val="clear" w:color="auto" w:fill="auto"/>
            <w:vAlign w:val="center"/>
          </w:tcPr>
          <w:p w14:paraId="14F6CB62">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机械工程</w:t>
            </w:r>
          </w:p>
        </w:tc>
        <w:tc>
          <w:tcPr>
            <w:tcW w:w="1276" w:type="dxa"/>
            <w:gridSpan w:val="2"/>
            <w:shd w:val="clear" w:color="auto" w:fill="auto"/>
            <w:vAlign w:val="center"/>
          </w:tcPr>
          <w:p w14:paraId="03AC178B">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restart"/>
            <w:shd w:val="clear" w:color="auto" w:fill="auto"/>
            <w:vAlign w:val="center"/>
          </w:tcPr>
          <w:p w14:paraId="5920AC34">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不限</w:t>
            </w:r>
          </w:p>
        </w:tc>
      </w:tr>
      <w:tr w14:paraId="34C4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auto" w:fill="auto"/>
            <w:noWrap/>
            <w:vAlign w:val="center"/>
          </w:tcPr>
          <w:p w14:paraId="570235E4">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auto" w:fill="auto"/>
            <w:vAlign w:val="center"/>
          </w:tcPr>
          <w:p w14:paraId="289D1930">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auto" w:fill="auto"/>
            <w:vAlign w:val="center"/>
          </w:tcPr>
          <w:p w14:paraId="2C24E65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843" w:type="dxa"/>
            <w:gridSpan w:val="2"/>
            <w:shd w:val="clear" w:color="auto" w:fill="auto"/>
            <w:vAlign w:val="center"/>
          </w:tcPr>
          <w:p w14:paraId="46E15EF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电子科学与技术</w:t>
            </w:r>
          </w:p>
        </w:tc>
        <w:tc>
          <w:tcPr>
            <w:tcW w:w="1276" w:type="dxa"/>
            <w:gridSpan w:val="2"/>
            <w:shd w:val="clear" w:color="auto" w:fill="auto"/>
            <w:vAlign w:val="center"/>
          </w:tcPr>
          <w:p w14:paraId="49C6D23E">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continue"/>
            <w:shd w:val="clear" w:color="auto" w:fill="auto"/>
            <w:vAlign w:val="center"/>
          </w:tcPr>
          <w:p w14:paraId="6C0212F1">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r>
      <w:tr w14:paraId="1A6D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auto" w:fill="auto"/>
            <w:noWrap/>
            <w:vAlign w:val="center"/>
          </w:tcPr>
          <w:p w14:paraId="36DF83B9">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auto" w:fill="auto"/>
            <w:vAlign w:val="center"/>
          </w:tcPr>
          <w:p w14:paraId="4DDDC676">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auto" w:fill="auto"/>
            <w:vAlign w:val="center"/>
          </w:tcPr>
          <w:p w14:paraId="3EC938EA">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843" w:type="dxa"/>
            <w:gridSpan w:val="2"/>
            <w:shd w:val="clear" w:color="auto" w:fill="auto"/>
            <w:vAlign w:val="center"/>
          </w:tcPr>
          <w:p w14:paraId="754C7349">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信息与通信工程</w:t>
            </w:r>
          </w:p>
        </w:tc>
        <w:tc>
          <w:tcPr>
            <w:tcW w:w="1276" w:type="dxa"/>
            <w:gridSpan w:val="2"/>
            <w:shd w:val="clear" w:color="auto" w:fill="auto"/>
            <w:vAlign w:val="center"/>
          </w:tcPr>
          <w:p w14:paraId="27A57FFE">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continue"/>
            <w:shd w:val="clear" w:color="auto" w:fill="auto"/>
            <w:vAlign w:val="center"/>
          </w:tcPr>
          <w:p w14:paraId="2C3559AA">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r>
      <w:tr w14:paraId="3D1F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619" w:type="dxa"/>
            <w:gridSpan w:val="2"/>
            <w:shd w:val="clear" w:color="auto" w:fill="auto"/>
            <w:noWrap/>
            <w:vAlign w:val="center"/>
          </w:tcPr>
          <w:p w14:paraId="5FC0C330">
            <w:pPr>
              <w:adjustRightInd w:val="0"/>
              <w:snapToGrid w:val="0"/>
              <w:spacing w:line="240" w:lineRule="auto"/>
              <w:ind w:firstLine="0" w:firstLineChars="0"/>
              <w:jc w:val="both"/>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博士后</w:t>
            </w:r>
          </w:p>
        </w:tc>
        <w:tc>
          <w:tcPr>
            <w:tcW w:w="1182" w:type="dxa"/>
            <w:shd w:val="clear" w:color="auto" w:fill="auto"/>
            <w:vAlign w:val="center"/>
          </w:tcPr>
          <w:p w14:paraId="33206FC2">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1</w:t>
            </w:r>
          </w:p>
        </w:tc>
        <w:tc>
          <w:tcPr>
            <w:tcW w:w="1305" w:type="dxa"/>
            <w:shd w:val="clear" w:color="auto" w:fill="auto"/>
            <w:vAlign w:val="center"/>
          </w:tcPr>
          <w:p w14:paraId="34F72F9F">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843" w:type="dxa"/>
            <w:gridSpan w:val="2"/>
            <w:shd w:val="clear" w:color="auto" w:fill="auto"/>
            <w:vAlign w:val="center"/>
          </w:tcPr>
          <w:p w14:paraId="08460BE5">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计算机科学与技术</w:t>
            </w:r>
          </w:p>
        </w:tc>
        <w:tc>
          <w:tcPr>
            <w:tcW w:w="1276" w:type="dxa"/>
            <w:gridSpan w:val="2"/>
            <w:shd w:val="clear" w:color="auto" w:fill="auto"/>
            <w:vAlign w:val="center"/>
          </w:tcPr>
          <w:p w14:paraId="43DD1592">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1"/>
                <w:szCs w:val="21"/>
                <w:lang w:val="en-US" w:eastAsia="zh-CN"/>
              </w:rPr>
              <w:t>45</w:t>
            </w:r>
          </w:p>
        </w:tc>
        <w:tc>
          <w:tcPr>
            <w:tcW w:w="1984" w:type="dxa"/>
            <w:gridSpan w:val="2"/>
            <w:vMerge w:val="continue"/>
            <w:shd w:val="clear" w:color="auto" w:fill="auto"/>
            <w:vAlign w:val="center"/>
          </w:tcPr>
          <w:p w14:paraId="7FD76BB3">
            <w:pPr>
              <w:adjustRightInd w:val="0"/>
              <w:snapToGrid w:val="0"/>
              <w:spacing w:line="240" w:lineRule="auto"/>
              <w:ind w:firstLine="0" w:firstLineChars="0"/>
              <w:jc w:val="center"/>
              <w:rPr>
                <w:rFonts w:hint="default" w:ascii="Times New Roman" w:hAnsi="Times New Roman" w:cs="Times New Roman" w:eastAsiaTheme="minorEastAsia"/>
                <w:b/>
                <w:bCs/>
                <w:sz w:val="21"/>
                <w:szCs w:val="21"/>
              </w:rPr>
            </w:pPr>
          </w:p>
        </w:tc>
      </w:tr>
    </w:tbl>
    <w:p w14:paraId="32D3AAB8">
      <w:pPr>
        <w:widowControl/>
        <w:adjustRightInd w:val="0"/>
        <w:snapToGrid w:val="0"/>
        <w:spacing w:line="240" w:lineRule="auto"/>
        <w:ind w:firstLine="0"/>
        <w:jc w:val="left"/>
        <w:rPr>
          <w:sz w:val="21"/>
          <w:szCs w:val="21"/>
        </w:rPr>
      </w:pPr>
      <w:r>
        <w:rPr>
          <w:sz w:val="21"/>
          <w:szCs w:val="21"/>
        </w:rPr>
        <w:br w:type="page"/>
      </w:r>
    </w:p>
    <w:p w14:paraId="3EAFED2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44"/>
          <w:szCs w:val="44"/>
        </w:rPr>
      </w:pPr>
    </w:p>
    <w:p w14:paraId="69513D4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55" w:name="_Toc24327"/>
      <w:bookmarkStart w:id="656" w:name="_Toc5291"/>
      <w:bookmarkStart w:id="657" w:name="_Toc6319"/>
      <w:bookmarkStart w:id="658" w:name="_Toc8647"/>
      <w:bookmarkStart w:id="659" w:name="_Toc16175"/>
      <w:r>
        <w:rPr>
          <w:rFonts w:hint="eastAsia" w:ascii="Times New Roman" w:hAnsi="Times New Roman" w:eastAsia="方正小标宋简体" w:cs="Times New Roman"/>
          <w:sz w:val="44"/>
          <w:szCs w:val="44"/>
          <w:highlight w:val="none"/>
        </w:rPr>
        <w:t>成都工业学院国营成都无线电专用设备厂</w:t>
      </w:r>
      <w:bookmarkEnd w:id="655"/>
      <w:bookmarkEnd w:id="656"/>
      <w:bookmarkEnd w:id="657"/>
      <w:bookmarkEnd w:id="658"/>
      <w:bookmarkEnd w:id="659"/>
    </w:p>
    <w:p w14:paraId="029EA31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6BAC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C23E11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098C4E6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其他</w:t>
            </w:r>
          </w:p>
        </w:tc>
        <w:tc>
          <w:tcPr>
            <w:tcW w:w="1616" w:type="dxa"/>
            <w:gridSpan w:val="2"/>
            <w:shd w:val="clear" w:color="auto" w:fill="E7E6E6" w:themeFill="background2"/>
            <w:noWrap/>
            <w:vAlign w:val="center"/>
          </w:tcPr>
          <w:p w14:paraId="16020A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C50FE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6E798A5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1EC34FD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3BCC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34AD584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69B7A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四川省成都市郫都区中信大道二段1号</w:t>
            </w:r>
          </w:p>
        </w:tc>
      </w:tr>
      <w:tr w14:paraId="338D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016" w:hRule="atLeast"/>
          <w:jc w:val="center"/>
        </w:trPr>
        <w:tc>
          <w:tcPr>
            <w:tcW w:w="1271" w:type="dxa"/>
            <w:shd w:val="clear" w:color="auto" w:fill="E7E6E6" w:themeFill="background2"/>
            <w:noWrap/>
            <w:vAlign w:val="center"/>
          </w:tcPr>
          <w:p w14:paraId="71899A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72B47EB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成都无线电专用设备厂是成都工业学院投资成立，建于1965年，是原电子工业部直属企业（原名电子部国营633厂）。50年来一直承担有军工产品雷达汇流环产品生产和数控电火花线切割机机床生产。2015年，按照成都市建设国家级双创示范基地建设目标，郫县政府委托学校筹建菁蓉镇双创示范区无人机产业基地，学校在成都无线电专用设备厂基础上，整合学校四川光翼飞行器股份有限公司、成都五一全速科技公司、成都工院无人机研究院和省厅级科研实验室，组建了一批支撑企业科技创新的研发机构。目前，成都无线电专用设备厂成为集军民品研发制造、科学研究、成果转化、创新创业孵化和社会科技服务于一体的综合性科技企业。</w:t>
            </w:r>
          </w:p>
        </w:tc>
      </w:tr>
      <w:tr w14:paraId="60DC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451" w:hRule="atLeast"/>
          <w:jc w:val="center"/>
        </w:trPr>
        <w:tc>
          <w:tcPr>
            <w:tcW w:w="1271" w:type="dxa"/>
            <w:shd w:val="clear" w:color="auto" w:fill="E7E6E6" w:themeFill="background2"/>
            <w:noWrap/>
            <w:vAlign w:val="center"/>
          </w:tcPr>
          <w:p w14:paraId="080F541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006E4C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（1）基地科研机构接受博士入站后，依据入站人数情况，学校每年支持该科研机构不低于10万元的科研业务经费。</w:t>
            </w:r>
          </w:p>
          <w:p w14:paraId="24A87D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（2）学校除设立科研项目专项经费外，每年为每位进站博士后提供不低于5万元的学术活动业务经费。</w:t>
            </w:r>
          </w:p>
          <w:p w14:paraId="48B1A6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（3）博士后项目所需设备，学校优先列入年度采购计划。</w:t>
            </w:r>
          </w:p>
          <w:p w14:paraId="5D6F9F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（4）博士后项目需要与其他博士后工作站协同研究的，学校提供专项经费用于聘请兼职科研人员。</w:t>
            </w:r>
          </w:p>
        </w:tc>
      </w:tr>
      <w:tr w14:paraId="16C7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1FA2153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2F1F4DB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7E1593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4DF57B2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378106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306743F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4F385D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1064167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2BF31F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0DF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41" w:type="dxa"/>
            <w:gridSpan w:val="2"/>
            <w:shd w:val="clear" w:color="auto" w:fill="auto"/>
            <w:noWrap/>
            <w:vAlign w:val="center"/>
          </w:tcPr>
          <w:p w14:paraId="7C2C322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防渗漏新型材料研究及应用</w:t>
            </w:r>
          </w:p>
        </w:tc>
        <w:tc>
          <w:tcPr>
            <w:tcW w:w="1132" w:type="dxa"/>
            <w:gridSpan w:val="2"/>
            <w:shd w:val="clear" w:color="auto" w:fill="auto"/>
            <w:vAlign w:val="center"/>
          </w:tcPr>
          <w:p w14:paraId="360FC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w:t>
            </w:r>
          </w:p>
        </w:tc>
        <w:tc>
          <w:tcPr>
            <w:tcW w:w="1116" w:type="dxa"/>
            <w:gridSpan w:val="2"/>
            <w:shd w:val="clear" w:color="auto" w:fill="auto"/>
            <w:vAlign w:val="center"/>
          </w:tcPr>
          <w:p w14:paraId="1364D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725691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无机非金属</w:t>
            </w:r>
          </w:p>
        </w:tc>
        <w:tc>
          <w:tcPr>
            <w:tcW w:w="1632" w:type="dxa"/>
            <w:shd w:val="clear" w:color="auto" w:fill="auto"/>
            <w:vAlign w:val="center"/>
          </w:tcPr>
          <w:p w14:paraId="46F65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20万</w:t>
            </w:r>
          </w:p>
        </w:tc>
        <w:tc>
          <w:tcPr>
            <w:tcW w:w="2023" w:type="dxa"/>
            <w:gridSpan w:val="3"/>
            <w:shd w:val="clear" w:color="auto" w:fill="auto"/>
            <w:vAlign w:val="center"/>
          </w:tcPr>
          <w:p w14:paraId="3562C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双一流建设高校</w:t>
            </w:r>
          </w:p>
        </w:tc>
      </w:tr>
    </w:tbl>
    <w:p w14:paraId="1FE35162">
      <w:pPr>
        <w:pStyle w:val="5"/>
        <w:adjustRightInd w:val="0"/>
        <w:snapToGrid w:val="0"/>
        <w:spacing w:line="240" w:lineRule="auto"/>
        <w:ind w:firstLine="0"/>
        <w:rPr>
          <w:rFonts w:eastAsiaTheme="minorEastAsia"/>
          <w:sz w:val="21"/>
          <w:szCs w:val="21"/>
        </w:rPr>
      </w:pPr>
    </w:p>
    <w:p w14:paraId="1BFDF5E1">
      <w:pPr>
        <w:pStyle w:val="5"/>
        <w:adjustRightInd w:val="0"/>
        <w:snapToGrid w:val="0"/>
        <w:spacing w:line="240" w:lineRule="auto"/>
        <w:ind w:firstLine="0"/>
        <w:rPr>
          <w:rFonts w:eastAsiaTheme="minorEastAsia"/>
          <w:sz w:val="21"/>
          <w:szCs w:val="21"/>
        </w:rPr>
      </w:pPr>
    </w:p>
    <w:p w14:paraId="0CE2802A">
      <w:pPr>
        <w:pStyle w:val="5"/>
        <w:adjustRightInd w:val="0"/>
        <w:snapToGrid w:val="0"/>
        <w:spacing w:line="240" w:lineRule="auto"/>
        <w:ind w:firstLine="0"/>
        <w:rPr>
          <w:rFonts w:eastAsiaTheme="minorEastAsia"/>
          <w:sz w:val="21"/>
          <w:szCs w:val="21"/>
        </w:rPr>
      </w:pPr>
    </w:p>
    <w:p w14:paraId="58CD8DF8">
      <w:pPr>
        <w:pStyle w:val="5"/>
        <w:adjustRightInd w:val="0"/>
        <w:snapToGrid w:val="0"/>
        <w:spacing w:line="240" w:lineRule="auto"/>
        <w:ind w:firstLine="0"/>
        <w:rPr>
          <w:rFonts w:eastAsiaTheme="minorEastAsia"/>
          <w:sz w:val="21"/>
          <w:szCs w:val="21"/>
        </w:rPr>
      </w:pPr>
    </w:p>
    <w:p w14:paraId="009ED2F8">
      <w:pPr>
        <w:pStyle w:val="5"/>
        <w:adjustRightInd w:val="0"/>
        <w:snapToGrid w:val="0"/>
        <w:spacing w:line="240" w:lineRule="auto"/>
        <w:ind w:firstLine="0"/>
        <w:rPr>
          <w:rFonts w:eastAsiaTheme="minorEastAsia"/>
          <w:sz w:val="44"/>
          <w:szCs w:val="44"/>
        </w:rPr>
      </w:pPr>
    </w:p>
    <w:p w14:paraId="458B9C1F">
      <w:pPr>
        <w:pStyle w:val="5"/>
        <w:adjustRightInd w:val="0"/>
        <w:snapToGrid w:val="0"/>
        <w:spacing w:line="240" w:lineRule="auto"/>
        <w:ind w:firstLine="0"/>
        <w:jc w:val="center"/>
        <w:outlineLvl w:val="0"/>
        <w:rPr>
          <w:rFonts w:eastAsia="方正小标宋简体"/>
          <w:sz w:val="44"/>
          <w:szCs w:val="44"/>
        </w:rPr>
      </w:pPr>
      <w:bookmarkStart w:id="660" w:name="_Toc31902"/>
      <w:bookmarkStart w:id="661" w:name="_Toc23067"/>
      <w:bookmarkStart w:id="662" w:name="_Toc8552"/>
      <w:bookmarkStart w:id="663" w:name="_Toc18404"/>
      <w:bookmarkStart w:id="664" w:name="_Toc30829"/>
      <w:r>
        <w:rPr>
          <w:rFonts w:eastAsia="方正小标宋简体"/>
          <w:sz w:val="44"/>
          <w:szCs w:val="44"/>
          <w:highlight w:val="none"/>
        </w:rPr>
        <w:t>成都国光电气股份有限公司</w:t>
      </w:r>
      <w:bookmarkEnd w:id="660"/>
      <w:bookmarkEnd w:id="661"/>
      <w:bookmarkEnd w:id="662"/>
      <w:bookmarkEnd w:id="663"/>
      <w:bookmarkEnd w:id="664"/>
    </w:p>
    <w:p w14:paraId="7862C79E">
      <w:pPr>
        <w:pStyle w:val="5"/>
        <w:tabs>
          <w:tab w:val="center" w:pos="4705"/>
          <w:tab w:val="left" w:pos="7680"/>
        </w:tabs>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6"/>
        <w:gridCol w:w="1203"/>
        <w:gridCol w:w="1217"/>
        <w:gridCol w:w="463"/>
        <w:gridCol w:w="1381"/>
        <w:gridCol w:w="246"/>
        <w:gridCol w:w="1350"/>
        <w:gridCol w:w="215"/>
        <w:gridCol w:w="2019"/>
      </w:tblGrid>
      <w:tr w14:paraId="52C9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87000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33C552B2">
            <w:pPr>
              <w:adjustRightInd w:val="0"/>
              <w:snapToGrid w:val="0"/>
              <w:spacing w:line="240" w:lineRule="auto"/>
              <w:ind w:firstLine="0"/>
              <w:jc w:val="center"/>
              <w:rPr>
                <w:rFonts w:eastAsiaTheme="minorEastAsia"/>
                <w:sz w:val="21"/>
                <w:szCs w:val="21"/>
              </w:rPr>
            </w:pPr>
            <w:r>
              <w:rPr>
                <w:rFonts w:eastAsiaTheme="minorEastAsia"/>
                <w:sz w:val="21"/>
                <w:szCs w:val="21"/>
              </w:rPr>
              <w:t>股份制企业</w:t>
            </w:r>
          </w:p>
        </w:tc>
        <w:tc>
          <w:tcPr>
            <w:tcW w:w="1641" w:type="dxa"/>
            <w:gridSpan w:val="2"/>
            <w:shd w:val="clear" w:color="auto" w:fill="E7E6E6" w:themeFill="background2"/>
            <w:noWrap/>
            <w:vAlign w:val="center"/>
          </w:tcPr>
          <w:p w14:paraId="2642F700">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1A4FF1CD">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5C5A528C">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08E94D1A">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0F1F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CDEA5A0">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1B4CE85A">
            <w:pPr>
              <w:adjustRightInd w:val="0"/>
              <w:snapToGrid w:val="0"/>
              <w:spacing w:line="240" w:lineRule="auto"/>
              <w:ind w:firstLine="420" w:firstLineChars="200"/>
              <w:jc w:val="center"/>
              <w:rPr>
                <w:rFonts w:hint="default" w:eastAsiaTheme="minorEastAsia"/>
                <w:sz w:val="21"/>
                <w:szCs w:val="21"/>
                <w:lang w:val="en-US" w:eastAsia="zh-CN"/>
              </w:rPr>
            </w:pPr>
            <w:r>
              <w:rPr>
                <w:rFonts w:eastAsiaTheme="minorEastAsia"/>
                <w:sz w:val="21"/>
                <w:szCs w:val="21"/>
              </w:rPr>
              <w:t>四川省</w:t>
            </w:r>
            <w:r>
              <w:rPr>
                <w:rFonts w:hint="eastAsia" w:eastAsiaTheme="minorEastAsia"/>
                <w:sz w:val="21"/>
                <w:szCs w:val="21"/>
                <w:lang w:val="en-US" w:eastAsia="zh-CN"/>
              </w:rPr>
              <w:t>成都市龙泉驿区星光西路117号</w:t>
            </w:r>
          </w:p>
        </w:tc>
      </w:tr>
      <w:tr w14:paraId="2449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jc w:val="center"/>
        </w:trPr>
        <w:tc>
          <w:tcPr>
            <w:tcW w:w="1271" w:type="dxa"/>
            <w:shd w:val="clear" w:color="auto" w:fill="E7E6E6" w:themeFill="background2"/>
            <w:noWrap/>
            <w:vAlign w:val="center"/>
          </w:tcPr>
          <w:p w14:paraId="3F058D0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单位简介</w:t>
            </w:r>
          </w:p>
        </w:tc>
        <w:tc>
          <w:tcPr>
            <w:tcW w:w="8253" w:type="dxa"/>
            <w:gridSpan w:val="9"/>
            <w:shd w:val="clear" w:color="000000" w:fill="FFFFFF"/>
            <w:vAlign w:val="center"/>
          </w:tcPr>
          <w:p w14:paraId="767232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国光电气股份有限公司始建于1958年，是我国微波电子器件主要科研生产基地之一。位于成都经济技术开发区龙泉产业园，占地面积10万平方米，建筑面积约7万平方米。公司产品门类主要包括各类微波器件（电真空、固态）及组件、真空接触器、真空灭弧室、工业用微波能产品、机载厨房服务设备（含高铁服务推车等）、真空规管、真空计、真空工艺设备、真空测控设备、移动压力容器测控组件、核工业应用设备等。</w:t>
            </w:r>
          </w:p>
          <w:p w14:paraId="6DE9EE3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公司是四川省高新技术企业、四川省企业技术中心和四川省博士后创新实践基地。通过了IS09001质量体系认证，先后有120余项成果分别荣获国家、部、省等各类奖励，拥有80余项专利。</w:t>
            </w:r>
          </w:p>
          <w:p w14:paraId="49602CE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KSRHUCJLKS0_23_0" w:cs="Times New Roman"/>
                <w:color w:val="000000"/>
                <w:kern w:val="0"/>
                <w:sz w:val="21"/>
                <w:szCs w:val="21"/>
                <w:lang w:val="en-US" w:eastAsia="zh-CN" w:bidi="ar"/>
              </w:rPr>
            </w:pPr>
          </w:p>
        </w:tc>
      </w:tr>
      <w:tr w14:paraId="4350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1271" w:type="dxa"/>
            <w:shd w:val="clear" w:color="auto" w:fill="E7E6E6" w:themeFill="background2"/>
            <w:noWrap/>
            <w:vAlign w:val="center"/>
          </w:tcPr>
          <w:p w14:paraId="11CEDC7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5FC4EEA6">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全方位的福利保障，享受职工福利待遇。畅通的晋升通道。在站期间可以评职称。公司提供薪资每年28万。</w:t>
            </w:r>
          </w:p>
        </w:tc>
      </w:tr>
      <w:tr w14:paraId="3977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auto" w:fill="E7E6E6" w:themeFill="background2"/>
            <w:noWrap/>
            <w:vAlign w:val="center"/>
          </w:tcPr>
          <w:p w14:paraId="0AD3CBB7">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15041010">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14:paraId="3EF518F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01" w:type="dxa"/>
            <w:gridSpan w:val="2"/>
            <w:shd w:val="clear" w:color="auto" w:fill="E7E6E6" w:themeFill="background2"/>
            <w:vAlign w:val="center"/>
          </w:tcPr>
          <w:p w14:paraId="1EBF1E3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03C10B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59" w:type="dxa"/>
            <w:gridSpan w:val="2"/>
            <w:shd w:val="clear" w:color="auto" w:fill="E7E6E6" w:themeFill="background2"/>
            <w:vAlign w:val="center"/>
          </w:tcPr>
          <w:p w14:paraId="740E50B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9EE1E0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81" w:type="dxa"/>
            <w:gridSpan w:val="2"/>
            <w:shd w:val="clear" w:color="auto" w:fill="E7E6E6" w:themeFill="background2"/>
            <w:vAlign w:val="center"/>
          </w:tcPr>
          <w:p w14:paraId="16EEFA8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4957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619" w:type="dxa"/>
            <w:gridSpan w:val="2"/>
            <w:shd w:val="clear" w:color="000000" w:fill="FFFFFF"/>
            <w:noWrap/>
            <w:vAlign w:val="center"/>
          </w:tcPr>
          <w:p w14:paraId="3976A4EF">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W波段大功率行波管研究</w:t>
            </w:r>
          </w:p>
        </w:tc>
        <w:tc>
          <w:tcPr>
            <w:tcW w:w="1175" w:type="dxa"/>
            <w:shd w:val="clear" w:color="000000" w:fill="FFFFFF"/>
            <w:vAlign w:val="center"/>
          </w:tcPr>
          <w:p w14:paraId="62FD149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89" w:type="dxa"/>
            <w:shd w:val="clear" w:color="000000" w:fill="FFFFFF"/>
            <w:vAlign w:val="center"/>
          </w:tcPr>
          <w:p w14:paraId="0BCB6C74">
            <w:pPr>
              <w:adjustRightInd w:val="0"/>
              <w:snapToGrid w:val="0"/>
              <w:spacing w:line="240" w:lineRule="auto"/>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kern w:val="0"/>
                <w:sz w:val="21"/>
                <w:szCs w:val="21"/>
              </w:rPr>
              <w:t>BSH001</w:t>
            </w:r>
          </w:p>
        </w:tc>
        <w:tc>
          <w:tcPr>
            <w:tcW w:w="1801" w:type="dxa"/>
            <w:gridSpan w:val="2"/>
            <w:shd w:val="clear" w:color="000000" w:fill="FFFFFF"/>
            <w:vAlign w:val="center"/>
          </w:tcPr>
          <w:p w14:paraId="554B35D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电真空技术</w:t>
            </w:r>
          </w:p>
        </w:tc>
        <w:tc>
          <w:tcPr>
            <w:tcW w:w="1559" w:type="dxa"/>
            <w:gridSpan w:val="2"/>
            <w:shd w:val="clear" w:color="000000" w:fill="FFFFFF"/>
            <w:vAlign w:val="center"/>
          </w:tcPr>
          <w:p w14:paraId="21DF504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100</w:t>
            </w:r>
          </w:p>
        </w:tc>
        <w:tc>
          <w:tcPr>
            <w:tcW w:w="2181" w:type="dxa"/>
            <w:gridSpan w:val="2"/>
            <w:shd w:val="clear" w:color="000000" w:fill="FFFFFF"/>
            <w:vAlign w:val="center"/>
          </w:tcPr>
          <w:p w14:paraId="4563C91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169EACAC">
      <w:pPr>
        <w:pStyle w:val="5"/>
        <w:adjustRightInd w:val="0"/>
        <w:snapToGrid w:val="0"/>
        <w:spacing w:line="240" w:lineRule="auto"/>
        <w:ind w:firstLine="0"/>
        <w:rPr>
          <w:rFonts w:eastAsiaTheme="minorEastAsia"/>
          <w:sz w:val="21"/>
          <w:szCs w:val="21"/>
        </w:rPr>
      </w:pPr>
      <w:r>
        <w:br w:type="page"/>
      </w:r>
    </w:p>
    <w:p w14:paraId="03A4F125">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4FA7725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665" w:name="_Toc19205"/>
      <w:bookmarkStart w:id="666" w:name="_Toc4992"/>
      <w:bookmarkStart w:id="667" w:name="_Toc30945"/>
      <w:bookmarkStart w:id="668" w:name="_Toc1182"/>
      <w:bookmarkStart w:id="669" w:name="_Toc11420"/>
      <w:r>
        <w:rPr>
          <w:rFonts w:eastAsia="方正小标宋简体"/>
          <w:sz w:val="44"/>
          <w:szCs w:val="44"/>
          <w:highlight w:val="none"/>
        </w:rPr>
        <w:t>成都航空职业技术学院</w:t>
      </w:r>
      <w:bookmarkEnd w:id="665"/>
      <w:bookmarkEnd w:id="666"/>
      <w:bookmarkEnd w:id="667"/>
      <w:bookmarkEnd w:id="668"/>
      <w:bookmarkEnd w:id="669"/>
    </w:p>
    <w:p w14:paraId="6795F4E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363"/>
        <w:gridCol w:w="1220"/>
        <w:gridCol w:w="1245"/>
        <w:gridCol w:w="476"/>
        <w:gridCol w:w="1191"/>
        <w:gridCol w:w="462"/>
        <w:gridCol w:w="997"/>
        <w:gridCol w:w="598"/>
        <w:gridCol w:w="1875"/>
      </w:tblGrid>
      <w:tr w14:paraId="4595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B06142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18" w:type="dxa"/>
            <w:gridSpan w:val="2"/>
            <w:shd w:val="clear" w:color="000000" w:fill="FFFFFF"/>
            <w:noWrap/>
            <w:vAlign w:val="center"/>
          </w:tcPr>
          <w:p w14:paraId="0AB642CC">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50" w:type="dxa"/>
            <w:gridSpan w:val="2"/>
            <w:shd w:val="clear" w:color="auto" w:fill="E7E6E6" w:themeFill="background2"/>
            <w:noWrap/>
            <w:vAlign w:val="center"/>
          </w:tcPr>
          <w:p w14:paraId="6359F9F1">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5" w:type="dxa"/>
            <w:gridSpan w:val="2"/>
            <w:shd w:val="clear" w:color="000000" w:fill="FFFFFF"/>
            <w:noWrap/>
            <w:vAlign w:val="center"/>
          </w:tcPr>
          <w:p w14:paraId="508CCC36">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6CCD9E36">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98" w:type="dxa"/>
            <w:shd w:val="clear" w:color="000000" w:fill="FFFFFF"/>
            <w:noWrap/>
            <w:vAlign w:val="center"/>
          </w:tcPr>
          <w:p w14:paraId="2EE2F7F5">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3A9A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387B17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9"/>
            <w:shd w:val="clear" w:color="000000" w:fill="FFFFFF"/>
            <w:noWrap/>
            <w:vAlign w:val="center"/>
          </w:tcPr>
          <w:p w14:paraId="7023A666">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成都市龙泉驿区车城东七路699号</w:t>
            </w:r>
          </w:p>
        </w:tc>
      </w:tr>
      <w:tr w14:paraId="5B17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8" w:hRule="atLeast"/>
          <w:jc w:val="center"/>
        </w:trPr>
        <w:tc>
          <w:tcPr>
            <w:tcW w:w="1271" w:type="dxa"/>
            <w:shd w:val="clear" w:color="auto" w:fill="E7E6E6" w:themeFill="background2"/>
            <w:noWrap/>
            <w:vAlign w:val="center"/>
          </w:tcPr>
          <w:p w14:paraId="1AA173A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9"/>
            <w:shd w:val="clear" w:color="000000" w:fill="FFFFFF"/>
            <w:vAlign w:val="center"/>
          </w:tcPr>
          <w:p w14:paraId="190EA842">
            <w:pPr>
              <w:adjustRightInd w:val="0"/>
              <w:snapToGrid w:val="0"/>
              <w:spacing w:line="288" w:lineRule="auto"/>
              <w:ind w:firstLine="420" w:firstLineChars="200"/>
              <w:rPr>
                <w:rFonts w:eastAsiaTheme="minorEastAsia"/>
                <w:sz w:val="21"/>
                <w:szCs w:val="21"/>
              </w:rPr>
            </w:pPr>
            <w:r>
              <w:rPr>
                <w:rFonts w:hint="eastAsia" w:eastAsiaTheme="minorEastAsia"/>
                <w:sz w:val="21"/>
                <w:szCs w:val="21"/>
              </w:rPr>
              <w:t>学校是四川省教育厅直属公办全日制普通高等学校，全国首批国家示范性高等职业院校，国家“双高”计划建设单位。学校地处成都市东门方向的龙泉驿区。学校占地近1300亩（含新都航空产教园区），教学、科研仪器设备等固定资产总值约3.58亿元，藏书逾百万册，现有在校生1万余人。拥有全国高校黄大年式教师团队1个、国家级教学（创新）团队5个和四川省技能大师工作室2个，建有国家示范院校重点专业6个、国家“双高计划”重点建设专业5个、国家骨干专业4个、航空军工特色专业6个、定向培养军士（士官）专业7个；学校荣获国家级、省部级发明奖、科技进步奖5项，国家级教学成果一等奖1项、二等奖5项，省级教学成果奖31项；建成国家级专业教学资源库2个、国家精品课程12门、国家精品资源共享课程9门，教育部课程思政示范课程2门；近年累计主持或参与省部级、市厅级科研项目268项，获授权专利927项，突破核心关键技术5项，制定行业技术标准5项。</w:t>
            </w:r>
          </w:p>
        </w:tc>
      </w:tr>
      <w:tr w14:paraId="24B9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1271" w:type="dxa"/>
            <w:shd w:val="clear" w:color="auto" w:fill="E7E6E6" w:themeFill="background2"/>
            <w:noWrap/>
            <w:vAlign w:val="center"/>
          </w:tcPr>
          <w:p w14:paraId="42086E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9"/>
            <w:shd w:val="clear" w:color="000000" w:fill="FFFFFF"/>
            <w:vAlign w:val="center"/>
          </w:tcPr>
          <w:p w14:paraId="434A2035">
            <w:pPr>
              <w:adjustRightInd w:val="0"/>
              <w:snapToGrid w:val="0"/>
              <w:spacing w:line="288" w:lineRule="auto"/>
              <w:ind w:firstLine="420" w:firstLineChars="200"/>
              <w:rPr>
                <w:rFonts w:eastAsiaTheme="minorEastAsia"/>
                <w:sz w:val="21"/>
                <w:szCs w:val="21"/>
              </w:rPr>
            </w:pPr>
            <w:r>
              <w:rPr>
                <w:rFonts w:hint="eastAsia" w:eastAsiaTheme="minorEastAsia"/>
                <w:sz w:val="21"/>
                <w:szCs w:val="21"/>
              </w:rPr>
              <w:t>年薪不低于20万元/年（税前），为博士后缴交社会保险和公积金；入站后可申请中国博士后科学基金，根据项目情况提供5-20万科研经费资助，获得国家、省市项目者享受相应科研资助；在站期间可根据需要申请出国（境）开展学术交流、合作研究，出国（境）期限最长可达一年；提供博士后公寓一套；博士后子女按学校教职工子女同等待遇办理入园、入学。</w:t>
            </w:r>
          </w:p>
        </w:tc>
      </w:tr>
      <w:tr w14:paraId="483B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2475593A">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0" w:type="dxa"/>
            <w:shd w:val="clear" w:color="auto" w:fill="E7E6E6" w:themeFill="background2"/>
            <w:vAlign w:val="center"/>
          </w:tcPr>
          <w:p w14:paraId="1D391E6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4" w:type="dxa"/>
            <w:shd w:val="clear" w:color="auto" w:fill="E7E6E6" w:themeFill="background2"/>
            <w:vAlign w:val="center"/>
          </w:tcPr>
          <w:p w14:paraId="6A505DC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14:paraId="6F09FA2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00590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0CE986F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5D74B4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71" w:type="dxa"/>
            <w:gridSpan w:val="2"/>
            <w:shd w:val="clear" w:color="auto" w:fill="E7E6E6" w:themeFill="background2"/>
            <w:vAlign w:val="center"/>
          </w:tcPr>
          <w:p w14:paraId="502E2AC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BE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632059D5">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航空宇航科学与技术大类</w:t>
            </w:r>
          </w:p>
        </w:tc>
        <w:tc>
          <w:tcPr>
            <w:tcW w:w="1170" w:type="dxa"/>
            <w:shd w:val="clear" w:color="000000" w:fill="FFFFFF"/>
            <w:vAlign w:val="center"/>
          </w:tcPr>
          <w:p w14:paraId="3705EE19">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不限</w:t>
            </w:r>
          </w:p>
        </w:tc>
        <w:tc>
          <w:tcPr>
            <w:tcW w:w="1194" w:type="dxa"/>
            <w:shd w:val="clear" w:color="000000" w:fill="FFFFFF"/>
            <w:vAlign w:val="center"/>
          </w:tcPr>
          <w:p w14:paraId="7D041C09">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BSH001</w:t>
            </w:r>
          </w:p>
        </w:tc>
        <w:tc>
          <w:tcPr>
            <w:tcW w:w="1598" w:type="dxa"/>
            <w:gridSpan w:val="2"/>
            <w:shd w:val="clear" w:color="000000" w:fill="FFFFFF"/>
            <w:vAlign w:val="center"/>
          </w:tcPr>
          <w:p w14:paraId="0E23AF6F">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航空宇航科学与技术</w:t>
            </w:r>
          </w:p>
        </w:tc>
        <w:tc>
          <w:tcPr>
            <w:tcW w:w="1399" w:type="dxa"/>
            <w:gridSpan w:val="2"/>
            <w:shd w:val="clear" w:color="000000" w:fill="FFFFFF"/>
            <w:vAlign w:val="center"/>
          </w:tcPr>
          <w:p w14:paraId="1A6A225E">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20-30万元</w:t>
            </w:r>
          </w:p>
        </w:tc>
        <w:tc>
          <w:tcPr>
            <w:tcW w:w="2371" w:type="dxa"/>
            <w:gridSpan w:val="2"/>
            <w:vMerge w:val="restart"/>
            <w:shd w:val="clear" w:color="000000" w:fill="FFFFFF"/>
            <w:vAlign w:val="center"/>
          </w:tcPr>
          <w:p w14:paraId="39FFB7DC">
            <w:pPr>
              <w:adjustRightInd w:val="0"/>
              <w:snapToGrid w:val="0"/>
              <w:spacing w:line="240" w:lineRule="auto"/>
              <w:ind w:firstLine="0"/>
              <w:jc w:val="center"/>
              <w:rPr>
                <w:rFonts w:eastAsiaTheme="minorEastAsia"/>
                <w:sz w:val="21"/>
                <w:szCs w:val="21"/>
              </w:rPr>
            </w:pPr>
            <w:r>
              <w:rPr>
                <w:rFonts w:hint="eastAsia" w:eastAsiaTheme="minorEastAsia"/>
                <w:sz w:val="21"/>
                <w:szCs w:val="21"/>
              </w:rPr>
              <w:t>生源单位为高校或科研院所</w:t>
            </w:r>
          </w:p>
        </w:tc>
      </w:tr>
      <w:tr w14:paraId="6FA8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2F7AFF8F">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航空电子类</w:t>
            </w:r>
          </w:p>
        </w:tc>
        <w:tc>
          <w:tcPr>
            <w:tcW w:w="1170" w:type="dxa"/>
            <w:shd w:val="clear" w:color="000000" w:fill="FFFFFF"/>
            <w:vAlign w:val="center"/>
          </w:tcPr>
          <w:p w14:paraId="21D78FAD">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不限</w:t>
            </w:r>
          </w:p>
        </w:tc>
        <w:tc>
          <w:tcPr>
            <w:tcW w:w="1194" w:type="dxa"/>
            <w:shd w:val="clear" w:color="000000" w:fill="FFFFFF"/>
            <w:vAlign w:val="center"/>
          </w:tcPr>
          <w:p w14:paraId="72D8F8E7">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BSH002</w:t>
            </w:r>
          </w:p>
        </w:tc>
        <w:tc>
          <w:tcPr>
            <w:tcW w:w="1598" w:type="dxa"/>
            <w:gridSpan w:val="2"/>
            <w:shd w:val="clear" w:color="000000" w:fill="FFFFFF"/>
            <w:vAlign w:val="center"/>
          </w:tcPr>
          <w:p w14:paraId="62E8B417">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电气工程及其自动化</w:t>
            </w:r>
          </w:p>
        </w:tc>
        <w:tc>
          <w:tcPr>
            <w:tcW w:w="1399" w:type="dxa"/>
            <w:gridSpan w:val="2"/>
            <w:shd w:val="clear" w:color="000000" w:fill="FFFFFF"/>
            <w:vAlign w:val="center"/>
          </w:tcPr>
          <w:p w14:paraId="56FF2DFB">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20-30万元</w:t>
            </w:r>
          </w:p>
        </w:tc>
        <w:tc>
          <w:tcPr>
            <w:tcW w:w="2371" w:type="dxa"/>
            <w:gridSpan w:val="2"/>
            <w:vMerge w:val="continue"/>
            <w:shd w:val="clear" w:color="000000" w:fill="FFFFFF"/>
            <w:vAlign w:val="center"/>
          </w:tcPr>
          <w:p w14:paraId="6E561DAE">
            <w:pPr>
              <w:adjustRightInd w:val="0"/>
              <w:snapToGrid w:val="0"/>
              <w:spacing w:line="384" w:lineRule="auto"/>
              <w:ind w:firstLine="420" w:firstLineChars="200"/>
              <w:rPr>
                <w:rFonts w:eastAsiaTheme="minorEastAsia"/>
                <w:sz w:val="21"/>
                <w:szCs w:val="21"/>
              </w:rPr>
            </w:pPr>
          </w:p>
        </w:tc>
      </w:tr>
      <w:tr w14:paraId="79AE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9" w:type="dxa"/>
            <w:gridSpan w:val="2"/>
            <w:shd w:val="clear" w:color="000000" w:fill="FFFFFF"/>
            <w:noWrap/>
            <w:vAlign w:val="center"/>
          </w:tcPr>
          <w:p w14:paraId="3A80F16D">
            <w:p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机械工程</w:t>
            </w:r>
          </w:p>
        </w:tc>
        <w:tc>
          <w:tcPr>
            <w:tcW w:w="1170" w:type="dxa"/>
            <w:shd w:val="clear" w:color="000000" w:fill="FFFFFF"/>
            <w:vAlign w:val="center"/>
          </w:tcPr>
          <w:p w14:paraId="0F80EB22">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不限</w:t>
            </w:r>
          </w:p>
        </w:tc>
        <w:tc>
          <w:tcPr>
            <w:tcW w:w="1194" w:type="dxa"/>
            <w:shd w:val="clear" w:color="000000" w:fill="FFFFFF"/>
            <w:vAlign w:val="center"/>
          </w:tcPr>
          <w:p w14:paraId="369207C1">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BSH003</w:t>
            </w:r>
          </w:p>
        </w:tc>
        <w:tc>
          <w:tcPr>
            <w:tcW w:w="1598" w:type="dxa"/>
            <w:gridSpan w:val="2"/>
            <w:shd w:val="clear" w:color="000000" w:fill="FFFFFF"/>
            <w:vAlign w:val="center"/>
          </w:tcPr>
          <w:p w14:paraId="29B0FF69">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机械工程</w:t>
            </w:r>
          </w:p>
        </w:tc>
        <w:tc>
          <w:tcPr>
            <w:tcW w:w="1399" w:type="dxa"/>
            <w:gridSpan w:val="2"/>
            <w:shd w:val="clear" w:color="000000" w:fill="FFFFFF"/>
            <w:vAlign w:val="center"/>
          </w:tcPr>
          <w:p w14:paraId="3A8DAA97">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20-30万元</w:t>
            </w:r>
          </w:p>
        </w:tc>
        <w:tc>
          <w:tcPr>
            <w:tcW w:w="2371" w:type="dxa"/>
            <w:gridSpan w:val="2"/>
            <w:vMerge w:val="continue"/>
            <w:shd w:val="clear" w:color="000000" w:fill="FFFFFF"/>
            <w:vAlign w:val="center"/>
          </w:tcPr>
          <w:p w14:paraId="3D1AB5DE">
            <w:pPr>
              <w:adjustRightInd w:val="0"/>
              <w:snapToGrid w:val="0"/>
              <w:spacing w:line="384" w:lineRule="auto"/>
              <w:ind w:firstLine="420" w:firstLineChars="200"/>
              <w:rPr>
                <w:rFonts w:eastAsiaTheme="minorEastAsia"/>
                <w:sz w:val="21"/>
                <w:szCs w:val="21"/>
              </w:rPr>
            </w:pPr>
          </w:p>
        </w:tc>
      </w:tr>
    </w:tbl>
    <w:p w14:paraId="25B0F176">
      <w:pPr>
        <w:widowControl/>
        <w:adjustRightInd w:val="0"/>
        <w:snapToGrid w:val="0"/>
        <w:spacing w:line="240" w:lineRule="auto"/>
        <w:ind w:firstLine="0"/>
        <w:jc w:val="left"/>
        <w:rPr>
          <w:sz w:val="21"/>
          <w:szCs w:val="21"/>
        </w:rPr>
      </w:pPr>
      <w:r>
        <w:rPr>
          <w:sz w:val="21"/>
          <w:szCs w:val="21"/>
        </w:rPr>
        <w:br w:type="page"/>
      </w:r>
    </w:p>
    <w:p w14:paraId="760FBB0E">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方正小标宋简体"/>
          <w:sz w:val="44"/>
          <w:szCs w:val="44"/>
        </w:rPr>
      </w:pPr>
    </w:p>
    <w:p w14:paraId="1C1B476E">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70" w:name="_Toc14736"/>
      <w:bookmarkStart w:id="671" w:name="_Toc18434"/>
      <w:bookmarkStart w:id="672" w:name="_Toc2285"/>
      <w:bookmarkStart w:id="673" w:name="_Toc25951"/>
      <w:bookmarkStart w:id="674" w:name="_Toc2022"/>
      <w:r>
        <w:rPr>
          <w:rFonts w:hint="eastAsia" w:ascii="Times New Roman" w:hAnsi="Times New Roman" w:eastAsia="方正小标宋简体" w:cs="Times New Roman"/>
          <w:sz w:val="44"/>
          <w:szCs w:val="44"/>
          <w:highlight w:val="none"/>
        </w:rPr>
        <w:t>成都宏明电子股份有限公司</w:t>
      </w:r>
      <w:bookmarkEnd w:id="670"/>
      <w:bookmarkEnd w:id="671"/>
      <w:bookmarkEnd w:id="672"/>
      <w:bookmarkEnd w:id="673"/>
      <w:bookmarkEnd w:id="674"/>
    </w:p>
    <w:p w14:paraId="7BA2308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6BC0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69F8DF2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7C6F579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616" w:type="dxa"/>
            <w:gridSpan w:val="2"/>
            <w:shd w:val="clear" w:color="auto" w:fill="E7E6E6" w:themeFill="background2"/>
            <w:noWrap/>
            <w:vAlign w:val="center"/>
          </w:tcPr>
          <w:p w14:paraId="3BB19C6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BFD061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7612668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498F628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EB1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90EA93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30714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四川省成都市龙泉驿区北京路188号</w:t>
            </w:r>
          </w:p>
        </w:tc>
      </w:tr>
      <w:tr w14:paraId="34F0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6453" w:hRule="atLeast"/>
          <w:jc w:val="center"/>
        </w:trPr>
        <w:tc>
          <w:tcPr>
            <w:tcW w:w="1271" w:type="dxa"/>
            <w:shd w:val="clear" w:color="auto" w:fill="E7E6E6" w:themeFill="background2"/>
            <w:noWrap/>
            <w:vAlign w:val="center"/>
          </w:tcPr>
          <w:p w14:paraId="0290540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3026C68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宏明电子股份有限公司成立于1958年，是国家“一五”时期156项重点工程之一，是川投集团全资子公司川投信产控股的全国最大、综合门类齐全的电子元器件制造企业，也是国家高新技术企业、国家技术创新示范企业、国务院科改示范行动标杆企业、中国电子元件骨干企业，主要从事热敏电阻器、有机薄膜电容器、多层陶瓷贴片电容器(MLCC)、位移传感器、抗电磁干扰滤波器、滤波连接器、精密零组件及相关电子功能材料的研发、生产、销售。</w:t>
            </w:r>
          </w:p>
          <w:p w14:paraId="77EF4C8F">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宏明电子下辖宏明宏科、宏明双新、宏明日望、宏明华瓷四家控股公司及公司本部共5个经营单元，拥有员工3600余人，主要为航天、航空、电子、船舶、兵器、核工业等十大军工企业以及新能源、通讯行业配套电子元器件。在军工细分领域，宏明电子技术水平领先、市场份额领先、行业地位领先。</w:t>
            </w:r>
          </w:p>
          <w:p w14:paraId="46B08EF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2019年以来，宏明电子研发投入复合增长率超20%</w:t>
            </w:r>
            <w:r>
              <w:rPr>
                <w:rFonts w:hint="eastAsia" w:eastAsiaTheme="minorEastAsia"/>
                <w:sz w:val="21"/>
                <w:szCs w:val="21"/>
                <w:lang w:eastAsia="zh-CN"/>
              </w:rPr>
              <w:t>，</w:t>
            </w:r>
            <w:r>
              <w:rPr>
                <w:rFonts w:hint="eastAsia" w:eastAsiaTheme="minorEastAsia"/>
                <w:sz w:val="21"/>
                <w:szCs w:val="21"/>
              </w:rPr>
              <w:t>拥有授权专利1100余项，形成国际先进和国内领先成果200余项；拥有1个国家企业技术中心、1个国家“863电子瓷料研发中心”、2个国家级实验中心、2个院士工作站、6个省级技术研发平台；入选四川省制造业“贡嘎培优”100户企业，获得四川省科学技术进步奖三等奖，连续七年获得四川企业百强和技术创新发展百强。</w:t>
            </w:r>
          </w:p>
        </w:tc>
      </w:tr>
      <w:tr w14:paraId="6874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172" w:hRule="atLeast"/>
          <w:jc w:val="center"/>
        </w:trPr>
        <w:tc>
          <w:tcPr>
            <w:tcW w:w="1271" w:type="dxa"/>
            <w:shd w:val="clear" w:color="auto" w:fill="E7E6E6" w:themeFill="background2"/>
            <w:noWrap/>
            <w:vAlign w:val="center"/>
          </w:tcPr>
          <w:p w14:paraId="0CDA5A3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57C40F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ascii="Times New Roman" w:hAnsi="Times New Roman" w:cs="Times New Roman" w:eastAsiaTheme="minorEastAsia"/>
                <w:kern w:val="2"/>
                <w:sz w:val="21"/>
                <w:szCs w:val="21"/>
                <w:lang w:val="en-US" w:eastAsia="zh-CN" w:bidi="ar-SA"/>
              </w:rPr>
              <w:t>1、</w:t>
            </w:r>
            <w:r>
              <w:rPr>
                <w:rFonts w:hint="eastAsia" w:eastAsiaTheme="minorEastAsia"/>
                <w:sz w:val="21"/>
                <w:szCs w:val="21"/>
                <w:lang w:eastAsia="zh-CN"/>
              </w:rPr>
              <w:t>为优秀的人才提供完善的福利待遇，包括人才住房、人才津贴、培训深造、优先享有股票期权等中长期激励资格、以及符合政府规定的相关待遇；</w:t>
            </w:r>
          </w:p>
          <w:p w14:paraId="5F0697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2、为科研人员提供足额的科研经费。</w:t>
            </w:r>
          </w:p>
        </w:tc>
      </w:tr>
      <w:tr w14:paraId="2B5B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03A2E7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0CC8F42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1A2F668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0F8F0B0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ECCF65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15F4964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79632C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1A9D0E8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548E35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B41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30C5E3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b w:val="0"/>
                <w:bCs w:val="0"/>
                <w:color w:val="000000"/>
                <w:sz w:val="21"/>
                <w:szCs w:val="21"/>
                <w:lang w:val="en-US" w:eastAsia="en-US" w:bidi="ar-SA"/>
              </w:rPr>
              <w:t>脉冲与储能</w:t>
            </w:r>
          </w:p>
        </w:tc>
        <w:tc>
          <w:tcPr>
            <w:tcW w:w="1132" w:type="dxa"/>
            <w:gridSpan w:val="2"/>
            <w:shd w:val="clear" w:color="auto" w:fill="auto"/>
            <w:vAlign w:val="center"/>
          </w:tcPr>
          <w:p w14:paraId="7DB4A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lang w:eastAsia="zh-CN"/>
              </w:rPr>
              <w:t>1</w:t>
            </w:r>
          </w:p>
        </w:tc>
        <w:tc>
          <w:tcPr>
            <w:tcW w:w="1116" w:type="dxa"/>
            <w:gridSpan w:val="2"/>
            <w:shd w:val="clear" w:color="auto" w:fill="auto"/>
            <w:vAlign w:val="center"/>
          </w:tcPr>
          <w:p w14:paraId="093642EB">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001</w:t>
            </w:r>
          </w:p>
        </w:tc>
        <w:tc>
          <w:tcPr>
            <w:tcW w:w="1908" w:type="dxa"/>
            <w:gridSpan w:val="2"/>
            <w:shd w:val="clear" w:color="auto" w:fill="auto"/>
            <w:vAlign w:val="center"/>
          </w:tcPr>
          <w:p w14:paraId="4B0A5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en-US" w:bidi="ar-SA"/>
              </w:rPr>
              <w:t>材料科学与工</w:t>
            </w:r>
            <w:r>
              <w:rPr>
                <w:rFonts w:hint="eastAsia" w:ascii="Times New Roman" w:hAnsi="Times New Roman" w:cs="Times New Roman" w:eastAsiaTheme="minorEastAsia"/>
                <w:b w:val="0"/>
                <w:bCs w:val="0"/>
                <w:color w:val="000000"/>
                <w:sz w:val="21"/>
                <w:szCs w:val="21"/>
                <w:lang w:val="en-US" w:eastAsia="zh-CN" w:bidi="ar-SA"/>
              </w:rPr>
              <w:t>程</w:t>
            </w:r>
          </w:p>
        </w:tc>
        <w:tc>
          <w:tcPr>
            <w:tcW w:w="1488" w:type="dxa"/>
            <w:gridSpan w:val="2"/>
            <w:shd w:val="clear" w:color="auto" w:fill="auto"/>
            <w:vAlign w:val="center"/>
          </w:tcPr>
          <w:p w14:paraId="02F2E6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zh-CN" w:bidi="ar-SA"/>
              </w:rPr>
              <w:t>根据合作</w:t>
            </w:r>
            <w:r>
              <w:rPr>
                <w:rFonts w:hint="eastAsia" w:ascii="Times New Roman" w:hAnsi="Times New Roman" w:cs="Times New Roman" w:eastAsiaTheme="minorEastAsia"/>
                <w:b w:val="0"/>
                <w:bCs w:val="0"/>
                <w:color w:val="000000"/>
                <w:sz w:val="21"/>
                <w:szCs w:val="21"/>
                <w:lang w:val="en-US" w:eastAsia="zh-CN" w:bidi="ar-SA"/>
              </w:rPr>
              <w:t>情况，提供足额经费</w:t>
            </w:r>
          </w:p>
        </w:tc>
        <w:tc>
          <w:tcPr>
            <w:tcW w:w="1771" w:type="dxa"/>
            <w:gridSpan w:val="2"/>
            <w:shd w:val="clear" w:color="auto" w:fill="auto"/>
            <w:vAlign w:val="center"/>
          </w:tcPr>
          <w:p w14:paraId="7AAD9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sz w:val="21"/>
                <w:szCs w:val="21"/>
                <w:lang w:val="en-US" w:eastAsia="zh-CN"/>
              </w:rPr>
              <w:t>高校、科研院所</w:t>
            </w:r>
          </w:p>
        </w:tc>
      </w:tr>
      <w:tr w14:paraId="0A67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50085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53E6C7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eastAsia="zh-CN"/>
              </w:rPr>
            </w:pPr>
            <w:r>
              <w:rPr>
                <w:rFonts w:eastAsiaTheme="minorEastAsia"/>
                <w:b/>
                <w:bCs/>
                <w:sz w:val="21"/>
                <w:szCs w:val="21"/>
              </w:rPr>
              <w:t>需求人数</w:t>
            </w:r>
          </w:p>
        </w:tc>
        <w:tc>
          <w:tcPr>
            <w:tcW w:w="1116" w:type="dxa"/>
            <w:gridSpan w:val="2"/>
            <w:shd w:val="clear" w:color="auto" w:fill="E7E6E6" w:themeFill="background2"/>
            <w:vAlign w:val="center"/>
          </w:tcPr>
          <w:p w14:paraId="1781C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019355F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1F5D9BE">
            <w:pPr>
              <w:adjustRightInd w:val="0"/>
              <w:snapToGrid w:val="0"/>
              <w:spacing w:line="240" w:lineRule="auto"/>
              <w:ind w:firstLine="0" w:firstLineChars="0"/>
              <w:jc w:val="center"/>
              <w:rPr>
                <w:rFonts w:hint="default" w:ascii="Times New Roman" w:hAnsi="Times New Roman" w:cs="Times New Roman" w:eastAsiaTheme="minorEastAsia"/>
                <w:sz w:val="21"/>
                <w:szCs w:val="21"/>
                <w:lang w:eastAsia="zh-CN"/>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3EDBDB8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63DD0C2">
            <w:pPr>
              <w:adjustRightInd w:val="0"/>
              <w:snapToGrid w:val="0"/>
              <w:spacing w:line="240" w:lineRule="auto"/>
              <w:ind w:firstLine="0" w:firstLineChars="0"/>
              <w:jc w:val="center"/>
              <w:rPr>
                <w:rFonts w:hint="default" w:ascii="Times New Roman" w:hAnsi="Times New Roman" w:cs="Times New Roman" w:eastAsiaTheme="minorEastAsia"/>
                <w:sz w:val="21"/>
                <w:szCs w:val="21"/>
                <w:lang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4DCE3BD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2AFA32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等要求</w:t>
            </w:r>
          </w:p>
        </w:tc>
      </w:tr>
      <w:tr w14:paraId="164E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50A8E6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电磁兼容</w:t>
            </w:r>
          </w:p>
        </w:tc>
        <w:tc>
          <w:tcPr>
            <w:tcW w:w="1132" w:type="dxa"/>
            <w:gridSpan w:val="2"/>
            <w:shd w:val="clear" w:color="auto" w:fill="auto"/>
            <w:vAlign w:val="center"/>
          </w:tcPr>
          <w:p w14:paraId="4D519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auto" w:fill="auto"/>
            <w:vAlign w:val="center"/>
          </w:tcPr>
          <w:p w14:paraId="4B944213">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w:t>
            </w:r>
            <w:r>
              <w:rPr>
                <w:rFonts w:hint="eastAsia" w:ascii="Times New Roman" w:hAnsi="Times New Roman" w:cs="Times New Roman" w:eastAsiaTheme="minorEastAsia"/>
                <w:spacing w:val="5"/>
                <w:sz w:val="21"/>
                <w:szCs w:val="21"/>
                <w:lang w:val="en-US" w:eastAsia="zh-CN"/>
              </w:rPr>
              <w:t>2</w:t>
            </w:r>
          </w:p>
        </w:tc>
        <w:tc>
          <w:tcPr>
            <w:tcW w:w="1908" w:type="dxa"/>
            <w:gridSpan w:val="2"/>
            <w:shd w:val="clear" w:color="auto" w:fill="auto"/>
            <w:vAlign w:val="center"/>
          </w:tcPr>
          <w:p w14:paraId="0DFBE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电子科学与技术</w:t>
            </w:r>
          </w:p>
        </w:tc>
        <w:tc>
          <w:tcPr>
            <w:tcW w:w="1488" w:type="dxa"/>
            <w:gridSpan w:val="2"/>
            <w:shd w:val="clear" w:color="auto" w:fill="auto"/>
            <w:vAlign w:val="center"/>
          </w:tcPr>
          <w:p w14:paraId="671A0B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val="0"/>
                <w:bCs w:val="0"/>
                <w:color w:val="000000"/>
                <w:sz w:val="21"/>
                <w:szCs w:val="21"/>
                <w:lang w:val="en-US" w:eastAsia="zh-CN" w:bidi="ar-SA"/>
              </w:rPr>
              <w:t>根据合作</w:t>
            </w:r>
            <w:r>
              <w:rPr>
                <w:rFonts w:hint="eastAsia" w:ascii="Times New Roman" w:hAnsi="Times New Roman" w:cs="Times New Roman" w:eastAsiaTheme="minorEastAsia"/>
                <w:b w:val="0"/>
                <w:bCs w:val="0"/>
                <w:color w:val="000000"/>
                <w:sz w:val="21"/>
                <w:szCs w:val="21"/>
                <w:lang w:val="en-US" w:eastAsia="zh-CN" w:bidi="ar-SA"/>
              </w:rPr>
              <w:t>情况，提供足额经费</w:t>
            </w:r>
          </w:p>
        </w:tc>
        <w:tc>
          <w:tcPr>
            <w:tcW w:w="1771" w:type="dxa"/>
            <w:gridSpan w:val="2"/>
            <w:vMerge w:val="restart"/>
            <w:shd w:val="clear" w:color="auto" w:fill="auto"/>
            <w:vAlign w:val="center"/>
          </w:tcPr>
          <w:p w14:paraId="6AC21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高校、科研院所</w:t>
            </w:r>
          </w:p>
        </w:tc>
      </w:tr>
      <w:tr w14:paraId="4AC2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618660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特种敏感器件</w:t>
            </w:r>
          </w:p>
        </w:tc>
        <w:tc>
          <w:tcPr>
            <w:tcW w:w="1132" w:type="dxa"/>
            <w:gridSpan w:val="2"/>
            <w:shd w:val="clear" w:color="auto" w:fill="auto"/>
            <w:vAlign w:val="center"/>
          </w:tcPr>
          <w:p w14:paraId="6C204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auto" w:fill="auto"/>
            <w:vAlign w:val="center"/>
          </w:tcPr>
          <w:p w14:paraId="6B09149E">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w:t>
            </w:r>
            <w:r>
              <w:rPr>
                <w:rFonts w:hint="eastAsia" w:ascii="Times New Roman" w:hAnsi="Times New Roman" w:cs="Times New Roman" w:eastAsiaTheme="minorEastAsia"/>
                <w:spacing w:val="5"/>
                <w:sz w:val="21"/>
                <w:szCs w:val="21"/>
                <w:lang w:val="en-US" w:eastAsia="zh-CN"/>
              </w:rPr>
              <w:t>3</w:t>
            </w:r>
          </w:p>
        </w:tc>
        <w:tc>
          <w:tcPr>
            <w:tcW w:w="1908" w:type="dxa"/>
            <w:gridSpan w:val="2"/>
            <w:shd w:val="clear" w:color="auto" w:fill="auto"/>
            <w:vAlign w:val="center"/>
          </w:tcPr>
          <w:p w14:paraId="6090C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电子科学与技术</w:t>
            </w:r>
          </w:p>
        </w:tc>
        <w:tc>
          <w:tcPr>
            <w:tcW w:w="1488" w:type="dxa"/>
            <w:gridSpan w:val="2"/>
            <w:shd w:val="clear" w:color="auto" w:fill="auto"/>
            <w:vAlign w:val="center"/>
          </w:tcPr>
          <w:p w14:paraId="727D02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val="0"/>
                <w:bCs w:val="0"/>
                <w:color w:val="000000"/>
                <w:sz w:val="21"/>
                <w:szCs w:val="21"/>
                <w:lang w:val="en-US" w:eastAsia="zh-CN" w:bidi="ar-SA"/>
              </w:rPr>
              <w:t>根据合作</w:t>
            </w:r>
            <w:r>
              <w:rPr>
                <w:rFonts w:hint="eastAsia" w:ascii="Times New Roman" w:hAnsi="Times New Roman" w:cs="Times New Roman" w:eastAsiaTheme="minorEastAsia"/>
                <w:b w:val="0"/>
                <w:bCs w:val="0"/>
                <w:color w:val="000000"/>
                <w:sz w:val="21"/>
                <w:szCs w:val="21"/>
                <w:lang w:val="en-US" w:eastAsia="zh-CN" w:bidi="ar-SA"/>
              </w:rPr>
              <w:t>情况，提供足额经费</w:t>
            </w:r>
          </w:p>
        </w:tc>
        <w:tc>
          <w:tcPr>
            <w:tcW w:w="1771" w:type="dxa"/>
            <w:gridSpan w:val="2"/>
            <w:vMerge w:val="continue"/>
            <w:shd w:val="clear" w:color="auto" w:fill="auto"/>
            <w:vAlign w:val="center"/>
          </w:tcPr>
          <w:p w14:paraId="1C693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277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48333FD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MEMS传感器</w:t>
            </w:r>
          </w:p>
        </w:tc>
        <w:tc>
          <w:tcPr>
            <w:tcW w:w="1132" w:type="dxa"/>
            <w:gridSpan w:val="2"/>
            <w:shd w:val="clear" w:color="auto" w:fill="auto"/>
            <w:vAlign w:val="center"/>
          </w:tcPr>
          <w:p w14:paraId="20520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auto" w:fill="auto"/>
            <w:vAlign w:val="center"/>
          </w:tcPr>
          <w:p w14:paraId="340B6112">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w:t>
            </w:r>
            <w:r>
              <w:rPr>
                <w:rFonts w:hint="eastAsia" w:ascii="Times New Roman" w:hAnsi="Times New Roman" w:cs="Times New Roman" w:eastAsiaTheme="minorEastAsia"/>
                <w:spacing w:val="5"/>
                <w:sz w:val="21"/>
                <w:szCs w:val="21"/>
                <w:lang w:val="en-US" w:eastAsia="zh-CN"/>
              </w:rPr>
              <w:t>4</w:t>
            </w:r>
          </w:p>
        </w:tc>
        <w:tc>
          <w:tcPr>
            <w:tcW w:w="1908" w:type="dxa"/>
            <w:gridSpan w:val="2"/>
            <w:shd w:val="clear" w:color="auto" w:fill="auto"/>
            <w:vAlign w:val="center"/>
          </w:tcPr>
          <w:p w14:paraId="70B2A6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val="en-US" w:eastAsia="zh-CN"/>
              </w:rPr>
              <w:t>电子科学与技术</w:t>
            </w:r>
          </w:p>
        </w:tc>
        <w:tc>
          <w:tcPr>
            <w:tcW w:w="1488" w:type="dxa"/>
            <w:gridSpan w:val="2"/>
            <w:shd w:val="clear" w:color="auto" w:fill="auto"/>
            <w:vAlign w:val="center"/>
          </w:tcPr>
          <w:p w14:paraId="3F5265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val="0"/>
                <w:bCs w:val="0"/>
                <w:color w:val="000000"/>
                <w:sz w:val="21"/>
                <w:szCs w:val="21"/>
                <w:lang w:val="en-US" w:eastAsia="zh-CN" w:bidi="ar-SA"/>
              </w:rPr>
              <w:t>根据合作</w:t>
            </w:r>
            <w:r>
              <w:rPr>
                <w:rFonts w:hint="eastAsia" w:ascii="Times New Roman" w:hAnsi="Times New Roman" w:cs="Times New Roman" w:eastAsiaTheme="minorEastAsia"/>
                <w:b w:val="0"/>
                <w:bCs w:val="0"/>
                <w:color w:val="000000"/>
                <w:sz w:val="21"/>
                <w:szCs w:val="21"/>
                <w:lang w:val="en-US" w:eastAsia="zh-CN" w:bidi="ar-SA"/>
              </w:rPr>
              <w:t>情况，提供足额经费</w:t>
            </w:r>
          </w:p>
        </w:tc>
        <w:tc>
          <w:tcPr>
            <w:tcW w:w="1771" w:type="dxa"/>
            <w:gridSpan w:val="2"/>
            <w:vMerge w:val="continue"/>
            <w:shd w:val="clear" w:color="auto" w:fill="auto"/>
            <w:vAlign w:val="center"/>
          </w:tcPr>
          <w:p w14:paraId="64572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1467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6E4A6F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MLCC、LTCC、HTCC</w:t>
            </w:r>
          </w:p>
        </w:tc>
        <w:tc>
          <w:tcPr>
            <w:tcW w:w="1132" w:type="dxa"/>
            <w:gridSpan w:val="2"/>
            <w:shd w:val="clear" w:color="auto" w:fill="auto"/>
            <w:vAlign w:val="center"/>
          </w:tcPr>
          <w:p w14:paraId="54446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116" w:type="dxa"/>
            <w:gridSpan w:val="2"/>
            <w:shd w:val="clear" w:color="auto" w:fill="auto"/>
            <w:vAlign w:val="center"/>
          </w:tcPr>
          <w:p w14:paraId="28496D4B">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w:t>
            </w:r>
            <w:r>
              <w:rPr>
                <w:rFonts w:hint="eastAsia" w:ascii="Times New Roman" w:hAnsi="Times New Roman" w:cs="Times New Roman" w:eastAsiaTheme="minorEastAsia"/>
                <w:spacing w:val="5"/>
                <w:sz w:val="21"/>
                <w:szCs w:val="21"/>
                <w:lang w:val="en-US" w:eastAsia="zh-CN"/>
              </w:rPr>
              <w:t>5</w:t>
            </w:r>
          </w:p>
        </w:tc>
        <w:tc>
          <w:tcPr>
            <w:tcW w:w="1908" w:type="dxa"/>
            <w:gridSpan w:val="2"/>
            <w:shd w:val="clear" w:color="auto" w:fill="auto"/>
            <w:vAlign w:val="center"/>
          </w:tcPr>
          <w:p w14:paraId="1ABAA9F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lang w:val="en-US" w:eastAsia="en-US" w:bidi="ar-SA"/>
              </w:rPr>
              <w:t>材料科学与工</w:t>
            </w:r>
            <w:r>
              <w:rPr>
                <w:rFonts w:hint="eastAsia" w:ascii="Times New Roman" w:hAnsi="Times New Roman" w:cs="Times New Roman" w:eastAsiaTheme="minorEastAsia"/>
                <w:b w:val="0"/>
                <w:bCs w:val="0"/>
                <w:color w:val="000000"/>
                <w:sz w:val="21"/>
                <w:szCs w:val="21"/>
                <w:lang w:val="en-US" w:eastAsia="zh-CN" w:bidi="ar-SA"/>
              </w:rPr>
              <w:t>程、</w:t>
            </w:r>
            <w:r>
              <w:rPr>
                <w:rFonts w:hint="eastAsia" w:ascii="Times New Roman" w:hAnsi="Times New Roman" w:cs="Times New Roman" w:eastAsiaTheme="minorEastAsia"/>
                <w:sz w:val="21"/>
                <w:szCs w:val="21"/>
                <w:lang w:val="en-US" w:eastAsia="zh-CN"/>
              </w:rPr>
              <w:t>电子科学与技术、航空宇航科学与技术</w:t>
            </w:r>
          </w:p>
        </w:tc>
        <w:tc>
          <w:tcPr>
            <w:tcW w:w="1488" w:type="dxa"/>
            <w:gridSpan w:val="2"/>
            <w:shd w:val="clear" w:color="auto" w:fill="auto"/>
            <w:vAlign w:val="center"/>
          </w:tcPr>
          <w:p w14:paraId="3CE0D64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val="0"/>
                <w:bCs w:val="0"/>
                <w:color w:val="000000"/>
                <w:sz w:val="21"/>
                <w:szCs w:val="21"/>
                <w:lang w:val="en-US" w:eastAsia="zh-CN" w:bidi="ar-SA"/>
              </w:rPr>
              <w:t>根据合作</w:t>
            </w:r>
            <w:r>
              <w:rPr>
                <w:rFonts w:hint="eastAsia" w:ascii="Times New Roman" w:hAnsi="Times New Roman" w:cs="Times New Roman" w:eastAsiaTheme="minorEastAsia"/>
                <w:b w:val="0"/>
                <w:bCs w:val="0"/>
                <w:color w:val="000000"/>
                <w:sz w:val="21"/>
                <w:szCs w:val="21"/>
                <w:lang w:val="en-US" w:eastAsia="zh-CN" w:bidi="ar-SA"/>
              </w:rPr>
              <w:t>情况，提供足额经费</w:t>
            </w:r>
          </w:p>
        </w:tc>
        <w:tc>
          <w:tcPr>
            <w:tcW w:w="1771" w:type="dxa"/>
            <w:gridSpan w:val="2"/>
            <w:vMerge w:val="continue"/>
            <w:shd w:val="clear" w:color="auto" w:fill="auto"/>
            <w:vAlign w:val="center"/>
          </w:tcPr>
          <w:p w14:paraId="323B6F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6DCE428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DD4933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15E16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793F43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6C677E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AC3303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510031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879508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EC26F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9911C0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772251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6BCA50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2DAAF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CE5B9A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F1590F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CFFC523">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75" w:name="_Toc8894"/>
      <w:bookmarkStart w:id="676" w:name="_Toc6889"/>
      <w:bookmarkStart w:id="677" w:name="_Toc15582"/>
      <w:bookmarkStart w:id="678" w:name="_Toc3203"/>
      <w:bookmarkStart w:id="679" w:name="_Toc20452"/>
      <w:r>
        <w:rPr>
          <w:rFonts w:hint="eastAsia" w:ascii="Times New Roman" w:hAnsi="Times New Roman" w:eastAsia="方正小标宋简体" w:cs="Times New Roman"/>
          <w:sz w:val="44"/>
          <w:szCs w:val="44"/>
          <w:highlight w:val="none"/>
        </w:rPr>
        <w:t>成都交子金融控股集团有限公司</w:t>
      </w:r>
      <w:bookmarkEnd w:id="675"/>
      <w:bookmarkEnd w:id="676"/>
      <w:bookmarkEnd w:id="677"/>
      <w:bookmarkEnd w:id="678"/>
      <w:bookmarkEnd w:id="679"/>
    </w:p>
    <w:p w14:paraId="6C84CC3D">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1AD8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5F25BA2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7B87F5D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616" w:type="dxa"/>
            <w:gridSpan w:val="2"/>
            <w:shd w:val="clear" w:color="auto" w:fill="E7E6E6" w:themeFill="background2"/>
            <w:noWrap/>
            <w:vAlign w:val="center"/>
          </w:tcPr>
          <w:p w14:paraId="7AC9369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4CB3D8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722054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158360E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1733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3737DE0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7F5C3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四川省成都市高新区天府国际金融中心3号楼30815</w:t>
            </w:r>
          </w:p>
        </w:tc>
      </w:tr>
      <w:tr w14:paraId="1302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123" w:hRule="atLeast"/>
          <w:jc w:val="center"/>
        </w:trPr>
        <w:tc>
          <w:tcPr>
            <w:tcW w:w="1271" w:type="dxa"/>
            <w:shd w:val="clear" w:color="auto" w:fill="E7E6E6" w:themeFill="background2"/>
            <w:noWrap/>
            <w:vAlign w:val="center"/>
          </w:tcPr>
          <w:p w14:paraId="0020D30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0584293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成都交子金融控股集团有限公司成立于2008年9月，现成为总资产过万亿、净资产过千亿、利润过百亿的综合性地方国有金融控股集团，保持中诚信公司AAA评级、惠誉公司BBB+评级。近年来，交子金控积极布局“金融资本、金融服务、金融科技”三大业务，形成包括3家并表金融机构、8家二级子集团、3家专业子公司的“3+8+3”管理架构。集团将保持“1235”战略定力，坚持“传承交子精神、服务实体经济”的初心使命，坚持“金融资源磁力场、城市战略助推器”的功能定位，扎实做好“五篇大文章”，推动国有金融资本高效集聚运营、综合金融服务赋能经济民生、金融科技产业加速强链扩链，推动千年交子文化焕发时代活力、彰显强国自信，建设高质量发展的金融控股集团。</w:t>
            </w:r>
          </w:p>
        </w:tc>
      </w:tr>
      <w:tr w14:paraId="2315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656" w:hRule="atLeast"/>
          <w:jc w:val="center"/>
        </w:trPr>
        <w:tc>
          <w:tcPr>
            <w:tcW w:w="1271" w:type="dxa"/>
            <w:shd w:val="clear" w:color="auto" w:fill="E7E6E6" w:themeFill="background2"/>
            <w:noWrap/>
            <w:vAlign w:val="center"/>
          </w:tcPr>
          <w:p w14:paraId="0D1F7FB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550BF5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基地博士后可通过合作单位的博士后科研流动站，向中国博士后科学基金会申请科研资助（包括特别资助和面上资助等），也可通过博士后科研流动站申请香江学者计划等项目资助。博士后可按规定申请省市区相关经费补贴。基地博士后工作待遇参照集团招聘的具有博士学位正式员工的待遇确定，福利待遇参照集团有关制度、标准执行。</w:t>
            </w:r>
          </w:p>
        </w:tc>
      </w:tr>
      <w:tr w14:paraId="6AA9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160745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0367786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28F8112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398107E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187DB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1A9E675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F80A9E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3BC80F5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BD6D6A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572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2141" w:type="dxa"/>
            <w:gridSpan w:val="2"/>
            <w:shd w:val="clear" w:color="auto" w:fill="auto"/>
            <w:noWrap/>
            <w:vAlign w:val="center"/>
          </w:tcPr>
          <w:p w14:paraId="335148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金融博士后</w:t>
            </w:r>
          </w:p>
        </w:tc>
        <w:tc>
          <w:tcPr>
            <w:tcW w:w="1132" w:type="dxa"/>
            <w:gridSpan w:val="2"/>
            <w:shd w:val="clear" w:color="auto" w:fill="auto"/>
            <w:vAlign w:val="center"/>
          </w:tcPr>
          <w:p w14:paraId="31678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w:t>
            </w:r>
          </w:p>
        </w:tc>
        <w:tc>
          <w:tcPr>
            <w:tcW w:w="1116" w:type="dxa"/>
            <w:gridSpan w:val="2"/>
            <w:shd w:val="clear" w:color="auto" w:fill="auto"/>
            <w:vAlign w:val="center"/>
          </w:tcPr>
          <w:p w14:paraId="78447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47B1B1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经济、金融、统计、计算机、大数据、人工智能等专业优先</w:t>
            </w:r>
          </w:p>
        </w:tc>
        <w:tc>
          <w:tcPr>
            <w:tcW w:w="1632" w:type="dxa"/>
            <w:shd w:val="clear" w:color="auto" w:fill="auto"/>
            <w:vAlign w:val="center"/>
          </w:tcPr>
          <w:p w14:paraId="793D3F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20万以上</w:t>
            </w:r>
          </w:p>
        </w:tc>
        <w:tc>
          <w:tcPr>
            <w:tcW w:w="2023" w:type="dxa"/>
            <w:gridSpan w:val="3"/>
            <w:shd w:val="clear" w:color="auto" w:fill="auto"/>
            <w:vAlign w:val="center"/>
          </w:tcPr>
          <w:p w14:paraId="5C01F0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无</w:t>
            </w:r>
          </w:p>
        </w:tc>
      </w:tr>
    </w:tbl>
    <w:p w14:paraId="19D98AA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7FB6C92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8E8602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6EF5226D">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80" w:name="_Toc20545"/>
      <w:bookmarkStart w:id="681" w:name="_Toc13193"/>
      <w:bookmarkStart w:id="682" w:name="_Toc15587"/>
      <w:bookmarkStart w:id="683" w:name="_Toc28065"/>
      <w:bookmarkStart w:id="684" w:name="_Toc9579"/>
      <w:r>
        <w:rPr>
          <w:rFonts w:hint="eastAsia" w:ascii="Times New Roman" w:hAnsi="Times New Roman" w:eastAsia="方正小标宋简体" w:cs="Times New Roman"/>
          <w:sz w:val="44"/>
          <w:szCs w:val="44"/>
          <w:highlight w:val="none"/>
        </w:rPr>
        <w:t>成都锦欣生殖医学与遗传学研究所</w:t>
      </w:r>
      <w:bookmarkEnd w:id="680"/>
      <w:bookmarkEnd w:id="681"/>
      <w:bookmarkEnd w:id="682"/>
      <w:bookmarkEnd w:id="683"/>
      <w:bookmarkEnd w:id="684"/>
    </w:p>
    <w:p w14:paraId="079B2B2F">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622"/>
        <w:gridCol w:w="1585"/>
        <w:gridCol w:w="2190"/>
      </w:tblGrid>
      <w:tr w14:paraId="0C58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A16130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086" w:type="dxa"/>
            <w:shd w:val="clear" w:color="000000" w:fill="FFFFFF"/>
            <w:noWrap/>
            <w:vAlign w:val="center"/>
          </w:tcPr>
          <w:p w14:paraId="51598E8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民营企业</w:t>
            </w:r>
          </w:p>
        </w:tc>
        <w:tc>
          <w:tcPr>
            <w:tcW w:w="1896" w:type="dxa"/>
            <w:gridSpan w:val="2"/>
            <w:shd w:val="clear" w:color="auto" w:fill="E7E6E6" w:themeFill="background2"/>
            <w:noWrap/>
            <w:vAlign w:val="center"/>
          </w:tcPr>
          <w:p w14:paraId="638C67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C70598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49F8E5F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1DC231F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3900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9E2F47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6"/>
            <w:shd w:val="clear" w:color="000000" w:fill="FFFFFF"/>
            <w:noWrap/>
            <w:vAlign w:val="center"/>
          </w:tcPr>
          <w:p w14:paraId="4B2BB6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四川省成都市锦江区毕昇路66号、88号17楼</w:t>
            </w:r>
          </w:p>
        </w:tc>
      </w:tr>
      <w:tr w14:paraId="38AE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6" w:hRule="atLeast"/>
          <w:jc w:val="center"/>
        </w:trPr>
        <w:tc>
          <w:tcPr>
            <w:tcW w:w="1271" w:type="dxa"/>
            <w:shd w:val="clear" w:color="auto" w:fill="E7E6E6" w:themeFill="background2"/>
            <w:noWrap/>
            <w:vAlign w:val="center"/>
          </w:tcPr>
          <w:p w14:paraId="14D7707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14:paraId="3FBDFA5D">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于2013年7月成立，系成都锦欣生殖集团旗下专门从事科学研究的机构，具有独立法人资格。与临床科室密切合作，主要开展生殖与遗传医学领域的临床应用与转化研究，以及有重大科学价值的基础研究。为不孕不育分子诊断和治疗、个体化医疗服务等提供科研支持，探索生命奥秘，守护妇女儿童身心健康，为成就美满家庭和保障国人生殖健康作出贡献。</w:t>
            </w:r>
          </w:p>
          <w:p w14:paraId="03522FDB">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于2016年经四川省人社厅批准设立“博士后创新实践基地”，与汕头大学医学院联合招收培养博士后研究员。</w:t>
            </w:r>
          </w:p>
          <w:p w14:paraId="2A6FF777">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eastAsiaTheme="minorEastAsia"/>
                <w:sz w:val="21"/>
                <w:szCs w:val="21"/>
              </w:rPr>
            </w:pPr>
            <w:r>
              <w:rPr>
                <w:rFonts w:hint="eastAsia" w:eastAsiaTheme="minorEastAsia"/>
                <w:sz w:val="21"/>
                <w:szCs w:val="21"/>
              </w:rPr>
              <w:t>总占地1445平方米，主要由分子病理学实验室、细胞生物学实验室、配子遗传学实验室、免疫学实验室、优生遗传检测实验室、细胞层流室、科研型实验动物房组成，拥有各种常用的基础医学研究仪器设备。</w:t>
            </w:r>
          </w:p>
        </w:tc>
      </w:tr>
      <w:tr w14:paraId="784D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7" w:hRule="atLeast"/>
          <w:jc w:val="center"/>
        </w:trPr>
        <w:tc>
          <w:tcPr>
            <w:tcW w:w="1271" w:type="dxa"/>
            <w:shd w:val="clear" w:color="auto" w:fill="E7E6E6" w:themeFill="background2"/>
            <w:noWrap/>
            <w:vAlign w:val="center"/>
          </w:tcPr>
          <w:p w14:paraId="08ED54C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14:paraId="6C647854">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1.薪酬：采取岗位薪酬制，年薪 30-50 万元/年，优秀博士候选人年薪根据研究项目要求，采取一事一议（根据双方协议确定）；</w:t>
            </w:r>
          </w:p>
          <w:p w14:paraId="11360590">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2.对于新入职博士后，提供科研启动基金5-10万元，后续可申请锦欣创新科技基金作为日常学术经费和配套科研经费；</w:t>
            </w:r>
          </w:p>
          <w:p w14:paraId="62C819AA">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3.优秀博士后可配备科研团队或课题小组，进行项目研究， 一事一议；</w:t>
            </w:r>
          </w:p>
          <w:p w14:paraId="7173B088">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4.在站期间享受公司科技成果奖励政策；</w:t>
            </w:r>
          </w:p>
          <w:p w14:paraId="5A823430">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5.在站期间按规定缴纳社会保险、医保、住房公积金， 享受员工餐补、体检、节日、生日等各类员工福利，视具体情况可提供员工宿舍；</w:t>
            </w:r>
          </w:p>
          <w:p w14:paraId="168CFBE1">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6.入选国家、四川省等人才项目者享受相应待遇，可依托单位申请四川省、成都市博士安家补贴；</w:t>
            </w:r>
          </w:p>
          <w:p w14:paraId="7E916315">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7.可根据锦江区政策，支持协调本人及配偶、子女的户口落户和子女入学等；</w:t>
            </w:r>
          </w:p>
          <w:p w14:paraId="2AD49C69">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8.博士后在站工作期限一般 2 年，期满出站后经出站考核评价优先录用。</w:t>
            </w:r>
          </w:p>
        </w:tc>
      </w:tr>
      <w:tr w14:paraId="672B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shd w:val="clear" w:color="auto" w:fill="E7E6E6" w:themeFill="background2"/>
            <w:noWrap/>
            <w:vAlign w:val="center"/>
          </w:tcPr>
          <w:p w14:paraId="327D728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478D3E3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77BDF35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1693392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717012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665B2DF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6D0ADF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5DF6C44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EBAA26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23F18E3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6AE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7A22B2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干细胞治疗机制和临床应用研究</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A3E56D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9D82B9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8A8E7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医学/生物学</w:t>
            </w:r>
          </w:p>
        </w:tc>
        <w:tc>
          <w:tcPr>
            <w:tcW w:w="1548" w:type="dxa"/>
            <w:tcBorders>
              <w:top w:val="single" w:color="auto" w:sz="4" w:space="0"/>
              <w:left w:val="single" w:color="auto" w:sz="4" w:space="0"/>
              <w:right w:val="single" w:color="auto" w:sz="4" w:space="0"/>
              <w:tl2br w:val="nil"/>
              <w:tr2bl w:val="nil"/>
            </w:tcBorders>
            <w:shd w:val="clear" w:color="auto" w:fill="FFFFFF"/>
            <w:vAlign w:val="center"/>
          </w:tcPr>
          <w:p w14:paraId="660BE5AA">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30-50万/人</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3CDB5E2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国内外知名大学</w:t>
            </w:r>
          </w:p>
        </w:tc>
      </w:tr>
      <w:tr w14:paraId="412D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noWrap/>
            <w:vAlign w:val="center"/>
          </w:tcPr>
          <w:p w14:paraId="73ABA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eastAsiaTheme="minorEastAsia"/>
                <w:b/>
                <w:bCs/>
                <w:sz w:val="21"/>
                <w:szCs w:val="21"/>
              </w:rPr>
              <w:t>项目名称</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6831B56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17CA8B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eastAsiaTheme="minorEastAsia"/>
                <w:b/>
                <w:bCs/>
                <w:sz w:val="21"/>
                <w:szCs w:val="21"/>
              </w:rPr>
              <w:t>人数</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0172BB3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474E97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eastAsiaTheme="minorEastAsia"/>
                <w:b/>
                <w:bCs/>
                <w:sz w:val="21"/>
                <w:szCs w:val="21"/>
              </w:rPr>
              <w:t>编号</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50E5501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164FB6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（一级学科</w:t>
            </w:r>
            <w:r>
              <w:rPr>
                <w:rFonts w:hint="eastAsia" w:eastAsiaTheme="minorEastAsia"/>
                <w:b/>
                <w:bCs/>
                <w:sz w:val="21"/>
                <w:szCs w:val="21"/>
                <w:lang w:eastAsia="zh-CN"/>
              </w:rPr>
              <w:t>）</w:t>
            </w:r>
          </w:p>
        </w:tc>
        <w:tc>
          <w:tcPr>
            <w:tcW w:w="1548" w:type="dxa"/>
            <w:tcBorders>
              <w:left w:val="single" w:color="auto" w:sz="4" w:space="0"/>
              <w:right w:val="single" w:color="auto" w:sz="4" w:space="0"/>
              <w:tl2br w:val="nil"/>
              <w:tr2bl w:val="nil"/>
            </w:tcBorders>
            <w:shd w:val="clear" w:color="auto" w:fill="E7E6E6" w:themeFill="background2"/>
            <w:vAlign w:val="center"/>
          </w:tcPr>
          <w:p w14:paraId="58CE4E4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F426D9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tcBorders>
              <w:left w:val="single" w:color="auto" w:sz="4" w:space="0"/>
              <w:right w:val="single" w:color="auto" w:sz="4" w:space="0"/>
              <w:tl2br w:val="nil"/>
              <w:tr2bl w:val="nil"/>
            </w:tcBorders>
            <w:shd w:val="clear" w:color="auto" w:fill="E7E6E6" w:themeFill="background2"/>
            <w:vAlign w:val="center"/>
          </w:tcPr>
          <w:p w14:paraId="4D4099B4">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博士生源单位等要求</w:t>
            </w:r>
          </w:p>
        </w:tc>
      </w:tr>
      <w:tr w14:paraId="47F1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8D49F4F">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不孕不育机制研究</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D9B78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CC93551">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DE6FB5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医学/生物学</w:t>
            </w:r>
          </w:p>
        </w:tc>
        <w:tc>
          <w:tcPr>
            <w:tcW w:w="1548" w:type="dxa"/>
            <w:tcBorders>
              <w:left w:val="single" w:color="auto" w:sz="4" w:space="0"/>
              <w:right w:val="single" w:color="auto" w:sz="4" w:space="0"/>
              <w:tl2br w:val="nil"/>
              <w:tr2bl w:val="nil"/>
            </w:tcBorders>
            <w:shd w:val="clear" w:color="auto" w:fill="FFFFFF"/>
            <w:vAlign w:val="center"/>
          </w:tcPr>
          <w:p w14:paraId="5C473CD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30-50万/人</w:t>
            </w:r>
          </w:p>
        </w:tc>
        <w:tc>
          <w:tcPr>
            <w:tcW w:w="2139" w:type="dxa"/>
            <w:vMerge w:val="restart"/>
            <w:tcBorders>
              <w:left w:val="single" w:color="auto" w:sz="4" w:space="0"/>
              <w:right w:val="single" w:color="auto" w:sz="4" w:space="0"/>
              <w:tl2br w:val="nil"/>
              <w:tr2bl w:val="nil"/>
            </w:tcBorders>
            <w:shd w:val="clear" w:color="auto" w:fill="FFFFFF"/>
            <w:vAlign w:val="center"/>
          </w:tcPr>
          <w:p w14:paraId="3501A8F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国内外知名大学</w:t>
            </w:r>
          </w:p>
        </w:tc>
      </w:tr>
      <w:tr w14:paraId="163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0142649">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生殖免疫相关机制研究</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AB43EB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5E4C46">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159101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医学/生物学</w:t>
            </w:r>
          </w:p>
        </w:tc>
        <w:tc>
          <w:tcPr>
            <w:tcW w:w="1548" w:type="dxa"/>
            <w:tcBorders>
              <w:left w:val="single" w:color="auto" w:sz="4" w:space="0"/>
              <w:right w:val="single" w:color="auto" w:sz="4" w:space="0"/>
              <w:tl2br w:val="nil"/>
              <w:tr2bl w:val="nil"/>
            </w:tcBorders>
            <w:shd w:val="clear" w:color="auto" w:fill="FFFFFF"/>
            <w:vAlign w:val="center"/>
          </w:tcPr>
          <w:p w14:paraId="66EAAF4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30-50万/人</w:t>
            </w:r>
          </w:p>
        </w:tc>
        <w:tc>
          <w:tcPr>
            <w:tcW w:w="2139" w:type="dxa"/>
            <w:vMerge w:val="continue"/>
            <w:tcBorders>
              <w:left w:val="single" w:color="auto" w:sz="4" w:space="0"/>
              <w:right w:val="single" w:color="auto" w:sz="4" w:space="0"/>
              <w:tl2br w:val="nil"/>
              <w:tr2bl w:val="nil"/>
            </w:tcBorders>
            <w:shd w:val="clear" w:color="auto" w:fill="FFFFFF"/>
            <w:vAlign w:val="center"/>
          </w:tcPr>
          <w:p w14:paraId="4215FCD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r w14:paraId="119D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EA8458A">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男科生殖相关疾病研究</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87C2FB7">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7498F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AD805C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医学/生物学</w:t>
            </w:r>
          </w:p>
        </w:tc>
        <w:tc>
          <w:tcPr>
            <w:tcW w:w="1548" w:type="dxa"/>
            <w:tcBorders>
              <w:left w:val="single" w:color="auto" w:sz="4" w:space="0"/>
              <w:right w:val="single" w:color="auto" w:sz="4" w:space="0"/>
              <w:tl2br w:val="nil"/>
              <w:tr2bl w:val="nil"/>
            </w:tcBorders>
            <w:shd w:val="clear" w:color="auto" w:fill="FFFFFF"/>
            <w:vAlign w:val="center"/>
          </w:tcPr>
          <w:p w14:paraId="7FF0224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30-50万/人</w:t>
            </w:r>
          </w:p>
        </w:tc>
        <w:tc>
          <w:tcPr>
            <w:tcW w:w="2139" w:type="dxa"/>
            <w:vMerge w:val="continue"/>
            <w:tcBorders>
              <w:left w:val="single" w:color="auto" w:sz="4" w:space="0"/>
              <w:right w:val="single" w:color="auto" w:sz="4" w:space="0"/>
              <w:tl2br w:val="nil"/>
              <w:tr2bl w:val="nil"/>
            </w:tcBorders>
            <w:shd w:val="clear" w:color="auto" w:fill="FFFFFF"/>
            <w:vAlign w:val="center"/>
          </w:tcPr>
          <w:p w14:paraId="50DFDE5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bl>
    <w:p w14:paraId="664D865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291F66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98F263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8E648A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F63AEF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88AAA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DF4055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CB172A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BDFD55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208376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935CB6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3DFCFC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DF9FDE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FC0A8D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1FCCD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417528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F3EAB9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416796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D4CD2E5">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4DFD408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85" w:name="_Toc10074"/>
      <w:bookmarkStart w:id="686" w:name="_Toc5170"/>
      <w:bookmarkStart w:id="687" w:name="_Toc2053"/>
      <w:bookmarkStart w:id="688" w:name="_Toc30937"/>
      <w:bookmarkStart w:id="689" w:name="_Toc4408"/>
      <w:r>
        <w:rPr>
          <w:rFonts w:hint="eastAsia" w:ascii="Times New Roman" w:hAnsi="Times New Roman" w:eastAsia="方正小标宋简体" w:cs="Times New Roman"/>
          <w:sz w:val="44"/>
          <w:szCs w:val="44"/>
          <w:highlight w:val="none"/>
        </w:rPr>
        <w:t>成都龙之泉科技股份有限公司</w:t>
      </w:r>
      <w:bookmarkEnd w:id="685"/>
      <w:bookmarkEnd w:id="686"/>
      <w:bookmarkEnd w:id="687"/>
      <w:bookmarkEnd w:id="688"/>
      <w:bookmarkEnd w:id="689"/>
    </w:p>
    <w:p w14:paraId="04AA65A8">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596"/>
        <w:gridCol w:w="1017"/>
        <w:gridCol w:w="581"/>
        <w:gridCol w:w="519"/>
        <w:gridCol w:w="1154"/>
        <w:gridCol w:w="463"/>
        <w:gridCol w:w="1492"/>
        <w:gridCol w:w="1629"/>
      </w:tblGrid>
      <w:tr w14:paraId="3C63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C1D64E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59" w:type="dxa"/>
            <w:shd w:val="clear" w:color="000000" w:fill="FFFFFF"/>
            <w:noWrap/>
            <w:vAlign w:val="center"/>
          </w:tcPr>
          <w:p w14:paraId="22B092C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民营企业</w:t>
            </w:r>
          </w:p>
        </w:tc>
        <w:tc>
          <w:tcPr>
            <w:tcW w:w="1560" w:type="dxa"/>
            <w:gridSpan w:val="2"/>
            <w:shd w:val="clear" w:color="auto" w:fill="E7E6E6" w:themeFill="background2"/>
            <w:noWrap/>
            <w:vAlign w:val="center"/>
          </w:tcPr>
          <w:p w14:paraId="4E15B2A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34" w:type="dxa"/>
            <w:gridSpan w:val="2"/>
            <w:shd w:val="clear" w:color="000000" w:fill="FFFFFF"/>
            <w:noWrap/>
            <w:vAlign w:val="center"/>
          </w:tcPr>
          <w:p w14:paraId="69F5E47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909" w:type="dxa"/>
            <w:gridSpan w:val="2"/>
            <w:shd w:val="clear" w:color="auto" w:fill="E7E6E6" w:themeFill="background2"/>
            <w:noWrap/>
            <w:vAlign w:val="center"/>
          </w:tcPr>
          <w:p w14:paraId="7FEBD37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591" w:type="dxa"/>
            <w:shd w:val="clear" w:color="000000" w:fill="FFFFFF"/>
            <w:noWrap/>
            <w:vAlign w:val="center"/>
          </w:tcPr>
          <w:p w14:paraId="40ACA8A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6B79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F842F6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55E9B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四川省成都市</w:t>
            </w:r>
            <w:r>
              <w:rPr>
                <w:rFonts w:hint="default" w:ascii="Times New Roman" w:hAnsi="Times New Roman" w:cs="Times New Roman" w:eastAsiaTheme="minorEastAsia"/>
                <w:sz w:val="21"/>
                <w:szCs w:val="21"/>
              </w:rPr>
              <w:t>经开区车城东六路338号</w:t>
            </w:r>
          </w:p>
        </w:tc>
      </w:tr>
      <w:tr w14:paraId="1F33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jc w:val="center"/>
        </w:trPr>
        <w:tc>
          <w:tcPr>
            <w:tcW w:w="1271" w:type="dxa"/>
            <w:shd w:val="clear" w:color="auto" w:fill="E7E6E6" w:themeFill="background2"/>
            <w:noWrap/>
            <w:vAlign w:val="center"/>
          </w:tcPr>
          <w:p w14:paraId="619D9FE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4A831E6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成都龙之泉科技股份有限公司是一家以地下管网检测与修复、工业装置腐蚀控制为核心技术，集技术研发、材料生产和工程服务为一体的环保综合解决方案提供商。公司获得国家高新技术企业资质，设立了博士后创新实践基地，建有四川省工程技术研究中心，已取得发明专利69项。2016年公司在新三板挂牌上市。</w:t>
            </w:r>
          </w:p>
        </w:tc>
      </w:tr>
      <w:tr w14:paraId="2ADB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jc w:val="center"/>
        </w:trPr>
        <w:tc>
          <w:tcPr>
            <w:tcW w:w="1271" w:type="dxa"/>
            <w:shd w:val="clear" w:color="auto" w:fill="E7E6E6" w:themeFill="background2"/>
            <w:noWrap/>
            <w:vAlign w:val="center"/>
          </w:tcPr>
          <w:p w14:paraId="7CCF738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239096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1、酒店式公寓；</w:t>
            </w:r>
          </w:p>
          <w:p w14:paraId="22BC1D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2、餐补；</w:t>
            </w:r>
          </w:p>
          <w:p w14:paraId="39353A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3、定期体检、定期旅游；</w:t>
            </w:r>
          </w:p>
          <w:p w14:paraId="5DCF388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4、提供足额的研发资金；</w:t>
            </w:r>
          </w:p>
          <w:p w14:paraId="31F7C5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val="en-US" w:eastAsia="zh-CN"/>
              </w:rPr>
              <w:t>5、</w:t>
            </w:r>
            <w:r>
              <w:rPr>
                <w:rFonts w:hint="eastAsia" w:eastAsiaTheme="minorEastAsia"/>
                <w:sz w:val="21"/>
                <w:szCs w:val="21"/>
                <w:lang w:eastAsia="zh-CN"/>
              </w:rPr>
              <w:t>定期学习培训。</w:t>
            </w:r>
          </w:p>
        </w:tc>
      </w:tr>
      <w:tr w14:paraId="44DD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830" w:type="dxa"/>
            <w:gridSpan w:val="2"/>
            <w:shd w:val="clear" w:color="auto" w:fill="E7E6E6" w:themeFill="background2"/>
            <w:noWrap/>
            <w:vAlign w:val="center"/>
          </w:tcPr>
          <w:p w14:paraId="5134A7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14:paraId="5B6E60E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B4497A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14:paraId="2F8E78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30EBE5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14:paraId="77878B1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123CD5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shd w:val="clear" w:color="auto" w:fill="E7E6E6" w:themeFill="background2"/>
            <w:vAlign w:val="center"/>
          </w:tcPr>
          <w:p w14:paraId="2595A75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4A47E6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shd w:val="clear" w:color="auto" w:fill="E7E6E6" w:themeFill="background2"/>
            <w:vAlign w:val="center"/>
          </w:tcPr>
          <w:p w14:paraId="3BFA9F2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A275FE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7D8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B2AA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燃气管道非开挖修复</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D4CD7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4AFD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A43F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材料科学与工程</w:t>
            </w:r>
          </w:p>
        </w:tc>
        <w:tc>
          <w:tcPr>
            <w:tcW w:w="1457" w:type="dxa"/>
            <w:tcBorders>
              <w:top w:val="single" w:color="auto" w:sz="4" w:space="0"/>
              <w:left w:val="single" w:color="auto" w:sz="4" w:space="0"/>
              <w:right w:val="single" w:color="auto" w:sz="4" w:space="0"/>
              <w:tl2br w:val="nil"/>
              <w:tr2bl w:val="nil"/>
            </w:tcBorders>
            <w:shd w:val="clear" w:color="auto" w:fill="FFFFFF"/>
            <w:vAlign w:val="center"/>
          </w:tcPr>
          <w:p w14:paraId="5F0E1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20</w:t>
            </w:r>
          </w:p>
        </w:tc>
        <w:tc>
          <w:tcPr>
            <w:tcW w:w="1591" w:type="dxa"/>
            <w:tcBorders>
              <w:top w:val="single" w:color="auto" w:sz="4" w:space="0"/>
              <w:left w:val="single" w:color="auto" w:sz="4" w:space="0"/>
              <w:right w:val="single" w:color="auto" w:sz="4" w:space="0"/>
              <w:tl2br w:val="nil"/>
              <w:tr2bl w:val="nil"/>
            </w:tcBorders>
            <w:shd w:val="clear" w:color="auto" w:fill="FFFFFF"/>
            <w:vAlign w:val="center"/>
          </w:tcPr>
          <w:p w14:paraId="276B3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无</w:t>
            </w:r>
          </w:p>
        </w:tc>
      </w:tr>
    </w:tbl>
    <w:p w14:paraId="110AA86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96BBB1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E694F1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92B532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5256F3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D91CE7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61B6B9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10B1EE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9E2011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90" w:name="_Toc11824"/>
      <w:bookmarkStart w:id="691" w:name="_Toc21530"/>
      <w:bookmarkStart w:id="692" w:name="_Toc25286"/>
      <w:bookmarkStart w:id="693" w:name="_Toc17070"/>
      <w:bookmarkStart w:id="694" w:name="_Toc13043"/>
      <w:r>
        <w:rPr>
          <w:rFonts w:hint="eastAsia" w:ascii="Times New Roman" w:hAnsi="Times New Roman" w:eastAsia="方正小标宋简体" w:cs="Times New Roman"/>
          <w:sz w:val="44"/>
          <w:szCs w:val="44"/>
          <w:highlight w:val="none"/>
        </w:rPr>
        <w:t>成都清科生物科技有限公司</w:t>
      </w:r>
      <w:bookmarkEnd w:id="690"/>
      <w:bookmarkEnd w:id="691"/>
      <w:bookmarkEnd w:id="692"/>
      <w:bookmarkEnd w:id="693"/>
      <w:bookmarkEnd w:id="694"/>
    </w:p>
    <w:p w14:paraId="50B5493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7507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ED5C88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322F024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616" w:type="dxa"/>
            <w:gridSpan w:val="2"/>
            <w:shd w:val="clear" w:color="auto" w:fill="E7E6E6" w:themeFill="background2"/>
            <w:noWrap/>
            <w:vAlign w:val="center"/>
          </w:tcPr>
          <w:p w14:paraId="796B8EE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7C050D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7566B19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7687C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3B6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E37F76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4D824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w:t>
            </w:r>
            <w:r>
              <w:rPr>
                <w:rFonts w:hint="eastAsia" w:ascii="Times New Roman" w:hAnsi="Times New Roman" w:cs="Times New Roman" w:eastAsiaTheme="minorEastAsia"/>
                <w:sz w:val="21"/>
                <w:szCs w:val="21"/>
                <w:lang w:val="en-US" w:eastAsia="zh-CN"/>
              </w:rPr>
              <w:t>市</w:t>
            </w:r>
            <w:r>
              <w:rPr>
                <w:rFonts w:hint="default" w:ascii="Times New Roman" w:hAnsi="Times New Roman" w:cs="Times New Roman" w:eastAsiaTheme="minorEastAsia"/>
                <w:sz w:val="21"/>
                <w:szCs w:val="21"/>
              </w:rPr>
              <w:t>高新区益州大道中段1239号</w:t>
            </w:r>
          </w:p>
        </w:tc>
      </w:tr>
      <w:tr w14:paraId="0D7F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710" w:hRule="atLeast"/>
          <w:jc w:val="center"/>
        </w:trPr>
        <w:tc>
          <w:tcPr>
            <w:tcW w:w="1271" w:type="dxa"/>
            <w:shd w:val="clear" w:color="auto" w:fill="E7E6E6" w:themeFill="background2"/>
            <w:noWrap/>
            <w:vAlign w:val="center"/>
          </w:tcPr>
          <w:p w14:paraId="27F73F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13CD8E63">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清科生物科技有限公司成立于2011年，是一家从事干细胞及其相关生物制品研究开发及生物医药技术服务的国家高新技术企业。建立了四川省间充质干细胞库，可开展多组织来源的成体间充质干细胞的分离、制备和储存服务。</w:t>
            </w:r>
          </w:p>
          <w:p w14:paraId="77539AA8">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公司聚焦干细胞与再生医学开发技术，拥有国家相关专利90余项，其中发明专利30项。截止目前，公司已获国家、省、市、区多项资质认证，包括：</w:t>
            </w:r>
          </w:p>
          <w:p w14:paraId="1B3B801F">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国家高新技术企业</w:t>
            </w:r>
          </w:p>
          <w:p w14:paraId="3C56FEAD">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四川省再生医学工程技术研究中心</w:t>
            </w:r>
          </w:p>
          <w:p w14:paraId="205B7CF8">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四川省博士后创新实践基地</w:t>
            </w:r>
          </w:p>
          <w:p w14:paraId="2C74F938">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四川省院士（专家）工作站</w:t>
            </w:r>
          </w:p>
          <w:p w14:paraId="372DCBF6">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成都市院士（专家）创新工作站</w:t>
            </w:r>
          </w:p>
          <w:p w14:paraId="6AD8255A">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四川省科普示范企业</w:t>
            </w:r>
          </w:p>
          <w:p w14:paraId="7DB8DD8A">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四川省干细胞与再生医学科普基地</w:t>
            </w:r>
          </w:p>
          <w:p w14:paraId="0EBF0EB4">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成都市干细胞与再生医学科普基地</w:t>
            </w:r>
          </w:p>
          <w:p w14:paraId="63FED5F1">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成都市高新区干细胞技术产业公共服务平台</w:t>
            </w:r>
          </w:p>
          <w:p w14:paraId="10956D63">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成都市著名商标</w:t>
            </w:r>
          </w:p>
        </w:tc>
      </w:tr>
      <w:tr w14:paraId="78EE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1280" w:hRule="atLeast"/>
          <w:jc w:val="center"/>
        </w:trPr>
        <w:tc>
          <w:tcPr>
            <w:tcW w:w="1271" w:type="dxa"/>
            <w:shd w:val="clear" w:color="auto" w:fill="E7E6E6" w:themeFill="background2"/>
            <w:noWrap/>
            <w:vAlign w:val="center"/>
          </w:tcPr>
          <w:p w14:paraId="33FB617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12676317">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可配备科研助理、科研经费等，具体面议</w:t>
            </w:r>
          </w:p>
        </w:tc>
      </w:tr>
      <w:tr w14:paraId="0728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046DD5B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7CBA0E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136FFB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7F0809B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5A858C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01739B9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250CF3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213E826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D9895C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2F7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41" w:type="dxa"/>
            <w:gridSpan w:val="2"/>
            <w:shd w:val="clear" w:color="auto" w:fill="auto"/>
            <w:noWrap/>
            <w:vAlign w:val="center"/>
          </w:tcPr>
          <w:p w14:paraId="7D37718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细胞治疗技术的转化应用研究</w:t>
            </w:r>
          </w:p>
        </w:tc>
        <w:tc>
          <w:tcPr>
            <w:tcW w:w="1132" w:type="dxa"/>
            <w:gridSpan w:val="2"/>
            <w:shd w:val="clear" w:color="auto" w:fill="auto"/>
            <w:vAlign w:val="center"/>
          </w:tcPr>
          <w:p w14:paraId="6BF1B5E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2F0677CC">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BSH001</w:t>
            </w:r>
          </w:p>
        </w:tc>
        <w:tc>
          <w:tcPr>
            <w:tcW w:w="1908" w:type="dxa"/>
            <w:gridSpan w:val="2"/>
            <w:shd w:val="clear" w:color="auto" w:fill="auto"/>
            <w:vAlign w:val="center"/>
          </w:tcPr>
          <w:p w14:paraId="0900B3B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310基础医学</w:t>
            </w:r>
          </w:p>
          <w:p w14:paraId="586AFEC2">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350药学</w:t>
            </w:r>
          </w:p>
        </w:tc>
        <w:tc>
          <w:tcPr>
            <w:tcW w:w="1488" w:type="dxa"/>
            <w:gridSpan w:val="2"/>
            <w:shd w:val="clear" w:color="auto" w:fill="auto"/>
            <w:vAlign w:val="center"/>
          </w:tcPr>
          <w:p w14:paraId="537C346A">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面议</w:t>
            </w:r>
          </w:p>
        </w:tc>
        <w:tc>
          <w:tcPr>
            <w:tcW w:w="1771" w:type="dxa"/>
            <w:gridSpan w:val="2"/>
            <w:vMerge w:val="restart"/>
            <w:shd w:val="clear" w:color="auto" w:fill="auto"/>
            <w:vAlign w:val="center"/>
          </w:tcPr>
          <w:p w14:paraId="62DAABE5">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无</w:t>
            </w:r>
          </w:p>
        </w:tc>
      </w:tr>
      <w:tr w14:paraId="7C7D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141" w:type="dxa"/>
            <w:gridSpan w:val="2"/>
            <w:shd w:val="clear" w:color="auto" w:fill="auto"/>
            <w:noWrap/>
            <w:vAlign w:val="center"/>
          </w:tcPr>
          <w:p w14:paraId="39A0BEEC">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医学人工智能技术的开发及应用</w:t>
            </w:r>
          </w:p>
        </w:tc>
        <w:tc>
          <w:tcPr>
            <w:tcW w:w="1132" w:type="dxa"/>
            <w:gridSpan w:val="2"/>
            <w:shd w:val="clear" w:color="auto" w:fill="auto"/>
            <w:vAlign w:val="center"/>
          </w:tcPr>
          <w:p w14:paraId="5F4662AD">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6F4C782E">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BSH002</w:t>
            </w:r>
          </w:p>
        </w:tc>
        <w:tc>
          <w:tcPr>
            <w:tcW w:w="1908" w:type="dxa"/>
            <w:gridSpan w:val="2"/>
            <w:shd w:val="clear" w:color="auto" w:fill="auto"/>
            <w:vAlign w:val="center"/>
          </w:tcPr>
          <w:p w14:paraId="26FB577E">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520计算机科学与技术</w:t>
            </w:r>
          </w:p>
        </w:tc>
        <w:tc>
          <w:tcPr>
            <w:tcW w:w="1488" w:type="dxa"/>
            <w:gridSpan w:val="2"/>
            <w:shd w:val="clear" w:color="auto" w:fill="auto"/>
            <w:vAlign w:val="center"/>
          </w:tcPr>
          <w:p w14:paraId="7C6C9F3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面议</w:t>
            </w:r>
          </w:p>
        </w:tc>
        <w:tc>
          <w:tcPr>
            <w:tcW w:w="1771" w:type="dxa"/>
            <w:gridSpan w:val="2"/>
            <w:vMerge w:val="continue"/>
            <w:shd w:val="clear" w:color="auto" w:fill="auto"/>
            <w:vAlign w:val="center"/>
          </w:tcPr>
          <w:p w14:paraId="1AE4ECD1">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bl>
    <w:p w14:paraId="2FCC8D9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C8EA23B">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695" w:name="_Toc26349"/>
      <w:bookmarkStart w:id="696" w:name="_Toc1254"/>
      <w:bookmarkStart w:id="697" w:name="_Toc18027"/>
      <w:bookmarkStart w:id="698" w:name="_Toc8359"/>
      <w:bookmarkStart w:id="699" w:name="_Toc13360"/>
      <w:r>
        <w:rPr>
          <w:rFonts w:hint="eastAsia" w:ascii="Times New Roman" w:hAnsi="Times New Roman" w:eastAsia="方正小标宋简体" w:cs="Times New Roman"/>
          <w:sz w:val="44"/>
          <w:szCs w:val="44"/>
          <w:highlight w:val="none"/>
        </w:rPr>
        <w:t>成都生物制品研究所有限责任公司</w:t>
      </w:r>
      <w:bookmarkEnd w:id="695"/>
      <w:bookmarkEnd w:id="696"/>
      <w:bookmarkEnd w:id="697"/>
      <w:bookmarkEnd w:id="698"/>
      <w:bookmarkEnd w:id="699"/>
    </w:p>
    <w:p w14:paraId="11DACA89">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13"/>
        <w:gridCol w:w="491"/>
        <w:gridCol w:w="456"/>
        <w:gridCol w:w="1093"/>
        <w:gridCol w:w="1622"/>
        <w:gridCol w:w="1585"/>
        <w:gridCol w:w="2190"/>
      </w:tblGrid>
      <w:tr w14:paraId="7E5A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657A0B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59AC71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7B3C330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918B5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7D98FE2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00A5B36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6AC9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7FF9C6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231BA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四川省成都市锦江区锦华路三段379号</w:t>
            </w:r>
          </w:p>
        </w:tc>
      </w:tr>
      <w:tr w14:paraId="4313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271" w:type="dxa"/>
            <w:shd w:val="clear" w:color="auto" w:fill="E7E6E6" w:themeFill="background2"/>
            <w:noWrap/>
            <w:vAlign w:val="center"/>
          </w:tcPr>
          <w:p w14:paraId="31EDF99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01A5F17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中央驻川国有企业成都生物制品研究所（有限责任公司），创建于1958年，系原全国卫生部直属六大生物制品研究所之一，坐落于成都市锦江区。公司研发与生产预防和治疗用生物制品、基因重组药物等，是国家重要的生物医药研发制造基地，也是中国第一个拥有通过世界卫生组织预认证疫苗产品的生物制品企业。公司作为四川省疫苗工程技术研究中心和四川省政府首批启动的重大生物技术项目牵头单位，承担、参与了多项国家高新技术产业化示范工程、国家重大传染病专项、国家重大新药创制等项目，荣获40余项科技奖励。基于二倍体细胞的生物反应器规模化生产平台、重组汉逊酵母表达的新型疫苗转化平台、多糖结合疫苗研发平台、重组载体疫苗研发平台、转基因兔罕见病药物开发平台等5个技术研发转化平台上的新产品研发进展顺利，多个产品进入临床研究并启动产业化。</w:t>
            </w:r>
          </w:p>
        </w:tc>
      </w:tr>
      <w:tr w14:paraId="261B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1271" w:type="dxa"/>
            <w:shd w:val="clear" w:color="auto" w:fill="E7E6E6" w:themeFill="background2"/>
            <w:noWrap/>
            <w:vAlign w:val="center"/>
          </w:tcPr>
          <w:p w14:paraId="1EAC717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659178D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公司为博士后提供实验室和其他实验条件。由博士后专家指导组对进站博士进行指导研究，组织相关专家和技术人员组成科研项目小组，并配备技术人员助手，参与课题研究。博士后研发主要方向为新疫苗、预防治疗用生物制品、罕见病药物。</w:t>
            </w:r>
          </w:p>
          <w:p w14:paraId="324E74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公司建立了规范的博士后考核制度，根据考核结果兑现薪酬绩效；博士后在站期间，除享受国家规定的优惠政策外，享受与员工相同的社保、出差、租房等待遇；公司可按国家政策协助本人、配偶、子女办理落户等服务，工作期满优秀者可以留用。</w:t>
            </w:r>
          </w:p>
        </w:tc>
      </w:tr>
      <w:tr w14:paraId="6AD0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260" w:type="dxa"/>
            <w:gridSpan w:val="2"/>
            <w:shd w:val="clear" w:color="auto" w:fill="E7E6E6" w:themeFill="background2"/>
            <w:noWrap/>
            <w:vAlign w:val="center"/>
          </w:tcPr>
          <w:p w14:paraId="454D55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14:paraId="66B146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72BA60E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35B6506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0439C8A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0149F57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C9503A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7384231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093765F">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000FB1C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D86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656388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基于反向遗传学技术的多价乙脑减毒活疫苗开发</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D8C518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E5109B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E934E5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生物学</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D544283">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p w14:paraId="698DE63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并享受本地博士后支持政策</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66551AD9">
            <w:pPr>
              <w:adjustRightInd w:val="0"/>
              <w:snapToGrid w:val="0"/>
              <w:spacing w:line="240" w:lineRule="auto"/>
              <w:ind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双一流高校或国家级科研院所毕业，具有微生物学、免疫学专业背景以及分子生物学、细胞生物学或病毒学操作技能和经验</w:t>
            </w:r>
          </w:p>
        </w:tc>
      </w:tr>
    </w:tbl>
    <w:p w14:paraId="585FE06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62CEA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5A9F08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7130A4D">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00" w:name="_Toc21323"/>
      <w:bookmarkStart w:id="701" w:name="_Toc19224"/>
      <w:bookmarkStart w:id="702" w:name="_Toc16481"/>
      <w:bookmarkStart w:id="703" w:name="_Toc14023"/>
      <w:bookmarkStart w:id="704" w:name="_Toc14181"/>
      <w:r>
        <w:rPr>
          <w:rFonts w:hint="eastAsia" w:ascii="Times New Roman" w:hAnsi="Times New Roman" w:eastAsia="方正小标宋简体" w:cs="Times New Roman"/>
          <w:sz w:val="44"/>
          <w:szCs w:val="44"/>
          <w:highlight w:val="none"/>
        </w:rPr>
        <w:t>成都市中西医结合医院</w:t>
      </w:r>
      <w:bookmarkEnd w:id="700"/>
      <w:bookmarkEnd w:id="701"/>
      <w:bookmarkEnd w:id="702"/>
      <w:bookmarkEnd w:id="703"/>
      <w:bookmarkEnd w:id="704"/>
    </w:p>
    <w:p w14:paraId="1FF9DA1B">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0ABA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EC451C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2CC06A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医疗机构</w:t>
            </w:r>
          </w:p>
        </w:tc>
        <w:tc>
          <w:tcPr>
            <w:tcW w:w="1513" w:type="dxa"/>
            <w:gridSpan w:val="2"/>
            <w:shd w:val="clear" w:color="auto" w:fill="E7E6E6" w:themeFill="background2"/>
            <w:noWrap/>
            <w:vAlign w:val="center"/>
          </w:tcPr>
          <w:p w14:paraId="31663F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92BBB2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62EE627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59DBDC4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12A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2A1B78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6B6EA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四川省成都市高新区万象北路18号</w:t>
            </w:r>
          </w:p>
        </w:tc>
      </w:tr>
      <w:tr w14:paraId="70A6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8" w:hRule="atLeast"/>
          <w:jc w:val="center"/>
        </w:trPr>
        <w:tc>
          <w:tcPr>
            <w:tcW w:w="1271" w:type="dxa"/>
            <w:shd w:val="clear" w:color="auto" w:fill="E7E6E6" w:themeFill="background2"/>
            <w:noWrap/>
            <w:vAlign w:val="center"/>
          </w:tcPr>
          <w:p w14:paraId="49E7AA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0C5A3B2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医院始建于1942年，是首批“全国重点中西医结合医院”，2022年评为首批四川省中西医结合旗舰医院。占地125亩，建筑面积29万平方米，编制床位2400张。医院学科优势突出，有国家中医优势专科8个，国家中医重点专科4个，国家中西医协同“旗舰”科室3个、四川省中医药管理局重点专科9个、四川省医学重点学（专）科7个、成都市医学重点学（专）科21个，国家级中医药科研实验室3个，“全国名中医传承工作室”5个、“四川省名中医工作室”8个、“成都名医工作室”2个。</w:t>
            </w:r>
          </w:p>
          <w:p w14:paraId="3B78AE1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医院现有省、市名中医51人，享受政府津贴专家16人，全国中医临床优秀人才1人，中华中医药学会青年人才托举工程1人，省突出贡献优秀专家2人，省、市学术技术带头人及后备人才43人。</w:t>
            </w:r>
          </w:p>
        </w:tc>
      </w:tr>
      <w:tr w14:paraId="59EA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1271" w:type="dxa"/>
            <w:shd w:val="clear" w:color="auto" w:fill="E7E6E6" w:themeFill="background2"/>
            <w:noWrap/>
            <w:vAlign w:val="center"/>
          </w:tcPr>
          <w:p w14:paraId="4C6726C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59BE8A1F">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1.与成都市中医药大学联合培养，享受全省最优质的中西医结合医疗资源</w:t>
            </w:r>
          </w:p>
          <w:p w14:paraId="127121B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2.享受年薪制和四川省、成都市博士后经费</w:t>
            </w:r>
          </w:p>
          <w:p w14:paraId="01373B7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3.享受医院科研成果奖励</w:t>
            </w:r>
          </w:p>
          <w:p w14:paraId="12E516D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ascii="Times New Roman" w:hAnsi="Times New Roman" w:cs="Times New Roman" w:eastAsiaTheme="minorEastAsia"/>
                <w:sz w:val="21"/>
                <w:szCs w:val="21"/>
                <w:lang w:val="en-US" w:eastAsia="zh-CN"/>
              </w:rPr>
              <w:t>4.在站期间可参加职称晋升</w:t>
            </w:r>
          </w:p>
        </w:tc>
      </w:tr>
      <w:tr w14:paraId="0F37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0C6BB5C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905330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2F0836D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A47E39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22D254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53B039B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D9150A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3CE0814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949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04DD58D">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中医学相关研究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ABD6E6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A67E1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0E9F44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中医学</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B91A1F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一事一议</w:t>
            </w:r>
          </w:p>
        </w:tc>
        <w:tc>
          <w:tcPr>
            <w:tcW w:w="2139"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034427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须中医学、中西医结合博士</w:t>
            </w:r>
          </w:p>
        </w:tc>
      </w:tr>
      <w:tr w14:paraId="12E5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6D7855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中西医结合相关研究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E764B8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371012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DCC469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中西医结合</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A999BAD">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一事一议</w:t>
            </w:r>
          </w:p>
        </w:tc>
        <w:tc>
          <w:tcPr>
            <w:tcW w:w="2139" w:type="dxa"/>
            <w:vMerge w:val="continue"/>
            <w:tcBorders>
              <w:top w:val="single" w:color="auto" w:sz="4" w:space="0"/>
              <w:left w:val="single" w:color="auto" w:sz="4" w:space="0"/>
              <w:right w:val="single" w:color="auto" w:sz="4" w:space="0"/>
              <w:tl2br w:val="nil"/>
              <w:tr2bl w:val="nil"/>
            </w:tcBorders>
            <w:shd w:val="clear" w:color="auto" w:fill="FFFFFF"/>
            <w:vAlign w:val="center"/>
          </w:tcPr>
          <w:p w14:paraId="6538D95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bl>
    <w:p w14:paraId="7D0F3152">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131DDE46">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705" w:name="_Toc25182"/>
      <w:bookmarkStart w:id="706" w:name="_Toc4735"/>
      <w:bookmarkStart w:id="707" w:name="_Toc788"/>
      <w:bookmarkStart w:id="708" w:name="_Toc18417"/>
      <w:bookmarkStart w:id="709" w:name="_Toc2578"/>
      <w:r>
        <w:rPr>
          <w:rFonts w:eastAsia="方正小标宋简体"/>
          <w:sz w:val="44"/>
          <w:szCs w:val="44"/>
          <w:highlight w:val="none"/>
        </w:rPr>
        <w:t>成都西南石油大学科技园发展有限公司</w:t>
      </w:r>
      <w:bookmarkEnd w:id="705"/>
      <w:bookmarkEnd w:id="706"/>
      <w:bookmarkEnd w:id="707"/>
      <w:bookmarkEnd w:id="708"/>
      <w:bookmarkEnd w:id="709"/>
    </w:p>
    <w:p w14:paraId="3BC66974">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791"/>
        <w:gridCol w:w="768"/>
        <w:gridCol w:w="387"/>
        <w:gridCol w:w="1155"/>
        <w:gridCol w:w="138"/>
        <w:gridCol w:w="1627"/>
        <w:gridCol w:w="1565"/>
        <w:gridCol w:w="122"/>
        <w:gridCol w:w="1897"/>
      </w:tblGrid>
      <w:tr w14:paraId="6B2F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7D2E7A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5DE3F5FC">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3"/>
            <w:shd w:val="clear" w:color="auto" w:fill="E7E6E6" w:themeFill="background2"/>
            <w:noWrap/>
            <w:vAlign w:val="center"/>
          </w:tcPr>
          <w:p w14:paraId="75417495">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671E5136">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14:paraId="1C7A3E86">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55004CB0">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14:paraId="6FC7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F0B7925">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3DE57752">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rPr>
              <w:t>四川省成都市新都区新都大道8号科技园大厦</w:t>
            </w:r>
          </w:p>
        </w:tc>
      </w:tr>
      <w:tr w14:paraId="2773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jc w:val="center"/>
        </w:trPr>
        <w:tc>
          <w:tcPr>
            <w:tcW w:w="1271" w:type="dxa"/>
            <w:shd w:val="clear" w:color="auto" w:fill="E7E6E6" w:themeFill="background2"/>
            <w:noWrap/>
            <w:vAlign w:val="center"/>
          </w:tcPr>
          <w:p w14:paraId="5B5E125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75D5864B">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西南石油大学科技园于2010年9月成立，2013年1月获批为国家大学科技园，是西部地区以石油天然气为特色的国家大学科技园。现有200余家企业（其中在孵企业超过80%），年产值超过10亿元、税收超9000万元。入园企业中现高新技术企业22家，大学生创业企业72家，在校教师创办或者参与的企业35家。</w:t>
            </w:r>
          </w:p>
          <w:p w14:paraId="16F85BC6">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西南石油大学科技园以西南石油大学为依托，将学校的综合智力资源优势与其它社会优势资源相结合，为学校科技成果转化、高新技术企业孵化、创新创业人才培养、产学研结合提供有力支撑，是国家创新体系的重要组成部分和自主创新的重要基地，是区域经济发展和行业技术进步的主要创新源泉之一。</w:t>
            </w:r>
          </w:p>
        </w:tc>
      </w:tr>
      <w:tr w14:paraId="44E3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1271" w:type="dxa"/>
            <w:shd w:val="clear" w:color="auto" w:fill="E7E6E6" w:themeFill="background2"/>
            <w:noWrap/>
            <w:vAlign w:val="center"/>
          </w:tcPr>
          <w:p w14:paraId="0D2A29A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79FA0614">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1.享受各级政府的资助政策。</w:t>
            </w:r>
          </w:p>
          <w:p w14:paraId="4E4584BC">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2.提供办公室和研究室。</w:t>
            </w:r>
          </w:p>
          <w:p w14:paraId="5DA110C0">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3.协助解决子女教育。</w:t>
            </w:r>
          </w:p>
          <w:p w14:paraId="605CDBCD">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4.提供研究课题。</w:t>
            </w:r>
          </w:p>
        </w:tc>
      </w:tr>
      <w:tr w14:paraId="47F5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044" w:type="dxa"/>
            <w:gridSpan w:val="2"/>
            <w:shd w:val="clear" w:color="auto" w:fill="E7E6E6" w:themeFill="background2"/>
            <w:noWrap/>
            <w:vAlign w:val="center"/>
          </w:tcPr>
          <w:p w14:paraId="2D27EB5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14:paraId="1E451B6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shd w:val="clear" w:color="auto" w:fill="E7E6E6" w:themeFill="background2"/>
            <w:vAlign w:val="center"/>
          </w:tcPr>
          <w:p w14:paraId="38676774">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4" w:type="dxa"/>
            <w:gridSpan w:val="2"/>
            <w:shd w:val="clear" w:color="auto" w:fill="E7E6E6" w:themeFill="background2"/>
            <w:vAlign w:val="center"/>
          </w:tcPr>
          <w:p w14:paraId="62F9872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75F7E5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48" w:type="dxa"/>
            <w:gridSpan w:val="2"/>
            <w:shd w:val="clear" w:color="auto" w:fill="E7E6E6" w:themeFill="background2"/>
            <w:vAlign w:val="center"/>
          </w:tcPr>
          <w:p w14:paraId="6F7D12A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A0EC418">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52" w:type="dxa"/>
            <w:shd w:val="clear" w:color="auto" w:fill="E7E6E6" w:themeFill="background2"/>
            <w:vAlign w:val="center"/>
          </w:tcPr>
          <w:p w14:paraId="58DC04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15EE76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0C1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44" w:type="dxa"/>
            <w:gridSpan w:val="2"/>
            <w:shd w:val="clear" w:color="000000" w:fill="FFFFFF"/>
            <w:noWrap/>
            <w:vAlign w:val="center"/>
          </w:tcPr>
          <w:p w14:paraId="0B2B9BFA">
            <w:pPr>
              <w:adjustRightInd w:val="0"/>
              <w:snapToGrid w:val="0"/>
              <w:spacing w:line="240"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非常规油气资源开发技术与优化研究</w:t>
            </w:r>
          </w:p>
        </w:tc>
        <w:tc>
          <w:tcPr>
            <w:tcW w:w="1128" w:type="dxa"/>
            <w:gridSpan w:val="2"/>
            <w:shd w:val="clear" w:color="000000" w:fill="FFFFFF"/>
            <w:vAlign w:val="center"/>
          </w:tcPr>
          <w:p w14:paraId="6BBA9A8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8" w:type="dxa"/>
            <w:shd w:val="clear" w:color="000000" w:fill="FFFFFF"/>
            <w:vAlign w:val="center"/>
          </w:tcPr>
          <w:p w14:paraId="0879E4F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24" w:type="dxa"/>
            <w:gridSpan w:val="2"/>
            <w:shd w:val="clear" w:color="000000" w:fill="FFFFFF"/>
            <w:vAlign w:val="center"/>
          </w:tcPr>
          <w:p w14:paraId="3DA64A6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石油工程</w:t>
            </w:r>
          </w:p>
        </w:tc>
        <w:tc>
          <w:tcPr>
            <w:tcW w:w="1648" w:type="dxa"/>
            <w:gridSpan w:val="2"/>
            <w:shd w:val="clear" w:color="000000" w:fill="FFFFFF"/>
            <w:vAlign w:val="center"/>
          </w:tcPr>
          <w:p w14:paraId="410B8C3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15万</w:t>
            </w:r>
          </w:p>
        </w:tc>
        <w:tc>
          <w:tcPr>
            <w:tcW w:w="1852" w:type="dxa"/>
            <w:vMerge w:val="restart"/>
            <w:shd w:val="clear" w:color="000000" w:fill="FFFFFF"/>
            <w:vAlign w:val="center"/>
          </w:tcPr>
          <w:p w14:paraId="5111823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r w14:paraId="7235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44" w:type="dxa"/>
            <w:gridSpan w:val="2"/>
            <w:shd w:val="clear" w:color="000000" w:fill="FFFFFF"/>
            <w:noWrap/>
            <w:vAlign w:val="center"/>
          </w:tcPr>
          <w:p w14:paraId="0FDA7E05">
            <w:pPr>
              <w:adjustRightInd w:val="0"/>
              <w:snapToGrid w:val="0"/>
              <w:spacing w:line="240"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绿色化学与可持续材料的设计与应用</w:t>
            </w:r>
          </w:p>
        </w:tc>
        <w:tc>
          <w:tcPr>
            <w:tcW w:w="1128" w:type="dxa"/>
            <w:gridSpan w:val="2"/>
            <w:shd w:val="clear" w:color="000000" w:fill="FFFFFF"/>
            <w:vAlign w:val="center"/>
          </w:tcPr>
          <w:p w14:paraId="166D86D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8" w:type="dxa"/>
            <w:shd w:val="clear" w:color="000000" w:fill="FFFFFF"/>
            <w:vAlign w:val="center"/>
          </w:tcPr>
          <w:p w14:paraId="4807B61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724" w:type="dxa"/>
            <w:gridSpan w:val="2"/>
            <w:shd w:val="clear" w:color="000000" w:fill="FFFFFF"/>
            <w:vAlign w:val="center"/>
          </w:tcPr>
          <w:p w14:paraId="7ACB09E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应用化学</w:t>
            </w:r>
          </w:p>
        </w:tc>
        <w:tc>
          <w:tcPr>
            <w:tcW w:w="1648" w:type="dxa"/>
            <w:gridSpan w:val="2"/>
            <w:shd w:val="clear" w:color="000000" w:fill="FFFFFF"/>
            <w:vAlign w:val="center"/>
          </w:tcPr>
          <w:p w14:paraId="4B12DFC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15万</w:t>
            </w:r>
          </w:p>
        </w:tc>
        <w:tc>
          <w:tcPr>
            <w:tcW w:w="1852" w:type="dxa"/>
            <w:vMerge w:val="continue"/>
            <w:shd w:val="clear" w:color="000000" w:fill="FFFFFF"/>
            <w:vAlign w:val="center"/>
          </w:tcPr>
          <w:p w14:paraId="1D84334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0857585D">
      <w:pPr>
        <w:pStyle w:val="5"/>
        <w:adjustRightInd w:val="0"/>
        <w:snapToGrid w:val="0"/>
        <w:spacing w:line="240" w:lineRule="auto"/>
        <w:ind w:firstLine="0"/>
        <w:rPr>
          <w:rFonts w:eastAsiaTheme="minorEastAsia"/>
          <w:sz w:val="21"/>
          <w:szCs w:val="21"/>
        </w:rPr>
      </w:pPr>
      <w:r>
        <w:br w:type="page"/>
      </w:r>
    </w:p>
    <w:p w14:paraId="32AB7842">
      <w:pPr>
        <w:pStyle w:val="5"/>
        <w:tabs>
          <w:tab w:val="center" w:pos="4705"/>
          <w:tab w:val="left" w:pos="7680"/>
        </w:tabs>
        <w:adjustRightInd w:val="0"/>
        <w:snapToGrid w:val="0"/>
        <w:spacing w:line="240" w:lineRule="auto"/>
        <w:ind w:firstLine="0"/>
        <w:jc w:val="center"/>
        <w:rPr>
          <w:rFonts w:eastAsia="方正小标宋简体"/>
          <w:sz w:val="44"/>
          <w:szCs w:val="44"/>
        </w:rPr>
      </w:pPr>
    </w:p>
    <w:p w14:paraId="38EF3F52">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10" w:name="_Toc88"/>
      <w:bookmarkStart w:id="711" w:name="_Toc17537"/>
      <w:bookmarkStart w:id="712" w:name="_Toc21615"/>
      <w:bookmarkStart w:id="713" w:name="_Toc1269"/>
      <w:bookmarkStart w:id="714" w:name="_Toc1011"/>
      <w:r>
        <w:rPr>
          <w:rFonts w:hint="eastAsia" w:ascii="Times New Roman" w:hAnsi="Times New Roman" w:eastAsia="方正小标宋简体" w:cs="Times New Roman"/>
          <w:sz w:val="44"/>
          <w:szCs w:val="44"/>
          <w:highlight w:val="none"/>
        </w:rPr>
        <w:t>成都易态科技有限公司</w:t>
      </w:r>
      <w:bookmarkEnd w:id="710"/>
      <w:bookmarkEnd w:id="711"/>
      <w:bookmarkEnd w:id="712"/>
      <w:bookmarkEnd w:id="713"/>
      <w:bookmarkEnd w:id="714"/>
    </w:p>
    <w:p w14:paraId="6613CAF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40"/>
        <w:gridCol w:w="1673"/>
        <w:gridCol w:w="1578"/>
        <w:gridCol w:w="2006"/>
      </w:tblGrid>
      <w:tr w14:paraId="2FC8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42244D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086" w:type="dxa"/>
            <w:shd w:val="clear" w:color="000000" w:fill="FFFFFF"/>
            <w:noWrap/>
            <w:vAlign w:val="center"/>
          </w:tcPr>
          <w:p w14:paraId="7E1C8ED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民营企业</w:t>
            </w:r>
          </w:p>
        </w:tc>
        <w:tc>
          <w:tcPr>
            <w:tcW w:w="2033" w:type="dxa"/>
            <w:gridSpan w:val="3"/>
            <w:shd w:val="clear" w:color="auto" w:fill="E7E6E6" w:themeFill="background2"/>
            <w:noWrap/>
            <w:vAlign w:val="center"/>
          </w:tcPr>
          <w:p w14:paraId="0E2987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34" w:type="dxa"/>
            <w:shd w:val="clear" w:color="000000" w:fill="FFFFFF"/>
            <w:noWrap/>
            <w:vAlign w:val="center"/>
          </w:tcPr>
          <w:p w14:paraId="4C2527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1" w:type="dxa"/>
            <w:shd w:val="clear" w:color="auto" w:fill="E7E6E6" w:themeFill="background2"/>
            <w:noWrap/>
            <w:vAlign w:val="center"/>
          </w:tcPr>
          <w:p w14:paraId="4A0363A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59" w:type="dxa"/>
            <w:shd w:val="clear" w:color="000000" w:fill="FFFFFF"/>
            <w:noWrap/>
            <w:vAlign w:val="center"/>
          </w:tcPr>
          <w:p w14:paraId="3F71C26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766A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A0BB66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492E4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四川省成都市高新区天府大道中段688号大源国际A3栋1901</w:t>
            </w:r>
          </w:p>
        </w:tc>
      </w:tr>
      <w:tr w14:paraId="33C1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271" w:type="dxa"/>
            <w:shd w:val="clear" w:color="auto" w:fill="E7E6E6" w:themeFill="background2"/>
            <w:noWrap/>
            <w:vAlign w:val="center"/>
          </w:tcPr>
          <w:p w14:paraId="01486AE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2751E17B">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成都易态科技有限公司成立于2007年，是以先进膜材料、膜分离技术创新为基础，以关键技术、绿色工艺为支撑的先进工艺装备系统提供商、碳中和解决方案服务商。公司是国家重点高新技术企业、工信部重点支持的国家专精特新“小巨人”企业及国家“绿色关键工艺系统集成应用-系统解决+方案供应商”，获评中国企业专利500强、全国企业科技创新500强。公司金属膜材料、膜分离技术及高温烟气净化绿色工艺为全球首创、国际领先，是高温金属膜材料、膜分离技术、高温气体过滤技术的开创者和引领者。</w:t>
            </w:r>
          </w:p>
          <w:p w14:paraId="16F9B167">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eastAsiaTheme="minorEastAsia"/>
                <w:sz w:val="21"/>
                <w:szCs w:val="21"/>
              </w:rPr>
            </w:pPr>
            <w:r>
              <w:rPr>
                <w:rFonts w:hint="eastAsia" w:eastAsiaTheme="minorEastAsia"/>
                <w:sz w:val="21"/>
                <w:szCs w:val="21"/>
              </w:rPr>
              <w:t xml:space="preserve"> 截止2024年6月，易态已申请专利1036项，主编和参编了国家和行业标准20项，27项自主原创的技术已进入国家工信部、科技部、发改委、环保部等先进技术推荐目录，承担了8项国家重大项目以及40余项省市级项目。公司拥有四川省特种金属膜制备及应用技术工程研究中心、四川省企业技术中心、四川省博士后创新实践基地等多个开放技术创新平台，现有研发人员100余人，行业高级职称技术人才、博士团队近40人。公司在研发能力、技术创新能力、知识产权保护能力、绿色工艺及解决方案提供能力、减碳及节能环保能力五个方面已步入国家第一方阵。</w:t>
            </w:r>
          </w:p>
        </w:tc>
      </w:tr>
      <w:tr w14:paraId="712E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1271" w:type="dxa"/>
            <w:shd w:val="clear" w:color="auto" w:fill="E7E6E6" w:themeFill="background2"/>
            <w:noWrap/>
            <w:vAlign w:val="center"/>
          </w:tcPr>
          <w:p w14:paraId="3C3B336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13BD134A">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1、薪酬待遇：25-30万元/年（税前）</w:t>
            </w:r>
          </w:p>
          <w:p w14:paraId="261606EA">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2、住房政策：可以享受150平米人才公寓市场价格15%的优惠</w:t>
            </w:r>
          </w:p>
          <w:p w14:paraId="5A1115D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3、安家补贴+项目补贴</w:t>
            </w:r>
          </w:p>
          <w:p w14:paraId="4723C31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4、人才福利配套：</w:t>
            </w:r>
          </w:p>
          <w:p w14:paraId="15182329">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人才培养：省级、市级人才培养（参与省、市级研发项目专题会议、专项讲座等）</w:t>
            </w:r>
          </w:p>
          <w:p w14:paraId="5C6BF732">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上市：作为公司核心骨干享有公司员工持股福利</w:t>
            </w:r>
          </w:p>
        </w:tc>
      </w:tr>
      <w:tr w14:paraId="0D01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shd w:val="clear" w:color="auto" w:fill="E7E6E6" w:themeFill="background2"/>
            <w:noWrap/>
            <w:vAlign w:val="center"/>
          </w:tcPr>
          <w:p w14:paraId="0C61AAF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5EA9B59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6DCCAD1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1B0C21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154B403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771" w:type="dxa"/>
            <w:gridSpan w:val="2"/>
            <w:shd w:val="clear" w:color="auto" w:fill="E7E6E6" w:themeFill="background2"/>
            <w:vAlign w:val="center"/>
          </w:tcPr>
          <w:p w14:paraId="71E0A35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8C7D4D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1" w:type="dxa"/>
            <w:shd w:val="clear" w:color="auto" w:fill="E7E6E6" w:themeFill="background2"/>
            <w:vAlign w:val="center"/>
          </w:tcPr>
          <w:p w14:paraId="5FC5B25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CD086C3">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59" w:type="dxa"/>
            <w:shd w:val="clear" w:color="auto" w:fill="E7E6E6" w:themeFill="background2"/>
            <w:vAlign w:val="center"/>
          </w:tcPr>
          <w:p w14:paraId="25EED0B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C8AA87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736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B7B2E0C">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研发项目博士</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B7B8BA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1-2</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0A2820E">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7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87423E0">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化学工程与技术、化工工艺与工程</w:t>
            </w:r>
          </w:p>
        </w:tc>
        <w:tc>
          <w:tcPr>
            <w:tcW w:w="1541" w:type="dxa"/>
            <w:tcBorders>
              <w:top w:val="single" w:color="auto" w:sz="4" w:space="0"/>
              <w:left w:val="single" w:color="auto" w:sz="4" w:space="0"/>
              <w:right w:val="single" w:color="auto" w:sz="4" w:space="0"/>
              <w:tl2br w:val="nil"/>
              <w:tr2bl w:val="nil"/>
            </w:tcBorders>
            <w:shd w:val="clear" w:color="auto" w:fill="FFFFFF"/>
            <w:vAlign w:val="center"/>
          </w:tcPr>
          <w:p w14:paraId="6398F6B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25-30万/年（税前）</w:t>
            </w:r>
          </w:p>
        </w:tc>
        <w:tc>
          <w:tcPr>
            <w:tcW w:w="195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6BA74B87">
            <w:pPr>
              <w:keepNext w:val="0"/>
              <w:keepLines w:val="0"/>
              <w:pageBreakBefore w:val="0"/>
              <w:widowControl w:val="0"/>
              <w:kinsoku/>
              <w:wordWrap/>
              <w:overflowPunct/>
              <w:topLinePunct w:val="0"/>
              <w:autoSpaceDE/>
              <w:autoSpaceDN/>
              <w:bidi w:val="0"/>
              <w:adjustRightInd w:val="0"/>
              <w:snapToGrid w:val="0"/>
              <w:spacing w:line="240" w:lineRule="atLeast"/>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1、985/211；</w:t>
            </w:r>
          </w:p>
          <w:p w14:paraId="3A88F149">
            <w:pPr>
              <w:keepNext w:val="0"/>
              <w:keepLines w:val="0"/>
              <w:pageBreakBefore w:val="0"/>
              <w:widowControl w:val="0"/>
              <w:kinsoku/>
              <w:wordWrap/>
              <w:overflowPunct/>
              <w:topLinePunct w:val="0"/>
              <w:autoSpaceDE/>
              <w:autoSpaceDN/>
              <w:bidi w:val="0"/>
              <w:adjustRightInd w:val="0"/>
              <w:snapToGrid w:val="0"/>
              <w:spacing w:line="240" w:lineRule="atLeast"/>
              <w:ind w:firstLine="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2、身心健康，品学兼优，具有较强的科研能力和创新研究潜力；</w:t>
            </w:r>
          </w:p>
          <w:p w14:paraId="47E38409">
            <w:pPr>
              <w:keepNext w:val="0"/>
              <w:keepLines w:val="0"/>
              <w:pageBreakBefore w:val="0"/>
              <w:widowControl w:val="0"/>
              <w:kinsoku/>
              <w:wordWrap/>
              <w:overflowPunct/>
              <w:topLinePunct w:val="0"/>
              <w:autoSpaceDE/>
              <w:autoSpaceDN/>
              <w:bidi w:val="0"/>
              <w:adjustRightInd w:val="0"/>
              <w:snapToGrid w:val="0"/>
              <w:spacing w:line="240" w:lineRule="atLeast"/>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年龄 35 周岁以下，获得博士学位一般不超过3年；</w:t>
            </w:r>
          </w:p>
          <w:p w14:paraId="45B9831A">
            <w:pPr>
              <w:keepNext w:val="0"/>
              <w:keepLines w:val="0"/>
              <w:pageBreakBefore w:val="0"/>
              <w:widowControl w:val="0"/>
              <w:kinsoku/>
              <w:wordWrap/>
              <w:overflowPunct/>
              <w:topLinePunct w:val="0"/>
              <w:autoSpaceDE/>
              <w:autoSpaceDN/>
              <w:bidi w:val="0"/>
              <w:adjustRightInd w:val="0"/>
              <w:snapToGrid w:val="0"/>
              <w:spacing w:line="240" w:lineRule="atLeast"/>
              <w:ind w:firstLine="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4、符合国家及学校招收博士后研究人员的其他要求。</w:t>
            </w:r>
          </w:p>
        </w:tc>
      </w:tr>
      <w:tr w14:paraId="3AC8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5D4AD27">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研发项目博士</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9330B6">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1AC199F">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7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2FC4C79">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金属材料、粉末冶金</w:t>
            </w:r>
          </w:p>
        </w:tc>
        <w:tc>
          <w:tcPr>
            <w:tcW w:w="1541" w:type="dxa"/>
            <w:tcBorders>
              <w:left w:val="single" w:color="auto" w:sz="4" w:space="0"/>
              <w:right w:val="single" w:color="auto" w:sz="4" w:space="0"/>
              <w:tl2br w:val="nil"/>
              <w:tr2bl w:val="nil"/>
            </w:tcBorders>
            <w:shd w:val="clear" w:color="auto" w:fill="FFFFFF"/>
            <w:vAlign w:val="center"/>
          </w:tcPr>
          <w:p w14:paraId="13FDE732">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25-30万/年（税前）</w:t>
            </w:r>
          </w:p>
        </w:tc>
        <w:tc>
          <w:tcPr>
            <w:tcW w:w="1959" w:type="dxa"/>
            <w:vMerge w:val="continue"/>
            <w:tcBorders>
              <w:left w:val="single" w:color="auto" w:sz="4" w:space="0"/>
              <w:right w:val="single" w:color="auto" w:sz="4" w:space="0"/>
              <w:tl2br w:val="nil"/>
              <w:tr2bl w:val="nil"/>
            </w:tcBorders>
            <w:shd w:val="clear" w:color="auto" w:fill="FFFFFF"/>
            <w:vAlign w:val="center"/>
          </w:tcPr>
          <w:p w14:paraId="3312FD5D">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4C3AA00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382AC35">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15" w:name="_Toc3141"/>
      <w:bookmarkStart w:id="716" w:name="_Toc32178"/>
      <w:bookmarkStart w:id="717" w:name="_Toc21095"/>
      <w:bookmarkStart w:id="718" w:name="_Toc17693"/>
      <w:bookmarkStart w:id="719" w:name="_Toc12903"/>
      <w:r>
        <w:rPr>
          <w:rFonts w:hint="eastAsia" w:ascii="Times New Roman" w:hAnsi="Times New Roman" w:eastAsia="方正小标宋简体" w:cs="Times New Roman"/>
          <w:sz w:val="44"/>
          <w:szCs w:val="44"/>
          <w:highlight w:val="none"/>
        </w:rPr>
        <w:t>成都职业技术学院</w:t>
      </w:r>
      <w:bookmarkEnd w:id="715"/>
      <w:bookmarkEnd w:id="716"/>
      <w:bookmarkEnd w:id="717"/>
      <w:bookmarkEnd w:id="718"/>
      <w:bookmarkEnd w:id="719"/>
    </w:p>
    <w:p w14:paraId="3AE21F9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74"/>
        <w:gridCol w:w="430"/>
        <w:gridCol w:w="663"/>
        <w:gridCol w:w="886"/>
        <w:gridCol w:w="982"/>
        <w:gridCol w:w="640"/>
        <w:gridCol w:w="834"/>
        <w:gridCol w:w="750"/>
        <w:gridCol w:w="2191"/>
      </w:tblGrid>
      <w:tr w14:paraId="7E24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8296A5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6E38B6C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高等院校</w:t>
            </w:r>
          </w:p>
        </w:tc>
        <w:tc>
          <w:tcPr>
            <w:tcW w:w="1513" w:type="dxa"/>
            <w:gridSpan w:val="2"/>
            <w:shd w:val="clear" w:color="auto" w:fill="E7E6E6" w:themeFill="background2"/>
            <w:noWrap/>
            <w:vAlign w:val="center"/>
          </w:tcPr>
          <w:p w14:paraId="3A1B5D4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3D0EBD3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1DF9EFF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5183003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264B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9CE9C3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61821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四川省成都市高新区益州大道北段天益街北段83号</w:t>
            </w:r>
          </w:p>
        </w:tc>
      </w:tr>
      <w:tr w14:paraId="5311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1271" w:type="dxa"/>
            <w:shd w:val="clear" w:color="auto" w:fill="E7E6E6" w:themeFill="background2"/>
            <w:noWrap/>
            <w:vAlign w:val="center"/>
          </w:tcPr>
          <w:p w14:paraId="1C9E37D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3CE4542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成都职业技术学院是成都市人民政府举办的全日制普通高等学校，是国家“双高计划”建设学校、国家（示范）骨干高职院校、国家优质高等职业院校、全国深化创新创业教育改革示范校、四川省高水平高等职业学校A档建设单位。成都职业技术学院博士后创新实践基地于2011年7月经四川省人力资源和社会保障厅批准设立。基地以成都职业技术学院为载体，与具有博士后流动站的电子科技大学、四川大学等联合招收和培养博士后研究人员，提升学院和地方产业的产学研协调创新能力。</w:t>
            </w:r>
          </w:p>
        </w:tc>
      </w:tr>
      <w:tr w14:paraId="062E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271" w:type="dxa"/>
            <w:shd w:val="clear" w:color="auto" w:fill="E7E6E6" w:themeFill="background2"/>
            <w:noWrap/>
            <w:vAlign w:val="center"/>
          </w:tcPr>
          <w:p w14:paraId="630F7C6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2ACE57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1.享受省市区博士后管理办法的相关待遇，经评定符合条件获得的补贴资金，全额发放给博士后人员。</w:t>
            </w:r>
          </w:p>
          <w:p w14:paraId="643A1E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2.提供研发经费、配备研发助理、研发软硬件保障。</w:t>
            </w:r>
          </w:p>
          <w:p w14:paraId="6A1A70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3.按国家有关规定缴纳养老保险及医疗保险。</w:t>
            </w:r>
          </w:p>
        </w:tc>
      </w:tr>
      <w:tr w14:paraId="0F7C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71" w:type="dxa"/>
            <w:shd w:val="clear" w:color="auto" w:fill="E7E6E6" w:themeFill="background2"/>
            <w:noWrap/>
            <w:vAlign w:val="center"/>
          </w:tcPr>
          <w:p w14:paraId="5E971B2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49" w:type="dxa"/>
            <w:shd w:val="clear" w:color="auto" w:fill="E7E6E6" w:themeFill="background2"/>
            <w:vAlign w:val="center"/>
          </w:tcPr>
          <w:p w14:paraId="1DF62EA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A7157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gridSpan w:val="2"/>
            <w:shd w:val="clear" w:color="auto" w:fill="E7E6E6" w:themeFill="background2"/>
            <w:vAlign w:val="center"/>
          </w:tcPr>
          <w:p w14:paraId="71F353E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1A50823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824" w:type="dxa"/>
            <w:gridSpan w:val="2"/>
            <w:shd w:val="clear" w:color="auto" w:fill="E7E6E6" w:themeFill="background2"/>
            <w:vAlign w:val="center"/>
          </w:tcPr>
          <w:p w14:paraId="1E79EC1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216DA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40" w:type="dxa"/>
            <w:gridSpan w:val="2"/>
            <w:shd w:val="clear" w:color="auto" w:fill="E7E6E6" w:themeFill="background2"/>
            <w:vAlign w:val="center"/>
          </w:tcPr>
          <w:p w14:paraId="140E50A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27DA878">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872" w:type="dxa"/>
            <w:gridSpan w:val="2"/>
            <w:shd w:val="clear" w:color="auto" w:fill="E7E6E6" w:themeFill="background2"/>
            <w:vAlign w:val="center"/>
          </w:tcPr>
          <w:p w14:paraId="7769DA0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C0A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1" w:type="dxa"/>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960B66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热电材料与器件研究</w:t>
            </w:r>
          </w:p>
        </w:tc>
        <w:tc>
          <w:tcPr>
            <w:tcW w:w="104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3FA29C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06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51DF33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82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6E4F0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材料科学与工程、物理学、计算机科学等</w:t>
            </w:r>
          </w:p>
        </w:tc>
        <w:tc>
          <w:tcPr>
            <w:tcW w:w="14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1D5AF3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2872" w:type="dxa"/>
            <w:gridSpan w:val="2"/>
            <w:tcBorders>
              <w:top w:val="single" w:color="auto" w:sz="4" w:space="0"/>
              <w:left w:val="single" w:color="auto" w:sz="4" w:space="0"/>
              <w:right w:val="single" w:color="auto" w:sz="4" w:space="0"/>
              <w:tl2br w:val="nil"/>
              <w:tr2bl w:val="nil"/>
            </w:tcBorders>
            <w:shd w:val="clear" w:color="auto" w:fill="FFFFFF"/>
            <w:vAlign w:val="center"/>
          </w:tcPr>
          <w:p w14:paraId="4E91AA3D">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研究方向要求：</w:t>
            </w:r>
          </w:p>
          <w:p w14:paraId="0A8A29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1、热电材料的设计与制备、工艺研究等；</w:t>
            </w:r>
          </w:p>
          <w:p w14:paraId="5209DF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2、器件设计、微细器件加工等；</w:t>
            </w:r>
          </w:p>
          <w:p w14:paraId="7B1E3A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3、热电产品开发、整机设计、产品测试、可靠性分析等；</w:t>
            </w:r>
          </w:p>
          <w:p w14:paraId="78151E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4、半导体制冷技术、热管理技术、散热技术等；</w:t>
            </w:r>
          </w:p>
          <w:p w14:paraId="5189DF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5、半导体发电技术、温差发电技术；</w:t>
            </w:r>
          </w:p>
          <w:p w14:paraId="1DFFA3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6、新能源与新材料：材料设计与增材制造技术、新能源材料与器件；</w:t>
            </w:r>
          </w:p>
          <w:p w14:paraId="6E2D49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7、人工智能：机器学习、自然语言处理；</w:t>
            </w:r>
          </w:p>
          <w:p w14:paraId="582AC0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8、新一代信息技术：大数据与云计算、信息技术融合创新、元宇宙与虚拟仿真关键技术</w:t>
            </w:r>
          </w:p>
        </w:tc>
      </w:tr>
    </w:tbl>
    <w:p w14:paraId="6C4E770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548A97B">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20" w:name="_Toc1489"/>
      <w:bookmarkStart w:id="721" w:name="_Toc7859"/>
      <w:bookmarkStart w:id="722" w:name="_Toc25217"/>
      <w:bookmarkStart w:id="723" w:name="_Toc18228"/>
      <w:bookmarkStart w:id="724" w:name="_Toc6722"/>
      <w:bookmarkStart w:id="725" w:name="_Toc10185"/>
      <w:r>
        <w:rPr>
          <w:rFonts w:hint="eastAsia" w:ascii="Times New Roman" w:hAnsi="Times New Roman" w:eastAsia="方正小标宋简体" w:cs="Times New Roman"/>
          <w:sz w:val="44"/>
          <w:szCs w:val="44"/>
          <w:highlight w:val="none"/>
        </w:rPr>
        <w:t>重庆大学锂电及新材料遂宁研究院</w:t>
      </w:r>
      <w:bookmarkEnd w:id="720"/>
      <w:bookmarkEnd w:id="721"/>
      <w:bookmarkEnd w:id="722"/>
      <w:bookmarkEnd w:id="723"/>
      <w:bookmarkEnd w:id="724"/>
    </w:p>
    <w:p w14:paraId="0C30B889">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4968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AD27CD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4A0B9AB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其他</w:t>
            </w:r>
          </w:p>
        </w:tc>
        <w:tc>
          <w:tcPr>
            <w:tcW w:w="1513" w:type="dxa"/>
            <w:gridSpan w:val="2"/>
            <w:shd w:val="clear" w:color="auto" w:fill="E7E6E6" w:themeFill="background2"/>
            <w:noWrap/>
            <w:vAlign w:val="center"/>
          </w:tcPr>
          <w:p w14:paraId="76D1B9F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387C26E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5153731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60BB39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遂宁</w:t>
            </w:r>
          </w:p>
        </w:tc>
      </w:tr>
      <w:tr w14:paraId="3AE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44F65D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7530B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四川省遂宁市物流大道鹭栖湖B区商业1栋2单元一层</w:t>
            </w:r>
          </w:p>
        </w:tc>
      </w:tr>
      <w:tr w14:paraId="7475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3CF0069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7F8A612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为响应国家“双碳”目标，建设成渝双城经济圈，打造遂宁“世界锂都”，2021年3月，遂宁市人民政府出资与重庆大学共同筹建“重庆大学锂电及新材料遂宁研究院”（以下简称“研究院”）。作为川渝两地科技合作的示范性研究机构，研究院技术上依托重庆大学新能源材料化学化工团队，该团队在锂离子电池安全性、高比能电池、绿氢能获取与利用、能量转化与储存等领域处于行业领先地位，并拥有齐整的科研人才队伍，具有持续的创新能力。研究院目前已经初步建设完成，将为川渝地区锂电及新材料产业创新发展提供可持续的高质量技术支撑。</w:t>
            </w:r>
          </w:p>
        </w:tc>
      </w:tr>
      <w:tr w14:paraId="07D7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1" w:type="dxa"/>
            <w:shd w:val="clear" w:color="auto" w:fill="E7E6E6" w:themeFill="background2"/>
            <w:noWrap/>
            <w:vAlign w:val="center"/>
          </w:tcPr>
          <w:p w14:paraId="007D267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276BBA2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研究院根据企业需求设立开放基金，由企业出题，院内张榜发布研究课题，由博士后人才揭榜，经过研究院同行评审发布课题进行基金支持（3-10万元/项）。研究院提供人才公寓。参加国内国际学术会议差旅全程报销。</w:t>
            </w:r>
          </w:p>
        </w:tc>
      </w:tr>
      <w:tr w14:paraId="7344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447410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B66E9E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86D279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020EF39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F072CA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3473F64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10A73B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4D6481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CCF48E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B61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213B9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高性能锂硫电池正极材料研究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0C875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545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1C80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化学工程与技术</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3845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w:t>
            </w:r>
          </w:p>
        </w:tc>
        <w:tc>
          <w:tcPr>
            <w:tcW w:w="19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0D785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本硕博985及以上</w:t>
            </w:r>
          </w:p>
        </w:tc>
      </w:tr>
      <w:tr w14:paraId="34CF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6D98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高性能锂硫电池锂金属负极材料研究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7EC5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18E5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A3D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化学工程与技术</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A49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10</w:t>
            </w:r>
          </w:p>
        </w:tc>
        <w:tc>
          <w:tcPr>
            <w:tcW w:w="1911" w:type="dxa"/>
            <w:vMerge w:val="continue"/>
            <w:tcBorders>
              <w:left w:val="single" w:color="auto" w:sz="4" w:space="0"/>
              <w:right w:val="single" w:color="auto" w:sz="4" w:space="0"/>
              <w:tl2br w:val="nil"/>
              <w:tr2bl w:val="nil"/>
            </w:tcBorders>
            <w:shd w:val="clear" w:color="auto" w:fill="FFFFFF"/>
            <w:vAlign w:val="center"/>
          </w:tcPr>
          <w:p w14:paraId="5661B0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5D4719E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1D9AD1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6B1F4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680910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8BB960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26" w:name="_Toc32117"/>
      <w:bookmarkStart w:id="727" w:name="_Toc23295"/>
      <w:bookmarkStart w:id="728" w:name="_Toc1371"/>
      <w:bookmarkStart w:id="729" w:name="_Toc6479"/>
      <w:r>
        <w:rPr>
          <w:rFonts w:hint="eastAsia" w:ascii="Times New Roman" w:hAnsi="Times New Roman" w:eastAsia="方正小标宋简体" w:cs="Times New Roman"/>
          <w:sz w:val="44"/>
          <w:szCs w:val="44"/>
          <w:highlight w:val="none"/>
        </w:rPr>
        <w:t>达州市农业科学研究院</w:t>
      </w:r>
      <w:bookmarkEnd w:id="725"/>
      <w:bookmarkEnd w:id="726"/>
      <w:bookmarkEnd w:id="727"/>
      <w:bookmarkEnd w:id="728"/>
      <w:bookmarkEnd w:id="729"/>
    </w:p>
    <w:p w14:paraId="6455D78F">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37CA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7B8AD2A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4CD3421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784" w:type="dxa"/>
            <w:gridSpan w:val="2"/>
            <w:shd w:val="clear" w:color="auto" w:fill="E7E6E6" w:themeFill="background2"/>
            <w:noWrap/>
            <w:vAlign w:val="center"/>
          </w:tcPr>
          <w:p w14:paraId="565D642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2699CA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0936201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234D11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达州</w:t>
            </w:r>
          </w:p>
        </w:tc>
      </w:tr>
      <w:tr w14:paraId="14D9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1E7CC8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233A6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四川省达州市通川区职教园区（犀牛大道与达宣快速通道交叉路口东北侧）</w:t>
            </w:r>
          </w:p>
        </w:tc>
      </w:tr>
      <w:tr w14:paraId="60FA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124" w:hRule="atLeast"/>
          <w:jc w:val="center"/>
        </w:trPr>
        <w:tc>
          <w:tcPr>
            <w:tcW w:w="1271" w:type="dxa"/>
            <w:shd w:val="clear" w:color="auto" w:fill="E7E6E6" w:themeFill="background2"/>
            <w:noWrap/>
            <w:vAlign w:val="center"/>
          </w:tcPr>
          <w:p w14:paraId="410625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04A45E8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达州市农业科学研究院是经达州市人民政府批准成立的公益一类正县级事业单位，现在职人员101人，共有5个职能科室及8个研究所。主要从事的工作为承担粮油作物、麻类作物、经济作物（蔬菜、食用菌等）、中药材、畜禽、水产、饲草的良种选育、引进、改良及配套种养新技术研究与示范；种质资源保护与应用研究；农业信息化与农业机械应用研究；农业生态环境安全及修复研究与应用；农产品储藏、加工、保鲜技术研究与应用；农业社会化服务与组织创新研究应用；生物技术应用研究；农业创新成果示范展示，农业新技术、新技能培训指导。</w:t>
            </w:r>
          </w:p>
        </w:tc>
      </w:tr>
      <w:tr w14:paraId="6F32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583" w:hRule="atLeast"/>
          <w:jc w:val="center"/>
        </w:trPr>
        <w:tc>
          <w:tcPr>
            <w:tcW w:w="1271" w:type="dxa"/>
            <w:shd w:val="clear" w:color="auto" w:fill="E7E6E6" w:themeFill="background2"/>
            <w:noWrap/>
            <w:vAlign w:val="center"/>
          </w:tcPr>
          <w:p w14:paraId="7751C0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608DEA6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1、福利待遇：参照本单位同等条件人员执行。</w:t>
            </w:r>
          </w:p>
          <w:p w14:paraId="3B1593F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2、科研经费：给与博士后专项科研经费10万元以上（用于添置研究工作所需的仪器设备、实验材料，学术交流活动）。</w:t>
            </w:r>
          </w:p>
          <w:p w14:paraId="198A20D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3、科研成果项目激励绩效按比例进行分配。</w:t>
            </w:r>
          </w:p>
          <w:p w14:paraId="4E9D625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4、职称晋升可享受《关于加快博士后工作创新发展的九条措施》（川人社办发〔2022〕2号）政策。</w:t>
            </w:r>
          </w:p>
          <w:p w14:paraId="107CB48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5、按照达州市出台的高层次人才医疗优惠政策，享受就医绿色通道、健康体检、特约门诊等就诊服务。</w:t>
            </w:r>
          </w:p>
          <w:p w14:paraId="1E27F70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6、享受达州市人才公寓入住。</w:t>
            </w:r>
          </w:p>
          <w:p w14:paraId="39E728A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7、享受达州市高层次人才子女入学政策，在幼儿园到普通高中期间，自行选择一个优待阶段，享受一次入学优待。</w:t>
            </w:r>
          </w:p>
        </w:tc>
      </w:tr>
      <w:tr w14:paraId="3921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67B8051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42CC6E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0A3A802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3BBB5C1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3AA050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5E5F056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A6F124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2E8CF83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4AE91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C4F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ABEA152">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优质高产多用途苎麻新品种（材料）选育与应用研究</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68047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7FA8A4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026BDA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作物学、农业资源与环境、生态学</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55761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12万/年</w:t>
            </w:r>
          </w:p>
        </w:tc>
        <w:tc>
          <w:tcPr>
            <w:tcW w:w="177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A8879E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111A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7FD344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突破性薯类育种材料和方法创新及新品种选育</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CF4DFE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D1CCE7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D8FB21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作物学、农业资源与环境、植物保护、生态学</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66FF35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12万/年</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4E4CB96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bl>
    <w:p w14:paraId="7BFCD25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9D4EF8E">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30" w:name="_Toc520"/>
      <w:bookmarkStart w:id="731" w:name="_Toc10021"/>
      <w:bookmarkStart w:id="732" w:name="_Toc13561"/>
      <w:bookmarkStart w:id="733" w:name="_Toc29845"/>
      <w:bookmarkStart w:id="734" w:name="_Toc8186"/>
      <w:r>
        <w:rPr>
          <w:rFonts w:hint="eastAsia" w:ascii="Times New Roman" w:hAnsi="Times New Roman" w:eastAsia="方正小标宋简体" w:cs="Times New Roman"/>
          <w:sz w:val="44"/>
          <w:szCs w:val="44"/>
          <w:highlight w:val="none"/>
        </w:rPr>
        <w:t>德阳市人民医院</w:t>
      </w:r>
      <w:bookmarkEnd w:id="730"/>
      <w:bookmarkEnd w:id="731"/>
      <w:bookmarkEnd w:id="732"/>
      <w:bookmarkEnd w:id="733"/>
      <w:bookmarkEnd w:id="734"/>
    </w:p>
    <w:p w14:paraId="51E2679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08C4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BEEA2D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7B48096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医疗机构</w:t>
            </w:r>
          </w:p>
        </w:tc>
        <w:tc>
          <w:tcPr>
            <w:tcW w:w="1513" w:type="dxa"/>
            <w:gridSpan w:val="2"/>
            <w:shd w:val="clear" w:color="auto" w:fill="E7E6E6" w:themeFill="background2"/>
            <w:noWrap/>
            <w:vAlign w:val="center"/>
          </w:tcPr>
          <w:p w14:paraId="28C2C28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78BFAD4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3601E29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5CE55E6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德阳</w:t>
            </w:r>
          </w:p>
        </w:tc>
      </w:tr>
      <w:tr w14:paraId="0121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F332B9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78180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四川省德阳市泰山北路北路一段173号</w:t>
            </w:r>
          </w:p>
        </w:tc>
      </w:tr>
      <w:tr w14:paraId="32D9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5DF46C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3D84940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德阳市人民医院始建于1943年，入选全国临床路径试点医院，先后荣获“全国抗震救灾工人先锋号”、“全国卫生系统先进集体”，“四川省群众最满意的医疗机构”等称号，蝉联三届“全国改革创新奖”，连续四年被评为全国“改善医疗服务示范单位”；在三级公立医院“国考”中，连续两年蝉联A+，位列全省第四。</w:t>
            </w:r>
          </w:p>
          <w:p w14:paraId="6C31CB8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在院区布局上，医院于2023年3月27日起，实施一院三区的运行管理模式，直属三个医疗院区，分别是德阳市人民医院旌湖院区、旌南院区和德阳市人民医院妇女儿童医院。目前，正大力推进建设的旌北院区将于2024年底投入使用。届时将形成一院四区的多院区运行模式，打造平台化医疗，实行大科室管理，资源共享，充分体现舒适高效的现代医院特色。</w:t>
            </w:r>
          </w:p>
        </w:tc>
      </w:tr>
      <w:tr w14:paraId="25CC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271" w:type="dxa"/>
            <w:shd w:val="clear" w:color="auto" w:fill="E7E6E6" w:themeFill="background2"/>
            <w:noWrap/>
            <w:vAlign w:val="center"/>
          </w:tcPr>
          <w:p w14:paraId="7C03966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7BBBE6A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参照 《德阳市人民医院博士后创新实践基地管理办法(试行)》执行；搭建医院内部的科研合作平台，鼓励博士后研究人员与医院其他科室、实验室进行跨学科合作，共同推动科研创新；为省内且在德阳市无自有住房的博士研究人员，医院提供人才公寓周转住房，使用时间不超过 3 年；定期组织科研交流会议和学术研讨会，邀请国内外知名专家进行学术交流和合作，为博士后研究人员提供学术前沿信息和合作机会。</w:t>
            </w:r>
          </w:p>
        </w:tc>
      </w:tr>
      <w:tr w14:paraId="739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05D361C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3A3290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59EBDAA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0B6C6FF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43E1EE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69EE29E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62EA5B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7D97B3D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70D064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9A6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970D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神经领域或者消化领域相关项目</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B3B2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9E86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A640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
              </w:rPr>
              <w:t>神经内科或者消化内科</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D025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1911" w:type="dxa"/>
            <w:tcBorders>
              <w:top w:val="single" w:color="auto" w:sz="4" w:space="0"/>
              <w:left w:val="single" w:color="auto" w:sz="4" w:space="0"/>
              <w:right w:val="single" w:color="auto" w:sz="4" w:space="0"/>
              <w:tl2br w:val="nil"/>
              <w:tr2bl w:val="nil"/>
            </w:tcBorders>
            <w:shd w:val="clear" w:color="auto" w:fill="FFFFFF"/>
            <w:vAlign w:val="center"/>
          </w:tcPr>
          <w:p w14:paraId="42CC5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kern w:val="0"/>
                <w:sz w:val="21"/>
                <w:szCs w:val="21"/>
                <w:lang w:val="en-US" w:eastAsia="zh-CN" w:bidi="ar"/>
              </w:rPr>
              <w:t>世界双一流高校或者双一流建设学科博士优秀</w:t>
            </w:r>
            <w:r>
              <w:rPr>
                <w:rFonts w:hint="default" w:ascii="Times New Roman" w:hAnsi="Times New Roman" w:cs="Times New Roman" w:eastAsiaTheme="minorEastAsia"/>
                <w:sz w:val="21"/>
                <w:szCs w:val="21"/>
                <w:lang w:val="en-US" w:eastAsia="zh-CN"/>
              </w:rPr>
              <w:t xml:space="preserve">                                                                                                                                                                                                                       </w:t>
            </w:r>
          </w:p>
        </w:tc>
      </w:tr>
    </w:tbl>
    <w:p w14:paraId="08DFDA2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CBF41E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69D758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159870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7403DE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bookmarkStart w:id="1035" w:name="_GoBack"/>
      <w:bookmarkEnd w:id="1035"/>
    </w:p>
    <w:p w14:paraId="3531A8B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610ACC2">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35" w:name="_Toc30297"/>
      <w:bookmarkStart w:id="736" w:name="_Toc11043"/>
      <w:bookmarkStart w:id="737" w:name="_Toc28790"/>
      <w:bookmarkStart w:id="738" w:name="_Toc1204"/>
      <w:bookmarkStart w:id="739" w:name="_Toc4416"/>
      <w:r>
        <w:rPr>
          <w:rFonts w:hint="eastAsia" w:ascii="Times New Roman" w:hAnsi="Times New Roman" w:eastAsia="方正小标宋简体" w:cs="Times New Roman"/>
          <w:sz w:val="44"/>
          <w:szCs w:val="44"/>
          <w:highlight w:val="none"/>
        </w:rPr>
        <w:t>电子科技大学成都研究院</w:t>
      </w:r>
      <w:bookmarkEnd w:id="735"/>
      <w:bookmarkEnd w:id="736"/>
      <w:bookmarkEnd w:id="737"/>
      <w:bookmarkEnd w:id="738"/>
      <w:bookmarkEnd w:id="739"/>
    </w:p>
    <w:p w14:paraId="48DDE180">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71C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B6A6E6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679C48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784" w:type="dxa"/>
            <w:gridSpan w:val="2"/>
            <w:shd w:val="clear" w:color="auto" w:fill="E7E6E6" w:themeFill="background2"/>
            <w:noWrap/>
            <w:vAlign w:val="center"/>
          </w:tcPr>
          <w:p w14:paraId="2C898DC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7E5DF8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0EA2DD3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910357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3B79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7014681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44437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四川省成都市双流区华府大道四段999号</w:t>
            </w:r>
          </w:p>
        </w:tc>
      </w:tr>
      <w:tr w14:paraId="61B3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011" w:hRule="atLeast"/>
          <w:jc w:val="center"/>
        </w:trPr>
        <w:tc>
          <w:tcPr>
            <w:tcW w:w="1271" w:type="dxa"/>
            <w:shd w:val="clear" w:color="auto" w:fill="E7E6E6" w:themeFill="background2"/>
            <w:noWrap/>
            <w:vAlign w:val="center"/>
          </w:tcPr>
          <w:p w14:paraId="135BBE7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3CF55BB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电子科技大学成都研究院是由电子科技大学与双流区人民政府于2012年联合共建的企业化运行的新型事业单位。成都研究院依托电子科技大学在电子信息领域的技术及人才优势，以“充分发挥学校学科优势，赋能区域经济和社会发展；广泛整合各类外部资源，助推学校双一流大学建设”作为定位，围绕“技术创新储能、产业服务赋能、人才引培输能”积极开展“技术创新、产业服务、教育培训”三大业务板块，坚持以产业需求为导向开展共性技术和关键技术科技开发、以公共服务平台建设为抓手开展产业服务、以提升区域信息化素养为目标开展教育培训，积极推进校地合作，助力区域产业集聚和经济发展。</w:t>
            </w:r>
          </w:p>
        </w:tc>
      </w:tr>
      <w:tr w14:paraId="71A3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937" w:hRule="atLeast"/>
          <w:jc w:val="center"/>
        </w:trPr>
        <w:tc>
          <w:tcPr>
            <w:tcW w:w="1271" w:type="dxa"/>
            <w:shd w:val="clear" w:color="auto" w:fill="E7E6E6" w:themeFill="background2"/>
            <w:noWrap/>
            <w:vAlign w:val="center"/>
          </w:tcPr>
          <w:p w14:paraId="6FEED3A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1CF7F64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1.省、市、区博士后资助；</w:t>
            </w:r>
          </w:p>
          <w:p w14:paraId="19CA2A0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val="en-US" w:eastAsia="zh-CN"/>
              </w:rPr>
              <w:t>2.</w:t>
            </w:r>
            <w:r>
              <w:rPr>
                <w:rFonts w:hint="eastAsia" w:eastAsiaTheme="minorEastAsia"/>
                <w:sz w:val="21"/>
                <w:szCs w:val="21"/>
                <w:lang w:eastAsia="zh-CN"/>
              </w:rPr>
              <w:t>可结合企业需求，定制培养，联合招收。</w:t>
            </w:r>
          </w:p>
        </w:tc>
      </w:tr>
      <w:tr w14:paraId="2E6E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2935860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02599A8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57586C6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0D093A1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7265F7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1AC08F1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DE127A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40EF879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1470B0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014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0EC442B">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企业需求课题</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09EB56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BD6B0F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E5E87F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电子科学与技术、材料科学与工程、管理科学与工程</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5E2825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7FBBB41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应届毕业生或有企业就业意向职工</w:t>
            </w:r>
          </w:p>
        </w:tc>
      </w:tr>
    </w:tbl>
    <w:p w14:paraId="24E47E4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CF40F9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40" w:name="_Toc10701"/>
      <w:bookmarkStart w:id="741" w:name="_Toc1264"/>
      <w:bookmarkStart w:id="742" w:name="_Toc4"/>
      <w:bookmarkStart w:id="743" w:name="_Toc14692"/>
      <w:bookmarkStart w:id="744" w:name="_Toc16547"/>
      <w:r>
        <w:rPr>
          <w:rFonts w:hint="eastAsia" w:ascii="Times New Roman" w:hAnsi="Times New Roman" w:eastAsia="方正小标宋简体" w:cs="Times New Roman"/>
          <w:sz w:val="44"/>
          <w:szCs w:val="44"/>
          <w:highlight w:val="none"/>
        </w:rPr>
        <w:t>电子科技大学天府协同创新中心</w:t>
      </w:r>
      <w:bookmarkEnd w:id="740"/>
      <w:bookmarkEnd w:id="741"/>
      <w:bookmarkEnd w:id="742"/>
      <w:bookmarkEnd w:id="743"/>
      <w:bookmarkEnd w:id="744"/>
    </w:p>
    <w:p w14:paraId="5992662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5F68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353CF8D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283A3B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784" w:type="dxa"/>
            <w:gridSpan w:val="2"/>
            <w:shd w:val="clear" w:color="auto" w:fill="E7E6E6" w:themeFill="background2"/>
            <w:noWrap/>
            <w:vAlign w:val="center"/>
          </w:tcPr>
          <w:p w14:paraId="3D81A69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9E955C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3570097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A8E034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74D5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6DA64F1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16AFD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四川省成都市天府新区湖畔路北段715号天府数智谷1号楼</w:t>
            </w:r>
          </w:p>
        </w:tc>
      </w:tr>
      <w:tr w14:paraId="1F83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011" w:hRule="atLeast"/>
          <w:jc w:val="center"/>
        </w:trPr>
        <w:tc>
          <w:tcPr>
            <w:tcW w:w="1271" w:type="dxa"/>
            <w:shd w:val="clear" w:color="auto" w:fill="E7E6E6" w:themeFill="background2"/>
            <w:noWrap/>
            <w:vAlign w:val="center"/>
          </w:tcPr>
          <w:p w14:paraId="497352B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5F83752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电子科技大学天府协同创新中心成立于2016年，是电子科技大学与四川天府新区共建的企业化运营的独立法人的事业单位。经营范围包括：科技创新孵化、技术转移、人力资源服务、科技金融服务和创业培训、教育培训、计算机软硬件开发、对外承接合作开发、定向开发、技术咨询、专业服务等业务，参与科技示范性工程建设、孵化器建设及运营等。</w:t>
            </w:r>
          </w:p>
        </w:tc>
      </w:tr>
      <w:tr w14:paraId="2771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978" w:hRule="atLeast"/>
          <w:jc w:val="center"/>
        </w:trPr>
        <w:tc>
          <w:tcPr>
            <w:tcW w:w="1271" w:type="dxa"/>
            <w:shd w:val="clear" w:color="auto" w:fill="E7E6E6" w:themeFill="background2"/>
            <w:noWrap/>
            <w:vAlign w:val="center"/>
          </w:tcPr>
          <w:p w14:paraId="5041DC4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76DB602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1.省、市、区博士后资助；</w:t>
            </w:r>
          </w:p>
          <w:p w14:paraId="1C3FE0C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val="en-US" w:eastAsia="zh-CN"/>
              </w:rPr>
              <w:t>2.</w:t>
            </w:r>
            <w:r>
              <w:rPr>
                <w:rFonts w:hint="eastAsia" w:eastAsiaTheme="minorEastAsia"/>
                <w:sz w:val="21"/>
                <w:szCs w:val="21"/>
                <w:lang w:eastAsia="zh-CN"/>
              </w:rPr>
              <w:t>可结合企业需求，定制培养，联合招收。</w:t>
            </w:r>
          </w:p>
        </w:tc>
      </w:tr>
      <w:tr w14:paraId="0DD9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16BE26D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1B634F6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6F9151E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620069B6">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2F7C0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34E3843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A96D64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2C2B8A0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F6AFE7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7B1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38CDCF0">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企业需求课题</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EBC522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A9C556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A7DD79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电子科学与技术、材料科学与工程、管理科学与工程</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8C374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2B54099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应届毕业生或有企业就业意向职工</w:t>
            </w:r>
          </w:p>
        </w:tc>
      </w:tr>
    </w:tbl>
    <w:p w14:paraId="15F5287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886332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E4CC5E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97A125D">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745" w:name="_Toc25392"/>
      <w:bookmarkStart w:id="746" w:name="_Toc28454"/>
      <w:bookmarkStart w:id="747" w:name="_Toc31167"/>
      <w:bookmarkStart w:id="748" w:name="_Toc9406"/>
      <w:bookmarkStart w:id="749" w:name="_Toc526"/>
      <w:r>
        <w:rPr>
          <w:rFonts w:eastAsia="方正小标宋简体"/>
          <w:sz w:val="44"/>
          <w:szCs w:val="44"/>
          <w:highlight w:val="none"/>
        </w:rPr>
        <w:t>富临精工股份有限公司</w:t>
      </w:r>
      <w:bookmarkEnd w:id="745"/>
      <w:bookmarkEnd w:id="746"/>
      <w:bookmarkEnd w:id="747"/>
      <w:bookmarkEnd w:id="748"/>
      <w:bookmarkEnd w:id="749"/>
    </w:p>
    <w:p w14:paraId="251FD32C">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6"/>
        <w:gridCol w:w="1203"/>
        <w:gridCol w:w="1217"/>
        <w:gridCol w:w="463"/>
        <w:gridCol w:w="1173"/>
        <w:gridCol w:w="454"/>
        <w:gridCol w:w="979"/>
        <w:gridCol w:w="587"/>
        <w:gridCol w:w="2018"/>
      </w:tblGrid>
      <w:tr w14:paraId="5036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3FA2B2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61416EFB">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1" w:type="dxa"/>
            <w:gridSpan w:val="2"/>
            <w:shd w:val="clear" w:color="auto" w:fill="E7E6E6" w:themeFill="background2"/>
            <w:noWrap/>
            <w:vAlign w:val="center"/>
          </w:tcPr>
          <w:p w14:paraId="35EE49BD">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BF9F77C">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6289BA14">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7A6B91EA">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5D7D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DC99B3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6A5A83A0">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lang w:val="en-US" w:eastAsia="zh-CN"/>
              </w:rPr>
              <w:t>四川省</w:t>
            </w:r>
            <w:r>
              <w:rPr>
                <w:rFonts w:eastAsiaTheme="minorEastAsia"/>
                <w:sz w:val="21"/>
                <w:szCs w:val="21"/>
              </w:rPr>
              <w:t>绵阳市高端装备制造产业园</w:t>
            </w:r>
          </w:p>
        </w:tc>
      </w:tr>
      <w:tr w14:paraId="1ADB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9" w:hRule="atLeast"/>
          <w:jc w:val="center"/>
        </w:trPr>
        <w:tc>
          <w:tcPr>
            <w:tcW w:w="1271" w:type="dxa"/>
            <w:shd w:val="clear" w:color="auto" w:fill="E7E6E6" w:themeFill="background2"/>
            <w:noWrap/>
            <w:vAlign w:val="center"/>
          </w:tcPr>
          <w:p w14:paraId="6B9B33F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30558797">
            <w:pPr>
              <w:adjustRightInd w:val="0"/>
              <w:snapToGrid w:val="0"/>
              <w:spacing w:line="288" w:lineRule="auto"/>
              <w:ind w:firstLine="420" w:firstLineChars="200"/>
              <w:rPr>
                <w:rFonts w:eastAsiaTheme="minorEastAsia"/>
                <w:sz w:val="21"/>
                <w:szCs w:val="21"/>
              </w:rPr>
            </w:pPr>
            <w:r>
              <w:rPr>
                <w:rFonts w:eastAsiaTheme="minorEastAsia"/>
                <w:sz w:val="21"/>
                <w:szCs w:val="21"/>
              </w:rPr>
              <w:t>富临精工股份有限公司，成立于1997年，注册资本12.19亿元，公司总部位于绵阳市。证券简称：富临精工，证券代码：300432。为国家高新技术企业，拥有国家级企业技术中心、四川省新能源汽车驱动系统工程技术研究中心。</w:t>
            </w:r>
          </w:p>
          <w:p w14:paraId="53820B27">
            <w:pPr>
              <w:adjustRightInd w:val="0"/>
              <w:snapToGrid w:val="0"/>
              <w:spacing w:line="288" w:lineRule="auto"/>
              <w:ind w:firstLine="420" w:firstLineChars="200"/>
              <w:rPr>
                <w:rFonts w:eastAsiaTheme="minorEastAsia"/>
                <w:sz w:val="21"/>
                <w:szCs w:val="21"/>
              </w:rPr>
            </w:pPr>
            <w:r>
              <w:rPr>
                <w:rFonts w:eastAsiaTheme="minorEastAsia"/>
                <w:sz w:val="21"/>
                <w:szCs w:val="21"/>
              </w:rPr>
              <w:t>公司主营汽车发动机零部件、新能源汽车智能电控、新能源锂电正极材料磷酸铁锂的研发、生产和销售，是国内汽车发动机零部件细分领域的龙头企业和隐形冠军。精密液压零部件和电磁驱动零部件首先实现国产替代。</w:t>
            </w:r>
          </w:p>
          <w:p w14:paraId="004B87E9">
            <w:pPr>
              <w:adjustRightInd w:val="0"/>
              <w:snapToGrid w:val="0"/>
              <w:spacing w:line="288" w:lineRule="auto"/>
              <w:ind w:firstLine="420" w:firstLineChars="200"/>
              <w:rPr>
                <w:rFonts w:eastAsiaTheme="minorEastAsia"/>
                <w:sz w:val="21"/>
                <w:szCs w:val="21"/>
              </w:rPr>
            </w:pPr>
            <w:r>
              <w:rPr>
                <w:rFonts w:eastAsiaTheme="minorEastAsia"/>
                <w:sz w:val="21"/>
                <w:szCs w:val="21"/>
              </w:rPr>
              <w:t>公司布局新能源汽车智能电控系统，包括热管理系统、新能源汽车减速器、智能减震系统，主要代表产品为电子水泵、电子水阀、车载减速器、变速箱电磁阀和CDC电磁阀等。公司新能源锂电正极材料磷酸铁锂主要应用于新能源汽车动力电池。</w:t>
            </w:r>
          </w:p>
        </w:tc>
      </w:tr>
      <w:tr w14:paraId="056E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1271" w:type="dxa"/>
            <w:shd w:val="clear" w:color="auto" w:fill="E7E6E6" w:themeFill="background2"/>
            <w:noWrap/>
            <w:vAlign w:val="center"/>
          </w:tcPr>
          <w:p w14:paraId="7536A13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7A7FEE7D">
            <w:pPr>
              <w:adjustRightInd w:val="0"/>
              <w:snapToGrid w:val="0"/>
              <w:spacing w:line="288" w:lineRule="auto"/>
              <w:ind w:firstLine="420" w:firstLineChars="200"/>
              <w:rPr>
                <w:rFonts w:eastAsiaTheme="minorEastAsia"/>
                <w:sz w:val="21"/>
                <w:szCs w:val="21"/>
              </w:rPr>
            </w:pPr>
            <w:r>
              <w:rPr>
                <w:rFonts w:eastAsiaTheme="minorEastAsia"/>
                <w:sz w:val="21"/>
                <w:szCs w:val="21"/>
              </w:rPr>
              <w:t>1.工作：实践基地期间，年薪40万元起定。2.奖金：与本项目研发人员执行同等标准奖金。基于公司研究课题申请了专利、发表论文的，相关费用由公司承担。3.社保：按高级技术人员标准购买五险一金。4.差旅：按中层管理人员标准报销。5.项目资助：协助申请各级科研资助。6.政策补助：成为正式员工的，给予40万元起步安居补助。7.住房补助。8.生活补助。9.交通补贴。10.配偶就业。11.子女入学。12.酒店优惠。</w:t>
            </w:r>
          </w:p>
        </w:tc>
      </w:tr>
      <w:tr w14:paraId="2866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19" w:type="dxa"/>
            <w:gridSpan w:val="2"/>
            <w:shd w:val="clear" w:color="auto" w:fill="E7E6E6" w:themeFill="background2"/>
            <w:noWrap/>
            <w:vAlign w:val="center"/>
          </w:tcPr>
          <w:p w14:paraId="4D38CB5E">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6F5C4C3B">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14:paraId="595CD83D">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14:paraId="191B13D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925F6E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5AD9A38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6D8390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44" w:type="dxa"/>
            <w:gridSpan w:val="2"/>
            <w:shd w:val="clear" w:color="auto" w:fill="E7E6E6" w:themeFill="background2"/>
            <w:vAlign w:val="center"/>
          </w:tcPr>
          <w:p w14:paraId="3EB5678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5932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619" w:type="dxa"/>
            <w:gridSpan w:val="2"/>
            <w:shd w:val="clear" w:color="000000" w:fill="FFFFFF"/>
            <w:noWrap/>
            <w:vAlign w:val="center"/>
          </w:tcPr>
          <w:p w14:paraId="58A49D12">
            <w:pPr>
              <w:adjustRightInd w:val="0"/>
              <w:snapToGrid w:val="0"/>
              <w:spacing w:line="240" w:lineRule="auto"/>
              <w:ind w:firstLine="0"/>
              <w:rPr>
                <w:rFonts w:eastAsiaTheme="minorEastAsia"/>
                <w:sz w:val="21"/>
                <w:szCs w:val="21"/>
              </w:rPr>
            </w:pPr>
            <w:r>
              <w:rPr>
                <w:rFonts w:eastAsiaTheme="minorEastAsia"/>
                <w:sz w:val="21"/>
                <w:szCs w:val="21"/>
              </w:rPr>
              <w:t>高性能永磁同步电机控制技术研究</w:t>
            </w:r>
          </w:p>
        </w:tc>
        <w:tc>
          <w:tcPr>
            <w:tcW w:w="1175" w:type="dxa"/>
            <w:shd w:val="clear" w:color="000000" w:fill="FFFFFF"/>
            <w:vAlign w:val="center"/>
          </w:tcPr>
          <w:p w14:paraId="47CDDFD9">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000000" w:fill="FFFFFF"/>
            <w:vAlign w:val="center"/>
          </w:tcPr>
          <w:p w14:paraId="254EF845">
            <w:pPr>
              <w:adjustRightInd w:val="0"/>
              <w:snapToGrid w:val="0"/>
              <w:spacing w:line="240" w:lineRule="auto"/>
              <w:ind w:firstLine="0"/>
              <w:jc w:val="center"/>
              <w:rPr>
                <w:rFonts w:hint="default" w:eastAsiaTheme="minorEastAsia"/>
                <w:sz w:val="21"/>
                <w:szCs w:val="21"/>
                <w:lang w:val="en-US" w:eastAsia="zh-CN"/>
              </w:rPr>
            </w:pPr>
            <w:r>
              <w:rPr>
                <w:rFonts w:hint="eastAsia" w:eastAsiaTheme="minorEastAsia"/>
                <w:sz w:val="21"/>
                <w:szCs w:val="21"/>
                <w:lang w:val="en-US" w:eastAsia="zh-CN"/>
              </w:rPr>
              <w:t>BSH001</w:t>
            </w:r>
          </w:p>
        </w:tc>
        <w:tc>
          <w:tcPr>
            <w:tcW w:w="1598" w:type="dxa"/>
            <w:gridSpan w:val="2"/>
            <w:shd w:val="clear" w:color="000000" w:fill="FFFFFF"/>
            <w:vAlign w:val="center"/>
          </w:tcPr>
          <w:p w14:paraId="043B9EBD">
            <w:pPr>
              <w:adjustRightInd w:val="0"/>
              <w:snapToGrid w:val="0"/>
              <w:spacing w:line="240" w:lineRule="auto"/>
              <w:ind w:firstLine="0"/>
              <w:jc w:val="center"/>
              <w:rPr>
                <w:rFonts w:eastAsiaTheme="minorEastAsia"/>
                <w:sz w:val="21"/>
                <w:szCs w:val="21"/>
              </w:rPr>
            </w:pPr>
            <w:r>
              <w:rPr>
                <w:rFonts w:eastAsiaTheme="minorEastAsia"/>
                <w:sz w:val="21"/>
                <w:szCs w:val="21"/>
              </w:rPr>
              <w:t>机械、电气、航空航天、自动化</w:t>
            </w:r>
          </w:p>
        </w:tc>
        <w:tc>
          <w:tcPr>
            <w:tcW w:w="1399" w:type="dxa"/>
            <w:gridSpan w:val="2"/>
            <w:shd w:val="clear" w:color="000000" w:fill="FFFFFF"/>
            <w:vAlign w:val="center"/>
          </w:tcPr>
          <w:p w14:paraId="04CA826E">
            <w:pPr>
              <w:adjustRightInd w:val="0"/>
              <w:snapToGrid w:val="0"/>
              <w:spacing w:line="240" w:lineRule="auto"/>
              <w:ind w:firstLine="0"/>
              <w:jc w:val="center"/>
              <w:rPr>
                <w:rFonts w:eastAsiaTheme="minorEastAsia"/>
                <w:sz w:val="21"/>
                <w:szCs w:val="21"/>
              </w:rPr>
            </w:pPr>
            <w:r>
              <w:rPr>
                <w:rFonts w:eastAsiaTheme="minorEastAsia"/>
                <w:sz w:val="21"/>
                <w:szCs w:val="21"/>
              </w:rPr>
              <w:t>500</w:t>
            </w:r>
          </w:p>
        </w:tc>
        <w:tc>
          <w:tcPr>
            <w:tcW w:w="2544" w:type="dxa"/>
            <w:gridSpan w:val="2"/>
            <w:shd w:val="clear" w:color="000000" w:fill="FFFFFF"/>
            <w:vAlign w:val="center"/>
          </w:tcPr>
          <w:p w14:paraId="7927A9EB">
            <w:pPr>
              <w:adjustRightInd w:val="0"/>
              <w:snapToGrid w:val="0"/>
              <w:spacing w:line="240" w:lineRule="auto"/>
              <w:ind w:firstLine="0"/>
              <w:rPr>
                <w:rFonts w:eastAsiaTheme="minorEastAsia"/>
                <w:sz w:val="21"/>
                <w:szCs w:val="21"/>
              </w:rPr>
            </w:pPr>
            <w:r>
              <w:rPr>
                <w:rFonts w:eastAsiaTheme="minorEastAsia"/>
                <w:sz w:val="21"/>
                <w:szCs w:val="21"/>
              </w:rPr>
              <w:t>电子科技大学、四川大学、西南交通大学、西南科技大学、西安交通大学、西北工业大学等</w:t>
            </w:r>
          </w:p>
        </w:tc>
      </w:tr>
      <w:tr w14:paraId="03B1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619" w:type="dxa"/>
            <w:gridSpan w:val="2"/>
            <w:shd w:val="clear" w:color="000000" w:fill="FFFFFF"/>
            <w:noWrap/>
            <w:vAlign w:val="center"/>
          </w:tcPr>
          <w:p w14:paraId="7E53BB08">
            <w:pPr>
              <w:adjustRightInd w:val="0"/>
              <w:snapToGrid w:val="0"/>
              <w:spacing w:line="240" w:lineRule="auto"/>
              <w:ind w:firstLine="0"/>
              <w:rPr>
                <w:rFonts w:eastAsiaTheme="minorEastAsia"/>
                <w:sz w:val="21"/>
                <w:szCs w:val="21"/>
                <w:lang w:val="zh-CN"/>
              </w:rPr>
            </w:pPr>
            <w:r>
              <w:rPr>
                <w:rFonts w:eastAsiaTheme="minorEastAsia"/>
                <w:sz w:val="21"/>
                <w:szCs w:val="21"/>
              </w:rPr>
              <w:t>智能悬架系统技术研究</w:t>
            </w:r>
          </w:p>
        </w:tc>
        <w:tc>
          <w:tcPr>
            <w:tcW w:w="1175" w:type="dxa"/>
            <w:shd w:val="clear" w:color="000000" w:fill="FFFFFF"/>
            <w:vAlign w:val="center"/>
          </w:tcPr>
          <w:p w14:paraId="70994A54">
            <w:pPr>
              <w:adjustRightInd w:val="0"/>
              <w:snapToGrid w:val="0"/>
              <w:spacing w:line="240" w:lineRule="auto"/>
              <w:ind w:firstLine="0"/>
              <w:jc w:val="center"/>
              <w:rPr>
                <w:rFonts w:eastAsiaTheme="minorEastAsia"/>
                <w:sz w:val="21"/>
                <w:szCs w:val="21"/>
                <w:lang w:val="zh-CN"/>
              </w:rPr>
            </w:pPr>
            <w:r>
              <w:rPr>
                <w:rFonts w:eastAsiaTheme="minorEastAsia"/>
                <w:sz w:val="21"/>
                <w:szCs w:val="21"/>
              </w:rPr>
              <w:t>2</w:t>
            </w:r>
          </w:p>
        </w:tc>
        <w:tc>
          <w:tcPr>
            <w:tcW w:w="1189" w:type="dxa"/>
            <w:shd w:val="clear" w:color="000000" w:fill="FFFFFF"/>
            <w:vAlign w:val="center"/>
          </w:tcPr>
          <w:p w14:paraId="32D8192D">
            <w:pPr>
              <w:adjustRightInd w:val="0"/>
              <w:snapToGrid w:val="0"/>
              <w:spacing w:line="240" w:lineRule="auto"/>
              <w:ind w:firstLine="0"/>
              <w:jc w:val="center"/>
              <w:rPr>
                <w:rFonts w:eastAsiaTheme="minorEastAsia"/>
                <w:sz w:val="21"/>
                <w:szCs w:val="21"/>
                <w:lang w:val="zh-CN"/>
              </w:rPr>
            </w:pPr>
            <w:r>
              <w:rPr>
                <w:rFonts w:hint="eastAsia" w:eastAsiaTheme="minorEastAsia"/>
                <w:sz w:val="21"/>
                <w:szCs w:val="21"/>
                <w:lang w:val="en-US" w:eastAsia="zh-CN"/>
              </w:rPr>
              <w:t>BSH00</w:t>
            </w:r>
            <w:r>
              <w:rPr>
                <w:rFonts w:eastAsiaTheme="minorEastAsia"/>
                <w:sz w:val="21"/>
                <w:szCs w:val="21"/>
              </w:rPr>
              <w:t>2</w:t>
            </w:r>
          </w:p>
        </w:tc>
        <w:tc>
          <w:tcPr>
            <w:tcW w:w="1598" w:type="dxa"/>
            <w:gridSpan w:val="2"/>
            <w:shd w:val="clear" w:color="000000" w:fill="FFFFFF"/>
            <w:vAlign w:val="center"/>
          </w:tcPr>
          <w:p w14:paraId="7C8279C7">
            <w:pPr>
              <w:adjustRightInd w:val="0"/>
              <w:snapToGrid w:val="0"/>
              <w:spacing w:line="240" w:lineRule="auto"/>
              <w:ind w:firstLine="0"/>
              <w:jc w:val="center"/>
              <w:rPr>
                <w:rFonts w:eastAsiaTheme="minorEastAsia"/>
                <w:sz w:val="21"/>
                <w:szCs w:val="21"/>
                <w:lang w:val="zh-CN"/>
              </w:rPr>
            </w:pPr>
            <w:r>
              <w:rPr>
                <w:rFonts w:eastAsiaTheme="minorEastAsia"/>
                <w:sz w:val="21"/>
                <w:szCs w:val="21"/>
              </w:rPr>
              <w:t>机械、电气、航空航天、自动化</w:t>
            </w:r>
          </w:p>
        </w:tc>
        <w:tc>
          <w:tcPr>
            <w:tcW w:w="1399" w:type="dxa"/>
            <w:gridSpan w:val="2"/>
            <w:shd w:val="clear" w:color="000000" w:fill="FFFFFF"/>
            <w:vAlign w:val="center"/>
          </w:tcPr>
          <w:p w14:paraId="4F65541D">
            <w:pPr>
              <w:adjustRightInd w:val="0"/>
              <w:snapToGrid w:val="0"/>
              <w:spacing w:line="240" w:lineRule="auto"/>
              <w:ind w:firstLine="0"/>
              <w:jc w:val="center"/>
              <w:rPr>
                <w:rFonts w:eastAsiaTheme="minorEastAsia"/>
                <w:sz w:val="21"/>
                <w:szCs w:val="21"/>
                <w:lang w:val="zh-CN"/>
              </w:rPr>
            </w:pPr>
            <w:r>
              <w:rPr>
                <w:rFonts w:eastAsiaTheme="minorEastAsia"/>
                <w:sz w:val="21"/>
                <w:szCs w:val="21"/>
              </w:rPr>
              <w:t>500</w:t>
            </w:r>
          </w:p>
        </w:tc>
        <w:tc>
          <w:tcPr>
            <w:tcW w:w="2544" w:type="dxa"/>
            <w:gridSpan w:val="2"/>
            <w:shd w:val="clear" w:color="000000" w:fill="FFFFFF"/>
            <w:vAlign w:val="center"/>
          </w:tcPr>
          <w:p w14:paraId="63628479">
            <w:pPr>
              <w:adjustRightInd w:val="0"/>
              <w:snapToGrid w:val="0"/>
              <w:spacing w:line="240" w:lineRule="auto"/>
              <w:ind w:firstLine="0"/>
              <w:rPr>
                <w:rFonts w:eastAsiaTheme="minorEastAsia"/>
                <w:sz w:val="21"/>
                <w:szCs w:val="21"/>
                <w:lang w:val="zh-CN"/>
              </w:rPr>
            </w:pPr>
            <w:r>
              <w:rPr>
                <w:rFonts w:eastAsiaTheme="minorEastAsia"/>
                <w:sz w:val="21"/>
                <w:szCs w:val="21"/>
              </w:rPr>
              <w:t>电子科技大学、四川大学、西南交通大学、西南科技大学、西安交通大学、西北工业大学等</w:t>
            </w:r>
          </w:p>
        </w:tc>
      </w:tr>
      <w:tr w14:paraId="152A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619" w:type="dxa"/>
            <w:gridSpan w:val="2"/>
            <w:shd w:val="clear" w:color="000000" w:fill="FFFFFF"/>
            <w:noWrap/>
            <w:vAlign w:val="center"/>
          </w:tcPr>
          <w:p w14:paraId="789CA46C">
            <w:pPr>
              <w:adjustRightInd w:val="0"/>
              <w:snapToGrid w:val="0"/>
              <w:spacing w:line="240" w:lineRule="auto"/>
              <w:ind w:firstLine="0"/>
              <w:rPr>
                <w:rFonts w:eastAsiaTheme="minorEastAsia"/>
                <w:sz w:val="21"/>
                <w:szCs w:val="21"/>
                <w:lang w:val="zh-CN"/>
              </w:rPr>
            </w:pPr>
            <w:r>
              <w:rPr>
                <w:rFonts w:eastAsiaTheme="minorEastAsia"/>
                <w:sz w:val="21"/>
                <w:szCs w:val="21"/>
              </w:rPr>
              <w:t>高能量密度钠离子电池正极材料及制备技术研究</w:t>
            </w:r>
          </w:p>
        </w:tc>
        <w:tc>
          <w:tcPr>
            <w:tcW w:w="1175" w:type="dxa"/>
            <w:shd w:val="clear" w:color="000000" w:fill="FFFFFF"/>
            <w:vAlign w:val="center"/>
          </w:tcPr>
          <w:p w14:paraId="4F6FDBBF">
            <w:pPr>
              <w:adjustRightInd w:val="0"/>
              <w:snapToGrid w:val="0"/>
              <w:spacing w:line="240" w:lineRule="auto"/>
              <w:ind w:firstLine="0"/>
              <w:jc w:val="center"/>
              <w:rPr>
                <w:rFonts w:eastAsiaTheme="minorEastAsia"/>
                <w:sz w:val="21"/>
                <w:szCs w:val="21"/>
                <w:lang w:val="zh-CN"/>
              </w:rPr>
            </w:pPr>
            <w:r>
              <w:rPr>
                <w:rFonts w:eastAsiaTheme="minorEastAsia"/>
                <w:sz w:val="21"/>
                <w:szCs w:val="21"/>
              </w:rPr>
              <w:t>2</w:t>
            </w:r>
          </w:p>
        </w:tc>
        <w:tc>
          <w:tcPr>
            <w:tcW w:w="1189" w:type="dxa"/>
            <w:shd w:val="clear" w:color="000000" w:fill="FFFFFF"/>
            <w:vAlign w:val="center"/>
          </w:tcPr>
          <w:p w14:paraId="7E41AD12">
            <w:pPr>
              <w:adjustRightInd w:val="0"/>
              <w:snapToGrid w:val="0"/>
              <w:spacing w:line="240" w:lineRule="auto"/>
              <w:ind w:firstLine="0"/>
              <w:jc w:val="center"/>
              <w:rPr>
                <w:rFonts w:eastAsiaTheme="minorEastAsia"/>
                <w:sz w:val="21"/>
                <w:szCs w:val="21"/>
                <w:lang w:val="zh-CN"/>
              </w:rPr>
            </w:pPr>
            <w:r>
              <w:rPr>
                <w:rFonts w:hint="eastAsia" w:eastAsiaTheme="minorEastAsia"/>
                <w:sz w:val="21"/>
                <w:szCs w:val="21"/>
                <w:lang w:val="en-US" w:eastAsia="zh-CN"/>
              </w:rPr>
              <w:t>BSH00</w:t>
            </w:r>
            <w:r>
              <w:rPr>
                <w:rFonts w:eastAsiaTheme="minorEastAsia"/>
                <w:sz w:val="21"/>
                <w:szCs w:val="21"/>
              </w:rPr>
              <w:t>3</w:t>
            </w:r>
          </w:p>
        </w:tc>
        <w:tc>
          <w:tcPr>
            <w:tcW w:w="1598" w:type="dxa"/>
            <w:gridSpan w:val="2"/>
            <w:shd w:val="clear" w:color="000000" w:fill="FFFFFF"/>
            <w:vAlign w:val="center"/>
          </w:tcPr>
          <w:p w14:paraId="4B9669FD">
            <w:pPr>
              <w:adjustRightInd w:val="0"/>
              <w:snapToGrid w:val="0"/>
              <w:spacing w:line="240" w:lineRule="auto"/>
              <w:ind w:firstLine="0"/>
              <w:jc w:val="center"/>
              <w:rPr>
                <w:rFonts w:eastAsiaTheme="minorEastAsia"/>
                <w:sz w:val="21"/>
                <w:szCs w:val="21"/>
                <w:lang w:val="zh-CN"/>
              </w:rPr>
            </w:pPr>
            <w:r>
              <w:rPr>
                <w:rFonts w:eastAsiaTheme="minorEastAsia"/>
                <w:sz w:val="21"/>
                <w:szCs w:val="21"/>
              </w:rPr>
              <w:t>材料</w:t>
            </w:r>
          </w:p>
        </w:tc>
        <w:tc>
          <w:tcPr>
            <w:tcW w:w="1399" w:type="dxa"/>
            <w:gridSpan w:val="2"/>
            <w:shd w:val="clear" w:color="000000" w:fill="FFFFFF"/>
            <w:vAlign w:val="center"/>
          </w:tcPr>
          <w:p w14:paraId="028E2C3F">
            <w:pPr>
              <w:adjustRightInd w:val="0"/>
              <w:snapToGrid w:val="0"/>
              <w:spacing w:line="240" w:lineRule="auto"/>
              <w:ind w:firstLine="0"/>
              <w:jc w:val="center"/>
              <w:rPr>
                <w:rFonts w:eastAsiaTheme="minorEastAsia"/>
                <w:sz w:val="21"/>
                <w:szCs w:val="21"/>
                <w:lang w:val="zh-CN"/>
              </w:rPr>
            </w:pPr>
            <w:r>
              <w:rPr>
                <w:rFonts w:eastAsiaTheme="minorEastAsia"/>
                <w:sz w:val="21"/>
                <w:szCs w:val="21"/>
              </w:rPr>
              <w:t>500</w:t>
            </w:r>
          </w:p>
        </w:tc>
        <w:tc>
          <w:tcPr>
            <w:tcW w:w="2544" w:type="dxa"/>
            <w:gridSpan w:val="2"/>
            <w:shd w:val="clear" w:color="000000" w:fill="FFFFFF"/>
            <w:vAlign w:val="center"/>
          </w:tcPr>
          <w:p w14:paraId="42A2EC36">
            <w:pPr>
              <w:adjustRightInd w:val="0"/>
              <w:snapToGrid w:val="0"/>
              <w:spacing w:line="240" w:lineRule="auto"/>
              <w:ind w:firstLine="0"/>
              <w:rPr>
                <w:rFonts w:eastAsiaTheme="minorEastAsia"/>
                <w:sz w:val="21"/>
                <w:szCs w:val="21"/>
                <w:lang w:val="zh-CN"/>
              </w:rPr>
            </w:pPr>
            <w:r>
              <w:rPr>
                <w:rFonts w:eastAsiaTheme="minorEastAsia"/>
                <w:sz w:val="21"/>
                <w:szCs w:val="21"/>
              </w:rPr>
              <w:t>电子科技大学、四川大学、西南交通大学、西南科技大学、西安交通大学、西北工业大学等</w:t>
            </w:r>
          </w:p>
        </w:tc>
      </w:tr>
    </w:tbl>
    <w:p w14:paraId="53F8D066">
      <w:pPr>
        <w:pStyle w:val="5"/>
        <w:adjustRightInd w:val="0"/>
        <w:snapToGrid w:val="0"/>
        <w:spacing w:line="240" w:lineRule="auto"/>
        <w:ind w:firstLine="0"/>
        <w:rPr>
          <w:rFonts w:eastAsia="方正小标宋简体"/>
          <w:sz w:val="44"/>
          <w:szCs w:val="44"/>
        </w:rPr>
      </w:pPr>
      <w:r>
        <w:br w:type="page"/>
      </w:r>
    </w:p>
    <w:p w14:paraId="5E7DF087">
      <w:pPr>
        <w:pStyle w:val="5"/>
        <w:tabs>
          <w:tab w:val="center" w:pos="4705"/>
          <w:tab w:val="left" w:pos="7680"/>
        </w:tabs>
        <w:adjustRightInd w:val="0"/>
        <w:snapToGrid w:val="0"/>
        <w:spacing w:line="240" w:lineRule="auto"/>
        <w:jc w:val="both"/>
        <w:rPr>
          <w:sz w:val="44"/>
          <w:szCs w:val="44"/>
        </w:rPr>
      </w:pPr>
    </w:p>
    <w:p w14:paraId="70353D2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50" w:name="_Toc14774"/>
      <w:bookmarkStart w:id="751" w:name="_Toc24358"/>
      <w:bookmarkStart w:id="752" w:name="_Toc7804"/>
      <w:bookmarkStart w:id="753" w:name="_Toc15360"/>
      <w:bookmarkStart w:id="754" w:name="_Toc32584"/>
      <w:r>
        <w:rPr>
          <w:rFonts w:hint="eastAsia" w:ascii="Times New Roman" w:hAnsi="Times New Roman" w:eastAsia="方正小标宋简体" w:cs="Times New Roman"/>
          <w:sz w:val="44"/>
          <w:szCs w:val="44"/>
          <w:highlight w:val="none"/>
        </w:rPr>
        <w:t>甘孜藏族自治州海螺沟智慧景区信息中心</w:t>
      </w:r>
      <w:bookmarkEnd w:id="750"/>
      <w:bookmarkEnd w:id="751"/>
      <w:bookmarkEnd w:id="752"/>
      <w:bookmarkEnd w:id="753"/>
      <w:bookmarkEnd w:id="754"/>
    </w:p>
    <w:p w14:paraId="00C75E6C">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622"/>
        <w:gridCol w:w="1585"/>
        <w:gridCol w:w="2190"/>
      </w:tblGrid>
      <w:tr w14:paraId="15A9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A857E9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086" w:type="dxa"/>
            <w:shd w:val="clear" w:color="000000" w:fill="FFFFFF"/>
            <w:noWrap/>
            <w:vAlign w:val="center"/>
          </w:tcPr>
          <w:p w14:paraId="29D06D4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其他</w:t>
            </w:r>
          </w:p>
        </w:tc>
        <w:tc>
          <w:tcPr>
            <w:tcW w:w="1896" w:type="dxa"/>
            <w:gridSpan w:val="2"/>
            <w:shd w:val="clear" w:color="auto" w:fill="E7E6E6" w:themeFill="background2"/>
            <w:noWrap/>
            <w:vAlign w:val="center"/>
          </w:tcPr>
          <w:p w14:paraId="4FA9B97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7572F30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5ECF93E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22A50EB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甘孜</w:t>
            </w:r>
          </w:p>
        </w:tc>
      </w:tr>
      <w:tr w14:paraId="20FB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8D39C0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6"/>
            <w:shd w:val="clear" w:color="000000" w:fill="FFFFFF"/>
            <w:noWrap/>
            <w:vAlign w:val="center"/>
          </w:tcPr>
          <w:p w14:paraId="08147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四川省甘孜州泸定县磨西镇冰川路83号</w:t>
            </w:r>
          </w:p>
        </w:tc>
      </w:tr>
      <w:tr w14:paraId="1140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1271" w:type="dxa"/>
            <w:shd w:val="clear" w:color="auto" w:fill="E7E6E6" w:themeFill="background2"/>
            <w:noWrap/>
            <w:vAlign w:val="center"/>
          </w:tcPr>
          <w:p w14:paraId="55B8A21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14:paraId="5528FFD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海螺沟旅游服务中心为海螺沟景区管委会管理的正科级公益一类事业单位,主要开展景区旅游宣传、运营管理、旅游接待、旅游咨询、旅游投诉、野生动植物保护、冰川形成、地质构造等科学研究；负责信息化平台的建设、运行维护、计算机网络等现代化技术环境和服务等综合性服务工作。</w:t>
            </w:r>
          </w:p>
        </w:tc>
      </w:tr>
      <w:tr w14:paraId="10DE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271" w:type="dxa"/>
            <w:shd w:val="clear" w:color="auto" w:fill="E7E6E6" w:themeFill="background2"/>
            <w:noWrap/>
            <w:vAlign w:val="center"/>
          </w:tcPr>
          <w:p w14:paraId="410FC43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14:paraId="135E01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本单位为博士提供良好的工作环境，提升创新实践基地公共服务水平，提供周转住房、就餐、子女入学、医疗保障、项目申报等便利化服务，允许博士后配偶和未成年子女随迁入户，营造支持博士事业发展的良好氛围。</w:t>
            </w:r>
          </w:p>
        </w:tc>
      </w:tr>
      <w:tr w14:paraId="2337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shd w:val="clear" w:color="auto" w:fill="E7E6E6" w:themeFill="background2"/>
            <w:noWrap/>
            <w:vAlign w:val="center"/>
          </w:tcPr>
          <w:p w14:paraId="7213AE1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3F78171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A5C133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6524A4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5B104BB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4FB3603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D1B995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355A5FC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665D46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310F4C0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B58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8288B1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海螺沟景区智慧旅游管理平台</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19367F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27D449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A09278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333333"/>
                <w:sz w:val="21"/>
                <w:szCs w:val="21"/>
                <w:shd w:val="clear" w:color="auto" w:fill="FFFFFF"/>
                <w:lang w:eastAsia="zh-CN"/>
              </w:rPr>
              <w:t>自然科学</w:t>
            </w:r>
            <w:r>
              <w:rPr>
                <w:rFonts w:hint="default" w:ascii="Times New Roman" w:hAnsi="Times New Roman" w:cs="Times New Roman" w:eastAsiaTheme="minorEastAsia"/>
                <w:color w:val="333333"/>
                <w:sz w:val="21"/>
                <w:szCs w:val="21"/>
                <w:shd w:val="clear" w:color="auto" w:fill="FFFFFF"/>
              </w:rPr>
              <w:t>或</w:t>
            </w:r>
            <w:r>
              <w:rPr>
                <w:rStyle w:val="30"/>
                <w:rFonts w:hint="default" w:ascii="Times New Roman" w:hAnsi="Times New Roman" w:cs="Times New Roman" w:eastAsiaTheme="minorEastAsia"/>
                <w:i w:val="0"/>
                <w:iCs w:val="0"/>
                <w:color w:val="000000"/>
                <w:sz w:val="21"/>
                <w:szCs w:val="21"/>
                <w:shd w:val="clear" w:color="auto" w:fill="FFFFFF"/>
              </w:rPr>
              <w:t>计算机</w:t>
            </w:r>
            <w:r>
              <w:rPr>
                <w:rFonts w:hint="default" w:ascii="Times New Roman" w:hAnsi="Times New Roman" w:cs="Times New Roman" w:eastAsiaTheme="minorEastAsia"/>
                <w:color w:val="333333"/>
                <w:sz w:val="21"/>
                <w:szCs w:val="21"/>
                <w:shd w:val="clear" w:color="auto" w:fill="FFFFFF"/>
              </w:rPr>
              <w:t>科学与技术</w:t>
            </w:r>
          </w:p>
        </w:tc>
        <w:tc>
          <w:tcPr>
            <w:tcW w:w="1548" w:type="dxa"/>
            <w:tcBorders>
              <w:top w:val="single" w:color="auto" w:sz="4" w:space="0"/>
              <w:left w:val="single" w:color="auto" w:sz="4" w:space="0"/>
              <w:right w:val="single" w:color="auto" w:sz="4" w:space="0"/>
              <w:tl2br w:val="nil"/>
              <w:tr2bl w:val="nil"/>
            </w:tcBorders>
            <w:shd w:val="clear" w:color="auto" w:fill="FFFFFF"/>
            <w:vAlign w:val="center"/>
          </w:tcPr>
          <w:p w14:paraId="0A7539A7">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10</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1A0348A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无</w:t>
            </w:r>
          </w:p>
        </w:tc>
      </w:tr>
    </w:tbl>
    <w:p w14:paraId="0F47939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F83B93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180C12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808B3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5A4FB1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C8EC3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07A713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489AA8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755" w:name="_Toc13265"/>
      <w:bookmarkStart w:id="756" w:name="_Toc8349"/>
      <w:bookmarkStart w:id="757" w:name="_Toc10596"/>
      <w:bookmarkStart w:id="758" w:name="_Toc17176"/>
      <w:bookmarkStart w:id="759" w:name="_Toc2065"/>
      <w:r>
        <w:rPr>
          <w:rFonts w:eastAsia="方正小标宋简体"/>
          <w:sz w:val="44"/>
          <w:szCs w:val="44"/>
          <w:highlight w:val="none"/>
        </w:rPr>
        <w:t>广安市人民医院</w:t>
      </w:r>
      <w:bookmarkEnd w:id="755"/>
      <w:bookmarkEnd w:id="756"/>
      <w:bookmarkEnd w:id="757"/>
      <w:bookmarkEnd w:id="758"/>
      <w:bookmarkEnd w:id="759"/>
    </w:p>
    <w:p w14:paraId="71D1E373">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558"/>
        <w:gridCol w:w="1093"/>
        <w:gridCol w:w="1450"/>
        <w:gridCol w:w="138"/>
        <w:gridCol w:w="1627"/>
        <w:gridCol w:w="41"/>
        <w:gridCol w:w="1524"/>
        <w:gridCol w:w="110"/>
        <w:gridCol w:w="1909"/>
      </w:tblGrid>
      <w:tr w14:paraId="6F17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6BFB3F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13" w:type="dxa"/>
            <w:gridSpan w:val="2"/>
            <w:shd w:val="clear" w:color="000000" w:fill="FFFFFF"/>
            <w:noWrap/>
            <w:vAlign w:val="center"/>
          </w:tcPr>
          <w:p w14:paraId="6206BA39">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551" w:type="dxa"/>
            <w:gridSpan w:val="2"/>
            <w:shd w:val="clear" w:color="auto" w:fill="E7E6E6" w:themeFill="background2"/>
            <w:noWrap/>
            <w:vAlign w:val="center"/>
          </w:tcPr>
          <w:p w14:paraId="65A920D3">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62201F1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32518510">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5F4088FB">
            <w:pPr>
              <w:adjustRightInd w:val="0"/>
              <w:snapToGrid w:val="0"/>
              <w:spacing w:line="240" w:lineRule="auto"/>
              <w:ind w:firstLine="0"/>
              <w:jc w:val="center"/>
              <w:rPr>
                <w:rFonts w:eastAsiaTheme="minorEastAsia"/>
                <w:sz w:val="21"/>
                <w:szCs w:val="21"/>
              </w:rPr>
            </w:pPr>
            <w:r>
              <w:rPr>
                <w:rFonts w:eastAsiaTheme="minorEastAsia"/>
                <w:sz w:val="21"/>
                <w:szCs w:val="21"/>
              </w:rPr>
              <w:t>广安</w:t>
            </w:r>
          </w:p>
        </w:tc>
      </w:tr>
      <w:tr w14:paraId="5289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045330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5C342274">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w:t>
            </w:r>
            <w:r>
              <w:rPr>
                <w:rFonts w:hint="eastAsia" w:eastAsiaTheme="minorEastAsia"/>
                <w:sz w:val="21"/>
                <w:szCs w:val="21"/>
              </w:rPr>
              <w:t>广安市广安区滨河路四段1号</w:t>
            </w:r>
          </w:p>
        </w:tc>
      </w:tr>
      <w:tr w14:paraId="4930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2" w:hRule="atLeast"/>
          <w:jc w:val="center"/>
        </w:trPr>
        <w:tc>
          <w:tcPr>
            <w:tcW w:w="1271" w:type="dxa"/>
            <w:shd w:val="clear" w:color="auto" w:fill="E7E6E6" w:themeFill="background2"/>
            <w:noWrap/>
            <w:vAlign w:val="center"/>
          </w:tcPr>
          <w:p w14:paraId="778594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0D9196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广安市人民医院（四川大学华西医院广安医院）始建于1941年2月，其前身为广安县卫生院。2015年9月，广安市人民政府与四川大学华西医院签署合作协议，明确广安市人民医院由四川大学华西医院派遣团队开展经营管理，冠以“四川大学华西医院广安医院”作为第二名称使用。医院是集医疗、教学、科研于一体的国家三级甲等综合医院、国家住院医师规范化培训基地、国家药物临床试验基地、全国健康管理示范基地、四川省护士规范化培训基地、西南医科大学和川北医学院教学医院、四川中医药高等专科学校护理专业全程教学医院、广安市创伤急救中心、广安市危重孕产妇救治中心、广安市危重新生儿救治中心、广安市继续教育基地。医院占地面积172亩，业务用房14.27万平方米，编制床位1180张，当前开放床位1576张。医院现有在职员工2018人，其中卫生专业技术人员1737人，博士、硕士研究生307人，高级职称274人。医院设有临床科室31个，医技科室10个，行后一级职能科室19个。省级区域医疗中心2个：分别是四川省呼吸区域医疗中心、四川省心血管病区域医疗中心；省级临床医学重点专科7个，分别是胸心外科、骨科、普外科、肿瘤科、麻醉科、心血管内科、放射科。医院已授牌国家级高级卒中中心，中国胸痛中心（标准版）认证单位，中国心衰中心认证单位、中国房颤中心认证单位、全国心脏瓣膜病介入中心建设单位，四川省新生儿听力障碍诊治广安分中心。</w:t>
            </w:r>
          </w:p>
        </w:tc>
      </w:tr>
      <w:tr w14:paraId="0BD2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0" w:hRule="atLeast"/>
          <w:jc w:val="center"/>
        </w:trPr>
        <w:tc>
          <w:tcPr>
            <w:tcW w:w="1271" w:type="dxa"/>
            <w:shd w:val="clear" w:color="auto" w:fill="E7E6E6" w:themeFill="background2"/>
            <w:noWrap/>
            <w:vAlign w:val="center"/>
          </w:tcPr>
          <w:p w14:paraId="19A976C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075375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1.博士后平台建设</w:t>
            </w:r>
          </w:p>
          <w:p w14:paraId="0ABD4E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（1）省财政一次性给予20万元资助；</w:t>
            </w:r>
          </w:p>
          <w:p w14:paraId="66FDC4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（2）市财政一次性给予10万元资助。</w:t>
            </w:r>
          </w:p>
          <w:p w14:paraId="129C12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2.博士后生活资助</w:t>
            </w:r>
          </w:p>
          <w:p w14:paraId="7EB683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（1）省财政给予每人两年16万元博士后日常经费资助；</w:t>
            </w:r>
          </w:p>
          <w:p w14:paraId="576B2B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（2）市财政给予入站博士后生活补贴3000元/月（连续补助不超过3年）。</w:t>
            </w:r>
          </w:p>
          <w:p w14:paraId="03F667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3.学校合作</w:t>
            </w:r>
          </w:p>
          <w:p w14:paraId="7FBF24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2024年，医院成功与重庆医科大学签署联合招聘培养博士后研究人员协议书，加快培养高层次人才，促进产、学、研结合。</w:t>
            </w:r>
          </w:p>
        </w:tc>
      </w:tr>
      <w:tr w14:paraId="36C4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816" w:type="dxa"/>
            <w:gridSpan w:val="2"/>
            <w:shd w:val="clear" w:color="auto" w:fill="E7E6E6" w:themeFill="background2"/>
            <w:noWrap/>
            <w:vAlign w:val="center"/>
          </w:tcPr>
          <w:p w14:paraId="7BAA6F8A">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68" w:type="dxa"/>
            <w:shd w:val="clear" w:color="auto" w:fill="E7E6E6" w:themeFill="background2"/>
            <w:vAlign w:val="center"/>
          </w:tcPr>
          <w:p w14:paraId="19CDB21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16" w:type="dxa"/>
            <w:shd w:val="clear" w:color="auto" w:fill="E7E6E6" w:themeFill="background2"/>
            <w:vAlign w:val="center"/>
          </w:tcPr>
          <w:p w14:paraId="7D573F64">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64" w:type="dxa"/>
            <w:gridSpan w:val="3"/>
            <w:shd w:val="clear" w:color="auto" w:fill="E7E6E6" w:themeFill="background2"/>
            <w:vAlign w:val="center"/>
          </w:tcPr>
          <w:p w14:paraId="285E27F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A2B626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96" w:type="dxa"/>
            <w:gridSpan w:val="2"/>
            <w:shd w:val="clear" w:color="auto" w:fill="E7E6E6" w:themeFill="background2"/>
            <w:vAlign w:val="center"/>
          </w:tcPr>
          <w:p w14:paraId="7D11D7D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B3DB2E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64" w:type="dxa"/>
            <w:shd w:val="clear" w:color="auto" w:fill="E7E6E6" w:themeFill="background2"/>
            <w:vAlign w:val="center"/>
          </w:tcPr>
          <w:p w14:paraId="3369E5F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4E997E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E0E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816" w:type="dxa"/>
            <w:gridSpan w:val="2"/>
            <w:shd w:val="clear" w:color="000000" w:fill="FFFFFF"/>
            <w:noWrap/>
            <w:vAlign w:val="center"/>
          </w:tcPr>
          <w:p w14:paraId="5AE22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全日制博士</w:t>
            </w:r>
          </w:p>
        </w:tc>
        <w:tc>
          <w:tcPr>
            <w:tcW w:w="1068" w:type="dxa"/>
            <w:shd w:val="clear" w:color="000000" w:fill="FFFFFF"/>
            <w:vAlign w:val="center"/>
          </w:tcPr>
          <w:p w14:paraId="2E9FB1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6" w:type="dxa"/>
            <w:shd w:val="clear" w:color="000000" w:fill="FFFFFF"/>
            <w:vAlign w:val="center"/>
          </w:tcPr>
          <w:p w14:paraId="6B755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64" w:type="dxa"/>
            <w:gridSpan w:val="3"/>
            <w:shd w:val="clear" w:color="000000" w:fill="FFFFFF"/>
            <w:vAlign w:val="center"/>
          </w:tcPr>
          <w:p w14:paraId="601C4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内科学</w:t>
            </w:r>
          </w:p>
        </w:tc>
        <w:tc>
          <w:tcPr>
            <w:tcW w:w="1596" w:type="dxa"/>
            <w:gridSpan w:val="2"/>
            <w:shd w:val="clear" w:color="000000" w:fill="FFFFFF"/>
            <w:vAlign w:val="center"/>
          </w:tcPr>
          <w:p w14:paraId="289C0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20万</w:t>
            </w:r>
            <w:r>
              <w:rPr>
                <w:rFonts w:hint="default" w:ascii="Times New Roman" w:hAnsi="Times New Roman" w:cs="Times New Roman" w:eastAsiaTheme="minorEastAsia"/>
                <w:sz w:val="21"/>
                <w:szCs w:val="21"/>
              </w:rPr>
              <w:t>/年</w:t>
            </w:r>
          </w:p>
        </w:tc>
        <w:tc>
          <w:tcPr>
            <w:tcW w:w="1864" w:type="dxa"/>
            <w:vMerge w:val="restart"/>
            <w:shd w:val="clear" w:color="000000" w:fill="FFFFFF"/>
            <w:vAlign w:val="center"/>
          </w:tcPr>
          <w:p w14:paraId="675C84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985/211院校、军队医科大学或2023年软科中国医药类大学排名前10</w:t>
            </w:r>
          </w:p>
        </w:tc>
      </w:tr>
      <w:tr w14:paraId="2299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816" w:type="dxa"/>
            <w:gridSpan w:val="2"/>
            <w:shd w:val="clear" w:color="000000" w:fill="FFFFFF"/>
            <w:noWrap/>
            <w:vAlign w:val="center"/>
          </w:tcPr>
          <w:p w14:paraId="0C8F89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全日制博士</w:t>
            </w:r>
          </w:p>
        </w:tc>
        <w:tc>
          <w:tcPr>
            <w:tcW w:w="1068" w:type="dxa"/>
            <w:shd w:val="clear" w:color="000000" w:fill="FFFFFF"/>
            <w:vAlign w:val="center"/>
          </w:tcPr>
          <w:p w14:paraId="0BF40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6" w:type="dxa"/>
            <w:shd w:val="clear" w:color="000000" w:fill="FFFFFF"/>
            <w:vAlign w:val="center"/>
          </w:tcPr>
          <w:p w14:paraId="71D1A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764" w:type="dxa"/>
            <w:gridSpan w:val="3"/>
            <w:shd w:val="clear" w:color="000000" w:fill="FFFFFF"/>
            <w:vAlign w:val="center"/>
          </w:tcPr>
          <w:p w14:paraId="3D6FA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外科学</w:t>
            </w:r>
          </w:p>
        </w:tc>
        <w:tc>
          <w:tcPr>
            <w:tcW w:w="1596" w:type="dxa"/>
            <w:gridSpan w:val="2"/>
            <w:shd w:val="clear" w:color="000000" w:fill="FFFFFF"/>
            <w:vAlign w:val="center"/>
          </w:tcPr>
          <w:p w14:paraId="07E74C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20万</w:t>
            </w:r>
            <w:r>
              <w:rPr>
                <w:rFonts w:hint="default" w:ascii="Times New Roman" w:hAnsi="Times New Roman" w:cs="Times New Roman" w:eastAsiaTheme="minorEastAsia"/>
                <w:sz w:val="21"/>
                <w:szCs w:val="21"/>
              </w:rPr>
              <w:t>/年</w:t>
            </w:r>
          </w:p>
        </w:tc>
        <w:tc>
          <w:tcPr>
            <w:tcW w:w="1864" w:type="dxa"/>
            <w:vMerge w:val="continue"/>
            <w:shd w:val="clear" w:color="000000" w:fill="FFFFFF"/>
            <w:vAlign w:val="center"/>
          </w:tcPr>
          <w:p w14:paraId="7687E5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27BD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816" w:type="dxa"/>
            <w:gridSpan w:val="2"/>
            <w:shd w:val="clear" w:color="000000" w:fill="FFFFFF"/>
            <w:noWrap/>
            <w:vAlign w:val="center"/>
          </w:tcPr>
          <w:p w14:paraId="7136A6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全日制博士</w:t>
            </w:r>
          </w:p>
        </w:tc>
        <w:tc>
          <w:tcPr>
            <w:tcW w:w="1068" w:type="dxa"/>
            <w:shd w:val="clear" w:color="000000" w:fill="FFFFFF"/>
            <w:vAlign w:val="center"/>
          </w:tcPr>
          <w:p w14:paraId="62564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6" w:type="dxa"/>
            <w:shd w:val="clear" w:color="000000" w:fill="FFFFFF"/>
            <w:vAlign w:val="center"/>
          </w:tcPr>
          <w:p w14:paraId="09BA4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764" w:type="dxa"/>
            <w:gridSpan w:val="3"/>
            <w:shd w:val="clear" w:color="000000" w:fill="FFFFFF"/>
            <w:vAlign w:val="center"/>
          </w:tcPr>
          <w:p w14:paraId="3C9956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麻醉学</w:t>
            </w:r>
          </w:p>
        </w:tc>
        <w:tc>
          <w:tcPr>
            <w:tcW w:w="1596" w:type="dxa"/>
            <w:gridSpan w:val="2"/>
            <w:shd w:val="clear" w:color="000000" w:fill="FFFFFF"/>
            <w:vAlign w:val="center"/>
          </w:tcPr>
          <w:p w14:paraId="131901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20万</w:t>
            </w:r>
            <w:r>
              <w:rPr>
                <w:rFonts w:hint="default" w:ascii="Times New Roman" w:hAnsi="Times New Roman" w:cs="Times New Roman" w:eastAsiaTheme="minorEastAsia"/>
                <w:sz w:val="21"/>
                <w:szCs w:val="21"/>
              </w:rPr>
              <w:t>/年</w:t>
            </w:r>
          </w:p>
        </w:tc>
        <w:tc>
          <w:tcPr>
            <w:tcW w:w="1864" w:type="dxa"/>
            <w:vMerge w:val="continue"/>
            <w:shd w:val="clear" w:color="000000" w:fill="FFFFFF"/>
            <w:vAlign w:val="center"/>
          </w:tcPr>
          <w:p w14:paraId="5B5497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2F24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816" w:type="dxa"/>
            <w:gridSpan w:val="2"/>
            <w:shd w:val="clear" w:color="000000" w:fill="FFFFFF"/>
            <w:noWrap/>
            <w:vAlign w:val="center"/>
          </w:tcPr>
          <w:p w14:paraId="483794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全日制博士</w:t>
            </w:r>
          </w:p>
        </w:tc>
        <w:tc>
          <w:tcPr>
            <w:tcW w:w="1068" w:type="dxa"/>
            <w:shd w:val="clear" w:color="000000" w:fill="FFFFFF"/>
            <w:vAlign w:val="center"/>
          </w:tcPr>
          <w:p w14:paraId="714D6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6" w:type="dxa"/>
            <w:shd w:val="clear" w:color="000000" w:fill="FFFFFF"/>
            <w:vAlign w:val="center"/>
          </w:tcPr>
          <w:p w14:paraId="181CA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764" w:type="dxa"/>
            <w:gridSpan w:val="3"/>
            <w:shd w:val="clear" w:color="000000" w:fill="FFFFFF"/>
            <w:vAlign w:val="center"/>
          </w:tcPr>
          <w:p w14:paraId="3085C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急诊医学</w:t>
            </w:r>
          </w:p>
        </w:tc>
        <w:tc>
          <w:tcPr>
            <w:tcW w:w="1596" w:type="dxa"/>
            <w:gridSpan w:val="2"/>
            <w:shd w:val="clear" w:color="000000" w:fill="FFFFFF"/>
            <w:vAlign w:val="center"/>
          </w:tcPr>
          <w:p w14:paraId="163B5D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20万</w:t>
            </w:r>
            <w:r>
              <w:rPr>
                <w:rFonts w:hint="default" w:ascii="Times New Roman" w:hAnsi="Times New Roman" w:cs="Times New Roman" w:eastAsiaTheme="minorEastAsia"/>
                <w:sz w:val="21"/>
                <w:szCs w:val="21"/>
              </w:rPr>
              <w:t>/年</w:t>
            </w:r>
          </w:p>
        </w:tc>
        <w:tc>
          <w:tcPr>
            <w:tcW w:w="1864" w:type="dxa"/>
            <w:vMerge w:val="continue"/>
            <w:shd w:val="clear" w:color="000000" w:fill="FFFFFF"/>
            <w:vAlign w:val="center"/>
          </w:tcPr>
          <w:p w14:paraId="32F9FA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r w14:paraId="3B71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816" w:type="dxa"/>
            <w:gridSpan w:val="2"/>
            <w:shd w:val="clear" w:color="000000" w:fill="FFFFFF"/>
            <w:noWrap/>
            <w:vAlign w:val="center"/>
          </w:tcPr>
          <w:p w14:paraId="770F5B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全日制博士</w:t>
            </w:r>
          </w:p>
        </w:tc>
        <w:tc>
          <w:tcPr>
            <w:tcW w:w="1068" w:type="dxa"/>
            <w:shd w:val="clear" w:color="000000" w:fill="FFFFFF"/>
            <w:vAlign w:val="center"/>
          </w:tcPr>
          <w:p w14:paraId="50157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16" w:type="dxa"/>
            <w:shd w:val="clear" w:color="000000" w:fill="FFFFFF"/>
            <w:vAlign w:val="center"/>
          </w:tcPr>
          <w:p w14:paraId="0D338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764" w:type="dxa"/>
            <w:gridSpan w:val="3"/>
            <w:shd w:val="clear" w:color="000000" w:fill="FFFFFF"/>
            <w:vAlign w:val="center"/>
          </w:tcPr>
          <w:p w14:paraId="30A7B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重症医学</w:t>
            </w:r>
          </w:p>
        </w:tc>
        <w:tc>
          <w:tcPr>
            <w:tcW w:w="1596" w:type="dxa"/>
            <w:gridSpan w:val="2"/>
            <w:shd w:val="clear" w:color="000000" w:fill="FFFFFF"/>
            <w:vAlign w:val="center"/>
          </w:tcPr>
          <w:p w14:paraId="44AFC9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20万</w:t>
            </w:r>
            <w:r>
              <w:rPr>
                <w:rFonts w:hint="default" w:ascii="Times New Roman" w:hAnsi="Times New Roman" w:cs="Times New Roman" w:eastAsiaTheme="minorEastAsia"/>
                <w:sz w:val="21"/>
                <w:szCs w:val="21"/>
              </w:rPr>
              <w:t>/年</w:t>
            </w:r>
          </w:p>
        </w:tc>
        <w:tc>
          <w:tcPr>
            <w:tcW w:w="1864" w:type="dxa"/>
            <w:vMerge w:val="continue"/>
            <w:shd w:val="clear" w:color="000000" w:fill="FFFFFF"/>
            <w:vAlign w:val="center"/>
          </w:tcPr>
          <w:p w14:paraId="74D98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z w:val="21"/>
                <w:szCs w:val="21"/>
              </w:rPr>
            </w:pPr>
          </w:p>
        </w:tc>
      </w:tr>
    </w:tbl>
    <w:p w14:paraId="691F7913">
      <w:pPr>
        <w:pStyle w:val="5"/>
        <w:adjustRightInd w:val="0"/>
        <w:snapToGrid w:val="0"/>
        <w:spacing w:line="240" w:lineRule="auto"/>
        <w:ind w:firstLine="0"/>
        <w:jc w:val="center"/>
      </w:pPr>
      <w:r>
        <w:br w:type="page"/>
      </w:r>
    </w:p>
    <w:p w14:paraId="24338509">
      <w:pPr>
        <w:pStyle w:val="5"/>
        <w:adjustRightInd w:val="0"/>
        <w:snapToGrid w:val="0"/>
        <w:spacing w:line="240" w:lineRule="auto"/>
        <w:ind w:firstLine="0"/>
        <w:jc w:val="center"/>
        <w:rPr>
          <w:sz w:val="44"/>
          <w:szCs w:val="44"/>
        </w:rPr>
      </w:pPr>
    </w:p>
    <w:p w14:paraId="3DA6D4C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60" w:name="_Toc6653"/>
      <w:bookmarkStart w:id="761" w:name="_Toc25960"/>
      <w:bookmarkStart w:id="762" w:name="_Toc12689"/>
      <w:bookmarkStart w:id="763" w:name="_Toc16486"/>
      <w:bookmarkStart w:id="764" w:name="_Toc13061"/>
      <w:r>
        <w:rPr>
          <w:rFonts w:hint="eastAsia" w:ascii="Times New Roman" w:hAnsi="Times New Roman" w:eastAsia="方正小标宋简体" w:cs="Times New Roman"/>
          <w:sz w:val="44"/>
          <w:szCs w:val="44"/>
          <w:highlight w:val="none"/>
        </w:rPr>
        <w:t>核工业二八</w:t>
      </w:r>
      <w:r>
        <w:rPr>
          <w:rFonts w:hint="eastAsia" w:eastAsia="方正小标宋简体" w:cs="Times New Roman"/>
          <w:sz w:val="44"/>
          <w:szCs w:val="44"/>
          <w:highlight w:val="none"/>
          <w:lang w:val="en-US" w:eastAsia="zh-CN"/>
        </w:rPr>
        <w:t>0</w:t>
      </w:r>
      <w:r>
        <w:rPr>
          <w:rFonts w:hint="eastAsia" w:ascii="Times New Roman" w:hAnsi="Times New Roman" w:eastAsia="方正小标宋简体" w:cs="Times New Roman"/>
          <w:sz w:val="44"/>
          <w:szCs w:val="44"/>
          <w:highlight w:val="none"/>
        </w:rPr>
        <w:t>研究所</w:t>
      </w:r>
      <w:bookmarkEnd w:id="760"/>
      <w:bookmarkEnd w:id="761"/>
      <w:bookmarkEnd w:id="762"/>
      <w:bookmarkEnd w:id="763"/>
      <w:bookmarkEnd w:id="764"/>
    </w:p>
    <w:p w14:paraId="7A28FACD">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7112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A72C7F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085199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2C9061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3320E4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0A8A5A7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27F1713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67C8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C200CA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0DC67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四川省广汉市成都大道北二段180号</w:t>
            </w:r>
          </w:p>
        </w:tc>
      </w:tr>
      <w:tr w14:paraId="73CE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5809644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144040D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核工业二八0研究所是国内铀矿勘查的国家队、主力军，组建于1979年，前身是中国人民解放军基建工程兵第二〇五师科研队。现已成为集铀矿地质勘查与科研、综合找矿、工程勘察设计施工一体化、环保检测等四大业务综合型研究所，承担着打造“军工基石、核电粮仓”的历史使命，是中核铀业在天然铀、综合矿业、地矿产业的重要支撑力量。二八〇所下设有天然铀、综合矿业、工程勘察设计施工、环保检测等四大研发中心，主要承担天然铀研发、综合矿业、勘察设计施工一体化及环保检测等研发职能。</w:t>
            </w:r>
          </w:p>
        </w:tc>
      </w:tr>
      <w:tr w14:paraId="6CCA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271" w:type="dxa"/>
            <w:shd w:val="clear" w:color="auto" w:fill="E7E6E6" w:themeFill="background2"/>
            <w:noWrap/>
            <w:vAlign w:val="center"/>
          </w:tcPr>
          <w:p w14:paraId="00E443B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50ADCEC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二八〇所建有独立办公场所，能为科研工作人员提供良好科研工作条件，具备较稳定的项目支撑与工作团队。工作期间为博士后提供食宿，薪酬、激励等按二八〇所相关制度及人才引进政策执行。</w:t>
            </w:r>
          </w:p>
        </w:tc>
      </w:tr>
      <w:tr w14:paraId="4927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0F9061A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76F0233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1A7507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BEB32F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88E102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2A70CEF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260CE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084A35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878DB6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0B2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271D5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rPr>
              <w:t>四川盆地砂岩型铀矿成矿要素研究与靶区优选</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5645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B8DF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7940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地质学</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3E75A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面议</w:t>
            </w:r>
          </w:p>
        </w:tc>
        <w:tc>
          <w:tcPr>
            <w:tcW w:w="1911" w:type="dxa"/>
            <w:tcBorders>
              <w:top w:val="single" w:color="auto" w:sz="4" w:space="0"/>
              <w:left w:val="single" w:color="auto" w:sz="4" w:space="0"/>
              <w:right w:val="single" w:color="auto" w:sz="4" w:space="0"/>
              <w:tl2br w:val="nil"/>
              <w:tr2bl w:val="nil"/>
            </w:tcBorders>
            <w:shd w:val="clear" w:color="auto" w:fill="FFFFFF"/>
            <w:vAlign w:val="center"/>
          </w:tcPr>
          <w:p w14:paraId="26119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国内地质矿产类科研院所、高校</w:t>
            </w:r>
          </w:p>
        </w:tc>
      </w:tr>
    </w:tbl>
    <w:p w14:paraId="43DFFA8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D31905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29F6D9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F66800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312F0B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02C09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CE1F9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65" w:name="_Toc13847"/>
      <w:bookmarkStart w:id="766" w:name="_Toc31525"/>
      <w:bookmarkStart w:id="767" w:name="_Toc10125"/>
      <w:bookmarkStart w:id="768" w:name="_Toc14282"/>
      <w:bookmarkStart w:id="769" w:name="_Toc8554"/>
      <w:r>
        <w:rPr>
          <w:rFonts w:hint="eastAsia" w:ascii="Times New Roman" w:hAnsi="Times New Roman" w:eastAsia="方正小标宋简体" w:cs="Times New Roman"/>
          <w:sz w:val="44"/>
          <w:szCs w:val="44"/>
          <w:highlight w:val="none"/>
        </w:rPr>
        <w:t>宏图智能物流股份有限公司</w:t>
      </w:r>
      <w:bookmarkEnd w:id="765"/>
      <w:bookmarkEnd w:id="766"/>
      <w:bookmarkEnd w:id="767"/>
      <w:bookmarkEnd w:id="768"/>
      <w:bookmarkEnd w:id="769"/>
    </w:p>
    <w:p w14:paraId="4F611616">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12"/>
        <w:gridCol w:w="48"/>
        <w:gridCol w:w="1094"/>
        <w:gridCol w:w="503"/>
        <w:gridCol w:w="1082"/>
        <w:gridCol w:w="814"/>
        <w:gridCol w:w="635"/>
        <w:gridCol w:w="949"/>
        <w:gridCol w:w="1869"/>
      </w:tblGrid>
      <w:tr w14:paraId="6AAD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3D9FEF9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04" w:type="dxa"/>
            <w:gridSpan w:val="3"/>
            <w:shd w:val="clear" w:color="000000" w:fill="FFFFFF"/>
            <w:noWrap/>
            <w:vAlign w:val="center"/>
          </w:tcPr>
          <w:p w14:paraId="6B1A6EC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97" w:type="dxa"/>
            <w:gridSpan w:val="2"/>
            <w:shd w:val="clear" w:color="auto" w:fill="E7E6E6" w:themeFill="background2"/>
            <w:noWrap/>
            <w:vAlign w:val="center"/>
          </w:tcPr>
          <w:p w14:paraId="668B133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896" w:type="dxa"/>
            <w:gridSpan w:val="2"/>
            <w:shd w:val="clear" w:color="000000" w:fill="FFFFFF"/>
            <w:noWrap/>
            <w:vAlign w:val="center"/>
          </w:tcPr>
          <w:p w14:paraId="6B71BC5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84" w:type="dxa"/>
            <w:gridSpan w:val="2"/>
            <w:shd w:val="clear" w:color="auto" w:fill="E7E6E6" w:themeFill="background2"/>
            <w:noWrap/>
            <w:vAlign w:val="center"/>
          </w:tcPr>
          <w:p w14:paraId="6D7018B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869" w:type="dxa"/>
            <w:shd w:val="clear" w:color="000000" w:fill="FFFFFF"/>
            <w:noWrap/>
            <w:vAlign w:val="center"/>
          </w:tcPr>
          <w:p w14:paraId="2FDD18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泸州</w:t>
            </w:r>
          </w:p>
        </w:tc>
      </w:tr>
      <w:tr w14:paraId="7D24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0C2DBB1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0" w:type="dxa"/>
            <w:gridSpan w:val="10"/>
            <w:shd w:val="clear" w:color="000000" w:fill="FFFFFF"/>
            <w:noWrap/>
            <w:vAlign w:val="center"/>
          </w:tcPr>
          <w:p w14:paraId="24AF5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四川省成都市高新区锦晖西一街99号布鲁明顿广场A19楼</w:t>
            </w:r>
          </w:p>
        </w:tc>
      </w:tr>
      <w:tr w14:paraId="390D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5" w:hRule="atLeast"/>
          <w:jc w:val="center"/>
        </w:trPr>
        <w:tc>
          <w:tcPr>
            <w:tcW w:w="1301" w:type="dxa"/>
            <w:shd w:val="clear" w:color="auto" w:fill="E7E6E6" w:themeFill="background2"/>
            <w:noWrap/>
            <w:vAlign w:val="center"/>
          </w:tcPr>
          <w:p w14:paraId="289542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10"/>
            <w:shd w:val="clear" w:color="000000" w:fill="FFFFFF"/>
            <w:vAlign w:val="center"/>
          </w:tcPr>
          <w:p w14:paraId="717F3DF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宏图智能是一家工业企业数智化服务商。公司以AI技术和工业数字化产品为核心，提供一系列与生产制造过程密切相关的产品和服务，涵盖了生产感知、生产管理控制、生产分析决策与生产反馈及持续改进四大关键工业生产过程。宏图智能在灵活整合了主要生产管理类工业软件的基础上，研发了以工业策略系统、AI多模态模型、工业智库大模型、工业图像本地化引擎以及作业智能调度系统为代表的新一代工业级人工智能技术产品，构建了一套相对完整的工业智能技术体系。</w:t>
            </w:r>
          </w:p>
          <w:p w14:paraId="0D590D3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近年来，宏图智能的技术产品助力客户在生产经营、成本优化、生产要素组织、生产线状态管控、生产作业调度等方面取得了显著成效。公司已在全国的化工、钢铁、酒业、食品等行业中服务了超过100家企业，为客户节约了上亿元的运营管理成本。</w:t>
            </w:r>
          </w:p>
          <w:p w14:paraId="4152C3D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宏图智能以其丰富的行业经验和专业的技术团队获得国家、省市以及行业的认可，先后获得先后被评定为国家5A级综合性物流企业、全国制造业与物流业联动发展示范企业、国家高新技术企业等荣誉，并获2019年四川省科技进步二等奖等多项荣誉，宏图智能物流与清华大学、电子科技大学、西南交通大学等国内高校成立联合实验室，基于公司的技术研发基础，目前已申请发明专利近150余件，授权软著143件。</w:t>
            </w:r>
          </w:p>
        </w:tc>
      </w:tr>
      <w:tr w14:paraId="6A1D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9" w:hRule="atLeast"/>
          <w:jc w:val="center"/>
        </w:trPr>
        <w:tc>
          <w:tcPr>
            <w:tcW w:w="1301" w:type="dxa"/>
            <w:shd w:val="clear" w:color="auto" w:fill="E7E6E6" w:themeFill="background2"/>
            <w:noWrap/>
            <w:vAlign w:val="center"/>
          </w:tcPr>
          <w:p w14:paraId="51C07B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10"/>
            <w:shd w:val="clear" w:color="000000" w:fill="FFFFFF"/>
            <w:vAlign w:val="center"/>
          </w:tcPr>
          <w:p w14:paraId="5E7BEC1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1.博士后基金资助：公司设立了博士后专项基金，每年计划投入1000万左右用于支持博士后研究人员的科研项目，包括实验材料、设备购置、数据采集等费用。</w:t>
            </w:r>
          </w:p>
          <w:p w14:paraId="533420B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2.薪酬和福利及职业发展：公司提供具有竞争力的薪资待遇，以及社会保险、住房补贴、健康体检等福利。并为博士后研究人员提供清晰的职业发展规划，包括晋升机会、职业培训和继续教育的机制。</w:t>
            </w:r>
          </w:p>
          <w:p w14:paraId="1E8E6A9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3.合作导师制：公司安排经验丰富的企业内部专家及电子科大的教授作为博士后的合作导师，为其提供指导和支持，并为其提供参加国内外学术会议、研讨会，以及与行业专家的交流的机会。</w:t>
            </w:r>
          </w:p>
          <w:p w14:paraId="608C83C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4.项目合作机会：鼓励博士后研究人员与企业内部的研发团队或其他部门合作，参与实际项目，支持博士后研究人员将研究成果转化为实际产品或服务，提供成果转化的渠道和支持。</w:t>
            </w:r>
          </w:p>
        </w:tc>
      </w:tr>
      <w:tr w14:paraId="106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45" w:type="dxa"/>
            <w:gridSpan w:val="2"/>
            <w:shd w:val="clear" w:color="auto" w:fill="E7E6E6" w:themeFill="background2"/>
            <w:noWrap/>
            <w:vAlign w:val="center"/>
          </w:tcPr>
          <w:p w14:paraId="17289F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12" w:type="dxa"/>
            <w:shd w:val="clear" w:color="auto" w:fill="E7E6E6" w:themeFill="background2"/>
            <w:vAlign w:val="center"/>
          </w:tcPr>
          <w:p w14:paraId="19A5530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42" w:type="dxa"/>
            <w:gridSpan w:val="2"/>
            <w:shd w:val="clear" w:color="auto" w:fill="E7E6E6" w:themeFill="background2"/>
            <w:vAlign w:val="center"/>
          </w:tcPr>
          <w:p w14:paraId="1B5689F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85" w:type="dxa"/>
            <w:gridSpan w:val="2"/>
            <w:shd w:val="clear" w:color="auto" w:fill="E7E6E6" w:themeFill="background2"/>
            <w:vAlign w:val="center"/>
          </w:tcPr>
          <w:p w14:paraId="1F78CF9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AB99DC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49" w:type="dxa"/>
            <w:gridSpan w:val="2"/>
            <w:shd w:val="clear" w:color="auto" w:fill="E7E6E6" w:themeFill="background2"/>
            <w:vAlign w:val="center"/>
          </w:tcPr>
          <w:p w14:paraId="0FE8FB9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37DE94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818" w:type="dxa"/>
            <w:gridSpan w:val="2"/>
            <w:shd w:val="clear" w:color="auto" w:fill="E7E6E6" w:themeFill="background2"/>
            <w:vAlign w:val="center"/>
          </w:tcPr>
          <w:p w14:paraId="639C60C8">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C8D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1945" w:type="dxa"/>
            <w:gridSpan w:val="2"/>
            <w:tcBorders>
              <w:top w:val="single" w:color="auto" w:sz="4" w:space="0"/>
              <w:left w:val="single" w:color="auto" w:sz="4" w:space="0"/>
              <w:bottom w:val="single" w:color="auto" w:sz="4" w:space="0"/>
              <w:right w:val="single" w:color="auto" w:sz="4" w:space="0"/>
            </w:tcBorders>
            <w:noWrap/>
            <w:vAlign w:val="center"/>
          </w:tcPr>
          <w:p w14:paraId="06F147E3">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多模态工业物流智慧园区平台</w:t>
            </w:r>
          </w:p>
        </w:tc>
        <w:tc>
          <w:tcPr>
            <w:tcW w:w="812" w:type="dxa"/>
            <w:tcBorders>
              <w:top w:val="single" w:color="auto" w:sz="4" w:space="0"/>
              <w:left w:val="single" w:color="auto" w:sz="4" w:space="0"/>
              <w:bottom w:val="single" w:color="auto" w:sz="4" w:space="0"/>
              <w:right w:val="single" w:color="auto" w:sz="4" w:space="0"/>
            </w:tcBorders>
            <w:noWrap/>
            <w:vAlign w:val="center"/>
          </w:tcPr>
          <w:p w14:paraId="2C8FE8F3">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142" w:type="dxa"/>
            <w:gridSpan w:val="2"/>
            <w:tcBorders>
              <w:top w:val="single" w:color="auto" w:sz="4" w:space="0"/>
              <w:left w:val="single" w:color="auto" w:sz="4" w:space="0"/>
              <w:bottom w:val="single" w:color="auto" w:sz="4" w:space="0"/>
              <w:right w:val="single" w:color="auto" w:sz="4" w:space="0"/>
            </w:tcBorders>
            <w:noWrap/>
            <w:vAlign w:val="center"/>
          </w:tcPr>
          <w:p w14:paraId="22BD2D53">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BSH001</w:t>
            </w:r>
          </w:p>
        </w:tc>
        <w:tc>
          <w:tcPr>
            <w:tcW w:w="1585" w:type="dxa"/>
            <w:gridSpan w:val="2"/>
            <w:tcBorders>
              <w:top w:val="single" w:color="auto" w:sz="4" w:space="0"/>
              <w:left w:val="single" w:color="auto" w:sz="4" w:space="0"/>
              <w:bottom w:val="single" w:color="auto" w:sz="4" w:space="0"/>
              <w:right w:val="single" w:color="auto" w:sz="4" w:space="0"/>
            </w:tcBorders>
            <w:noWrap/>
            <w:vAlign w:val="center"/>
          </w:tcPr>
          <w:p w14:paraId="5EEF54D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人工智能、软件工程、物流工程、供应链管理计算机视觉图像等。</w:t>
            </w:r>
          </w:p>
          <w:p w14:paraId="675CF60F">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449" w:type="dxa"/>
            <w:gridSpan w:val="2"/>
            <w:tcBorders>
              <w:top w:val="single" w:color="auto" w:sz="4" w:space="0"/>
              <w:left w:val="single" w:color="auto" w:sz="4" w:space="0"/>
              <w:bottom w:val="single" w:color="auto" w:sz="4" w:space="0"/>
              <w:right w:val="single" w:color="auto" w:sz="4" w:space="0"/>
            </w:tcBorders>
            <w:noWrap/>
            <w:vAlign w:val="center"/>
          </w:tcPr>
          <w:p w14:paraId="75379FC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项目：800万</w:t>
            </w:r>
          </w:p>
          <w:p w14:paraId="64D7722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shd w:val="clear" w:color="auto" w:fill="FFC00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个人：面谈</w:t>
            </w:r>
          </w:p>
        </w:tc>
        <w:tc>
          <w:tcPr>
            <w:tcW w:w="2818" w:type="dxa"/>
            <w:gridSpan w:val="2"/>
            <w:tcBorders>
              <w:top w:val="single" w:color="auto" w:sz="4" w:space="0"/>
              <w:left w:val="single" w:color="auto" w:sz="4" w:space="0"/>
              <w:bottom w:val="single" w:color="auto" w:sz="4" w:space="0"/>
              <w:right w:val="single" w:color="auto" w:sz="4" w:space="0"/>
            </w:tcBorders>
            <w:noWrap/>
            <w:vAlign w:val="center"/>
          </w:tcPr>
          <w:p w14:paraId="1DC28C8F">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p w14:paraId="623B1003">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已经获得或者即将获得国内外大学博士学位，同时具有海外求学或工作经历者优先；</w:t>
            </w:r>
          </w:p>
          <w:p w14:paraId="0E976E97">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具有较强的科学研究能力和学术水平，专业知识扎实，发表高水平学术论文1篇及以上；</w:t>
            </w:r>
          </w:p>
          <w:p w14:paraId="38F54F80">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具备优秀的中英文写作能力和沟通表达能力，能撰写项目申请书；</w:t>
            </w:r>
          </w:p>
          <w:p w14:paraId="10B82DE6">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具备良好的团队协作精神，工作态度勤奋、主动、严谨、负责，具有创新意识并能独立开展相关研究</w:t>
            </w:r>
            <w:r>
              <w:rPr>
                <w:rFonts w:hint="eastAsia" w:cs="Times New Roman" w:eastAsiaTheme="minorEastAsia"/>
                <w:color w:val="000000" w:themeColor="text1"/>
                <w:sz w:val="21"/>
                <w:szCs w:val="21"/>
                <w:highlight w:val="none"/>
                <w:lang w:val="en-US" w:eastAsia="zh-CN"/>
                <w14:textFill>
                  <w14:solidFill>
                    <w14:schemeClr w14:val="tx1"/>
                  </w14:solidFill>
                </w14:textFill>
              </w:rPr>
              <w:t>；</w:t>
            </w:r>
          </w:p>
          <w:p w14:paraId="49B62D3E">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有复杂工程架构设计能力或有开源社区项目经验的人选优先；</w:t>
            </w:r>
          </w:p>
        </w:tc>
      </w:tr>
      <w:tr w14:paraId="0F03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1945" w:type="dxa"/>
            <w:gridSpan w:val="2"/>
            <w:tcBorders>
              <w:top w:val="single" w:color="auto" w:sz="4" w:space="0"/>
              <w:left w:val="single" w:color="auto" w:sz="4" w:space="0"/>
              <w:bottom w:val="single" w:color="auto" w:sz="4" w:space="0"/>
              <w:right w:val="single" w:color="auto" w:sz="4" w:space="0"/>
            </w:tcBorders>
            <w:noWrap/>
            <w:vAlign w:val="center"/>
          </w:tcPr>
          <w:p w14:paraId="73DF5F0C">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基于工业大模型</w:t>
            </w:r>
          </w:p>
          <w:p w14:paraId="59802A06">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和策略系统双引</w:t>
            </w:r>
          </w:p>
          <w:p w14:paraId="445D00A3">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擎驱动的多模态</w:t>
            </w:r>
          </w:p>
          <w:p w14:paraId="2CB380A9">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AI监测预警项目</w:t>
            </w:r>
          </w:p>
        </w:tc>
        <w:tc>
          <w:tcPr>
            <w:tcW w:w="812" w:type="dxa"/>
            <w:tcBorders>
              <w:top w:val="single" w:color="auto" w:sz="4" w:space="0"/>
              <w:left w:val="single" w:color="auto" w:sz="4" w:space="0"/>
              <w:bottom w:val="single" w:color="auto" w:sz="4" w:space="0"/>
              <w:right w:val="single" w:color="auto" w:sz="4" w:space="0"/>
            </w:tcBorders>
            <w:noWrap/>
            <w:vAlign w:val="center"/>
          </w:tcPr>
          <w:p w14:paraId="13F31A70">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142" w:type="dxa"/>
            <w:gridSpan w:val="2"/>
            <w:tcBorders>
              <w:top w:val="single" w:color="auto" w:sz="4" w:space="0"/>
              <w:left w:val="single" w:color="auto" w:sz="4" w:space="0"/>
              <w:bottom w:val="single" w:color="auto" w:sz="4" w:space="0"/>
              <w:right w:val="single" w:color="auto" w:sz="4" w:space="0"/>
            </w:tcBorders>
            <w:noWrap/>
            <w:vAlign w:val="center"/>
          </w:tcPr>
          <w:p w14:paraId="15C6C654">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BSH002</w:t>
            </w:r>
          </w:p>
        </w:tc>
        <w:tc>
          <w:tcPr>
            <w:tcW w:w="1585" w:type="dxa"/>
            <w:gridSpan w:val="2"/>
            <w:tcBorders>
              <w:top w:val="single" w:color="auto" w:sz="4" w:space="0"/>
              <w:left w:val="single" w:color="auto" w:sz="4" w:space="0"/>
              <w:bottom w:val="single" w:color="auto" w:sz="4" w:space="0"/>
              <w:right w:val="single" w:color="auto" w:sz="4" w:space="0"/>
            </w:tcBorders>
            <w:noWrap/>
            <w:vAlign w:val="center"/>
          </w:tcPr>
          <w:p w14:paraId="1C0153AE">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人工智能、软件工程、物流工程、供应链管理计算机视觉图像等。</w:t>
            </w:r>
          </w:p>
          <w:p w14:paraId="22D82AA7">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1449" w:type="dxa"/>
            <w:gridSpan w:val="2"/>
            <w:tcBorders>
              <w:top w:val="single" w:color="auto" w:sz="4" w:space="0"/>
              <w:left w:val="single" w:color="auto" w:sz="4" w:space="0"/>
              <w:bottom w:val="single" w:color="auto" w:sz="4" w:space="0"/>
              <w:right w:val="single" w:color="auto" w:sz="4" w:space="0"/>
            </w:tcBorders>
            <w:noWrap/>
            <w:vAlign w:val="center"/>
          </w:tcPr>
          <w:p w14:paraId="4CAFEDBD">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项目：900万</w:t>
            </w:r>
          </w:p>
          <w:p w14:paraId="481C172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eastAsiaTheme="minorEastAsia"/>
                <w:color w:val="000000" w:themeColor="text1"/>
                <w:sz w:val="21"/>
                <w:szCs w:val="21"/>
                <w:highlight w:val="none"/>
                <w:shd w:val="clear" w:color="auto" w:fill="FFC00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个人：面谈</w:t>
            </w:r>
          </w:p>
        </w:tc>
        <w:tc>
          <w:tcPr>
            <w:tcW w:w="2818" w:type="dxa"/>
            <w:gridSpan w:val="2"/>
            <w:tcBorders>
              <w:top w:val="single" w:color="auto" w:sz="4" w:space="0"/>
              <w:left w:val="single" w:color="auto" w:sz="4" w:space="0"/>
              <w:bottom w:val="single" w:color="auto" w:sz="4" w:space="0"/>
              <w:right w:val="single" w:color="auto" w:sz="4" w:space="0"/>
            </w:tcBorders>
            <w:noWrap/>
            <w:vAlign w:val="center"/>
          </w:tcPr>
          <w:p w14:paraId="16048AA3">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已经获得或者即将获得国内外大学博士学位，同时具有海外求学或工作经历者优先；</w:t>
            </w:r>
          </w:p>
          <w:p w14:paraId="7EE512DE">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具有较强的科学研究能力和学术水平，专业知识扎实，发表高水平学术论文1篇及以上；</w:t>
            </w:r>
          </w:p>
          <w:p w14:paraId="0AB3579F">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具备优秀的中英文写作能力和沟通表达能力，能撰写项目申请书；</w:t>
            </w:r>
          </w:p>
          <w:p w14:paraId="24681B9A">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具备良好的团队协作精神，工作态度勤奋、主动、严谨、负责，具有创新意识并能独立开展相关研究。</w:t>
            </w:r>
          </w:p>
          <w:p w14:paraId="55A8CDE9">
            <w:pPr>
              <w:keepNext w:val="0"/>
              <w:keepLines w:val="0"/>
              <w:pageBreakBefore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有复杂工程架构设计能力或有开源社区项目经验的人选优先；</w:t>
            </w:r>
          </w:p>
        </w:tc>
      </w:tr>
    </w:tbl>
    <w:p w14:paraId="010AA37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DF7C3E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2C4DBA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FF9B9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B4257C3">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70" w:name="_Toc10270"/>
      <w:bookmarkStart w:id="771" w:name="_Toc13215"/>
      <w:bookmarkStart w:id="772" w:name="_Toc6480"/>
      <w:bookmarkStart w:id="773" w:name="_Toc20145"/>
      <w:bookmarkStart w:id="774" w:name="_Toc23079"/>
      <w:r>
        <w:rPr>
          <w:rFonts w:hint="eastAsia" w:ascii="Times New Roman" w:hAnsi="Times New Roman" w:eastAsia="方正小标宋简体" w:cs="Times New Roman"/>
          <w:sz w:val="44"/>
          <w:szCs w:val="44"/>
          <w:highlight w:val="none"/>
        </w:rPr>
        <w:t>洪雅峨眉半山健康管理有限公司</w:t>
      </w:r>
      <w:bookmarkEnd w:id="770"/>
      <w:bookmarkEnd w:id="771"/>
      <w:bookmarkEnd w:id="772"/>
      <w:bookmarkEnd w:id="773"/>
      <w:bookmarkEnd w:id="774"/>
    </w:p>
    <w:p w14:paraId="33D7855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75AC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D09203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05CA8BC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4F4537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24678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329947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1EF13E8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51B6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9D5AD5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6618F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四川省成都市高新区天府大道北段1480号1栋3层</w:t>
            </w:r>
          </w:p>
        </w:tc>
      </w:tr>
      <w:tr w14:paraId="1681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1271" w:type="dxa"/>
            <w:shd w:val="clear" w:color="auto" w:fill="E7E6E6" w:themeFill="background2"/>
            <w:noWrap/>
            <w:vAlign w:val="center"/>
          </w:tcPr>
          <w:p w14:paraId="0445EE2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4E90DAF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峨眉半山健康管理公司成立于2014年，现已发展为集生物抗衰、健康管理、康养度假、医美养护四大支柱产业为核心，结合新中医、生物科技、半山健康生活方式打造峨眉半山全生命科学产业链的大健康前沿领军企业。公司于2016 年成立了全资子公司四川驰鼎盛通生物科技有限公司（驰鼎盛通研究院）， 公司以细胞再生抗衰老技术为研究核心，在成都高新区孵化园拥有 2000 平米符合国际GMP/GLP标准的生物细胞实验室（驰鼎盛通实验室），与国内外多家研究院、医疗机构等达成合作关系，与华西中老年研究中心合作组建成为产学研一体的重点实验室。成立至今公司通过了ISO 9001：2015质量管理体系认证和CNAS质检实验室认证，在2021年获高新技术企业，授权二十多项细胞相关专利技术。</w:t>
            </w:r>
          </w:p>
        </w:tc>
      </w:tr>
      <w:tr w14:paraId="2458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1" w:type="dxa"/>
            <w:shd w:val="clear" w:color="auto" w:fill="E7E6E6" w:themeFill="background2"/>
            <w:noWrap/>
            <w:vAlign w:val="center"/>
          </w:tcPr>
          <w:p w14:paraId="518D3FD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BB16E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公司为博士后提供不低于30万/年的项目指导及技术攻关经费，并提供相应科研配套资金、研究设备与场地、基础材料及其它科研条件；对在工作中有重大经济利益的研究，除基本补助外，公司按最高 10 万的标准给予贡献奖励；同时博士后享受公司其它同类正式职工待遇。</w:t>
            </w:r>
          </w:p>
        </w:tc>
      </w:tr>
      <w:tr w14:paraId="0EDC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4E2FC1A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F2B541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6528DE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1F13657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EA8DF4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122AA97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3EAA43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7A6835B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1123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0E16EB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静脉注射人脐带间充质干细胞治疗老年衰弱综合症的Ⅰ/Ⅱ期临床研究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698A8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63EDF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4D8717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生物学</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EE01D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30</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1EB6A60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bl>
    <w:p w14:paraId="330C611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AD1B57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C61442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218B06F">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6F1FA6E1">
      <w:pPr>
        <w:pStyle w:val="5"/>
        <w:adjustRightInd w:val="0"/>
        <w:snapToGrid w:val="0"/>
        <w:spacing w:line="240" w:lineRule="auto"/>
        <w:ind w:firstLine="0"/>
        <w:jc w:val="center"/>
        <w:outlineLvl w:val="0"/>
        <w:rPr>
          <w:rFonts w:eastAsia="宋体"/>
          <w:sz w:val="44"/>
          <w:szCs w:val="44"/>
          <w:highlight w:val="yellow"/>
        </w:rPr>
      </w:pPr>
      <w:bookmarkStart w:id="775" w:name="_Toc9380"/>
      <w:bookmarkStart w:id="776" w:name="_Toc24980"/>
      <w:bookmarkStart w:id="777" w:name="_Toc3581"/>
      <w:bookmarkStart w:id="778" w:name="_Toc3379"/>
      <w:bookmarkStart w:id="779" w:name="_Toc2873"/>
      <w:r>
        <w:rPr>
          <w:rFonts w:eastAsia="方正小标宋简体"/>
          <w:sz w:val="44"/>
          <w:szCs w:val="44"/>
          <w:highlight w:val="none"/>
        </w:rPr>
        <w:t>乐山职业技术学院</w:t>
      </w:r>
      <w:bookmarkEnd w:id="775"/>
      <w:bookmarkEnd w:id="776"/>
      <w:bookmarkEnd w:id="777"/>
      <w:bookmarkEnd w:id="778"/>
      <w:bookmarkEnd w:id="779"/>
    </w:p>
    <w:p w14:paraId="7E65C367">
      <w:pPr>
        <w:adjustRightInd w:val="0"/>
        <w:snapToGrid w:val="0"/>
        <w:spacing w:line="240" w:lineRule="auto"/>
        <w:ind w:firstLine="420" w:firstLineChars="200"/>
        <w:rPr>
          <w:rFonts w:eastAsia="宋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229"/>
        <w:gridCol w:w="359"/>
        <w:gridCol w:w="777"/>
        <w:gridCol w:w="1149"/>
        <w:gridCol w:w="53"/>
        <w:gridCol w:w="1593"/>
        <w:gridCol w:w="126"/>
        <w:gridCol w:w="1393"/>
        <w:gridCol w:w="598"/>
        <w:gridCol w:w="1062"/>
        <w:gridCol w:w="87"/>
      </w:tblGrid>
      <w:tr w14:paraId="2BC9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777ACBB7">
            <w:pPr>
              <w:adjustRightInd w:val="0"/>
              <w:snapToGrid w:val="0"/>
              <w:spacing w:line="240" w:lineRule="auto"/>
              <w:ind w:firstLine="0"/>
              <w:jc w:val="center"/>
              <w:rPr>
                <w:rFonts w:eastAsia="宋体"/>
                <w:b/>
                <w:bCs/>
                <w:sz w:val="21"/>
                <w:szCs w:val="21"/>
              </w:rPr>
            </w:pPr>
            <w:r>
              <w:rPr>
                <w:rFonts w:eastAsia="宋体"/>
                <w:b/>
                <w:bCs/>
                <w:sz w:val="21"/>
                <w:szCs w:val="21"/>
              </w:rPr>
              <w:t>单位性质</w:t>
            </w:r>
          </w:p>
        </w:tc>
        <w:tc>
          <w:tcPr>
            <w:tcW w:w="1523"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6D06637E">
            <w:pPr>
              <w:adjustRightInd w:val="0"/>
              <w:snapToGrid w:val="0"/>
              <w:spacing w:line="240" w:lineRule="auto"/>
              <w:ind w:firstLine="0"/>
              <w:jc w:val="center"/>
              <w:rPr>
                <w:rFonts w:eastAsia="宋体"/>
                <w:sz w:val="21"/>
                <w:szCs w:val="21"/>
              </w:rPr>
            </w:pPr>
            <w:r>
              <w:rPr>
                <w:rFonts w:eastAsia="宋体"/>
                <w:sz w:val="21"/>
                <w:szCs w:val="21"/>
              </w:rPr>
              <w:t>高等院校</w:t>
            </w:r>
          </w:p>
        </w:tc>
        <w:tc>
          <w:tcPr>
            <w:tcW w:w="1898" w:type="dxa"/>
            <w:gridSpan w:val="3"/>
            <w:tcBorders>
              <w:top w:val="single" w:color="auto" w:sz="4" w:space="0"/>
              <w:left w:val="single" w:color="auto" w:sz="4" w:space="0"/>
              <w:bottom w:val="single" w:color="auto" w:sz="4" w:space="0"/>
              <w:right w:val="single" w:color="auto" w:sz="4" w:space="0"/>
            </w:tcBorders>
            <w:shd w:val="clear" w:color="auto" w:fill="E7E6E6"/>
            <w:noWrap/>
            <w:vAlign w:val="center"/>
          </w:tcPr>
          <w:p w14:paraId="1173C3AE">
            <w:pPr>
              <w:adjustRightInd w:val="0"/>
              <w:snapToGrid w:val="0"/>
              <w:spacing w:line="240" w:lineRule="auto"/>
              <w:ind w:firstLine="0"/>
              <w:jc w:val="center"/>
              <w:rPr>
                <w:rFonts w:eastAsia="宋体"/>
                <w:sz w:val="21"/>
                <w:szCs w:val="21"/>
              </w:rPr>
            </w:pPr>
            <w:r>
              <w:rPr>
                <w:rFonts w:eastAsia="宋体"/>
                <w:b/>
                <w:bCs/>
                <w:sz w:val="21"/>
                <w:szCs w:val="21"/>
              </w:rPr>
              <w:t>设站单位类型</w:t>
            </w:r>
          </w:p>
        </w:tc>
        <w:tc>
          <w:tcPr>
            <w:tcW w:w="164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75D62075">
            <w:pPr>
              <w:adjustRightInd w:val="0"/>
              <w:snapToGrid w:val="0"/>
              <w:spacing w:line="240" w:lineRule="auto"/>
              <w:ind w:firstLine="0"/>
              <w:jc w:val="center"/>
              <w:rPr>
                <w:rFonts w:eastAsia="宋体"/>
                <w:sz w:val="21"/>
                <w:szCs w:val="21"/>
              </w:rPr>
            </w:pPr>
            <w:r>
              <w:rPr>
                <w:rFonts w:eastAsia="宋体"/>
                <w:sz w:val="21"/>
                <w:szCs w:val="21"/>
              </w:rPr>
              <w:t>创新实践基地</w:t>
            </w:r>
          </w:p>
        </w:tc>
        <w:tc>
          <w:tcPr>
            <w:tcW w:w="1909" w:type="dxa"/>
            <w:gridSpan w:val="2"/>
            <w:tcBorders>
              <w:top w:val="single" w:color="auto" w:sz="4" w:space="0"/>
              <w:left w:val="single" w:color="auto" w:sz="4" w:space="0"/>
              <w:bottom w:val="single" w:color="auto" w:sz="4" w:space="0"/>
              <w:right w:val="single" w:color="auto" w:sz="4" w:space="0"/>
            </w:tcBorders>
            <w:shd w:val="clear" w:color="auto" w:fill="E7E6E6"/>
            <w:noWrap/>
            <w:vAlign w:val="center"/>
          </w:tcPr>
          <w:p w14:paraId="14A7F5F7">
            <w:pPr>
              <w:adjustRightInd w:val="0"/>
              <w:snapToGrid w:val="0"/>
              <w:spacing w:line="240" w:lineRule="auto"/>
              <w:ind w:firstLine="0"/>
              <w:jc w:val="center"/>
              <w:rPr>
                <w:rFonts w:eastAsia="宋体"/>
                <w:sz w:val="21"/>
                <w:szCs w:val="21"/>
              </w:rPr>
            </w:pPr>
            <w:r>
              <w:rPr>
                <w:rFonts w:eastAsia="宋体"/>
                <w:b/>
                <w:bCs/>
                <w:sz w:val="21"/>
                <w:szCs w:val="21"/>
              </w:rPr>
              <w:t>单位所在城市</w:t>
            </w:r>
          </w:p>
        </w:tc>
        <w:tc>
          <w:tcPr>
            <w:tcW w:w="1101"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800BD52">
            <w:pPr>
              <w:adjustRightInd w:val="0"/>
              <w:snapToGrid w:val="0"/>
              <w:spacing w:line="240" w:lineRule="auto"/>
              <w:ind w:firstLine="0"/>
              <w:jc w:val="center"/>
              <w:rPr>
                <w:rFonts w:eastAsia="宋体"/>
                <w:sz w:val="21"/>
                <w:szCs w:val="21"/>
              </w:rPr>
            </w:pPr>
            <w:r>
              <w:rPr>
                <w:rFonts w:eastAsia="宋体"/>
                <w:sz w:val="21"/>
                <w:szCs w:val="21"/>
              </w:rPr>
              <w:t>乐山</w:t>
            </w:r>
          </w:p>
        </w:tc>
      </w:tr>
      <w:tr w14:paraId="123B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2DF71A1E">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080" w:type="dxa"/>
            <w:gridSpan w:val="11"/>
            <w:tcBorders>
              <w:top w:val="single" w:color="auto" w:sz="4" w:space="0"/>
              <w:left w:val="single" w:color="auto" w:sz="4" w:space="0"/>
              <w:bottom w:val="single" w:color="auto" w:sz="4" w:space="0"/>
              <w:right w:val="single" w:color="auto" w:sz="4" w:space="0"/>
            </w:tcBorders>
            <w:shd w:val="clear" w:color="auto" w:fill="FFFFFF"/>
            <w:noWrap/>
            <w:vAlign w:val="center"/>
          </w:tcPr>
          <w:p w14:paraId="1B93D45B">
            <w:pPr>
              <w:adjustRightInd w:val="0"/>
              <w:snapToGrid w:val="0"/>
              <w:spacing w:line="240" w:lineRule="auto"/>
              <w:ind w:firstLine="1877" w:firstLineChars="894"/>
              <w:rPr>
                <w:rFonts w:eastAsia="宋体"/>
                <w:sz w:val="21"/>
                <w:szCs w:val="21"/>
              </w:rPr>
            </w:pPr>
            <w:r>
              <w:rPr>
                <w:rFonts w:eastAsia="宋体"/>
                <w:sz w:val="21"/>
                <w:szCs w:val="21"/>
              </w:rPr>
              <w:t>四川省乐山市市中区青江路中段1336号</w:t>
            </w:r>
          </w:p>
        </w:tc>
      </w:tr>
      <w:tr w14:paraId="5458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497F9897">
            <w:pPr>
              <w:adjustRightInd w:val="0"/>
              <w:snapToGrid w:val="0"/>
              <w:ind w:firstLine="0"/>
              <w:jc w:val="center"/>
              <w:rPr>
                <w:rFonts w:eastAsia="宋体"/>
                <w:b/>
                <w:bCs/>
                <w:sz w:val="21"/>
                <w:szCs w:val="21"/>
              </w:rPr>
            </w:pPr>
            <w:r>
              <w:rPr>
                <w:rFonts w:eastAsia="宋体"/>
                <w:b/>
                <w:bCs/>
                <w:sz w:val="21"/>
                <w:szCs w:val="21"/>
              </w:rPr>
              <w:t>单位简介</w:t>
            </w:r>
          </w:p>
        </w:tc>
        <w:tc>
          <w:tcPr>
            <w:tcW w:w="8080"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14:paraId="22359B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sz w:val="21"/>
                <w:szCs w:val="21"/>
              </w:rPr>
            </w:pPr>
            <w:r>
              <w:rPr>
                <w:rFonts w:hint="eastAsia" w:eastAsia="宋体"/>
                <w:sz w:val="21"/>
                <w:szCs w:val="21"/>
              </w:rPr>
              <w:t>乐山职业技术学院博士后创新实践基地于2014年7月经四川省人力资源和社会保障厅批准设立，目前已招收博士后7人次，其中已出站4人次。基地以乐山职业技术学院为载体，与具有博士后流动站的中国科学院成都计算机应用研究所、四川大学、西南交通大学、成都中医药大学等联合招收和培养博士后研究人员，着力培育和提升学校与地方产学研协同创新能力，引领地方产业高质量发展。本基地面向国内外公开招收博士后研究人员，热忱欢迎符合条件的博士研究生来我基地工作。</w:t>
            </w:r>
          </w:p>
        </w:tc>
      </w:tr>
      <w:tr w14:paraId="6A8C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1271" w:type="dxa"/>
            <w:tcBorders>
              <w:top w:val="single" w:color="auto" w:sz="4" w:space="0"/>
              <w:left w:val="single" w:color="auto" w:sz="4" w:space="0"/>
              <w:bottom w:val="single" w:color="auto" w:sz="4" w:space="0"/>
              <w:right w:val="single" w:color="auto" w:sz="4" w:space="0"/>
            </w:tcBorders>
            <w:shd w:val="clear" w:color="auto" w:fill="E7E6E6"/>
            <w:noWrap/>
            <w:vAlign w:val="center"/>
          </w:tcPr>
          <w:p w14:paraId="00CB061C">
            <w:pPr>
              <w:adjustRightInd w:val="0"/>
              <w:snapToGrid w:val="0"/>
              <w:spacing w:line="240" w:lineRule="auto"/>
              <w:ind w:firstLine="0"/>
              <w:jc w:val="center"/>
              <w:rPr>
                <w:rFonts w:eastAsia="宋体"/>
                <w:b/>
                <w:bCs/>
                <w:sz w:val="21"/>
                <w:szCs w:val="21"/>
              </w:rPr>
            </w:pPr>
            <w:r>
              <w:rPr>
                <w:rFonts w:eastAsia="宋体"/>
                <w:b/>
                <w:bCs/>
                <w:sz w:val="21"/>
                <w:szCs w:val="21"/>
              </w:rPr>
              <w:t>单位博士后主要政策</w:t>
            </w:r>
          </w:p>
        </w:tc>
        <w:tc>
          <w:tcPr>
            <w:tcW w:w="8080"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14:paraId="2F182C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sz w:val="21"/>
                <w:szCs w:val="21"/>
              </w:rPr>
            </w:pPr>
            <w:r>
              <w:rPr>
                <w:rFonts w:hint="eastAsia" w:eastAsia="宋体"/>
                <w:sz w:val="21"/>
                <w:szCs w:val="21"/>
              </w:rPr>
              <w:t>乐山职业技术学院博士后创新实践基地依据《乐山职业技术学院人才引进管理办法(试行)》（乐职院通〔2016〕33号）相关规定，为进入我校创新实践基地的博士后在站人员给予60万元的日常工作经费和8万元的科研启动经费保障，按需配备1-3名科研助手，提供专家楼住房保障，全方面满足博士后人员科研和生活需要。</w:t>
            </w:r>
          </w:p>
        </w:tc>
      </w:tr>
      <w:tr w14:paraId="0841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 w:type="dxa"/>
          <w:trHeight w:val="748" w:hRule="atLeast"/>
          <w:jc w:val="center"/>
        </w:trPr>
        <w:tc>
          <w:tcPr>
            <w:tcW w:w="2450" w:type="dxa"/>
            <w:gridSpan w:val="2"/>
            <w:tcBorders>
              <w:top w:val="single" w:color="auto" w:sz="4" w:space="0"/>
              <w:left w:val="single" w:color="auto" w:sz="4" w:space="0"/>
              <w:bottom w:val="single" w:color="auto" w:sz="4" w:space="0"/>
              <w:right w:val="single" w:color="auto" w:sz="4" w:space="0"/>
            </w:tcBorders>
            <w:shd w:val="clear" w:color="auto" w:fill="E7E6E6"/>
            <w:noWrap/>
            <w:vAlign w:val="center"/>
          </w:tcPr>
          <w:p w14:paraId="7B0B5FE8">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1089"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164D0CC0">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102" w:type="dxa"/>
            <w:tcBorders>
              <w:top w:val="single" w:color="auto" w:sz="4" w:space="0"/>
              <w:left w:val="single" w:color="auto" w:sz="4" w:space="0"/>
              <w:bottom w:val="single" w:color="auto" w:sz="4" w:space="0"/>
              <w:right w:val="single" w:color="auto" w:sz="4" w:space="0"/>
            </w:tcBorders>
            <w:shd w:val="clear" w:color="auto" w:fill="E7E6E6"/>
            <w:vAlign w:val="center"/>
          </w:tcPr>
          <w:p w14:paraId="62BFF5D9">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579"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7B598AB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D219787">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1B755F6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A8523A0">
            <w:pPr>
              <w:adjustRightInd w:val="0"/>
              <w:snapToGrid w:val="0"/>
              <w:spacing w:line="240" w:lineRule="auto"/>
              <w:ind w:firstLine="0" w:firstLineChars="0"/>
              <w:jc w:val="center"/>
              <w:rPr>
                <w:rFonts w:eastAsia="宋体"/>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gridSpan w:val="2"/>
            <w:tcBorders>
              <w:top w:val="single" w:color="auto" w:sz="4" w:space="0"/>
              <w:left w:val="single" w:color="auto" w:sz="4" w:space="0"/>
              <w:bottom w:val="single" w:color="auto" w:sz="4" w:space="0"/>
              <w:right w:val="single" w:color="auto" w:sz="4" w:space="0"/>
            </w:tcBorders>
            <w:shd w:val="clear" w:color="auto" w:fill="E7E6E6"/>
            <w:vAlign w:val="center"/>
          </w:tcPr>
          <w:p w14:paraId="44D5C52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E65724B">
            <w:pPr>
              <w:adjustRightInd w:val="0"/>
              <w:snapToGrid w:val="0"/>
              <w:spacing w:line="240" w:lineRule="auto"/>
              <w:ind w:firstLine="0" w:firstLineChars="0"/>
              <w:jc w:val="center"/>
              <w:rPr>
                <w:rFonts w:eastAsia="宋体"/>
                <w:b/>
                <w:bCs/>
                <w:sz w:val="21"/>
                <w:szCs w:val="21"/>
              </w:rPr>
            </w:pPr>
            <w:r>
              <w:rPr>
                <w:rFonts w:eastAsiaTheme="minorEastAsia"/>
                <w:b/>
                <w:bCs/>
                <w:sz w:val="21"/>
                <w:szCs w:val="21"/>
              </w:rPr>
              <w:t>等要求</w:t>
            </w:r>
          </w:p>
        </w:tc>
      </w:tr>
      <w:tr w14:paraId="3B80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 w:type="dxa"/>
          <w:trHeight w:val="1134" w:hRule="atLeast"/>
          <w:jc w:val="center"/>
        </w:trPr>
        <w:tc>
          <w:tcPr>
            <w:tcW w:w="2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E0D113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天然药物化学研究</w:t>
            </w:r>
          </w:p>
        </w:tc>
        <w:tc>
          <w:tcPr>
            <w:tcW w:w="1089" w:type="dxa"/>
            <w:gridSpan w:val="2"/>
            <w:tcBorders>
              <w:top w:val="single" w:color="auto" w:sz="4" w:space="0"/>
              <w:left w:val="nil"/>
              <w:bottom w:val="single" w:color="auto" w:sz="4" w:space="0"/>
              <w:right w:val="single" w:color="auto" w:sz="4" w:space="0"/>
            </w:tcBorders>
            <w:shd w:val="clear" w:color="auto" w:fill="FFFFFF"/>
            <w:vAlign w:val="center"/>
          </w:tcPr>
          <w:p w14:paraId="26578E6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02" w:type="dxa"/>
            <w:tcBorders>
              <w:top w:val="single" w:color="auto" w:sz="4" w:space="0"/>
              <w:left w:val="nil"/>
              <w:bottom w:val="single" w:color="auto" w:sz="4" w:space="0"/>
              <w:right w:val="single" w:color="auto" w:sz="4" w:space="0"/>
            </w:tcBorders>
            <w:shd w:val="clear" w:color="auto" w:fill="FFFFFF"/>
            <w:vAlign w:val="center"/>
          </w:tcPr>
          <w:p w14:paraId="71F41B0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nil"/>
              <w:bottom w:val="single" w:color="auto" w:sz="4" w:space="0"/>
              <w:right w:val="single" w:color="auto" w:sz="4" w:space="0"/>
            </w:tcBorders>
            <w:shd w:val="clear" w:color="auto" w:fill="FFFFFF"/>
            <w:vAlign w:val="center"/>
          </w:tcPr>
          <w:p w14:paraId="3069114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药学大类</w:t>
            </w:r>
          </w:p>
        </w:tc>
        <w:tc>
          <w:tcPr>
            <w:tcW w:w="1457" w:type="dxa"/>
            <w:gridSpan w:val="2"/>
            <w:tcBorders>
              <w:top w:val="single" w:color="auto" w:sz="4" w:space="0"/>
              <w:left w:val="nil"/>
              <w:bottom w:val="single" w:color="auto" w:sz="4" w:space="0"/>
              <w:right w:val="single" w:color="auto" w:sz="4" w:space="0"/>
            </w:tcBorders>
            <w:shd w:val="clear" w:color="auto" w:fill="FFFFFF"/>
            <w:vAlign w:val="center"/>
          </w:tcPr>
          <w:p w14:paraId="3DBA411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591" w:type="dxa"/>
            <w:gridSpan w:val="2"/>
            <w:vMerge w:val="restart"/>
            <w:tcBorders>
              <w:top w:val="single" w:color="auto" w:sz="4" w:space="0"/>
              <w:left w:val="nil"/>
              <w:right w:val="single" w:color="auto" w:sz="4" w:space="0"/>
            </w:tcBorders>
            <w:shd w:val="clear" w:color="auto" w:fill="FFFFFF"/>
            <w:vAlign w:val="center"/>
          </w:tcPr>
          <w:p w14:paraId="4368D23E">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30BE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 w:type="dxa"/>
          <w:trHeight w:val="1134" w:hRule="atLeast"/>
          <w:jc w:val="center"/>
        </w:trPr>
        <w:tc>
          <w:tcPr>
            <w:tcW w:w="2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5654C0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大数据统计、计算机视觉技术、计算机深度学习研究</w:t>
            </w:r>
          </w:p>
        </w:tc>
        <w:tc>
          <w:tcPr>
            <w:tcW w:w="1089" w:type="dxa"/>
            <w:gridSpan w:val="2"/>
            <w:tcBorders>
              <w:top w:val="single" w:color="auto" w:sz="4" w:space="0"/>
              <w:left w:val="nil"/>
              <w:bottom w:val="single" w:color="auto" w:sz="4" w:space="0"/>
              <w:right w:val="single" w:color="auto" w:sz="4" w:space="0"/>
            </w:tcBorders>
            <w:shd w:val="clear" w:color="auto" w:fill="FFFFFF"/>
            <w:vAlign w:val="center"/>
          </w:tcPr>
          <w:p w14:paraId="05FD401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02" w:type="dxa"/>
            <w:tcBorders>
              <w:top w:val="single" w:color="auto" w:sz="4" w:space="0"/>
              <w:left w:val="nil"/>
              <w:bottom w:val="single" w:color="auto" w:sz="4" w:space="0"/>
              <w:right w:val="single" w:color="auto" w:sz="4" w:space="0"/>
            </w:tcBorders>
            <w:shd w:val="clear" w:color="auto" w:fill="FFFFFF"/>
            <w:vAlign w:val="center"/>
          </w:tcPr>
          <w:p w14:paraId="0A1C077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BSH002</w:t>
            </w:r>
          </w:p>
        </w:tc>
        <w:tc>
          <w:tcPr>
            <w:tcW w:w="1579" w:type="dxa"/>
            <w:gridSpan w:val="2"/>
            <w:tcBorders>
              <w:top w:val="single" w:color="auto" w:sz="4" w:space="0"/>
              <w:left w:val="nil"/>
              <w:bottom w:val="single" w:color="auto" w:sz="4" w:space="0"/>
              <w:right w:val="single" w:color="auto" w:sz="4" w:space="0"/>
            </w:tcBorders>
            <w:shd w:val="clear" w:color="auto" w:fill="FFFFFF"/>
            <w:vAlign w:val="center"/>
          </w:tcPr>
          <w:p w14:paraId="05A8B98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计算机科学与技术、测绘科学与技术</w:t>
            </w:r>
          </w:p>
        </w:tc>
        <w:tc>
          <w:tcPr>
            <w:tcW w:w="1457" w:type="dxa"/>
            <w:gridSpan w:val="2"/>
            <w:tcBorders>
              <w:top w:val="single" w:color="auto" w:sz="4" w:space="0"/>
              <w:left w:val="nil"/>
              <w:bottom w:val="single" w:color="auto" w:sz="4" w:space="0"/>
              <w:right w:val="single" w:color="auto" w:sz="4" w:space="0"/>
            </w:tcBorders>
            <w:shd w:val="clear" w:color="auto" w:fill="FFFFFF"/>
            <w:vAlign w:val="center"/>
          </w:tcPr>
          <w:p w14:paraId="2042843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591" w:type="dxa"/>
            <w:gridSpan w:val="2"/>
            <w:vMerge w:val="continue"/>
            <w:tcBorders>
              <w:left w:val="nil"/>
              <w:right w:val="single" w:color="auto" w:sz="4" w:space="0"/>
            </w:tcBorders>
            <w:shd w:val="clear" w:color="auto" w:fill="FFFFFF"/>
            <w:vAlign w:val="center"/>
          </w:tcPr>
          <w:p w14:paraId="53D28B6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0F1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 w:type="dxa"/>
          <w:trHeight w:val="1134" w:hRule="atLeast"/>
          <w:jc w:val="center"/>
        </w:trPr>
        <w:tc>
          <w:tcPr>
            <w:tcW w:w="2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5E2CF074">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口腔医学仿真教学研究、口腔数字化技术研究</w:t>
            </w:r>
          </w:p>
        </w:tc>
        <w:tc>
          <w:tcPr>
            <w:tcW w:w="1089" w:type="dxa"/>
            <w:gridSpan w:val="2"/>
            <w:tcBorders>
              <w:top w:val="single" w:color="auto" w:sz="4" w:space="0"/>
              <w:left w:val="nil"/>
              <w:bottom w:val="single" w:color="auto" w:sz="4" w:space="0"/>
              <w:right w:val="single" w:color="auto" w:sz="4" w:space="0"/>
            </w:tcBorders>
            <w:shd w:val="clear" w:color="auto" w:fill="FFFFFF"/>
            <w:vAlign w:val="center"/>
          </w:tcPr>
          <w:p w14:paraId="1461354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02" w:type="dxa"/>
            <w:tcBorders>
              <w:top w:val="single" w:color="auto" w:sz="4" w:space="0"/>
              <w:left w:val="nil"/>
              <w:bottom w:val="single" w:color="auto" w:sz="4" w:space="0"/>
              <w:right w:val="single" w:color="auto" w:sz="4" w:space="0"/>
            </w:tcBorders>
            <w:shd w:val="clear" w:color="auto" w:fill="FFFFFF"/>
            <w:vAlign w:val="center"/>
          </w:tcPr>
          <w:p w14:paraId="007E84E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BSH003</w:t>
            </w:r>
          </w:p>
        </w:tc>
        <w:tc>
          <w:tcPr>
            <w:tcW w:w="1579" w:type="dxa"/>
            <w:gridSpan w:val="2"/>
            <w:tcBorders>
              <w:top w:val="single" w:color="auto" w:sz="4" w:space="0"/>
              <w:left w:val="nil"/>
              <w:bottom w:val="single" w:color="auto" w:sz="4" w:space="0"/>
              <w:right w:val="single" w:color="auto" w:sz="4" w:space="0"/>
            </w:tcBorders>
            <w:shd w:val="clear" w:color="auto" w:fill="FFFFFF"/>
            <w:vAlign w:val="center"/>
          </w:tcPr>
          <w:p w14:paraId="1D4B378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口腔医学</w:t>
            </w:r>
          </w:p>
        </w:tc>
        <w:tc>
          <w:tcPr>
            <w:tcW w:w="1457" w:type="dxa"/>
            <w:gridSpan w:val="2"/>
            <w:tcBorders>
              <w:top w:val="single" w:color="auto" w:sz="4" w:space="0"/>
              <w:left w:val="nil"/>
              <w:bottom w:val="single" w:color="auto" w:sz="4" w:space="0"/>
              <w:right w:val="single" w:color="auto" w:sz="4" w:space="0"/>
            </w:tcBorders>
            <w:shd w:val="clear" w:color="auto" w:fill="FFFFFF"/>
            <w:vAlign w:val="center"/>
          </w:tcPr>
          <w:p w14:paraId="56884DE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591" w:type="dxa"/>
            <w:gridSpan w:val="2"/>
            <w:vMerge w:val="continue"/>
            <w:tcBorders>
              <w:left w:val="nil"/>
              <w:right w:val="single" w:color="auto" w:sz="4" w:space="0"/>
            </w:tcBorders>
            <w:shd w:val="clear" w:color="auto" w:fill="FFFFFF"/>
            <w:vAlign w:val="center"/>
          </w:tcPr>
          <w:p w14:paraId="38765DF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29DB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 w:type="dxa"/>
          <w:trHeight w:val="1134" w:hRule="atLeast"/>
          <w:jc w:val="center"/>
        </w:trPr>
        <w:tc>
          <w:tcPr>
            <w:tcW w:w="2450"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592D77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高性能储能材料制备技术研究、高效太阳能电池技术研究</w:t>
            </w:r>
          </w:p>
        </w:tc>
        <w:tc>
          <w:tcPr>
            <w:tcW w:w="1089" w:type="dxa"/>
            <w:gridSpan w:val="2"/>
            <w:tcBorders>
              <w:top w:val="single" w:color="auto" w:sz="4" w:space="0"/>
              <w:left w:val="nil"/>
              <w:bottom w:val="single" w:color="auto" w:sz="4" w:space="0"/>
              <w:right w:val="single" w:color="auto" w:sz="4" w:space="0"/>
            </w:tcBorders>
            <w:shd w:val="clear" w:color="auto" w:fill="FFFFFF"/>
            <w:vAlign w:val="center"/>
          </w:tcPr>
          <w:p w14:paraId="2118E40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1-2</w:t>
            </w:r>
          </w:p>
        </w:tc>
        <w:tc>
          <w:tcPr>
            <w:tcW w:w="1102" w:type="dxa"/>
            <w:tcBorders>
              <w:top w:val="single" w:color="auto" w:sz="4" w:space="0"/>
              <w:left w:val="nil"/>
              <w:bottom w:val="single" w:color="auto" w:sz="4" w:space="0"/>
              <w:right w:val="single" w:color="auto" w:sz="4" w:space="0"/>
            </w:tcBorders>
            <w:shd w:val="clear" w:color="auto" w:fill="FFFFFF"/>
            <w:vAlign w:val="center"/>
          </w:tcPr>
          <w:p w14:paraId="5C3606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579" w:type="dxa"/>
            <w:gridSpan w:val="2"/>
            <w:tcBorders>
              <w:top w:val="single" w:color="auto" w:sz="4" w:space="0"/>
              <w:left w:val="nil"/>
              <w:bottom w:val="single" w:color="auto" w:sz="4" w:space="0"/>
              <w:right w:val="single" w:color="auto" w:sz="4" w:space="0"/>
            </w:tcBorders>
            <w:shd w:val="clear" w:color="auto" w:fill="FFFFFF"/>
            <w:vAlign w:val="center"/>
          </w:tcPr>
          <w:p w14:paraId="6BE4E24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材料科学与工程、物理学</w:t>
            </w:r>
          </w:p>
        </w:tc>
        <w:tc>
          <w:tcPr>
            <w:tcW w:w="1457" w:type="dxa"/>
            <w:gridSpan w:val="2"/>
            <w:tcBorders>
              <w:top w:val="single" w:color="auto" w:sz="4" w:space="0"/>
              <w:left w:val="nil"/>
              <w:bottom w:val="single" w:color="auto" w:sz="4" w:space="0"/>
              <w:right w:val="single" w:color="auto" w:sz="4" w:space="0"/>
            </w:tcBorders>
            <w:shd w:val="clear" w:color="auto" w:fill="FFFFFF"/>
            <w:vAlign w:val="center"/>
          </w:tcPr>
          <w:p w14:paraId="22FF79D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591" w:type="dxa"/>
            <w:gridSpan w:val="2"/>
            <w:vMerge w:val="continue"/>
            <w:tcBorders>
              <w:left w:val="nil"/>
              <w:bottom w:val="single" w:color="auto" w:sz="4" w:space="0"/>
              <w:right w:val="single" w:color="auto" w:sz="4" w:space="0"/>
            </w:tcBorders>
            <w:shd w:val="clear" w:color="auto" w:fill="FFFFFF"/>
            <w:vAlign w:val="center"/>
          </w:tcPr>
          <w:p w14:paraId="6379DE8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3B0DB91B">
      <w:pPr>
        <w:widowControl/>
        <w:adjustRightInd w:val="0"/>
        <w:snapToGrid w:val="0"/>
        <w:spacing w:line="240" w:lineRule="auto"/>
        <w:ind w:firstLine="0"/>
        <w:jc w:val="left"/>
        <w:rPr>
          <w:rFonts w:eastAsia="方正小标宋简体"/>
          <w:sz w:val="44"/>
          <w:szCs w:val="44"/>
        </w:rPr>
      </w:pPr>
      <w:r>
        <w:rPr>
          <w:rFonts w:eastAsia="方正小标宋简体"/>
          <w:sz w:val="21"/>
          <w:szCs w:val="21"/>
        </w:rPr>
        <w:br w:type="page"/>
      </w:r>
    </w:p>
    <w:p w14:paraId="01F0F76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6A8DB3B2">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80" w:name="_Toc25907"/>
      <w:bookmarkStart w:id="781" w:name="_Toc25061"/>
      <w:bookmarkStart w:id="782" w:name="_Toc1341"/>
      <w:bookmarkStart w:id="783" w:name="_Toc20935"/>
      <w:bookmarkStart w:id="784" w:name="_Toc31152"/>
      <w:r>
        <w:rPr>
          <w:rFonts w:hint="eastAsia" w:ascii="Times New Roman" w:hAnsi="Times New Roman" w:eastAsia="方正小标宋简体" w:cs="Times New Roman"/>
          <w:sz w:val="44"/>
          <w:szCs w:val="44"/>
          <w:highlight w:val="none"/>
        </w:rPr>
        <w:t>龙佰四川矿冶有限公司</w:t>
      </w:r>
      <w:bookmarkEnd w:id="780"/>
      <w:bookmarkEnd w:id="781"/>
      <w:bookmarkEnd w:id="782"/>
      <w:bookmarkEnd w:id="783"/>
      <w:bookmarkEnd w:id="784"/>
    </w:p>
    <w:p w14:paraId="34492FD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1110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53D73A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338FAC1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094334C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AE575C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2F5FB0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0C47661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攀枝花</w:t>
            </w:r>
          </w:p>
        </w:tc>
      </w:tr>
      <w:tr w14:paraId="3B1E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B8867E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755FEC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四川省攀枝花市盐边县新九镇</w:t>
            </w:r>
          </w:p>
        </w:tc>
      </w:tr>
      <w:tr w14:paraId="716A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1271" w:type="dxa"/>
            <w:shd w:val="clear" w:color="auto" w:fill="E7E6E6" w:themeFill="background2"/>
            <w:noWrap/>
            <w:vAlign w:val="center"/>
          </w:tcPr>
          <w:p w14:paraId="5FA53E3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2A45A911">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rPr>
            </w:pPr>
            <w:r>
              <w:rPr>
                <w:rFonts w:hint="eastAsia" w:eastAsiaTheme="minorEastAsia"/>
                <w:sz w:val="21"/>
                <w:szCs w:val="21"/>
              </w:rPr>
              <w:t>龙佰集团股份有限公司是一家致力于钛、锆、锂、钪、钒等新材料研发制造及产业深度整合的大型工业企业集团，深交所上市公司。公司主营产品钛白粉和海绵钛产能，双双位居全球第一。</w:t>
            </w:r>
          </w:p>
          <w:p w14:paraId="0852A535">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eastAsiaTheme="minorEastAsia"/>
                <w:sz w:val="21"/>
                <w:szCs w:val="21"/>
              </w:rPr>
            </w:pPr>
            <w:r>
              <w:rPr>
                <w:rFonts w:hint="eastAsia" w:eastAsiaTheme="minorEastAsia"/>
                <w:sz w:val="21"/>
                <w:szCs w:val="21"/>
              </w:rPr>
              <w:t>龙佰四川矿冶公司为集团的全资子公司，在市、县政府的指导和各部门的鼎力帮助下，经过20余年的奋斗历程，公司资源综合利用水平逐步成为同行业标杆，超微细粒级钛铁矿全流程源头高效回收等多项科技创新成果达到国际领先水平。2023年，公司实现营收67亿元，纳税9.6亿元。</w:t>
            </w:r>
          </w:p>
        </w:tc>
      </w:tr>
      <w:tr w14:paraId="0EB3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6" w:hRule="atLeast"/>
          <w:jc w:val="center"/>
        </w:trPr>
        <w:tc>
          <w:tcPr>
            <w:tcW w:w="1271" w:type="dxa"/>
            <w:shd w:val="clear" w:color="auto" w:fill="E7E6E6" w:themeFill="background2"/>
            <w:noWrap/>
            <w:vAlign w:val="center"/>
          </w:tcPr>
          <w:p w14:paraId="50E032D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72174AE4">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1.给予博士后每年20-40万元的薪酬待遇。</w:t>
            </w:r>
          </w:p>
          <w:p w14:paraId="21ABA6C5">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2.博士后在站期间, 享受与公司在岗员工同等的社会保险、住房公积金、体检以及公众休息休假等福利待遇。</w:t>
            </w:r>
          </w:p>
          <w:p w14:paraId="22F91583">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3.免费入住公司员工宿舍。</w:t>
            </w:r>
          </w:p>
          <w:p w14:paraId="1F29B4AF">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4.博士后在站期间, 公司按照有关规定为其提供相应的研究经费，给予博士后相对独立的工作空间，为其配备相应的科研助手。</w:t>
            </w:r>
          </w:p>
          <w:p w14:paraId="0A5D58A4">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5.博士后在站期间，根据相关政策规定，公司协助办理其户口迁移、随其流动的配偶工作及协调办理其子女入学入托等相关事宜。配偶、子女不随博士后流动的，每年按照国家规定享受探亲休假、年假。</w:t>
            </w:r>
          </w:p>
          <w:p w14:paraId="1101B199">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6.按照攀枝花人才政策可享受以下支持政策：</w:t>
            </w:r>
          </w:p>
          <w:p w14:paraId="1C119EDB">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（1）对在站博士后给予每人每年3万元生活补助费；</w:t>
            </w:r>
          </w:p>
          <w:p w14:paraId="5243AD21">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（2）对获得省级及以上博士后专项资金支持项目资助的，按照所获资金资助金额 1:1 比例给予补助；</w:t>
            </w:r>
          </w:p>
          <w:p w14:paraId="4CA0CD08">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 xml:space="preserve">（3）被认定为攀枝花市领军人才（团队）的，或牵头承担省级及以上科技计划项目，按规定给予项目经费支持； </w:t>
            </w:r>
          </w:p>
          <w:p w14:paraId="5DC59DAA">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（4）按规定推荐申报评审高级职称；</w:t>
            </w:r>
          </w:p>
          <w:p w14:paraId="3DAD7657">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（5）在攀在站期间，可享受父母养老、子女就学、配偶推荐就业等服务保障支持政策；出站留攀工作的，可按有关规定享受安家补助、免租金入住人才公寓等待遇。</w:t>
            </w:r>
          </w:p>
        </w:tc>
      </w:tr>
      <w:tr w14:paraId="5744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297CA4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58B485B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2A37D8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30079CE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8BC498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3D992C5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A1B2F03">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686CF03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43D1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B24546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露天矿不同岩性爆破参数优化工艺研究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B6EF4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562284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A801EE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爆破工程/采矿工程</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130C27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20-40万元/年</w:t>
            </w:r>
          </w:p>
        </w:tc>
        <w:tc>
          <w:tcPr>
            <w:tcW w:w="213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5443D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bl>
    <w:p w14:paraId="41AF57B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F34C5B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85" w:name="_Toc1635"/>
      <w:bookmarkStart w:id="786" w:name="_Toc11875"/>
      <w:bookmarkStart w:id="787" w:name="_Toc26358"/>
      <w:bookmarkStart w:id="788" w:name="_Toc7214"/>
      <w:bookmarkStart w:id="789" w:name="_Toc16433"/>
      <w:r>
        <w:rPr>
          <w:rFonts w:hint="eastAsia" w:ascii="Times New Roman" w:hAnsi="Times New Roman" w:eastAsia="方正小标宋简体" w:cs="Times New Roman"/>
          <w:sz w:val="44"/>
          <w:szCs w:val="44"/>
          <w:highlight w:val="none"/>
        </w:rPr>
        <w:t>龙佰四川钛业有限公司</w:t>
      </w:r>
      <w:bookmarkEnd w:id="785"/>
      <w:bookmarkEnd w:id="786"/>
      <w:bookmarkEnd w:id="787"/>
      <w:bookmarkEnd w:id="788"/>
      <w:bookmarkEnd w:id="789"/>
    </w:p>
    <w:p w14:paraId="692157F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341D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2968B5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0B991F7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0610A3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323FBB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6A522D1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71002AE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德阳</w:t>
            </w:r>
          </w:p>
        </w:tc>
      </w:tr>
      <w:tr w14:paraId="67E7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E5439D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31ECD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四川省德阳市绵竹市新市工业园区</w:t>
            </w:r>
          </w:p>
        </w:tc>
      </w:tr>
      <w:tr w14:paraId="499D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jc w:val="center"/>
        </w:trPr>
        <w:tc>
          <w:tcPr>
            <w:tcW w:w="1271" w:type="dxa"/>
            <w:shd w:val="clear" w:color="auto" w:fill="E7E6E6" w:themeFill="background2"/>
            <w:noWrap/>
            <w:vAlign w:val="center"/>
          </w:tcPr>
          <w:p w14:paraId="407A4A2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7DB82BE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龙佰四川钛业有限公司（以下简称公司）是龙佰集团股份有限公司全资子公司，是德阳市重要的外贸型企业，国外收入约占公司总收入的50%。龙佰集团有限公司（以下简称集团，股票代码002601）是在国内钛白粉行业龙头企业龙蟒集团及佰利联集团基础上，强强联手组建而成。现已形成德阳、襄阳、焦作三大“硫-磷-钛”化工产业基地、攀枝花钒钛磁铁矿综合开发利用基地，是亚洲最大的金红石钛白粉专业生产商，拥有 “国家级企业技术中心”、“国家级技术创新示范企业”。公司是集团最大、产品种类最全的基地，是高新技术企业，拥有行业内唯一“国地联合工程实验室”。目前钛白粉产能20万吨/年，超过一半产品产量销售至国外市场。2023年公司实现销售收入39亿元人民币，国际市场销售收入近3亿美元，实现利税4亿元人民币。</w:t>
            </w:r>
          </w:p>
        </w:tc>
      </w:tr>
      <w:tr w14:paraId="120C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271" w:type="dxa"/>
            <w:shd w:val="clear" w:color="auto" w:fill="E7E6E6" w:themeFill="background2"/>
            <w:noWrap/>
            <w:vAlign w:val="center"/>
          </w:tcPr>
          <w:p w14:paraId="641A32A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11A7EA5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1、公司为博士后提供开发所需的经费和团队等；</w:t>
            </w:r>
          </w:p>
          <w:p w14:paraId="2DE0B96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2、为博士后提供丰厚的薪酬待遇；</w:t>
            </w:r>
          </w:p>
          <w:p w14:paraId="6BFF0C7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3、博士后享受丰厚的股权激励；</w:t>
            </w:r>
          </w:p>
          <w:p w14:paraId="456B33F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4、协助博士后人才享受当地政府人才引进政策，为博士后协调各类人才荣誉。</w:t>
            </w:r>
          </w:p>
        </w:tc>
      </w:tr>
      <w:tr w14:paraId="1355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7B78D2E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15BE77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FE7B2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CDD093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97509C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0B4293D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5FA97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6891222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2C8E2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E01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2675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钛石膏资源利用技术</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CD13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1C3EC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5971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化学、化学工程与技术</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2666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30</w:t>
            </w:r>
          </w:p>
        </w:tc>
        <w:tc>
          <w:tcPr>
            <w:tcW w:w="1911" w:type="dxa"/>
            <w:tcBorders>
              <w:top w:val="single" w:color="auto" w:sz="4" w:space="0"/>
              <w:left w:val="single" w:color="auto" w:sz="4" w:space="0"/>
              <w:right w:val="single" w:color="auto" w:sz="4" w:space="0"/>
              <w:tl2br w:val="nil"/>
              <w:tr2bl w:val="nil"/>
            </w:tcBorders>
            <w:shd w:val="clear" w:color="auto" w:fill="FFFFFF"/>
            <w:vAlign w:val="center"/>
          </w:tcPr>
          <w:p w14:paraId="4CCEE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华东理工、川大等高校</w:t>
            </w:r>
          </w:p>
        </w:tc>
      </w:tr>
    </w:tbl>
    <w:p w14:paraId="3A300CF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3D3BF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E6E1E9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4EB42B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C2823D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24A94E9">
      <w:pPr>
        <w:pStyle w:val="5"/>
        <w:adjustRightInd w:val="0"/>
        <w:snapToGrid w:val="0"/>
        <w:spacing w:line="240" w:lineRule="auto"/>
        <w:ind w:firstLine="0"/>
        <w:jc w:val="center"/>
        <w:outlineLvl w:val="0"/>
        <w:rPr>
          <w:sz w:val="21"/>
          <w:szCs w:val="21"/>
          <w:highlight w:val="yellow"/>
        </w:rPr>
      </w:pPr>
      <w:bookmarkStart w:id="790" w:name="_Toc10886"/>
      <w:bookmarkStart w:id="791" w:name="_Toc22966"/>
      <w:bookmarkStart w:id="792" w:name="_Toc28052"/>
      <w:bookmarkStart w:id="793" w:name="_Toc25942"/>
      <w:bookmarkStart w:id="794" w:name="_Toc6670"/>
      <w:r>
        <w:rPr>
          <w:rFonts w:eastAsia="方正小标宋简体"/>
          <w:sz w:val="44"/>
          <w:szCs w:val="44"/>
          <w:highlight w:val="none"/>
        </w:rPr>
        <w:t>上海交通大学四川研究院</w:t>
      </w:r>
      <w:bookmarkEnd w:id="790"/>
      <w:bookmarkEnd w:id="791"/>
      <w:bookmarkEnd w:id="792"/>
      <w:bookmarkEnd w:id="793"/>
      <w:bookmarkEnd w:id="794"/>
    </w:p>
    <w:p w14:paraId="559639E3">
      <w:pPr>
        <w:pStyle w:val="5"/>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223"/>
        <w:gridCol w:w="2016"/>
        <w:gridCol w:w="1627"/>
        <w:gridCol w:w="1565"/>
        <w:gridCol w:w="2019"/>
      </w:tblGrid>
      <w:tr w14:paraId="66FB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F3B51C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5" w:type="dxa"/>
            <w:shd w:val="clear" w:color="000000" w:fill="FFFFFF"/>
            <w:noWrap/>
            <w:vAlign w:val="center"/>
          </w:tcPr>
          <w:p w14:paraId="74C96BE9">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科研院所</w:t>
            </w:r>
          </w:p>
        </w:tc>
        <w:tc>
          <w:tcPr>
            <w:tcW w:w="1969" w:type="dxa"/>
            <w:shd w:val="clear" w:color="auto" w:fill="E7E6E6" w:themeFill="background2"/>
            <w:noWrap/>
            <w:vAlign w:val="center"/>
          </w:tcPr>
          <w:p w14:paraId="521EEEA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9" w:type="dxa"/>
            <w:shd w:val="clear" w:color="000000" w:fill="FFFFFF"/>
            <w:noWrap/>
            <w:vAlign w:val="center"/>
          </w:tcPr>
          <w:p w14:paraId="76545E76">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29" w:type="dxa"/>
            <w:shd w:val="clear" w:color="auto" w:fill="E7E6E6" w:themeFill="background2"/>
            <w:noWrap/>
            <w:vAlign w:val="center"/>
          </w:tcPr>
          <w:p w14:paraId="1BF3F3C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71" w:type="dxa"/>
            <w:shd w:val="clear" w:color="000000" w:fill="FFFFFF"/>
            <w:noWrap/>
            <w:vAlign w:val="center"/>
          </w:tcPr>
          <w:p w14:paraId="732EC431">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7A5E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C7D492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5"/>
            <w:shd w:val="clear" w:color="000000" w:fill="FFFFFF"/>
            <w:noWrap/>
            <w:vAlign w:val="center"/>
          </w:tcPr>
          <w:p w14:paraId="1E92E285">
            <w:pPr>
              <w:adjustRightInd w:val="0"/>
              <w:snapToGrid w:val="0"/>
              <w:spacing w:line="240" w:lineRule="auto"/>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四川省</w:t>
            </w:r>
            <w:r>
              <w:rPr>
                <w:rFonts w:hint="default" w:ascii="Times New Roman" w:hAnsi="Times New Roman" w:cs="Times New Roman" w:eastAsiaTheme="minorEastAsia"/>
                <w:sz w:val="21"/>
                <w:szCs w:val="21"/>
              </w:rPr>
              <w:t>成都市集萃街619号天府海创园</w:t>
            </w:r>
          </w:p>
        </w:tc>
      </w:tr>
      <w:tr w14:paraId="3000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7" w:hRule="atLeast"/>
          <w:jc w:val="center"/>
        </w:trPr>
        <w:tc>
          <w:tcPr>
            <w:tcW w:w="1271" w:type="dxa"/>
            <w:shd w:val="clear" w:color="auto" w:fill="E7E6E6" w:themeFill="background2"/>
            <w:noWrap/>
            <w:vAlign w:val="center"/>
          </w:tcPr>
          <w:p w14:paraId="3D63322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5"/>
            <w:shd w:val="clear" w:color="000000" w:fill="FFFFFF"/>
            <w:vAlign w:val="center"/>
          </w:tcPr>
          <w:p w14:paraId="45743BD3">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上海交通大学四川研究院成立于2017年7月，并于2018 年12月开始全面启动建设，先后获批首批省级新型研发机构、省众创空间、省博士后创新实践基地、省引才引智基地等近10个国省市荣誉资质肯定。研究院承担横纵向科研合作超过150项，经费达2亿元。聚焦新信息技术、先进材料、智能制造、生态健康等领域科研成果，推进产学研项目成果转化，签约及落地项目23个，总投资逾4.5亿元。研究院引进聚集各类人才360余名，其中高层次人才50名，含国家级专家11名、四川省级专家23名。高水平建设研究生联合培养基地，在川培养专业学位硕士研究生逾200名；持续开展MPA公共管理硕士培养工作，累计招生39名。</w:t>
            </w:r>
          </w:p>
          <w:p w14:paraId="6A813EBC">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为加强研究院人才梯队建设、满足研究院业务及项目发展需要，特面向学校和社会公开招聘以下岗位。</w:t>
            </w:r>
          </w:p>
        </w:tc>
      </w:tr>
      <w:tr w14:paraId="1155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jc w:val="center"/>
        </w:trPr>
        <w:tc>
          <w:tcPr>
            <w:tcW w:w="1271" w:type="dxa"/>
            <w:shd w:val="clear" w:color="auto" w:fill="E7E6E6" w:themeFill="background2"/>
            <w:noWrap/>
            <w:vAlign w:val="center"/>
          </w:tcPr>
          <w:p w14:paraId="4435057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5"/>
            <w:shd w:val="clear" w:color="000000" w:fill="FFFFFF"/>
            <w:vAlign w:val="center"/>
          </w:tcPr>
          <w:p w14:paraId="720083DC">
            <w:pPr>
              <w:pStyle w:val="37"/>
              <w:adjustRightInd w:val="0"/>
              <w:snapToGrid w:val="0"/>
              <w:spacing w:line="360" w:lineRule="auto"/>
              <w:rPr>
                <w:rFonts w:hint="eastAsia" w:eastAsiaTheme="minorEastAsia"/>
                <w:sz w:val="21"/>
                <w:szCs w:val="21"/>
              </w:rPr>
            </w:pPr>
            <w:r>
              <w:rPr>
                <w:rFonts w:hint="eastAsia" w:eastAsiaTheme="minorEastAsia"/>
                <w:sz w:val="21"/>
                <w:szCs w:val="21"/>
              </w:rPr>
              <w:t>1、工资待遇参照研究院同类岗位工资及福利待遇；</w:t>
            </w:r>
          </w:p>
          <w:p w14:paraId="54D06F49">
            <w:pPr>
              <w:pStyle w:val="37"/>
              <w:adjustRightInd w:val="0"/>
              <w:snapToGrid w:val="0"/>
              <w:spacing w:line="360" w:lineRule="auto"/>
              <w:rPr>
                <w:rFonts w:hint="eastAsia" w:eastAsiaTheme="minorEastAsia"/>
                <w:sz w:val="21"/>
                <w:szCs w:val="21"/>
              </w:rPr>
            </w:pPr>
            <w:r>
              <w:rPr>
                <w:rFonts w:hint="eastAsia" w:eastAsiaTheme="minorEastAsia"/>
                <w:sz w:val="21"/>
                <w:szCs w:val="21"/>
              </w:rPr>
              <w:t xml:space="preserve">2、协助办理配偶、子女户口，协助解决配偶工作、子女入学等问题； </w:t>
            </w:r>
          </w:p>
          <w:p w14:paraId="18046A51">
            <w:pPr>
              <w:pStyle w:val="37"/>
              <w:adjustRightInd w:val="0"/>
              <w:snapToGrid w:val="0"/>
              <w:spacing w:line="360" w:lineRule="auto"/>
              <w:rPr>
                <w:rFonts w:hint="eastAsia" w:eastAsiaTheme="minorEastAsia"/>
                <w:sz w:val="21"/>
                <w:szCs w:val="21"/>
              </w:rPr>
            </w:pPr>
            <w:r>
              <w:rPr>
                <w:rFonts w:hint="eastAsia" w:eastAsiaTheme="minorEastAsia"/>
                <w:sz w:val="21"/>
                <w:szCs w:val="21"/>
              </w:rPr>
              <w:t>3、为博士后科研项目提供资金支持以及科研条件；</w:t>
            </w:r>
          </w:p>
          <w:p w14:paraId="7B94331A">
            <w:pPr>
              <w:pStyle w:val="37"/>
              <w:adjustRightInd w:val="0"/>
              <w:snapToGrid w:val="0"/>
              <w:spacing w:line="360" w:lineRule="auto"/>
              <w:rPr>
                <w:rFonts w:hint="eastAsia" w:eastAsiaTheme="minorEastAsia"/>
                <w:sz w:val="21"/>
                <w:szCs w:val="21"/>
                <w:lang w:eastAsia="zh-CN"/>
              </w:rPr>
            </w:pPr>
            <w:r>
              <w:rPr>
                <w:rFonts w:hint="eastAsia" w:eastAsiaTheme="minorEastAsia"/>
                <w:sz w:val="21"/>
                <w:szCs w:val="21"/>
              </w:rPr>
              <w:t>4、可协助申请省、市、区各项补贴以及人才政策</w:t>
            </w:r>
            <w:r>
              <w:rPr>
                <w:rFonts w:hint="eastAsia" w:eastAsiaTheme="minorEastAsia"/>
                <w:sz w:val="21"/>
                <w:szCs w:val="21"/>
                <w:lang w:eastAsia="zh-CN"/>
              </w:rPr>
              <w:t>。</w:t>
            </w:r>
          </w:p>
        </w:tc>
      </w:tr>
    </w:tbl>
    <w:p w14:paraId="5A0CC6A6">
      <w:pPr>
        <w:adjustRightInd w:val="0"/>
        <w:snapToGrid w:val="0"/>
        <w:spacing w:line="240" w:lineRule="auto"/>
      </w:pPr>
    </w:p>
    <w:p w14:paraId="7AACB48E">
      <w:pPr>
        <w:adjustRightInd w:val="0"/>
        <w:snapToGrid w:val="0"/>
        <w:spacing w:line="240" w:lineRule="auto"/>
      </w:pPr>
    </w:p>
    <w:p w14:paraId="0150EA47">
      <w:pPr>
        <w:adjustRightInd w:val="0"/>
        <w:snapToGrid w:val="0"/>
        <w:spacing w:line="240" w:lineRule="auto"/>
      </w:pPr>
    </w:p>
    <w:p w14:paraId="1C58433E">
      <w:pPr>
        <w:adjustRightInd w:val="0"/>
        <w:snapToGrid w:val="0"/>
        <w:spacing w:line="240" w:lineRule="auto"/>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31"/>
        <w:gridCol w:w="1089"/>
        <w:gridCol w:w="1577"/>
        <w:gridCol w:w="1389"/>
        <w:gridCol w:w="3537"/>
      </w:tblGrid>
      <w:tr w14:paraId="0D38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395" w:type="dxa"/>
            <w:shd w:val="clear" w:color="auto" w:fill="E7E6E6" w:themeFill="background2"/>
            <w:noWrap/>
            <w:vAlign w:val="center"/>
          </w:tcPr>
          <w:p w14:paraId="3C211B0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4" w:type="dxa"/>
            <w:shd w:val="clear" w:color="auto" w:fill="E7E6E6" w:themeFill="background2"/>
            <w:vAlign w:val="center"/>
          </w:tcPr>
          <w:p w14:paraId="73D31F9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14:paraId="7F88BA2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40" w:type="dxa"/>
            <w:shd w:val="clear" w:color="auto" w:fill="E7E6E6" w:themeFill="background2"/>
            <w:vAlign w:val="center"/>
          </w:tcPr>
          <w:p w14:paraId="101A2E7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C0CA32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57" w:type="dxa"/>
            <w:shd w:val="clear" w:color="auto" w:fill="E7E6E6" w:themeFill="background2"/>
            <w:vAlign w:val="center"/>
          </w:tcPr>
          <w:p w14:paraId="6A56C4C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8ACF35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3454" w:type="dxa"/>
            <w:shd w:val="clear" w:color="auto" w:fill="E7E6E6" w:themeFill="background2"/>
            <w:vAlign w:val="center"/>
          </w:tcPr>
          <w:p w14:paraId="105BCD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22E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15DE1FB">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先进制造工艺与装备、高性能制造和超精密加工基础理论和关键技术研究</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4FFE96C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036C96B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7628C6F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机械制造</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793152D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4CF3A6BA">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 具有机械制造及自动化或工业工程等相关专业方向的博士学位；</w:t>
            </w:r>
          </w:p>
          <w:p w14:paraId="72105651">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 以下领域熟悉其中之一：</w:t>
            </w:r>
          </w:p>
          <w:p w14:paraId="660CF763">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 熟悉数字化制造、加工过程监控或数据挖掘等专业知识，掌握开发语言（C++、Python或JAVA等）或数据库技术者优先；</w:t>
            </w:r>
          </w:p>
          <w:p w14:paraId="4B03D6BA">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 熟悉复合材料相关内容，特别是热塑复合材料的制备、成型、加工和装配。</w:t>
            </w:r>
          </w:p>
          <w:p w14:paraId="09FF80A0">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2.3 熟悉机械加工体系，高速高效加工，难加工材料加工，在线测量。 </w:t>
            </w:r>
          </w:p>
          <w:p w14:paraId="565E82EC">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 具有较强的中英文书面表达能力；</w:t>
            </w:r>
          </w:p>
          <w:p w14:paraId="04B20796">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 具有严谨学术态度，敬业精神，团队合作意识和沟通协调能力；</w:t>
            </w:r>
          </w:p>
          <w:p w14:paraId="478D22C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 身心健康，年龄不超过35周岁。</w:t>
            </w:r>
          </w:p>
        </w:tc>
      </w:tr>
      <w:tr w14:paraId="605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574CE05">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rPr>
              <w:t>固废</w:t>
            </w:r>
            <w:r>
              <w:rPr>
                <w:rFonts w:hint="default" w:ascii="Times New Roman" w:hAnsi="Times New Roman" w:cs="Times New Roman" w:eastAsiaTheme="minorEastAsia"/>
                <w:sz w:val="21"/>
                <w:szCs w:val="21"/>
                <w:highlight w:val="none"/>
                <w:lang w:val="en-US" w:eastAsia="zh-CN"/>
              </w:rPr>
              <w:t>处理与资源化</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20C8956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lang w:val="en-US" w:eastAsia="zh-CN"/>
              </w:rPr>
              <w:t>1</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480B3E7A">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highlight w:val="none"/>
              </w:rPr>
              <w:t>BSH002</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26AE272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lang w:val="en-US" w:eastAsia="zh-CN"/>
              </w:rPr>
              <w:t>环境科学与工程</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50688A3F">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37941D19">
            <w:pPr>
              <w:adjustRightInd w:val="0"/>
              <w:snapToGrid w:val="0"/>
              <w:spacing w:line="240" w:lineRule="auto"/>
              <w:ind w:firstLine="0"/>
              <w:jc w:val="both"/>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w:t>
            </w:r>
            <w:r>
              <w:rPr>
                <w:rFonts w:hint="default" w:ascii="Times New Roman" w:hAnsi="Times New Roman" w:cs="Times New Roman" w:eastAsiaTheme="minorEastAsia"/>
                <w:sz w:val="21"/>
                <w:szCs w:val="21"/>
                <w:highlight w:val="none"/>
              </w:rPr>
              <w:t>具有</w:t>
            </w:r>
            <w:r>
              <w:rPr>
                <w:rFonts w:hint="default" w:ascii="Times New Roman" w:hAnsi="Times New Roman" w:cs="Times New Roman" w:eastAsiaTheme="minorEastAsia"/>
                <w:sz w:val="21"/>
                <w:szCs w:val="21"/>
                <w:highlight w:val="none"/>
                <w:lang w:val="en-US" w:eastAsia="zh-CN"/>
              </w:rPr>
              <w:t>环境科学与工程</w:t>
            </w:r>
            <w:r>
              <w:rPr>
                <w:rFonts w:hint="default" w:ascii="Times New Roman" w:hAnsi="Times New Roman" w:cs="Times New Roman" w:eastAsiaTheme="minorEastAsia"/>
                <w:sz w:val="21"/>
                <w:szCs w:val="21"/>
                <w:highlight w:val="none"/>
              </w:rPr>
              <w:t>等相关专业方向的博士学位；</w:t>
            </w:r>
          </w:p>
          <w:p w14:paraId="6FC9F98B">
            <w:pPr>
              <w:adjustRightInd w:val="0"/>
              <w:snapToGrid w:val="0"/>
              <w:spacing w:line="240" w:lineRule="auto"/>
              <w:ind w:firstLine="0"/>
              <w:jc w:val="both"/>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2.有</w:t>
            </w:r>
            <w:r>
              <w:rPr>
                <w:rFonts w:hint="default" w:ascii="Times New Roman" w:hAnsi="Times New Roman" w:cs="Times New Roman" w:eastAsiaTheme="minorEastAsia"/>
                <w:sz w:val="21"/>
                <w:szCs w:val="21"/>
                <w:highlight w:val="none"/>
              </w:rPr>
              <w:t>资源开发及循环利用相关研究经验；或污染物排放清单研究及编制经历；</w:t>
            </w:r>
          </w:p>
          <w:p w14:paraId="12E2D2A2">
            <w:pPr>
              <w:adjustRightInd w:val="0"/>
              <w:snapToGrid w:val="0"/>
              <w:spacing w:line="240" w:lineRule="auto"/>
              <w:ind w:firstLine="0"/>
              <w:jc w:val="both"/>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 具有较强的中英文书面表达能力；</w:t>
            </w:r>
          </w:p>
          <w:p w14:paraId="145C91EF">
            <w:pPr>
              <w:adjustRightInd w:val="0"/>
              <w:snapToGrid w:val="0"/>
              <w:spacing w:line="240" w:lineRule="auto"/>
              <w:ind w:firstLine="0"/>
              <w:jc w:val="both"/>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 具有严谨学术态度，敬业精神，团队合作意识和沟通协调能力；</w:t>
            </w:r>
          </w:p>
          <w:p w14:paraId="38B1700D">
            <w:pPr>
              <w:adjustRightInd w:val="0"/>
              <w:snapToGrid w:val="0"/>
              <w:spacing w:line="240" w:lineRule="auto"/>
              <w:ind w:firstLine="0"/>
              <w:jc w:val="both"/>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 身心健康，年龄不超过35周岁。</w:t>
            </w:r>
          </w:p>
          <w:p w14:paraId="6B899CD3">
            <w:pPr>
              <w:adjustRightInd w:val="0"/>
              <w:snapToGrid w:val="0"/>
              <w:spacing w:line="240" w:lineRule="auto"/>
              <w:ind w:firstLine="0" w:firstLineChars="0"/>
              <w:jc w:val="both"/>
              <w:rPr>
                <w:rFonts w:hint="default" w:ascii="Times New Roman" w:hAnsi="Times New Roman" w:cs="Times New Roman" w:eastAsiaTheme="minorEastAsia"/>
                <w:sz w:val="21"/>
                <w:szCs w:val="21"/>
              </w:rPr>
            </w:pPr>
          </w:p>
        </w:tc>
      </w:tr>
      <w:tr w14:paraId="25C1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D4617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制冷与低温工程技术</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6887641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26F02D7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3</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556D7AF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机械制造</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371A051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11AA4B67">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 具有机械制造及自动化或工业工程等相关专业方向的博士学位；</w:t>
            </w:r>
          </w:p>
          <w:p w14:paraId="5C877640">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 有制冷与低温工程，气体液化、贮运及低温工程等相关研究经验；</w:t>
            </w:r>
          </w:p>
          <w:p w14:paraId="6BFED699">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 具有较强的中英文书面表达能力；</w:t>
            </w:r>
          </w:p>
          <w:p w14:paraId="3FB8479B">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 具有严谨学术态度，敬业精神，团队合作意识和沟通协调能力；</w:t>
            </w:r>
          </w:p>
          <w:p w14:paraId="6BB2E69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 身心健康，年龄不超过35周岁。</w:t>
            </w:r>
          </w:p>
        </w:tc>
      </w:tr>
      <w:tr w14:paraId="6A58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8"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483410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风-光-储综合能源系统建模、运行优化与能量管理</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699DE61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195C1F9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1242628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化学工程</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5995302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00A46898">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 具有化工系统工程、控制工程、电气工程、应用数学、计算机工程等相关专业博士学位；</w:t>
            </w:r>
          </w:p>
          <w:p w14:paraId="76EDF915">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 有新能源、大数据分析、数值仿真、过程建模与优化等背景优先；</w:t>
            </w:r>
          </w:p>
          <w:p w14:paraId="42904C75">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 具有较强的中英文书面表达能力；</w:t>
            </w:r>
          </w:p>
          <w:p w14:paraId="41027B0B">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 具有较强的科研能力，在相关领域期刊已发表高水平研究论文，或有较强的工程研发能力，具有严谨学术态度，敬业精神，团队合作意识和沟通协调能力；</w:t>
            </w:r>
          </w:p>
          <w:p w14:paraId="0F6B063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 身心健康，年龄不超过35周岁。</w:t>
            </w:r>
          </w:p>
        </w:tc>
      </w:tr>
      <w:tr w14:paraId="7DDA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4"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CBA628">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大型公共建筑的智能运维新技术</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极地/地外建筑结构新概念及其设计</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02E49C5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53B2242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4B9AFC5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建筑学、土木工程</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6296E66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2B9EAC59">
            <w:pPr>
              <w:numPr>
                <w:ilvl w:val="0"/>
                <w:numId w:val="0"/>
              </w:numPr>
              <w:adjustRightInd w:val="0"/>
              <w:snapToGrid w:val="0"/>
              <w:spacing w:line="240" w:lineRule="auto"/>
              <w:jc w:val="both"/>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具有</w:t>
            </w:r>
            <w:r>
              <w:rPr>
                <w:rFonts w:hint="default" w:ascii="Times New Roman" w:hAnsi="Times New Roman" w:cs="Times New Roman" w:eastAsiaTheme="minorEastAsia"/>
                <w:sz w:val="21"/>
                <w:szCs w:val="21"/>
              </w:rPr>
              <w:t>土木工程、建筑学或工程力学相关专业的博士学位</w:t>
            </w:r>
            <w:r>
              <w:rPr>
                <w:rFonts w:hint="default" w:ascii="Times New Roman" w:hAnsi="Times New Roman" w:cs="Times New Roman" w:eastAsiaTheme="minorEastAsia"/>
                <w:sz w:val="21"/>
                <w:szCs w:val="21"/>
                <w:lang w:eastAsia="zh-CN"/>
              </w:rPr>
              <w:t>；</w:t>
            </w:r>
          </w:p>
          <w:p w14:paraId="4014E3B8">
            <w:pPr>
              <w:numPr>
                <w:ilvl w:val="0"/>
                <w:numId w:val="0"/>
              </w:numPr>
              <w:adjustRightInd w:val="0"/>
              <w:snapToGrid w:val="0"/>
              <w:spacing w:line="240" w:lineRule="auto"/>
              <w:jc w:val="both"/>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rPr>
              <w:t>. 掌握分析建筑性能的主要CAE软件及试验方法</w:t>
            </w:r>
            <w:r>
              <w:rPr>
                <w:rFonts w:hint="default" w:ascii="Times New Roman" w:hAnsi="Times New Roman" w:cs="Times New Roman" w:eastAsiaTheme="minorEastAsia"/>
                <w:sz w:val="21"/>
                <w:szCs w:val="21"/>
                <w:lang w:eastAsia="zh-CN"/>
              </w:rPr>
              <w:t>；</w:t>
            </w:r>
          </w:p>
          <w:p w14:paraId="0D5308EE">
            <w:pPr>
              <w:numPr>
                <w:ilvl w:val="0"/>
                <w:numId w:val="0"/>
              </w:numPr>
              <w:adjustRightInd w:val="0"/>
              <w:snapToGrid w:val="0"/>
              <w:spacing w:line="240" w:lineRule="auto"/>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rPr>
              <w:t>. 具有严谨学术态度，敬业精神，团队合作意识和沟通协调能力</w:t>
            </w:r>
            <w:r>
              <w:rPr>
                <w:rFonts w:hint="default" w:ascii="Times New Roman" w:hAnsi="Times New Roman" w:cs="Times New Roman" w:eastAsiaTheme="minorEastAsia"/>
                <w:sz w:val="21"/>
                <w:szCs w:val="21"/>
                <w:lang w:eastAsia="zh-CN"/>
              </w:rPr>
              <w:t>；</w:t>
            </w:r>
          </w:p>
          <w:p w14:paraId="524A7F2B">
            <w:pPr>
              <w:numPr>
                <w:ilvl w:val="0"/>
                <w:numId w:val="0"/>
              </w:numPr>
              <w:adjustRightInd w:val="0"/>
              <w:snapToGrid w:val="0"/>
              <w:spacing w:line="240" w:lineRule="auto"/>
              <w:ind w:leftChars="0"/>
              <w:jc w:val="both"/>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4</w:t>
            </w:r>
            <w:r>
              <w:rPr>
                <w:rFonts w:hint="default" w:ascii="Times New Roman" w:hAnsi="Times New Roman" w:cs="Times New Roman" w:eastAsiaTheme="minorEastAsia"/>
                <w:sz w:val="21"/>
                <w:szCs w:val="21"/>
              </w:rPr>
              <w:t>. 具有较强的中英文书面表达能力；</w:t>
            </w:r>
          </w:p>
          <w:p w14:paraId="6A2B5909">
            <w:pPr>
              <w:numPr>
                <w:ilvl w:val="0"/>
                <w:numId w:val="0"/>
              </w:numPr>
              <w:adjustRightInd w:val="0"/>
              <w:snapToGrid w:val="0"/>
              <w:spacing w:line="240" w:lineRule="auto"/>
              <w:ind w:left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 身心健康，年龄不超过35周岁。</w:t>
            </w:r>
          </w:p>
        </w:tc>
      </w:tr>
      <w:tr w14:paraId="4694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2B471E">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青蒿代谢调控</w:t>
            </w:r>
          </w:p>
        </w:tc>
        <w:tc>
          <w:tcPr>
            <w:tcW w:w="714" w:type="dxa"/>
            <w:tcBorders>
              <w:top w:val="single" w:color="auto" w:sz="4" w:space="0"/>
              <w:left w:val="single" w:color="auto" w:sz="4" w:space="0"/>
              <w:bottom w:val="single" w:color="auto" w:sz="4" w:space="0"/>
              <w:right w:val="single" w:color="auto" w:sz="4" w:space="0"/>
            </w:tcBorders>
            <w:shd w:val="clear" w:color="auto" w:fill="FFFFFF"/>
            <w:vAlign w:val="center"/>
          </w:tcPr>
          <w:p w14:paraId="728F23A6">
            <w:pPr>
              <w:adjustRightInd w:val="0"/>
              <w:snapToGrid w:val="0"/>
              <w:spacing w:line="240" w:lineRule="auto"/>
              <w:ind w:firstLine="0"/>
              <w:jc w:val="center"/>
              <w:rPr>
                <w:rFonts w:hint="default" w:ascii="Times New Roman" w:hAnsi="Times New Roman" w:cs="Times New Roman" w:eastAsiaTheme="minorEastAsia"/>
                <w:sz w:val="21"/>
                <w:szCs w:val="21"/>
                <w:lang w:val="en-US" w:eastAsia="zh-CN"/>
              </w:rPr>
            </w:pPr>
          </w:p>
          <w:p w14:paraId="48002DC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single" w:color="auto" w:sz="4" w:space="0"/>
              <w:bottom w:val="single" w:color="auto" w:sz="4" w:space="0"/>
              <w:right w:val="single" w:color="auto" w:sz="4" w:space="0"/>
            </w:tcBorders>
            <w:shd w:val="clear" w:color="auto" w:fill="FFFFFF"/>
            <w:vAlign w:val="center"/>
          </w:tcPr>
          <w:p w14:paraId="563ECDF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19C3B12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药用植物学、园艺学</w:t>
            </w:r>
          </w:p>
        </w:tc>
        <w:tc>
          <w:tcPr>
            <w:tcW w:w="1357" w:type="dxa"/>
            <w:tcBorders>
              <w:top w:val="single" w:color="auto" w:sz="4" w:space="0"/>
              <w:left w:val="single" w:color="auto" w:sz="4" w:space="0"/>
              <w:bottom w:val="single" w:color="auto" w:sz="4" w:space="0"/>
              <w:right w:val="single" w:color="auto" w:sz="4" w:space="0"/>
            </w:tcBorders>
            <w:shd w:val="clear" w:color="auto" w:fill="FFFFFF"/>
            <w:vAlign w:val="center"/>
          </w:tcPr>
          <w:p w14:paraId="574EDDA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FFFFFF"/>
            <w:vAlign w:val="center"/>
          </w:tcPr>
          <w:p w14:paraId="25DB0563">
            <w:pPr>
              <w:numPr>
                <w:ilvl w:val="0"/>
                <w:numId w:val="0"/>
              </w:numPr>
              <w:adjustRightInd w:val="0"/>
              <w:snapToGrid w:val="0"/>
              <w:spacing w:line="240" w:lineRule="auto"/>
              <w:jc w:val="both"/>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具有</w:t>
            </w:r>
            <w:r>
              <w:rPr>
                <w:rFonts w:hint="default" w:ascii="Times New Roman" w:hAnsi="Times New Roman" w:cs="Times New Roman" w:eastAsiaTheme="minorEastAsia"/>
                <w:sz w:val="21"/>
                <w:szCs w:val="21"/>
              </w:rPr>
              <w:t>药用植物学、园艺学相关专业的博士学位</w:t>
            </w:r>
            <w:r>
              <w:rPr>
                <w:rFonts w:hint="default" w:ascii="Times New Roman" w:hAnsi="Times New Roman" w:cs="Times New Roman" w:eastAsiaTheme="minorEastAsia"/>
                <w:sz w:val="21"/>
                <w:szCs w:val="21"/>
                <w:lang w:eastAsia="zh-CN"/>
              </w:rPr>
              <w:t>；</w:t>
            </w:r>
          </w:p>
          <w:p w14:paraId="415CE805">
            <w:pPr>
              <w:numPr>
                <w:ilvl w:val="0"/>
                <w:numId w:val="0"/>
              </w:numPr>
              <w:adjustRightInd w:val="0"/>
              <w:snapToGrid w:val="0"/>
              <w:spacing w:line="240" w:lineRule="auto"/>
              <w:ind w:left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有项目需要的相关专业背景或工作经验；</w:t>
            </w:r>
          </w:p>
          <w:p w14:paraId="72FC15D4">
            <w:pPr>
              <w:numPr>
                <w:ilvl w:val="0"/>
                <w:numId w:val="0"/>
              </w:numPr>
              <w:adjustRightInd w:val="0"/>
              <w:snapToGrid w:val="0"/>
              <w:spacing w:line="240" w:lineRule="auto"/>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rPr>
              <w:t>. 具有严谨学术态度，敬业精神，团队合作意识和沟通协调能力</w:t>
            </w:r>
            <w:r>
              <w:rPr>
                <w:rFonts w:hint="default" w:ascii="Times New Roman" w:hAnsi="Times New Roman" w:cs="Times New Roman" w:eastAsiaTheme="minorEastAsia"/>
                <w:sz w:val="21"/>
                <w:szCs w:val="21"/>
                <w:lang w:eastAsia="zh-CN"/>
              </w:rPr>
              <w:t>；</w:t>
            </w:r>
          </w:p>
          <w:p w14:paraId="3F742AF5">
            <w:pPr>
              <w:numPr>
                <w:ilvl w:val="0"/>
                <w:numId w:val="0"/>
              </w:numPr>
              <w:adjustRightInd w:val="0"/>
              <w:snapToGrid w:val="0"/>
              <w:spacing w:line="240" w:lineRule="auto"/>
              <w:ind w:leftChars="0"/>
              <w:jc w:val="both"/>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4</w:t>
            </w:r>
            <w:r>
              <w:rPr>
                <w:rFonts w:hint="default" w:ascii="Times New Roman" w:hAnsi="Times New Roman" w:cs="Times New Roman" w:eastAsiaTheme="minorEastAsia"/>
                <w:sz w:val="21"/>
                <w:szCs w:val="21"/>
              </w:rPr>
              <w:t>. 具有较强的中英文书面表达能力；</w:t>
            </w:r>
          </w:p>
          <w:p w14:paraId="56F92D99">
            <w:pPr>
              <w:numPr>
                <w:ilvl w:val="0"/>
                <w:numId w:val="0"/>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 身心健康，年龄不超过35周岁。</w:t>
            </w:r>
          </w:p>
        </w:tc>
      </w:tr>
      <w:tr w14:paraId="2740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9C1BF3">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 xml:space="preserve">金属材料、材料力学、材料表征 </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24E6994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76A21C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7</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4AB90AE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fldChar w:fldCharType="begin"/>
            </w:r>
            <w:r>
              <w:rPr>
                <w:rFonts w:hint="default" w:ascii="Times New Roman" w:hAnsi="Times New Roman" w:cs="Times New Roman" w:eastAsiaTheme="minorEastAsia"/>
                <w:sz w:val="21"/>
                <w:szCs w:val="21"/>
              </w:rPr>
              <w:instrText xml:space="preserve"> HYPERLINK "https://baike.baidu.com/item/%E6%9D%90%E6%96%99%E7%A7%91%E5%AD%A6%E4%B8%8E%E5%B7%A5%E7%A8%8B/5341532?fromModule=lemma_inlink" \t "https://baike.baidu.com/item/%E4%B8%80%E7%BA%A7%E5%AD%A6%E7%A7%91/_blank" </w:instrText>
            </w:r>
            <w:r>
              <w:rPr>
                <w:rFonts w:hint="default" w:ascii="Times New Roman" w:hAnsi="Times New Roman" w:cs="Times New Roman" w:eastAsiaTheme="minorEastAsia"/>
                <w:sz w:val="21"/>
                <w:szCs w:val="21"/>
              </w:rPr>
              <w:fldChar w:fldCharType="separate"/>
            </w:r>
            <w:r>
              <w:rPr>
                <w:rFonts w:hint="default" w:ascii="Times New Roman" w:hAnsi="Times New Roman" w:cs="Times New Roman" w:eastAsiaTheme="minorEastAsia"/>
                <w:sz w:val="21"/>
                <w:szCs w:val="21"/>
              </w:rPr>
              <w:t>材料科学与工程</w:t>
            </w:r>
            <w:r>
              <w:rPr>
                <w:rFonts w:hint="default" w:ascii="Times New Roman" w:hAnsi="Times New Roman" w:cs="Times New Roman" w:eastAsiaTheme="minorEastAsia"/>
                <w:sz w:val="21"/>
                <w:szCs w:val="21"/>
              </w:rPr>
              <w:fldChar w:fldCharType="end"/>
            </w:r>
          </w:p>
        </w:tc>
        <w:tc>
          <w:tcPr>
            <w:tcW w:w="1357" w:type="dxa"/>
            <w:tcBorders>
              <w:top w:val="single" w:color="auto" w:sz="4" w:space="0"/>
              <w:left w:val="single" w:color="auto" w:sz="4" w:space="0"/>
              <w:bottom w:val="single" w:color="auto" w:sz="4" w:space="0"/>
              <w:right w:val="single" w:color="auto" w:sz="4" w:space="0"/>
            </w:tcBorders>
            <w:shd w:val="clear" w:color="auto" w:fill="auto"/>
            <w:vAlign w:val="center"/>
          </w:tcPr>
          <w:p w14:paraId="4A2AF58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auto"/>
            <w:vAlign w:val="center"/>
          </w:tcPr>
          <w:p w14:paraId="05A4486D">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金属材料、新材料、材料力学、材料表征等相关方向博士毕业，或即将获得博士学位；</w:t>
            </w:r>
          </w:p>
          <w:p w14:paraId="63C8C718">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对学术研究有热情，至少发表过3篇以上SCI论文；</w:t>
            </w:r>
          </w:p>
          <w:p w14:paraId="32EFA904">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有中子/同步辐射X射线散射相关科研经历者优先考虑；</w:t>
            </w:r>
          </w:p>
          <w:p w14:paraId="69DD76F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4</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 xml:space="preserve">有良好的外语交流沟通能力，有较强的独立科研能力、强烈的进取心和良好的团队合作精神，做事细致认真，工作踏实努力，进站要求全职脱产。 </w:t>
            </w:r>
          </w:p>
        </w:tc>
      </w:tr>
      <w:tr w14:paraId="0802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56F87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核能领域</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07E3799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75BA17F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8</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14:paraId="53C007A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核科学与技术</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计算机科学与技术</w:t>
            </w:r>
          </w:p>
        </w:tc>
        <w:tc>
          <w:tcPr>
            <w:tcW w:w="1357" w:type="dxa"/>
            <w:tcBorders>
              <w:top w:val="single" w:color="auto" w:sz="4" w:space="0"/>
              <w:left w:val="single" w:color="auto" w:sz="4" w:space="0"/>
              <w:bottom w:val="single" w:color="auto" w:sz="4" w:space="0"/>
              <w:right w:val="single" w:color="auto" w:sz="4" w:space="0"/>
            </w:tcBorders>
            <w:shd w:val="clear" w:color="auto" w:fill="auto"/>
            <w:vAlign w:val="center"/>
          </w:tcPr>
          <w:p w14:paraId="38BEC59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w:t>
            </w:r>
          </w:p>
        </w:tc>
        <w:tc>
          <w:tcPr>
            <w:tcW w:w="3454" w:type="dxa"/>
            <w:tcBorders>
              <w:top w:val="single" w:color="auto" w:sz="4" w:space="0"/>
              <w:left w:val="single" w:color="auto" w:sz="4" w:space="0"/>
              <w:bottom w:val="single" w:color="auto" w:sz="4" w:space="0"/>
              <w:right w:val="single" w:color="auto" w:sz="4" w:space="0"/>
            </w:tcBorders>
            <w:shd w:val="clear" w:color="auto" w:fill="auto"/>
            <w:vAlign w:val="center"/>
          </w:tcPr>
          <w:p w14:paraId="3F0290B1">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具备数值模拟、求解器开发、智能算法研发等相关研究经验；</w:t>
            </w:r>
          </w:p>
          <w:p w14:paraId="602B2A7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val="en-US" w:eastAsia="zh-CN"/>
              </w:rPr>
              <w:t>具备积极向上、认真负责的工作态度，擅于沟通，擅于学习，具有团队协作能力。</w:t>
            </w:r>
          </w:p>
        </w:tc>
      </w:tr>
    </w:tbl>
    <w:p w14:paraId="5E97EDFD">
      <w:pPr>
        <w:widowControl/>
        <w:adjustRightInd w:val="0"/>
        <w:snapToGrid w:val="0"/>
        <w:spacing w:line="240" w:lineRule="auto"/>
        <w:ind w:firstLine="0"/>
        <w:jc w:val="left"/>
        <w:rPr>
          <w:sz w:val="44"/>
          <w:szCs w:val="44"/>
        </w:rPr>
      </w:pPr>
      <w:r>
        <w:rPr>
          <w:rFonts w:eastAsia="方正小标宋简体"/>
          <w:sz w:val="21"/>
          <w:szCs w:val="21"/>
        </w:rPr>
        <w:br w:type="page"/>
      </w:r>
    </w:p>
    <w:p w14:paraId="1712B451">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eastAsia="方正小标宋简体"/>
          <w:sz w:val="44"/>
          <w:szCs w:val="44"/>
        </w:rPr>
      </w:pPr>
    </w:p>
    <w:p w14:paraId="5542F977">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795" w:name="_Toc15203"/>
      <w:bookmarkStart w:id="796" w:name="_Toc6785"/>
      <w:bookmarkStart w:id="797" w:name="_Toc2535"/>
      <w:bookmarkStart w:id="798" w:name="_Toc30713"/>
      <w:bookmarkStart w:id="799" w:name="_Toc9751"/>
      <w:r>
        <w:rPr>
          <w:rFonts w:hint="eastAsia" w:ascii="Times New Roman" w:hAnsi="Times New Roman" w:eastAsia="方正小标宋简体" w:cs="Times New Roman"/>
          <w:sz w:val="44"/>
          <w:szCs w:val="44"/>
          <w:highlight w:val="none"/>
        </w:rPr>
        <w:t>四川安宁铁钛股份有限公司</w:t>
      </w:r>
      <w:bookmarkEnd w:id="795"/>
      <w:bookmarkEnd w:id="796"/>
      <w:bookmarkEnd w:id="797"/>
      <w:bookmarkEnd w:id="798"/>
      <w:bookmarkEnd w:id="799"/>
    </w:p>
    <w:p w14:paraId="6514A5D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0608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AB3B37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5D7C012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3DE631D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637CA5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1F47D7E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5F80B03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攀枝花</w:t>
            </w:r>
          </w:p>
        </w:tc>
      </w:tr>
      <w:tr w14:paraId="4E39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E7BE28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6AED8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四川省攀枝花市米易县攀莲镇安宁路80号</w:t>
            </w:r>
          </w:p>
        </w:tc>
      </w:tr>
      <w:tr w14:paraId="6763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1271" w:type="dxa"/>
            <w:shd w:val="clear" w:color="auto" w:fill="E7E6E6" w:themeFill="background2"/>
            <w:noWrap/>
            <w:vAlign w:val="center"/>
          </w:tcPr>
          <w:p w14:paraId="62C3C8E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65B75F2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安宁铁钛股份有限公司成立于1994年，主营业务为钒钛磁铁矿的采选以及钒钛铁精矿、钛精矿的生产及销售，现有员工1800人，总资产74余亿元。公司于2020年4月成功上市，是攀枝花市唯一一家在国内主板上市的民营企业（证券代码：002978）、国内唯一钒钛资源综合利用方面的专业化公众公司、国家高新技术企业、国家首批矿产资源综合利用示范基地承建企业、国家级绿色矿山企业、中国冶金矿山50强企业。</w:t>
            </w:r>
          </w:p>
        </w:tc>
      </w:tr>
      <w:tr w14:paraId="4DE6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0" w:hRule="atLeast"/>
          <w:jc w:val="center"/>
        </w:trPr>
        <w:tc>
          <w:tcPr>
            <w:tcW w:w="1271" w:type="dxa"/>
            <w:shd w:val="clear" w:color="auto" w:fill="E7E6E6" w:themeFill="background2"/>
            <w:noWrap/>
            <w:vAlign w:val="center"/>
          </w:tcPr>
          <w:p w14:paraId="12B95BE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17458C7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购买五险一金；（2）工龄工资；（3）区域补贴；（4）产量奖金或年终奖金；（5）节日礼金；（6）劳保用品；（7）培训机会；（8）晋升通道；（9）科研配套经费；（10）享受攀枝花市“人才服务保障支持”的医疗待遇、父母养老、子女择校、配偶就业等有关支持政策。</w:t>
            </w:r>
          </w:p>
        </w:tc>
      </w:tr>
      <w:tr w14:paraId="43C8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268B402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11E734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40AFB1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C62C99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410092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00F4E70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087256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2D8C539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E58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5DA6A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钒钛磁铁矿矿山露天转地下开采研究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B8CB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E68B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E3E3C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采矿专业</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1FE9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100</w:t>
            </w:r>
          </w:p>
        </w:tc>
        <w:tc>
          <w:tcPr>
            <w:tcW w:w="213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524345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无</w:t>
            </w:r>
          </w:p>
        </w:tc>
      </w:tr>
      <w:tr w14:paraId="5FEE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209F0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能源级钛材制备研究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2B947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448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1254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新材料专业</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AF38C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100</w:t>
            </w:r>
          </w:p>
        </w:tc>
        <w:tc>
          <w:tcPr>
            <w:tcW w:w="2139" w:type="dxa"/>
            <w:vMerge w:val="continue"/>
            <w:tcBorders>
              <w:left w:val="single" w:color="auto" w:sz="4" w:space="0"/>
              <w:bottom w:val="single" w:color="auto" w:sz="4" w:space="0"/>
              <w:right w:val="single" w:color="auto" w:sz="4" w:space="0"/>
              <w:tl2br w:val="nil"/>
              <w:tr2bl w:val="nil"/>
            </w:tcBorders>
            <w:shd w:val="clear" w:color="auto" w:fill="FFFFFF"/>
            <w:vAlign w:val="center"/>
          </w:tcPr>
          <w:p w14:paraId="13A2B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76AF045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1038B62">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00" w:name="_Toc27808"/>
      <w:bookmarkStart w:id="801" w:name="_Toc25579"/>
      <w:bookmarkStart w:id="802" w:name="_Toc24696"/>
      <w:bookmarkStart w:id="803" w:name="_Toc10555"/>
      <w:bookmarkStart w:id="804" w:name="_Toc30686"/>
      <w:r>
        <w:rPr>
          <w:rFonts w:hint="eastAsia" w:ascii="Times New Roman" w:hAnsi="Times New Roman" w:eastAsia="方正小标宋简体" w:cs="Times New Roman"/>
          <w:sz w:val="44"/>
          <w:szCs w:val="44"/>
          <w:highlight w:val="none"/>
        </w:rPr>
        <w:t>四川奥邦古得药业有限公司</w:t>
      </w:r>
      <w:bookmarkEnd w:id="800"/>
      <w:bookmarkEnd w:id="801"/>
      <w:bookmarkEnd w:id="802"/>
      <w:bookmarkEnd w:id="803"/>
      <w:bookmarkEnd w:id="804"/>
    </w:p>
    <w:p w14:paraId="31EFAA7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3BF9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25B2DD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16BF931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616" w:type="dxa"/>
            <w:gridSpan w:val="2"/>
            <w:shd w:val="clear" w:color="auto" w:fill="E7E6E6" w:themeFill="background2"/>
            <w:noWrap/>
            <w:vAlign w:val="center"/>
          </w:tcPr>
          <w:p w14:paraId="4D1FB10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BBD674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3AAF4D9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276ECF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99F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323E06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119FA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四川省成都市高新西区百草路990号</w:t>
            </w:r>
          </w:p>
        </w:tc>
      </w:tr>
      <w:tr w14:paraId="683D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710" w:hRule="atLeast"/>
          <w:jc w:val="center"/>
        </w:trPr>
        <w:tc>
          <w:tcPr>
            <w:tcW w:w="1271" w:type="dxa"/>
            <w:shd w:val="clear" w:color="auto" w:fill="E7E6E6" w:themeFill="background2"/>
            <w:noWrap/>
            <w:vAlign w:val="center"/>
          </w:tcPr>
          <w:p w14:paraId="29D14D2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338BF7F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奥邦药业成立于2001年，自诞生之日起，就肩负“改善人类健康生活”的使命，传承军队红色制药基因，扎根成都、立足西部、服务全球，筚路蓝缕，善作善成，逐步成为集药物研发、生产、销售和推广为一体的创新型企业。以奥邦古得为研发中心，成都奥邦、成都利尔为生产基地，奥邦医贸为营销网络的“一中心两基地全网络”组织架构；以高难度原料药、现代化中成药、高端化学制剂为特色的产业体系；以多抗®甘露聚糖肽为代表的十余个优质产品销售遍及全国。经过二十余年发展，获得“健康中国品质奖”、“国家技术发明奖”、“解放军科学技术进步一等奖”、“国家高新技术企业奖”等诸多荣誉，也是国家二类精麻药品的定点生产企业。</w:t>
            </w:r>
          </w:p>
        </w:tc>
      </w:tr>
      <w:tr w14:paraId="4B48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226" w:hRule="atLeast"/>
          <w:jc w:val="center"/>
        </w:trPr>
        <w:tc>
          <w:tcPr>
            <w:tcW w:w="1271" w:type="dxa"/>
            <w:shd w:val="clear" w:color="auto" w:fill="E7E6E6" w:themeFill="background2"/>
            <w:noWrap/>
            <w:vAlign w:val="center"/>
          </w:tcPr>
          <w:p w14:paraId="003EFD7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4FAD35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管理模式：合同制管理，双方协商签订协议，以合同方式明确职责和待遇；博士入职后年薪为25万及以上（另有项目奖和销售绩效奖）。</w:t>
            </w:r>
          </w:p>
          <w:p w14:paraId="0792BC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住房：30平方米公寓式住房，生活设施设备完善。</w:t>
            </w:r>
          </w:p>
          <w:p w14:paraId="260897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待遇经费：工资、项目奖和销售绩效奖等，并为博士后参加学术和技术交流活动提供便利和经费支持，包括实际发生差旅费用及差旅补贴等。</w:t>
            </w:r>
          </w:p>
          <w:p w14:paraId="2FDDFE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素质拓展：每年定期组织开展拓展活动。</w:t>
            </w:r>
          </w:p>
          <w:p w14:paraId="799EA9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培训：组织高校专家教授开展专题培训。</w:t>
            </w:r>
          </w:p>
        </w:tc>
      </w:tr>
      <w:tr w14:paraId="11B4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004FE8C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34B28E2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38DA9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53C37052">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4A8BAC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45A8E0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E4E5E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6B9C478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5C303A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4E8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54B974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lang w:val="zh-CN"/>
              </w:rPr>
              <w:t>阿片受体选择性激动剂药物</w:t>
            </w:r>
            <w:r>
              <w:rPr>
                <w:rFonts w:hint="default" w:ascii="Times New Roman" w:hAnsi="Times New Roman" w:cs="Times New Roman" w:eastAsiaTheme="minorEastAsia"/>
                <w:sz w:val="21"/>
                <w:szCs w:val="21"/>
                <w:lang w:val="zh-CN" w:eastAsia="zh-CN"/>
              </w:rPr>
              <w:t>开发</w:t>
            </w:r>
          </w:p>
        </w:tc>
        <w:tc>
          <w:tcPr>
            <w:tcW w:w="1132" w:type="dxa"/>
            <w:gridSpan w:val="2"/>
            <w:shd w:val="clear" w:color="auto" w:fill="auto"/>
            <w:vAlign w:val="center"/>
          </w:tcPr>
          <w:p w14:paraId="00382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lang w:eastAsia="zh-CN"/>
              </w:rPr>
              <w:t>1</w:t>
            </w:r>
          </w:p>
        </w:tc>
        <w:tc>
          <w:tcPr>
            <w:tcW w:w="1116" w:type="dxa"/>
            <w:gridSpan w:val="2"/>
            <w:shd w:val="clear" w:color="auto" w:fill="auto"/>
            <w:vAlign w:val="center"/>
          </w:tcPr>
          <w:p w14:paraId="57D6321B">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001</w:t>
            </w:r>
          </w:p>
        </w:tc>
        <w:tc>
          <w:tcPr>
            <w:tcW w:w="1908" w:type="dxa"/>
            <w:gridSpan w:val="2"/>
            <w:shd w:val="clear" w:color="auto" w:fill="auto"/>
            <w:vAlign w:val="center"/>
          </w:tcPr>
          <w:p w14:paraId="1719F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sz w:val="21"/>
                <w:szCs w:val="21"/>
                <w:lang w:eastAsia="zh-CN"/>
              </w:rPr>
              <w:t>有机化学</w:t>
            </w:r>
          </w:p>
        </w:tc>
        <w:tc>
          <w:tcPr>
            <w:tcW w:w="1488" w:type="dxa"/>
            <w:gridSpan w:val="2"/>
            <w:shd w:val="clear" w:color="auto" w:fill="auto"/>
            <w:vAlign w:val="center"/>
          </w:tcPr>
          <w:p w14:paraId="5D373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lang w:eastAsia="zh-CN"/>
              </w:rPr>
              <w:t>30</w:t>
            </w:r>
          </w:p>
        </w:tc>
        <w:tc>
          <w:tcPr>
            <w:tcW w:w="1771" w:type="dxa"/>
            <w:gridSpan w:val="2"/>
            <w:shd w:val="clear" w:color="auto" w:fill="auto"/>
            <w:vAlign w:val="center"/>
          </w:tcPr>
          <w:p w14:paraId="6618AD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lang w:val="en-US" w:eastAsia="zh-CN"/>
              </w:rPr>
              <w:t>应届毕业生</w:t>
            </w:r>
          </w:p>
        </w:tc>
      </w:tr>
    </w:tbl>
    <w:p w14:paraId="215C4E7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004D4A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83E963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F9D012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21CB95">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05" w:name="_Toc23145"/>
      <w:bookmarkStart w:id="806" w:name="_Toc10323"/>
      <w:bookmarkStart w:id="807" w:name="_Toc18037"/>
      <w:bookmarkStart w:id="808" w:name="_Toc1909"/>
      <w:bookmarkStart w:id="809" w:name="_Toc2253"/>
      <w:r>
        <w:rPr>
          <w:rFonts w:hint="eastAsia" w:ascii="Times New Roman" w:hAnsi="Times New Roman" w:eastAsia="方正小标宋简体" w:cs="Times New Roman"/>
          <w:sz w:val="44"/>
          <w:szCs w:val="44"/>
          <w:highlight w:val="none"/>
        </w:rPr>
        <w:t>四川博物院</w:t>
      </w:r>
      <w:bookmarkEnd w:id="805"/>
      <w:bookmarkEnd w:id="806"/>
      <w:bookmarkEnd w:id="807"/>
      <w:bookmarkEnd w:id="808"/>
      <w:bookmarkEnd w:id="809"/>
    </w:p>
    <w:p w14:paraId="3A52C811">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721"/>
        <w:gridCol w:w="1883"/>
      </w:tblGrid>
      <w:tr w14:paraId="3680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38F117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1583949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05C1090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1A1BE9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848" w:type="dxa"/>
            <w:gridSpan w:val="2"/>
            <w:shd w:val="clear" w:color="auto" w:fill="E7E6E6" w:themeFill="background2"/>
            <w:noWrap/>
            <w:vAlign w:val="center"/>
          </w:tcPr>
          <w:p w14:paraId="0CAC39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839" w:type="dxa"/>
            <w:shd w:val="clear" w:color="000000" w:fill="FFFFFF"/>
            <w:noWrap/>
            <w:vAlign w:val="center"/>
          </w:tcPr>
          <w:p w14:paraId="62000A9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0BC2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2E0444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2B684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四川省成都市青羊区浣花南路251号</w:t>
            </w:r>
          </w:p>
        </w:tc>
      </w:tr>
      <w:tr w14:paraId="1651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0DBDE04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179E82D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博物院为四川省最大的综合类历史博物馆，是央地共建国家级重点博物馆、国家一级博物馆、全国最具创新力博物馆、首批全国中小学生研学实践教育基地、全国科普教育基地、四川省爱国主义教育基地。馆址位于成都市浣花溪风景区，主体建筑32026 平方米，展厅数量15 个，展厅面积9716 平方米。</w:t>
            </w:r>
          </w:p>
          <w:p w14:paraId="231975B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馆藏文物以四川地区历代文物为主，种类齐全、数量丰富。藏品包括陶瓷、书画碑帖、民俗钱币、石刻玉器、金属雕刻、近现代文物、民族文物等七个大类，共30余万件。其中，以巴蜀青铜器、汉代画像砖石、南朝佛教造像、历代书画、藏传佛教文物、张大千临摹敦煌壁画、川陕革命根据地文物等文物为代表，充分体现了四川的历史特色、艺术特色和地域特色。</w:t>
            </w:r>
          </w:p>
        </w:tc>
      </w:tr>
      <w:tr w14:paraId="5761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1" w:type="dxa"/>
            <w:shd w:val="clear" w:color="auto" w:fill="E7E6E6" w:themeFill="background2"/>
            <w:noWrap/>
            <w:vAlign w:val="center"/>
          </w:tcPr>
          <w:p w14:paraId="50ADA03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6F74C67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博士后招收、入站、出站及博士后薪津待遇按国家博士后政策并结合四川博物院相关规定执行。由人事部和科教中心共同负责博士后的招收工作；博士后的日常管理由科教中心负责。</w:t>
            </w:r>
          </w:p>
        </w:tc>
      </w:tr>
      <w:tr w14:paraId="7BC9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6B886A8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6DC3209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6BE1437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5DA35D2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84CA9E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81" w:type="dxa"/>
            <w:shd w:val="clear" w:color="auto" w:fill="E7E6E6" w:themeFill="background2"/>
            <w:vAlign w:val="center"/>
          </w:tcPr>
          <w:p w14:paraId="0F546D6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69D352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39" w:type="dxa"/>
            <w:shd w:val="clear" w:color="auto" w:fill="E7E6E6" w:themeFill="background2"/>
            <w:vAlign w:val="center"/>
          </w:tcPr>
          <w:p w14:paraId="04BA40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222B14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3A0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B4432F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文物与历史研究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2DDF44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8EF4F6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5769A7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中国史</w:t>
            </w:r>
          </w:p>
        </w:tc>
        <w:tc>
          <w:tcPr>
            <w:tcW w:w="16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F30B8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面议</w:t>
            </w:r>
          </w:p>
        </w:tc>
        <w:tc>
          <w:tcPr>
            <w:tcW w:w="183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7281F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无</w:t>
            </w:r>
          </w:p>
        </w:tc>
      </w:tr>
      <w:tr w14:paraId="1425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9E6E94B">
            <w:pPr>
              <w:adjustRightInd w:val="0"/>
              <w:snapToGrid w:val="0"/>
              <w:spacing w:line="240" w:lineRule="auto"/>
              <w:ind w:firstLine="0" w:firstLineChars="0"/>
              <w:jc w:val="both"/>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博物馆学研究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890EAF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5CCCF1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2A2ECBB">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考古学、中国史</w:t>
            </w:r>
          </w:p>
        </w:tc>
        <w:tc>
          <w:tcPr>
            <w:tcW w:w="16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EF4390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面议</w:t>
            </w:r>
          </w:p>
        </w:tc>
        <w:tc>
          <w:tcPr>
            <w:tcW w:w="1839" w:type="dxa"/>
            <w:vMerge w:val="continue"/>
            <w:tcBorders>
              <w:left w:val="single" w:color="auto" w:sz="4" w:space="0"/>
              <w:right w:val="single" w:color="auto" w:sz="4" w:space="0"/>
              <w:tl2br w:val="nil"/>
              <w:tr2bl w:val="nil"/>
            </w:tcBorders>
            <w:shd w:val="clear" w:color="auto" w:fill="FFFFFF"/>
            <w:vAlign w:val="center"/>
          </w:tcPr>
          <w:p w14:paraId="14729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2CB4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2097B3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考古与文物研究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14CF0E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DC21C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F33B58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考古学</w:t>
            </w:r>
          </w:p>
        </w:tc>
        <w:tc>
          <w:tcPr>
            <w:tcW w:w="16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D0D465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面议</w:t>
            </w:r>
          </w:p>
        </w:tc>
        <w:tc>
          <w:tcPr>
            <w:tcW w:w="1839" w:type="dxa"/>
            <w:vMerge w:val="continue"/>
            <w:tcBorders>
              <w:left w:val="single" w:color="auto" w:sz="4" w:space="0"/>
              <w:bottom w:val="single" w:color="auto" w:sz="4" w:space="0"/>
              <w:right w:val="single" w:color="auto" w:sz="4" w:space="0"/>
              <w:tl2br w:val="nil"/>
              <w:tr2bl w:val="nil"/>
            </w:tcBorders>
            <w:shd w:val="clear" w:color="auto" w:fill="FFFFFF"/>
            <w:vAlign w:val="center"/>
          </w:tcPr>
          <w:p w14:paraId="68D5AC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6E2A4BD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4C8DB0B">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10" w:name="_Toc8710"/>
      <w:bookmarkStart w:id="811" w:name="_Toc12817"/>
      <w:bookmarkStart w:id="812" w:name="_Toc445"/>
      <w:bookmarkStart w:id="813" w:name="_Toc4191"/>
      <w:bookmarkStart w:id="814" w:name="_Toc22206"/>
      <w:r>
        <w:rPr>
          <w:rFonts w:hint="eastAsia" w:ascii="Times New Roman" w:hAnsi="Times New Roman" w:eastAsia="方正小标宋简体" w:cs="Times New Roman"/>
          <w:sz w:val="44"/>
          <w:szCs w:val="44"/>
          <w:highlight w:val="none"/>
        </w:rPr>
        <w:t>四川超迪电器实业有限公司</w:t>
      </w:r>
      <w:bookmarkEnd w:id="810"/>
      <w:bookmarkEnd w:id="811"/>
      <w:bookmarkEnd w:id="812"/>
      <w:bookmarkEnd w:id="813"/>
      <w:bookmarkEnd w:id="814"/>
    </w:p>
    <w:p w14:paraId="3651BCE6">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795"/>
        <w:gridCol w:w="1809"/>
      </w:tblGrid>
      <w:tr w14:paraId="3385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243C7E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7F50FF3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07C908F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231083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920" w:type="dxa"/>
            <w:gridSpan w:val="2"/>
            <w:shd w:val="clear" w:color="auto" w:fill="E7E6E6" w:themeFill="background2"/>
            <w:noWrap/>
            <w:vAlign w:val="center"/>
          </w:tcPr>
          <w:p w14:paraId="6E277A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767" w:type="dxa"/>
            <w:shd w:val="clear" w:color="000000" w:fill="FFFFFF"/>
            <w:noWrap/>
            <w:vAlign w:val="center"/>
          </w:tcPr>
          <w:p w14:paraId="6558162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资阳</w:t>
            </w:r>
          </w:p>
        </w:tc>
      </w:tr>
      <w:tr w14:paraId="59A5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2A0B6C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242D1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w:t>
            </w:r>
            <w:r>
              <w:rPr>
                <w:rFonts w:hint="eastAsia" w:cs="Times New Roman" w:eastAsiaTheme="minorEastAsia"/>
                <w:sz w:val="21"/>
                <w:szCs w:val="21"/>
                <w:lang w:val="en-US" w:eastAsia="zh-CN"/>
              </w:rPr>
              <w:t>资阳市</w:t>
            </w:r>
            <w:r>
              <w:rPr>
                <w:rFonts w:hint="default" w:ascii="Times New Roman" w:hAnsi="Times New Roman" w:cs="Times New Roman" w:eastAsiaTheme="minorEastAsia"/>
                <w:sz w:val="21"/>
                <w:szCs w:val="21"/>
              </w:rPr>
              <w:t>乐至县工业园区超迪大道6号</w:t>
            </w:r>
          </w:p>
        </w:tc>
      </w:tr>
      <w:tr w14:paraId="41B0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1271" w:type="dxa"/>
            <w:shd w:val="clear" w:color="auto" w:fill="E7E6E6" w:themeFill="background2"/>
            <w:noWrap/>
            <w:vAlign w:val="center"/>
          </w:tcPr>
          <w:p w14:paraId="370D33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29D58B9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超迪公司成立于1988年，现已发展成为集新产品研发、制造、物流、营销、售后为一体的跨地域性的大型民营企业，专业生产制造洗衣机、太阳能热水器、太阳能灯具、电风扇、饮水机、脱水机等系列产品。公司总占地面积600余亩，厂房建筑面积二十五万平方米。公司拥有省级技术中心、博士后科研工作站，共获得专利52项。</w:t>
            </w:r>
          </w:p>
          <w:p w14:paraId="333727E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先后通过了IS09001质量管理体系认证，ISO14001环境管理体系认证，OHSAS18001职业健康安全管理体系认证，中国环境标志产品认证，中国环保产品认证，中国节能产品认证，产品全部取得了国家强制认证证书-3C证书。</w:t>
            </w:r>
          </w:p>
        </w:tc>
      </w:tr>
      <w:tr w14:paraId="052C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1" w:type="dxa"/>
            <w:shd w:val="clear" w:color="auto" w:fill="E7E6E6" w:themeFill="background2"/>
            <w:noWrap/>
            <w:vAlign w:val="center"/>
          </w:tcPr>
          <w:p w14:paraId="6C38438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7A0630B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可提供住宿，子女入学等后勤保障条件，科研辅助人员、科研场地和经费等科研条件</w:t>
            </w:r>
          </w:p>
        </w:tc>
      </w:tr>
      <w:tr w14:paraId="0777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6D6F1E4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290AB4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18ED32E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7D7876A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846D1D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53" w:type="dxa"/>
            <w:shd w:val="clear" w:color="auto" w:fill="E7E6E6" w:themeFill="background2"/>
            <w:vAlign w:val="center"/>
          </w:tcPr>
          <w:p w14:paraId="3E366A6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79270D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67" w:type="dxa"/>
            <w:shd w:val="clear" w:color="auto" w:fill="E7E6E6" w:themeFill="background2"/>
            <w:vAlign w:val="center"/>
          </w:tcPr>
          <w:p w14:paraId="07ABB4E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DFF7B9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1B7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B366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塑料材料改性研究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C6BA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06E0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D202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高分子材料</w:t>
            </w:r>
          </w:p>
        </w:tc>
        <w:tc>
          <w:tcPr>
            <w:tcW w:w="175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C37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根据项目需求</w:t>
            </w:r>
          </w:p>
        </w:tc>
        <w:tc>
          <w:tcPr>
            <w:tcW w:w="1767"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562B1D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无</w:t>
            </w:r>
          </w:p>
        </w:tc>
      </w:tr>
      <w:tr w14:paraId="32A4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E00B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洗衣机震动情况研究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5B4FF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3D411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508D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机械专业</w:t>
            </w:r>
          </w:p>
        </w:tc>
        <w:tc>
          <w:tcPr>
            <w:tcW w:w="175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16B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根据项目需求</w:t>
            </w:r>
          </w:p>
        </w:tc>
        <w:tc>
          <w:tcPr>
            <w:tcW w:w="1767" w:type="dxa"/>
            <w:vMerge w:val="continue"/>
            <w:tcBorders>
              <w:left w:val="single" w:color="auto" w:sz="4" w:space="0"/>
              <w:right w:val="single" w:color="auto" w:sz="4" w:space="0"/>
              <w:tl2br w:val="nil"/>
              <w:tr2bl w:val="nil"/>
            </w:tcBorders>
            <w:shd w:val="clear" w:color="auto" w:fill="FFFFFF"/>
            <w:vAlign w:val="center"/>
          </w:tcPr>
          <w:p w14:paraId="7D4A6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r w14:paraId="2786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EEDF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洗衣机电器宽电压适应性研究</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6346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48A3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E4F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电气专业</w:t>
            </w:r>
          </w:p>
        </w:tc>
        <w:tc>
          <w:tcPr>
            <w:tcW w:w="175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DF93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根据项目需求</w:t>
            </w:r>
          </w:p>
        </w:tc>
        <w:tc>
          <w:tcPr>
            <w:tcW w:w="1767" w:type="dxa"/>
            <w:vMerge w:val="continue"/>
            <w:tcBorders>
              <w:left w:val="single" w:color="auto" w:sz="4" w:space="0"/>
              <w:bottom w:val="single" w:color="auto" w:sz="4" w:space="0"/>
              <w:right w:val="single" w:color="auto" w:sz="4" w:space="0"/>
              <w:tl2br w:val="nil"/>
              <w:tr2bl w:val="nil"/>
            </w:tcBorders>
            <w:shd w:val="clear" w:color="auto" w:fill="FFFFFF"/>
            <w:vAlign w:val="center"/>
          </w:tcPr>
          <w:p w14:paraId="40361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r>
    </w:tbl>
    <w:p w14:paraId="54458A6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1A99CA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15" w:name="_Toc12242"/>
      <w:bookmarkStart w:id="816" w:name="_Toc24410"/>
      <w:bookmarkStart w:id="817" w:name="_Toc11706"/>
      <w:bookmarkStart w:id="818" w:name="_Toc31026"/>
      <w:bookmarkStart w:id="819" w:name="_Toc16274"/>
      <w:r>
        <w:rPr>
          <w:rFonts w:hint="eastAsia" w:ascii="Times New Roman" w:hAnsi="Times New Roman" w:eastAsia="方正小标宋简体" w:cs="Times New Roman"/>
          <w:sz w:val="44"/>
          <w:szCs w:val="44"/>
          <w:highlight w:val="none"/>
        </w:rPr>
        <w:t>四川川东电缆有限责任公司</w:t>
      </w:r>
      <w:bookmarkEnd w:id="815"/>
      <w:bookmarkEnd w:id="816"/>
      <w:bookmarkEnd w:id="817"/>
      <w:bookmarkEnd w:id="818"/>
      <w:bookmarkEnd w:id="819"/>
    </w:p>
    <w:p w14:paraId="2CCF420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376C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5ACD960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6497DDF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784" w:type="dxa"/>
            <w:gridSpan w:val="2"/>
            <w:shd w:val="clear" w:color="auto" w:fill="E7E6E6" w:themeFill="background2"/>
            <w:noWrap/>
            <w:vAlign w:val="center"/>
          </w:tcPr>
          <w:p w14:paraId="34A7FEB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18F0EAC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1EA782E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4B05041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大竹</w:t>
            </w:r>
          </w:p>
        </w:tc>
      </w:tr>
      <w:tr w14:paraId="4A02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9CCB4B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49E15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四川省大竹县工业园区科技路12号</w:t>
            </w:r>
          </w:p>
        </w:tc>
      </w:tr>
      <w:tr w14:paraId="2591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084" w:hRule="atLeast"/>
          <w:jc w:val="center"/>
        </w:trPr>
        <w:tc>
          <w:tcPr>
            <w:tcW w:w="1271" w:type="dxa"/>
            <w:shd w:val="clear" w:color="auto" w:fill="E7E6E6" w:themeFill="background2"/>
            <w:noWrap/>
            <w:vAlign w:val="center"/>
          </w:tcPr>
          <w:p w14:paraId="18A1677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20F3252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川东电缆有限责任公司是一家集制造、研发、销售及服务一体的专业电线电缆国家级高新技术企业，是中国电器工业协会电线电缆分会副理事长单位，中国煤炭工业协会矿用电缆专委会成员单位，全国重合同守信用单位。连续多年被评为中国电缆行业最具竞争力100强企业、四川省创新发展能力100强企业。</w:t>
            </w:r>
          </w:p>
          <w:p w14:paraId="4BB4800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位于四川省大竹县东柳工业园，占地面积250亩。始建于1954年，1970年转产电线，迄今已近70年的发展历史。公司秉承“和衷共济、开拓进取、争创一流、服务社会”的价值观，建有电线电缆研发机构-川东电缆研究所、成立了省级企业技术中心、四川省柔性电缆工程技术中心、四川省博士后创新实践基地，达州市院士专家工作站等科研创新平台。2004年被劳动部授予西部地区电线电缆职工技能鉴定站-四川站。获得国家授权专利62项。“黑象”牌电线电缆获得了“四川省名牌产品”、“四川省著名商标”、“中国驰名商标”等荣誉称号。目前，在省、市、县党委和政府的支持下，公司正积极争创上市。</w:t>
            </w:r>
          </w:p>
        </w:tc>
      </w:tr>
      <w:tr w14:paraId="3E51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978" w:hRule="atLeast"/>
          <w:jc w:val="center"/>
        </w:trPr>
        <w:tc>
          <w:tcPr>
            <w:tcW w:w="1271" w:type="dxa"/>
            <w:shd w:val="clear" w:color="auto" w:fill="E7E6E6" w:themeFill="background2"/>
            <w:noWrap/>
            <w:vAlign w:val="center"/>
          </w:tcPr>
          <w:p w14:paraId="7B7B344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6B1D02D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1.享受新产品开发前三年销售比例提成；</w:t>
            </w:r>
          </w:p>
          <w:p w14:paraId="67230C2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2.享受国家对博士支持政策及经费补助；</w:t>
            </w:r>
          </w:p>
          <w:p w14:paraId="4978452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3.承诺在企业服务期限10年以上的博士生，提供企业所在地住房1套和汽车一辆；</w:t>
            </w:r>
          </w:p>
          <w:p w14:paraId="0555291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4.学习深造及晋升。</w:t>
            </w:r>
          </w:p>
        </w:tc>
      </w:tr>
      <w:tr w14:paraId="188B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7FF715F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69DA582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388AE6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020C4D7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8B7331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08837AB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A3A020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17FB2FE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F809DD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467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599551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高强度多组份互穿网络硫化橡胶特种软电缆示范应用及产业化</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7DEB31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551E20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56DA9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高分子材料/绝缘</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85BF0A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待定</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3CDDFCF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西安交大</w:t>
            </w:r>
          </w:p>
        </w:tc>
      </w:tr>
    </w:tbl>
    <w:p w14:paraId="350BC97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2465680">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outlineLvl w:val="0"/>
      </w:pPr>
      <w:bookmarkStart w:id="820" w:name="_Toc12200"/>
      <w:bookmarkStart w:id="821" w:name="_Toc6913"/>
      <w:bookmarkStart w:id="822" w:name="_Toc31158"/>
      <w:bookmarkStart w:id="823" w:name="_Toc844"/>
      <w:bookmarkStart w:id="824" w:name="_Toc3989"/>
      <w:r>
        <w:rPr>
          <w:rFonts w:eastAsia="方正小标宋简体"/>
          <w:sz w:val="44"/>
          <w:szCs w:val="44"/>
          <w:highlight w:val="none"/>
        </w:rPr>
        <w:t>四川大西洋焊接材料股份有限公司</w:t>
      </w:r>
      <w:bookmarkEnd w:id="820"/>
      <w:bookmarkEnd w:id="821"/>
      <w:bookmarkEnd w:id="822"/>
      <w:bookmarkEnd w:id="823"/>
      <w:bookmarkEnd w:id="824"/>
    </w:p>
    <w:p w14:paraId="2AC44278">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left="0" w:firstLine="0" w:firstLineChars="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80"/>
        <w:gridCol w:w="1192"/>
        <w:gridCol w:w="67"/>
        <w:gridCol w:w="1298"/>
        <w:gridCol w:w="722"/>
        <w:gridCol w:w="1061"/>
        <w:gridCol w:w="675"/>
        <w:gridCol w:w="1287"/>
        <w:gridCol w:w="383"/>
        <w:gridCol w:w="1500"/>
      </w:tblGrid>
      <w:tr w14:paraId="754A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9" w:type="dxa"/>
            <w:shd w:val="clear" w:color="auto" w:fill="E7E6E6" w:themeFill="background2"/>
            <w:noWrap/>
            <w:vAlign w:val="center"/>
          </w:tcPr>
          <w:p w14:paraId="092D59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56" w:type="dxa"/>
            <w:gridSpan w:val="2"/>
            <w:shd w:val="clear" w:color="000000" w:fill="FFFFFF"/>
            <w:noWrap/>
            <w:vAlign w:val="center"/>
          </w:tcPr>
          <w:p w14:paraId="2E2F9471">
            <w:pPr>
              <w:adjustRightInd w:val="0"/>
              <w:snapToGrid w:val="0"/>
              <w:spacing w:line="240" w:lineRule="auto"/>
              <w:ind w:firstLine="0"/>
              <w:jc w:val="center"/>
              <w:rPr>
                <w:rFonts w:eastAsiaTheme="minorEastAsia"/>
                <w:sz w:val="21"/>
                <w:szCs w:val="21"/>
              </w:rPr>
            </w:pPr>
            <w:r>
              <w:rPr>
                <w:rFonts w:eastAsiaTheme="minorEastAsia"/>
                <w:sz w:val="21"/>
                <w:szCs w:val="21"/>
                <w:lang w:val="zh-CN"/>
              </w:rPr>
              <w:t>国有企业</w:t>
            </w:r>
          </w:p>
        </w:tc>
        <w:tc>
          <w:tcPr>
            <w:tcW w:w="1910" w:type="dxa"/>
            <w:gridSpan w:val="3"/>
            <w:shd w:val="clear" w:color="auto" w:fill="E7E6E6" w:themeFill="background2"/>
            <w:noWrap/>
            <w:vAlign w:val="center"/>
          </w:tcPr>
          <w:p w14:paraId="648145A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C776D95">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1D6368A4">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373" w:type="dxa"/>
            <w:shd w:val="clear" w:color="000000" w:fill="FFFFFF"/>
            <w:noWrap/>
            <w:vAlign w:val="center"/>
          </w:tcPr>
          <w:p w14:paraId="1C0AB18A">
            <w:pPr>
              <w:adjustRightInd w:val="0"/>
              <w:snapToGrid w:val="0"/>
              <w:spacing w:line="240" w:lineRule="auto"/>
              <w:ind w:firstLine="0"/>
              <w:jc w:val="center"/>
              <w:rPr>
                <w:rFonts w:eastAsiaTheme="minorEastAsia"/>
                <w:sz w:val="21"/>
                <w:szCs w:val="21"/>
              </w:rPr>
            </w:pPr>
            <w:r>
              <w:rPr>
                <w:rFonts w:eastAsiaTheme="minorEastAsia"/>
                <w:sz w:val="21"/>
                <w:szCs w:val="21"/>
                <w:lang w:val="zh-CN"/>
              </w:rPr>
              <w:t>自贡</w:t>
            </w:r>
          </w:p>
        </w:tc>
      </w:tr>
      <w:tr w14:paraId="1460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9" w:type="dxa"/>
            <w:shd w:val="clear" w:color="auto" w:fill="E7E6E6" w:themeFill="background2"/>
            <w:noWrap/>
            <w:vAlign w:val="center"/>
          </w:tcPr>
          <w:p w14:paraId="2BF2BC89">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657" w:type="dxa"/>
            <w:gridSpan w:val="10"/>
            <w:shd w:val="clear" w:color="000000" w:fill="FFFFFF"/>
            <w:noWrap/>
            <w:vAlign w:val="center"/>
          </w:tcPr>
          <w:p w14:paraId="4B5C5EFC">
            <w:pPr>
              <w:adjustRightInd w:val="0"/>
              <w:snapToGrid w:val="0"/>
              <w:spacing w:line="240" w:lineRule="auto"/>
              <w:ind w:firstLine="420" w:firstLineChars="200"/>
              <w:jc w:val="center"/>
              <w:rPr>
                <w:rFonts w:eastAsiaTheme="minorEastAsia"/>
                <w:sz w:val="21"/>
                <w:szCs w:val="21"/>
              </w:rPr>
            </w:pPr>
            <w:r>
              <w:rPr>
                <w:rFonts w:eastAsiaTheme="minorEastAsia"/>
                <w:sz w:val="21"/>
                <w:szCs w:val="21"/>
                <w:lang w:val="zh-CN"/>
              </w:rPr>
              <w:t>四川省</w:t>
            </w:r>
            <w:r>
              <w:rPr>
                <w:rFonts w:hint="eastAsia" w:eastAsiaTheme="minorEastAsia"/>
                <w:sz w:val="21"/>
                <w:szCs w:val="21"/>
                <w:lang w:val="zh-CN"/>
              </w:rPr>
              <w:t>自贡市自流井区丹阳街1号</w:t>
            </w:r>
          </w:p>
        </w:tc>
      </w:tr>
      <w:tr w14:paraId="5230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jc w:val="center"/>
        </w:trPr>
        <w:tc>
          <w:tcPr>
            <w:tcW w:w="1269" w:type="dxa"/>
            <w:shd w:val="clear" w:color="auto" w:fill="E7E6E6" w:themeFill="background2"/>
            <w:noWrap/>
            <w:vAlign w:val="center"/>
          </w:tcPr>
          <w:p w14:paraId="5300E78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657" w:type="dxa"/>
            <w:gridSpan w:val="10"/>
            <w:shd w:val="clear" w:color="000000" w:fill="FFFFFF"/>
            <w:vAlign w:val="center"/>
          </w:tcPr>
          <w:p w14:paraId="03C2757F">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大西洋焊接材料股份有限公司前身系中国电焊条厂，始建于1950年，2001年上市，是目前国内唯一主营焊接材料的上市国有企业，70多年稳定经营，产销规模居行业前列。公司作为国内专业化焊接材料生产企业，长期专注于焊接材料研发、生产、销售。经过70多年的发展和积淀，公司主要经营产品有焊条、焊丝、焊剂三大类十六个系列700多个种类，是目前国内焊接材料行业规模较大、研发实力较强、品种规格齐全、产销多点布局的专业化焊接材料制造企业。</w:t>
            </w:r>
          </w:p>
        </w:tc>
      </w:tr>
      <w:tr w14:paraId="27F1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1269" w:type="dxa"/>
            <w:shd w:val="clear" w:color="auto" w:fill="E7E6E6" w:themeFill="background2"/>
            <w:noWrap/>
            <w:vAlign w:val="center"/>
          </w:tcPr>
          <w:p w14:paraId="4F2242A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657" w:type="dxa"/>
            <w:gridSpan w:val="10"/>
            <w:shd w:val="clear" w:color="000000" w:fill="FFFFFF"/>
            <w:vAlign w:val="center"/>
          </w:tcPr>
          <w:p w14:paraId="60EB17D1">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公司为博士后研究人员提供单位住房和入住市区高端人才公寓，独立的办公场所，并无偿使用公司试验检测设备以及具有国际领先水平的实验检测仪器。公司按照中高级人员提供日常差旅费用，生活补贴及相关后勤保障措施，按公司《技术创新管理办法》提供必要的科研经费。</w:t>
            </w:r>
          </w:p>
        </w:tc>
      </w:tr>
      <w:tr w14:paraId="5FD8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34" w:type="dxa"/>
            <w:gridSpan w:val="2"/>
            <w:shd w:val="clear" w:color="auto" w:fill="E7E6E6" w:themeFill="background2"/>
            <w:noWrap/>
            <w:vAlign w:val="center"/>
          </w:tcPr>
          <w:p w14:paraId="5535F142">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52" w:type="dxa"/>
            <w:gridSpan w:val="2"/>
            <w:shd w:val="clear" w:color="auto" w:fill="E7E6E6" w:themeFill="background2"/>
            <w:vAlign w:val="center"/>
          </w:tcPr>
          <w:p w14:paraId="22EA456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shd w:val="clear" w:color="auto" w:fill="E7E6E6" w:themeFill="background2"/>
            <w:vAlign w:val="center"/>
          </w:tcPr>
          <w:p w14:paraId="6E96BF2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2" w:type="dxa"/>
            <w:gridSpan w:val="2"/>
            <w:shd w:val="clear" w:color="auto" w:fill="E7E6E6" w:themeFill="background2"/>
            <w:vAlign w:val="center"/>
          </w:tcPr>
          <w:p w14:paraId="71DDF0E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C5DA33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796" w:type="dxa"/>
            <w:gridSpan w:val="2"/>
            <w:shd w:val="clear" w:color="auto" w:fill="E7E6E6" w:themeFill="background2"/>
            <w:vAlign w:val="center"/>
          </w:tcPr>
          <w:p w14:paraId="7CB5B93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BEDA06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24" w:type="dxa"/>
            <w:gridSpan w:val="2"/>
            <w:shd w:val="clear" w:color="auto" w:fill="E7E6E6" w:themeFill="background2"/>
            <w:vAlign w:val="center"/>
          </w:tcPr>
          <w:p w14:paraId="6A7B625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AFCF8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4EB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434" w:type="dxa"/>
            <w:gridSpan w:val="2"/>
            <w:shd w:val="clear" w:color="000000" w:fill="FFFFFF"/>
            <w:noWrap/>
            <w:vAlign w:val="center"/>
          </w:tcPr>
          <w:p w14:paraId="5AA76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水电用</w:t>
            </w:r>
            <w:r>
              <w:rPr>
                <w:rFonts w:hint="default" w:ascii="Times New Roman" w:hAnsi="Times New Roman" w:cs="Times New Roman" w:eastAsiaTheme="minorEastAsia"/>
                <w:sz w:val="21"/>
                <w:szCs w:val="21"/>
                <w:lang w:val="en-US" w:eastAsia="zh-CN"/>
              </w:rPr>
              <w:t>1000MPa级焊接材料研究</w:t>
            </w:r>
          </w:p>
        </w:tc>
        <w:tc>
          <w:tcPr>
            <w:tcW w:w="1152" w:type="dxa"/>
            <w:gridSpan w:val="2"/>
            <w:shd w:val="clear" w:color="000000" w:fill="FFFFFF"/>
            <w:vAlign w:val="center"/>
          </w:tcPr>
          <w:p w14:paraId="4AF54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8" w:type="dxa"/>
            <w:shd w:val="clear" w:color="000000" w:fill="FFFFFF"/>
            <w:vAlign w:val="center"/>
          </w:tcPr>
          <w:p w14:paraId="47B85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BSH001</w:t>
            </w:r>
          </w:p>
        </w:tc>
        <w:tc>
          <w:tcPr>
            <w:tcW w:w="1632" w:type="dxa"/>
            <w:gridSpan w:val="2"/>
            <w:shd w:val="clear" w:color="000000" w:fill="FFFFFF"/>
            <w:vAlign w:val="center"/>
          </w:tcPr>
          <w:p w14:paraId="71A04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w:t>
            </w:r>
          </w:p>
        </w:tc>
        <w:tc>
          <w:tcPr>
            <w:tcW w:w="1796" w:type="dxa"/>
            <w:gridSpan w:val="2"/>
            <w:shd w:val="clear" w:color="000000" w:fill="FFFFFF"/>
            <w:vAlign w:val="center"/>
          </w:tcPr>
          <w:p w14:paraId="137985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按公司《技术创新管理办法》提供</w:t>
            </w:r>
          </w:p>
        </w:tc>
        <w:tc>
          <w:tcPr>
            <w:tcW w:w="1724" w:type="dxa"/>
            <w:gridSpan w:val="2"/>
            <w:shd w:val="clear" w:color="000000" w:fill="FFFFFF"/>
            <w:vAlign w:val="center"/>
          </w:tcPr>
          <w:p w14:paraId="6C28C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无</w:t>
            </w:r>
          </w:p>
        </w:tc>
      </w:tr>
      <w:tr w14:paraId="40F1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434" w:type="dxa"/>
            <w:gridSpan w:val="2"/>
            <w:shd w:val="clear" w:color="000000" w:fill="FFFFFF"/>
            <w:noWrap/>
            <w:vAlign w:val="center"/>
          </w:tcPr>
          <w:p w14:paraId="42D45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镍基合金裂纹敏感性研究</w:t>
            </w:r>
          </w:p>
        </w:tc>
        <w:tc>
          <w:tcPr>
            <w:tcW w:w="1152" w:type="dxa"/>
            <w:gridSpan w:val="2"/>
            <w:shd w:val="clear" w:color="000000" w:fill="FFFFFF"/>
            <w:vAlign w:val="center"/>
          </w:tcPr>
          <w:p w14:paraId="08DAD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8" w:type="dxa"/>
            <w:shd w:val="clear" w:color="000000" w:fill="FFFFFF"/>
            <w:vAlign w:val="center"/>
          </w:tcPr>
          <w:p w14:paraId="3D48F7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BSH002</w:t>
            </w:r>
          </w:p>
        </w:tc>
        <w:tc>
          <w:tcPr>
            <w:tcW w:w="1632" w:type="dxa"/>
            <w:gridSpan w:val="2"/>
            <w:shd w:val="clear" w:color="000000" w:fill="FFFFFF"/>
            <w:vAlign w:val="center"/>
          </w:tcPr>
          <w:p w14:paraId="1D83C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材料科学与工程</w:t>
            </w:r>
          </w:p>
        </w:tc>
        <w:tc>
          <w:tcPr>
            <w:tcW w:w="1796" w:type="dxa"/>
            <w:gridSpan w:val="2"/>
            <w:shd w:val="clear" w:color="000000" w:fill="FFFFFF"/>
            <w:vAlign w:val="center"/>
          </w:tcPr>
          <w:p w14:paraId="68B58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按公司《技术创新管理办法》提供</w:t>
            </w:r>
          </w:p>
        </w:tc>
        <w:tc>
          <w:tcPr>
            <w:tcW w:w="1724" w:type="dxa"/>
            <w:gridSpan w:val="2"/>
            <w:shd w:val="clear" w:color="000000" w:fill="FFFFFF"/>
            <w:vAlign w:val="center"/>
          </w:tcPr>
          <w:p w14:paraId="08A06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无</w:t>
            </w:r>
          </w:p>
        </w:tc>
      </w:tr>
    </w:tbl>
    <w:p w14:paraId="23DF0CE7">
      <w:pPr>
        <w:pStyle w:val="3"/>
        <w:adjustRightInd w:val="0"/>
        <w:snapToGrid w:val="0"/>
        <w:spacing w:before="0" w:after="0" w:line="240" w:lineRule="auto"/>
        <w:outlineLvl w:val="9"/>
      </w:pPr>
      <w:r>
        <w:rPr>
          <w:rFonts w:ascii="Times New Roman" w:hAnsi="Times New Roman"/>
          <w:sz w:val="21"/>
          <w:szCs w:val="21"/>
        </w:rPr>
        <w:br w:type="page"/>
      </w:r>
    </w:p>
    <w:p w14:paraId="71DA19E2">
      <w:pPr>
        <w:pStyle w:val="5"/>
        <w:adjustRightInd w:val="0"/>
        <w:snapToGrid w:val="0"/>
        <w:spacing w:line="240" w:lineRule="auto"/>
        <w:ind w:firstLine="0"/>
        <w:jc w:val="center"/>
        <w:rPr>
          <w:sz w:val="44"/>
          <w:szCs w:val="44"/>
        </w:rPr>
      </w:pPr>
    </w:p>
    <w:p w14:paraId="64D073C8">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25" w:name="_Toc28207"/>
      <w:bookmarkStart w:id="826" w:name="_Toc21737"/>
      <w:bookmarkStart w:id="827" w:name="_Toc1165"/>
      <w:bookmarkStart w:id="828" w:name="_Toc30175"/>
      <w:bookmarkStart w:id="829" w:name="_Toc31738"/>
      <w:r>
        <w:rPr>
          <w:rFonts w:hint="eastAsia" w:ascii="Times New Roman" w:hAnsi="Times New Roman" w:eastAsia="方正小标宋简体" w:cs="Times New Roman"/>
          <w:sz w:val="44"/>
          <w:szCs w:val="44"/>
          <w:highlight w:val="none"/>
        </w:rPr>
        <w:t>四川德博尔生物科技股份有限公司</w:t>
      </w:r>
      <w:bookmarkEnd w:id="825"/>
      <w:bookmarkEnd w:id="826"/>
      <w:bookmarkEnd w:id="827"/>
      <w:bookmarkEnd w:id="828"/>
      <w:bookmarkEnd w:id="829"/>
    </w:p>
    <w:tbl>
      <w:tblPr>
        <w:tblStyle w:val="25"/>
        <w:tblpPr w:leftFromText="180" w:rightFromText="180" w:vertAnchor="text" w:horzAnchor="page" w:tblpXSpec="center" w:tblpY="226"/>
        <w:tblOverlap w:val="never"/>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13"/>
        <w:gridCol w:w="491"/>
        <w:gridCol w:w="456"/>
        <w:gridCol w:w="1093"/>
        <w:gridCol w:w="1622"/>
        <w:gridCol w:w="1585"/>
        <w:gridCol w:w="2190"/>
      </w:tblGrid>
      <w:tr w14:paraId="0B33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3E0A26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0124BC8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338853C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C9B5E1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14C8B2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05A81A5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62CB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ABFDB0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6FD61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四川省广汉市小汉镇工业园</w:t>
            </w:r>
          </w:p>
        </w:tc>
      </w:tr>
      <w:tr w14:paraId="1D9C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271" w:type="dxa"/>
            <w:shd w:val="clear" w:color="auto" w:fill="E7E6E6" w:themeFill="background2"/>
            <w:noWrap/>
            <w:vAlign w:val="center"/>
          </w:tcPr>
          <w:p w14:paraId="3E1F9E8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2228213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德博尔生物科技股份有限公司成立于2010年12月，是国家高新技术企业，新三板挂牌企业，是生物酶和多糖类原料药的专业生产厂家。公司下设四川德博尔制药有限公司、德博尔（成都）生物科技有限公司及德阳新诺赛制药有限公司。公司现有员工400人，聚集了医药、生物技术、化学工程、分析检测等学科的工程技术人员68人，其中：高级职称4名，中级职称19人。公司拥有院士专家工作站、博士后创新实践基地、省工程技术中心、省级技术中心等6个研发机构。公司通过中国和欧盟GMP认证、日本PMDA认证、韩国MFDS认证，产品远销欧美日韩等50多个国家。</w:t>
            </w:r>
          </w:p>
        </w:tc>
      </w:tr>
      <w:tr w14:paraId="5BA3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jc w:val="center"/>
        </w:trPr>
        <w:tc>
          <w:tcPr>
            <w:tcW w:w="1271" w:type="dxa"/>
            <w:shd w:val="clear" w:color="auto" w:fill="E7E6E6" w:themeFill="background2"/>
            <w:noWrap/>
            <w:vAlign w:val="center"/>
          </w:tcPr>
          <w:p w14:paraId="27534E8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6F55DD3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1、工资福利：在职博士后15-20万/年，全职博士后30万元/年，享受国家及公司的保险等福利待遇；</w:t>
            </w:r>
          </w:p>
          <w:p w14:paraId="5EB14C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2、享受住房、差旅等费用补助；</w:t>
            </w:r>
          </w:p>
          <w:p w14:paraId="4C4AAC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3、对在科研工作中有创造性成果、重大技术革新或解决了关键性技术难题，产生显著的经济效益和社会效益的博士后，工作站将给予重奖。</w:t>
            </w:r>
          </w:p>
        </w:tc>
      </w:tr>
      <w:tr w14:paraId="32BB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60" w:type="dxa"/>
            <w:gridSpan w:val="2"/>
            <w:shd w:val="clear" w:color="auto" w:fill="E7E6E6" w:themeFill="background2"/>
            <w:noWrap/>
            <w:vAlign w:val="center"/>
          </w:tcPr>
          <w:p w14:paraId="7D97E35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14:paraId="6EF8AD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298FB59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0DEA1B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7EEC8A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1036B12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05FB37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247F75C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34E370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7BB3A66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25C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A7D7B95">
            <w:pPr>
              <w:bidi w:val="0"/>
              <w:spacing w:line="240" w:lineRule="auto"/>
              <w:ind w:left="0" w:leftChars="0"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tl w:val="0"/>
                <w:lang w:val="en-US" w:eastAsia="zh-CN"/>
              </w:rPr>
              <w:t>动物脏器提取活性物质重组表达</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92C974">
            <w:pPr>
              <w:bidi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tl w:val="0"/>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92814F">
            <w:pPr>
              <w:bidi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tl w:val="0"/>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F72436C">
            <w:pPr>
              <w:bidi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tl w:val="0"/>
                <w:lang w:val="en-US" w:eastAsia="zh-CN"/>
              </w:rPr>
              <w:t>药学或生物学</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A81C384">
            <w:pPr>
              <w:bidi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tl w:val="0"/>
                <w:lang w:val="en-US" w:eastAsia="zh-CN"/>
              </w:rPr>
              <w:t>20-50</w:t>
            </w:r>
          </w:p>
        </w:tc>
        <w:tc>
          <w:tcPr>
            <w:tcW w:w="213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4BA89D27">
            <w:pPr>
              <w:bidi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lang w:val="en-US" w:eastAsia="zh-CN"/>
              </w:rPr>
              <w:t>无</w:t>
            </w:r>
          </w:p>
        </w:tc>
      </w:tr>
      <w:tr w14:paraId="12AA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2056321">
            <w:pPr>
              <w:bidi w:val="0"/>
              <w:spacing w:line="240" w:lineRule="auto"/>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lang w:val="en-US" w:eastAsia="zh-CN"/>
              </w:rPr>
              <w:t>生物酶在大健康领域的应用研究</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BA141C9">
            <w:pPr>
              <w:bidi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F565D49">
            <w:pPr>
              <w:bidi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rPr>
              <w:t>BSH002</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DCFCF5C">
            <w:pPr>
              <w:bidi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lang w:val="en-US" w:eastAsia="zh-CN"/>
              </w:rPr>
              <w:t>食品科学、生物学</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F25ADB">
            <w:pPr>
              <w:bidi w:val="0"/>
              <w:spacing w:line="240" w:lineRule="auto"/>
              <w:ind w:left="0" w:leftChars="0"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tl w:val="0"/>
                <w:lang w:val="en-US" w:eastAsia="zh-CN"/>
              </w:rPr>
              <w:t>30-50</w:t>
            </w:r>
          </w:p>
        </w:tc>
        <w:tc>
          <w:tcPr>
            <w:tcW w:w="2139" w:type="dxa"/>
            <w:vMerge w:val="continue"/>
            <w:tcBorders>
              <w:left w:val="single" w:color="auto" w:sz="4" w:space="0"/>
              <w:bottom w:val="single" w:color="auto" w:sz="4" w:space="0"/>
              <w:right w:val="single" w:color="auto" w:sz="4" w:space="0"/>
              <w:tl2br w:val="nil"/>
              <w:tr2bl w:val="nil"/>
            </w:tcBorders>
            <w:shd w:val="clear" w:color="auto" w:fill="FFFFFF"/>
            <w:vAlign w:val="center"/>
          </w:tcPr>
          <w:p w14:paraId="1ABC3193">
            <w:pPr>
              <w:bidi w:val="0"/>
              <w:spacing w:line="240" w:lineRule="auto"/>
              <w:ind w:left="0" w:leftChars="0" w:firstLine="0" w:firstLineChars="0"/>
              <w:jc w:val="center"/>
              <w:rPr>
                <w:rFonts w:hint="default" w:ascii="Times New Roman" w:hAnsi="Times New Roman" w:cs="Times New Roman" w:eastAsiaTheme="minorEastAsia"/>
                <w:sz w:val="21"/>
                <w:szCs w:val="21"/>
              </w:rPr>
            </w:pPr>
          </w:p>
        </w:tc>
      </w:tr>
    </w:tbl>
    <w:p w14:paraId="39DEEEB8">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p w14:paraId="4D49BDE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B8201E9">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30" w:name="_Toc14912"/>
      <w:bookmarkStart w:id="831" w:name="_Toc13631"/>
      <w:bookmarkStart w:id="832" w:name="_Toc28501"/>
      <w:bookmarkStart w:id="833" w:name="_Toc21656"/>
      <w:bookmarkStart w:id="834" w:name="_Toc14654"/>
      <w:r>
        <w:rPr>
          <w:rFonts w:hint="eastAsia" w:ascii="Times New Roman" w:hAnsi="Times New Roman" w:eastAsia="方正小标宋简体" w:cs="Times New Roman"/>
          <w:sz w:val="44"/>
          <w:szCs w:val="44"/>
          <w:highlight w:val="none"/>
        </w:rPr>
        <w:t>四川德赛尔新材料科技有限公司</w:t>
      </w:r>
      <w:bookmarkEnd w:id="830"/>
      <w:bookmarkEnd w:id="831"/>
      <w:bookmarkEnd w:id="832"/>
      <w:bookmarkEnd w:id="833"/>
      <w:bookmarkEnd w:id="834"/>
    </w:p>
    <w:p w14:paraId="7DE1A47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439B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5A1F3E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4418706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4C665B0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14D85D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2EE8235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A63E04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德阳</w:t>
            </w:r>
          </w:p>
        </w:tc>
      </w:tr>
      <w:tr w14:paraId="71A4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33F817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2C928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四川省德阳市旌阳区天元镇歇月村533号</w:t>
            </w:r>
          </w:p>
        </w:tc>
      </w:tr>
      <w:tr w14:paraId="6B07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1271" w:type="dxa"/>
            <w:shd w:val="clear" w:color="auto" w:fill="E7E6E6" w:themeFill="background2"/>
            <w:noWrap/>
            <w:vAlign w:val="center"/>
          </w:tcPr>
          <w:p w14:paraId="40FCEB1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2942D59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德赛尔新材料科技有限公司成立于1994年，总部位于中国西部工业重镇——四川省德阳市，是一家集科研、生产、技术应用于一体的精细化学品专业公司。德赛尔以研发皮革助剂、加脂剂、复鞣剂、酶制剂、涂饰剂为专长，从原材料采购、产品研发、应用、检测，全方位为客户提供精准服务，为客户生产提供各种通用的高品质皮革、毛皮化学品及解决方案。</w:t>
            </w:r>
          </w:p>
          <w:p w14:paraId="65E74F6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作为“中国皮革化工基地 德阳”的牵头和主体建设单位，以及全国皮化行业唯一的“中国轻工业皮革化工材料工程研究中心”，德赛尔视科技创新为企业持续发展不竭动力，以“科技领先，应用无限”为创新理念， 成功建立了：中英皮革化学品产业创新中心、全国绿色高新精细化工技术创新示范基地、四川省企业技术中心、四川省皮革化学材料工程技术研究中心、省级院士（专家）工作站等。</w:t>
            </w:r>
          </w:p>
        </w:tc>
      </w:tr>
      <w:tr w14:paraId="5DB6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1271" w:type="dxa"/>
            <w:shd w:val="clear" w:color="auto" w:fill="E7E6E6" w:themeFill="background2"/>
            <w:noWrap/>
            <w:vAlign w:val="center"/>
          </w:tcPr>
          <w:p w14:paraId="5C47D88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504A981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薪酬待遇：20000-30000元/月，按规定享受五险一金、带薪年休假等各项福利；</w:t>
            </w:r>
          </w:p>
          <w:p w14:paraId="31302DC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科研项目奖励：课题取得较好科技成果，且能实现工业化生产，并产生较好经济效益的，经过公司科研项目评审委员会审核，将一次性给予博士后研究人员7-15万元的项目奖励；</w:t>
            </w:r>
          </w:p>
          <w:p w14:paraId="330438AF">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研发硬件设施条件：提供先进的实验室及中试放大设备和仪器，各类分析测试设备仪器，应用试验设备等；</w:t>
            </w:r>
          </w:p>
          <w:p w14:paraId="1CE9A30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其他后勤保障：提供公司专家级配置公寓及免费三餐。也可选择享受租房补贴；协调解决其配偶工作及未成年子女入托、入学等问题。</w:t>
            </w:r>
          </w:p>
        </w:tc>
      </w:tr>
      <w:tr w14:paraId="25B9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782CDC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117B70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4DD5BD2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11FA7DB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B1CEEF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7E9632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4A146C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557ADBA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9183C4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ABD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A03B542">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非甲醛类有机皮革鞣剂的研究开发</w:t>
            </w:r>
          </w:p>
          <w:p w14:paraId="3336E67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天然油脂改性研究及皮革加脂剂产品开发</w:t>
            </w:r>
          </w:p>
          <w:p w14:paraId="506FD2F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马来酸酐-苯乙烯交替共聚物水性体系合成</w:t>
            </w:r>
          </w:p>
          <w:p w14:paraId="3AF53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rPr>
              <w:t>聚丙烯酸酯乳液交联方法研究</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3D9C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10E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FC50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rPr>
              <w:t>轻化工程、有机合成、高分子材料</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52DA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w:t>
            </w:r>
          </w:p>
        </w:tc>
        <w:tc>
          <w:tcPr>
            <w:tcW w:w="1611" w:type="dxa"/>
            <w:tcBorders>
              <w:top w:val="single" w:color="auto" w:sz="4" w:space="0"/>
              <w:left w:val="single" w:color="auto" w:sz="4" w:space="0"/>
              <w:right w:val="single" w:color="auto" w:sz="4" w:space="0"/>
              <w:tl2br w:val="nil"/>
              <w:tr2bl w:val="nil"/>
            </w:tcBorders>
            <w:shd w:val="clear" w:color="auto" w:fill="FFFFFF"/>
            <w:vAlign w:val="center"/>
          </w:tcPr>
          <w:p w14:paraId="6276A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sz w:val="21"/>
                <w:szCs w:val="21"/>
              </w:rPr>
              <w:t>四川大学</w:t>
            </w:r>
          </w:p>
        </w:tc>
      </w:tr>
    </w:tbl>
    <w:p w14:paraId="2566768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1F3157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35" w:name="_Toc7156"/>
      <w:bookmarkStart w:id="836" w:name="_Toc27419"/>
      <w:bookmarkStart w:id="837" w:name="_Toc25045"/>
      <w:bookmarkStart w:id="838" w:name="_Toc27892"/>
      <w:bookmarkStart w:id="839" w:name="_Toc180"/>
      <w:r>
        <w:rPr>
          <w:rFonts w:hint="eastAsia" w:ascii="Times New Roman" w:hAnsi="Times New Roman" w:eastAsia="方正小标宋简体" w:cs="Times New Roman"/>
          <w:sz w:val="44"/>
          <w:szCs w:val="44"/>
          <w:highlight w:val="none"/>
        </w:rPr>
        <w:t>四川横竖生物科技股份有限公司</w:t>
      </w:r>
      <w:bookmarkEnd w:id="835"/>
      <w:bookmarkEnd w:id="836"/>
      <w:bookmarkEnd w:id="837"/>
      <w:bookmarkEnd w:id="838"/>
      <w:bookmarkEnd w:id="839"/>
    </w:p>
    <w:p w14:paraId="24888BAF">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73E0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2076711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44295BD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股份制企业</w:t>
            </w:r>
          </w:p>
        </w:tc>
        <w:tc>
          <w:tcPr>
            <w:tcW w:w="1616" w:type="dxa"/>
            <w:gridSpan w:val="2"/>
            <w:shd w:val="clear" w:color="auto" w:fill="E7E6E6" w:themeFill="background2"/>
            <w:noWrap/>
            <w:vAlign w:val="center"/>
          </w:tcPr>
          <w:p w14:paraId="3FC413B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2B65A1A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6036ED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086C8CB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宜宾</w:t>
            </w:r>
          </w:p>
        </w:tc>
      </w:tr>
      <w:tr w14:paraId="2FB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4EE965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1C010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四川省宜宾市叙州区柏溪街道新联村滩桥组1幢1层</w:t>
            </w:r>
          </w:p>
        </w:tc>
      </w:tr>
      <w:tr w14:paraId="4BCC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370" w:hRule="atLeast"/>
          <w:jc w:val="center"/>
        </w:trPr>
        <w:tc>
          <w:tcPr>
            <w:tcW w:w="1271" w:type="dxa"/>
            <w:shd w:val="clear" w:color="auto" w:fill="E7E6E6" w:themeFill="background2"/>
            <w:noWrap/>
            <w:vAlign w:val="center"/>
          </w:tcPr>
          <w:p w14:paraId="690FC57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3B798A6E">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四川横竖生物科技股份有限公司成立于2003年，是专业从事实验动物生产销售、技术研发和技术服务的国家高新技术企业和国家重点龙头企业，主营业务包括实验动物生产销售、实验动物模型构建、药效学/药代学及药物早期毒理筛选研究、动物实验技术服务等领域。现拥有四川省重点实验室、四川省专家工作站、四川省博士后创新实践基地、四川省林业长期科研基地、宜宾市产业技术研究院、宜宾市企业技术中心等集科研、服务、创新为一体的研发平台，公司以“促进人、动物、环境、企业和谐健康发展”为企业使命，加快建成全球优质实验动物供应商、动物实验整体解决方案和服务提供商。</w:t>
            </w:r>
          </w:p>
        </w:tc>
      </w:tr>
      <w:tr w14:paraId="76E1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94" w:hRule="atLeast"/>
          <w:jc w:val="center"/>
        </w:trPr>
        <w:tc>
          <w:tcPr>
            <w:tcW w:w="1271" w:type="dxa"/>
            <w:shd w:val="clear" w:color="auto" w:fill="E7E6E6" w:themeFill="background2"/>
            <w:noWrap/>
            <w:vAlign w:val="center"/>
          </w:tcPr>
          <w:p w14:paraId="34242F2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32A4819F">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 全职博士后在基地工作期间，参照《人事部 财政部关于博士后研究人员工资待遇问题的通知》《国务院办公厅关于改革完善博士后制度的意见》等文件规定，实行岗位绩效工资制度 ；</w:t>
            </w:r>
          </w:p>
          <w:p w14:paraId="7B1186D7">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2.申请领取省人力资源和社会保障厅发放的8万/人·年生活资助；</w:t>
            </w:r>
          </w:p>
          <w:p w14:paraId="17CA271A">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 公司为博士后研究人员提供10-30万元的项目经费和科研条件支持；</w:t>
            </w:r>
          </w:p>
          <w:p w14:paraId="3EBA3744">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 以“四川横竖生物科技股份有限公司博士后创新实践基地”为第一署名单位获得的基金、课题以及发表的论文等，按公司科研奖励相关规定给予奖励。</w:t>
            </w:r>
          </w:p>
        </w:tc>
      </w:tr>
      <w:tr w14:paraId="6C9B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7483869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6693FF4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25234B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150D27E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D497DC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55B9A6D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EF5CFA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5E7716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65CF17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102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5D5119F9">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en-US" w:bidi="ar-SA"/>
              </w:rPr>
              <w:t>非人灵长类动物疾病模型的构建研究</w:t>
            </w:r>
          </w:p>
        </w:tc>
        <w:tc>
          <w:tcPr>
            <w:tcW w:w="1132" w:type="dxa"/>
            <w:gridSpan w:val="2"/>
            <w:shd w:val="clear" w:color="auto" w:fill="auto"/>
            <w:vAlign w:val="center"/>
          </w:tcPr>
          <w:p w14:paraId="57247771">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1</w:t>
            </w:r>
          </w:p>
        </w:tc>
        <w:tc>
          <w:tcPr>
            <w:tcW w:w="1116" w:type="dxa"/>
            <w:gridSpan w:val="2"/>
            <w:shd w:val="clear" w:color="auto" w:fill="auto"/>
            <w:vAlign w:val="center"/>
          </w:tcPr>
          <w:p w14:paraId="25A0467C">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en-US" w:bidi="ar-SA"/>
              </w:rPr>
              <w:t>BSH001</w:t>
            </w:r>
          </w:p>
        </w:tc>
        <w:tc>
          <w:tcPr>
            <w:tcW w:w="1908" w:type="dxa"/>
            <w:gridSpan w:val="2"/>
            <w:shd w:val="clear" w:color="auto" w:fill="auto"/>
            <w:vAlign w:val="center"/>
          </w:tcPr>
          <w:p w14:paraId="793B13E9">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en-US" w:bidi="ar-SA"/>
              </w:rPr>
              <w:t>农学</w:t>
            </w:r>
          </w:p>
        </w:tc>
        <w:tc>
          <w:tcPr>
            <w:tcW w:w="1488" w:type="dxa"/>
            <w:gridSpan w:val="2"/>
            <w:shd w:val="clear" w:color="auto" w:fill="auto"/>
            <w:vAlign w:val="center"/>
          </w:tcPr>
          <w:p w14:paraId="15BA0E7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8-15</w:t>
            </w:r>
          </w:p>
        </w:tc>
        <w:tc>
          <w:tcPr>
            <w:tcW w:w="1771" w:type="dxa"/>
            <w:gridSpan w:val="2"/>
            <w:vMerge w:val="restart"/>
            <w:shd w:val="clear" w:color="auto" w:fill="auto"/>
            <w:vAlign w:val="center"/>
          </w:tcPr>
          <w:p w14:paraId="5F549C7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en-US" w:bidi="ar-SA"/>
              </w:rPr>
              <w:t>不限</w:t>
            </w:r>
          </w:p>
        </w:tc>
      </w:tr>
      <w:tr w14:paraId="0AC9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798D912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en-US" w:bidi="ar-SA"/>
              </w:rPr>
              <w:t>药效学、药代学、干细胞研究</w:t>
            </w:r>
          </w:p>
        </w:tc>
        <w:tc>
          <w:tcPr>
            <w:tcW w:w="1132" w:type="dxa"/>
            <w:gridSpan w:val="2"/>
            <w:shd w:val="clear" w:color="auto" w:fill="auto"/>
            <w:vAlign w:val="center"/>
          </w:tcPr>
          <w:p w14:paraId="4FBEE25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1</w:t>
            </w:r>
          </w:p>
        </w:tc>
        <w:tc>
          <w:tcPr>
            <w:tcW w:w="1116" w:type="dxa"/>
            <w:gridSpan w:val="2"/>
            <w:shd w:val="clear" w:color="auto" w:fill="auto"/>
            <w:vAlign w:val="center"/>
          </w:tcPr>
          <w:p w14:paraId="6395E57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en-US" w:bidi="ar-SA"/>
              </w:rPr>
              <w:t>BSH002</w:t>
            </w:r>
          </w:p>
        </w:tc>
        <w:tc>
          <w:tcPr>
            <w:tcW w:w="1908" w:type="dxa"/>
            <w:gridSpan w:val="2"/>
            <w:shd w:val="clear" w:color="auto" w:fill="auto"/>
            <w:vAlign w:val="center"/>
          </w:tcPr>
          <w:p w14:paraId="36258B9F">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en-US" w:bidi="ar-SA"/>
              </w:rPr>
              <w:t>工学</w:t>
            </w:r>
          </w:p>
        </w:tc>
        <w:tc>
          <w:tcPr>
            <w:tcW w:w="1488" w:type="dxa"/>
            <w:gridSpan w:val="2"/>
            <w:shd w:val="clear" w:color="auto" w:fill="auto"/>
            <w:vAlign w:val="center"/>
          </w:tcPr>
          <w:p w14:paraId="6F69FC5F">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8-15</w:t>
            </w:r>
          </w:p>
        </w:tc>
        <w:tc>
          <w:tcPr>
            <w:tcW w:w="1771" w:type="dxa"/>
            <w:gridSpan w:val="2"/>
            <w:vMerge w:val="continue"/>
            <w:shd w:val="clear" w:color="auto" w:fill="auto"/>
            <w:vAlign w:val="center"/>
          </w:tcPr>
          <w:p w14:paraId="663BEAAC">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bl>
    <w:p w14:paraId="4AC811F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B199D90">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eastAsia="方正小标宋简体"/>
          <w:sz w:val="44"/>
          <w:szCs w:val="44"/>
        </w:rPr>
      </w:pPr>
      <w:bookmarkStart w:id="840" w:name="_Toc8380"/>
      <w:bookmarkStart w:id="841" w:name="_Toc18082"/>
      <w:bookmarkStart w:id="842" w:name="_Toc14810"/>
      <w:bookmarkStart w:id="843" w:name="_Toc3509"/>
      <w:bookmarkStart w:id="844" w:name="_Toc17367"/>
      <w:r>
        <w:rPr>
          <w:rFonts w:eastAsia="方正小标宋简体"/>
          <w:sz w:val="44"/>
          <w:szCs w:val="44"/>
          <w:highlight w:val="none"/>
        </w:rPr>
        <w:t>四川建筑职业技术学院</w:t>
      </w:r>
      <w:bookmarkEnd w:id="840"/>
      <w:bookmarkEnd w:id="841"/>
      <w:bookmarkEnd w:id="842"/>
      <w:bookmarkEnd w:id="843"/>
      <w:bookmarkEnd w:id="844"/>
    </w:p>
    <w:p w14:paraId="24165832">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1"/>
        <w:gridCol w:w="1088"/>
        <w:gridCol w:w="1380"/>
        <w:gridCol w:w="446"/>
        <w:gridCol w:w="1402"/>
        <w:gridCol w:w="187"/>
        <w:gridCol w:w="1349"/>
        <w:gridCol w:w="180"/>
        <w:gridCol w:w="1617"/>
      </w:tblGrid>
      <w:tr w14:paraId="0340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shd w:val="clear" w:color="auto" w:fill="E7E6E6" w:themeFill="background2"/>
            <w:noWrap/>
            <w:vAlign w:val="center"/>
          </w:tcPr>
          <w:p w14:paraId="7C06116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39" w:type="dxa"/>
            <w:gridSpan w:val="2"/>
            <w:shd w:val="clear" w:color="000000" w:fill="FFFFFF"/>
            <w:noWrap/>
            <w:vAlign w:val="center"/>
          </w:tcPr>
          <w:p w14:paraId="703BCD0A">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826" w:type="dxa"/>
            <w:gridSpan w:val="2"/>
            <w:shd w:val="clear" w:color="auto" w:fill="E7E6E6" w:themeFill="background2"/>
            <w:noWrap/>
            <w:vAlign w:val="center"/>
          </w:tcPr>
          <w:p w14:paraId="01F53B80">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58E1A5FB">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64E62F3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7" w:type="dxa"/>
            <w:shd w:val="clear" w:color="000000" w:fill="FFFFFF"/>
            <w:noWrap/>
            <w:vAlign w:val="center"/>
          </w:tcPr>
          <w:p w14:paraId="2FD4F2E2">
            <w:pPr>
              <w:adjustRightInd w:val="0"/>
              <w:snapToGrid w:val="0"/>
              <w:spacing w:line="240" w:lineRule="auto"/>
              <w:ind w:firstLine="0"/>
              <w:jc w:val="center"/>
              <w:rPr>
                <w:rFonts w:eastAsiaTheme="minorEastAsia"/>
                <w:sz w:val="21"/>
                <w:szCs w:val="21"/>
              </w:rPr>
            </w:pPr>
            <w:r>
              <w:rPr>
                <w:rFonts w:eastAsiaTheme="minorEastAsia"/>
                <w:sz w:val="21"/>
                <w:szCs w:val="21"/>
              </w:rPr>
              <w:t>德阳</w:t>
            </w:r>
          </w:p>
        </w:tc>
      </w:tr>
      <w:tr w14:paraId="0387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shd w:val="clear" w:color="auto" w:fill="E7E6E6" w:themeFill="background2"/>
            <w:noWrap/>
            <w:vAlign w:val="center"/>
          </w:tcPr>
          <w:p w14:paraId="56242D74">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500" w:type="dxa"/>
            <w:gridSpan w:val="9"/>
            <w:shd w:val="clear" w:color="000000" w:fill="FFFFFF"/>
            <w:noWrap/>
            <w:vAlign w:val="center"/>
          </w:tcPr>
          <w:p w14:paraId="344E1BB8">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四川省德阳市旌阳区嘉陵江西路四号</w:t>
            </w:r>
          </w:p>
        </w:tc>
      </w:tr>
      <w:tr w14:paraId="18DF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6" w:hRule="atLeast"/>
          <w:jc w:val="center"/>
        </w:trPr>
        <w:tc>
          <w:tcPr>
            <w:tcW w:w="1276" w:type="dxa"/>
            <w:shd w:val="clear" w:color="auto" w:fill="E7E6E6" w:themeFill="background2"/>
            <w:noWrap/>
            <w:vAlign w:val="center"/>
          </w:tcPr>
          <w:p w14:paraId="2B2EB7C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500" w:type="dxa"/>
            <w:gridSpan w:val="9"/>
            <w:shd w:val="clear" w:color="000000" w:fill="FFFFFF"/>
            <w:vAlign w:val="center"/>
          </w:tcPr>
          <w:p w14:paraId="283981F9">
            <w:pPr>
              <w:adjustRightInd w:val="0"/>
              <w:snapToGrid w:val="0"/>
              <w:spacing w:line="432" w:lineRule="auto"/>
              <w:ind w:firstLine="420" w:firstLineChars="200"/>
              <w:rPr>
                <w:rFonts w:eastAsiaTheme="minorEastAsia"/>
                <w:sz w:val="21"/>
                <w:szCs w:val="21"/>
              </w:rPr>
            </w:pPr>
            <w:r>
              <w:rPr>
                <w:rFonts w:hint="eastAsia" w:eastAsiaTheme="minorEastAsia"/>
                <w:sz w:val="21"/>
                <w:szCs w:val="21"/>
              </w:rPr>
              <w:t>四川建筑职业技术学院（以下简称学校）是公办全日制高职院校，隶属于四川省住房和城乡建设厅。学校是国家示范性高等职业院校，国家优质专科高等职业院校，全国住房和城乡建设职业教育教学指导委员会副主任单位，全国文明单位，全国普通高校毕业生就业工作先进单位，全国毕业生就业典型经验高校，国家级职业教育“双师型”教师培训基地，国家“双高计划”建设单位，四川省“双高计划”建设单位，四川省“三全育人”综合改革试点院校、四川省职业院校“三全育人”典型学校。</w:t>
            </w:r>
          </w:p>
        </w:tc>
      </w:tr>
      <w:tr w14:paraId="3B26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1" w:hRule="atLeast"/>
          <w:jc w:val="center"/>
        </w:trPr>
        <w:tc>
          <w:tcPr>
            <w:tcW w:w="1276" w:type="dxa"/>
            <w:shd w:val="clear" w:color="auto" w:fill="E7E6E6" w:themeFill="background2"/>
            <w:noWrap/>
            <w:vAlign w:val="center"/>
          </w:tcPr>
          <w:p w14:paraId="25D3227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500" w:type="dxa"/>
            <w:gridSpan w:val="9"/>
            <w:shd w:val="clear" w:color="000000" w:fill="FFFFFF"/>
            <w:vAlign w:val="center"/>
          </w:tcPr>
          <w:p w14:paraId="4AFA0724">
            <w:pPr>
              <w:adjustRightInd w:val="0"/>
              <w:snapToGrid w:val="0"/>
              <w:spacing w:line="432" w:lineRule="auto"/>
              <w:ind w:firstLine="420" w:firstLineChars="200"/>
              <w:rPr>
                <w:rFonts w:eastAsiaTheme="minorEastAsia"/>
                <w:sz w:val="21"/>
                <w:szCs w:val="21"/>
              </w:rPr>
            </w:pPr>
            <w:r>
              <w:rPr>
                <w:rFonts w:hint="eastAsia" w:eastAsiaTheme="minorEastAsia"/>
                <w:sz w:val="21"/>
                <w:szCs w:val="21"/>
              </w:rPr>
              <w:t>博士后研究人员脱产进站，在站工作期间，其岗位工资、薪级工资和绩效工资按学院同等专业技术职级人员坐班核发。在站工作期间（按两年计发），按3000元∕月核发博士后特别津贴，具体的发放办法为：每月按博士后特别津贴的60%（1800元∕月）逐月发放；博士后出站时，再一次性发放博士后特别津贴余下的40%。</w:t>
            </w:r>
          </w:p>
        </w:tc>
      </w:tr>
      <w:tr w14:paraId="6D92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127" w:type="dxa"/>
            <w:gridSpan w:val="2"/>
            <w:shd w:val="clear" w:color="auto" w:fill="E7E6E6" w:themeFill="background2"/>
            <w:noWrap/>
            <w:vAlign w:val="center"/>
          </w:tcPr>
          <w:p w14:paraId="0BE86FA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8" w:type="dxa"/>
            <w:shd w:val="clear" w:color="auto" w:fill="E7E6E6" w:themeFill="background2"/>
            <w:vAlign w:val="center"/>
          </w:tcPr>
          <w:p w14:paraId="01B9B17A">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80" w:type="dxa"/>
            <w:shd w:val="clear" w:color="auto" w:fill="E7E6E6" w:themeFill="background2"/>
            <w:vAlign w:val="center"/>
          </w:tcPr>
          <w:p w14:paraId="5D9D1428">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48" w:type="dxa"/>
            <w:gridSpan w:val="2"/>
            <w:shd w:val="clear" w:color="auto" w:fill="E7E6E6" w:themeFill="background2"/>
            <w:vAlign w:val="center"/>
          </w:tcPr>
          <w:p w14:paraId="50462CE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1F1EA6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36" w:type="dxa"/>
            <w:gridSpan w:val="2"/>
            <w:shd w:val="clear" w:color="auto" w:fill="E7E6E6" w:themeFill="background2"/>
            <w:vAlign w:val="center"/>
          </w:tcPr>
          <w:p w14:paraId="463C942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32D6F2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97" w:type="dxa"/>
            <w:gridSpan w:val="2"/>
            <w:shd w:val="clear" w:color="auto" w:fill="E7E6E6" w:themeFill="background2"/>
            <w:vAlign w:val="center"/>
          </w:tcPr>
          <w:p w14:paraId="186B985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31BB4D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951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127" w:type="dxa"/>
            <w:gridSpan w:val="2"/>
            <w:shd w:val="clear" w:color="000000" w:fill="FFFFFF"/>
            <w:noWrap/>
            <w:vAlign w:val="center"/>
          </w:tcPr>
          <w:p w14:paraId="5C27D7ED">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新型装配式连接节点材料抗震性能试验研究</w:t>
            </w:r>
          </w:p>
        </w:tc>
        <w:tc>
          <w:tcPr>
            <w:tcW w:w="1088" w:type="dxa"/>
            <w:shd w:val="clear" w:color="000000" w:fill="FFFFFF"/>
            <w:vAlign w:val="center"/>
          </w:tcPr>
          <w:p w14:paraId="6B851320">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380" w:type="dxa"/>
            <w:shd w:val="clear" w:color="000000" w:fill="FFFFFF"/>
            <w:vAlign w:val="center"/>
          </w:tcPr>
          <w:p w14:paraId="33B4A72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848" w:type="dxa"/>
            <w:gridSpan w:val="2"/>
            <w:shd w:val="clear" w:color="000000" w:fill="FFFFFF"/>
            <w:vAlign w:val="center"/>
          </w:tcPr>
          <w:p w14:paraId="0476554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土木工程</w:t>
            </w:r>
          </w:p>
        </w:tc>
        <w:tc>
          <w:tcPr>
            <w:tcW w:w="1536" w:type="dxa"/>
            <w:gridSpan w:val="2"/>
            <w:shd w:val="clear" w:color="000000" w:fill="FFFFFF"/>
            <w:vAlign w:val="center"/>
          </w:tcPr>
          <w:p w14:paraId="303CB74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797" w:type="dxa"/>
            <w:gridSpan w:val="2"/>
            <w:vMerge w:val="restart"/>
            <w:shd w:val="clear" w:color="000000" w:fill="FFFFFF"/>
            <w:vAlign w:val="center"/>
          </w:tcPr>
          <w:p w14:paraId="632198CA">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3DD3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2127" w:type="dxa"/>
            <w:gridSpan w:val="2"/>
            <w:shd w:val="clear" w:color="000000" w:fill="FFFFFF"/>
            <w:noWrap/>
            <w:vAlign w:val="center"/>
          </w:tcPr>
          <w:p w14:paraId="79A001F4">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集成装配式混合结构体系及其部品部件装配连接技术研究</w:t>
            </w:r>
          </w:p>
        </w:tc>
        <w:tc>
          <w:tcPr>
            <w:tcW w:w="1088" w:type="dxa"/>
            <w:shd w:val="clear" w:color="000000" w:fill="FFFFFF"/>
            <w:vAlign w:val="center"/>
          </w:tcPr>
          <w:p w14:paraId="55D6194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380" w:type="dxa"/>
            <w:shd w:val="clear" w:color="000000" w:fill="FFFFFF"/>
            <w:vAlign w:val="center"/>
          </w:tcPr>
          <w:p w14:paraId="42D8E2B2">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848" w:type="dxa"/>
            <w:gridSpan w:val="2"/>
            <w:shd w:val="clear" w:color="000000" w:fill="FFFFFF"/>
            <w:vAlign w:val="center"/>
          </w:tcPr>
          <w:p w14:paraId="1BC560F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土木工程</w:t>
            </w:r>
          </w:p>
        </w:tc>
        <w:tc>
          <w:tcPr>
            <w:tcW w:w="1536" w:type="dxa"/>
            <w:gridSpan w:val="2"/>
            <w:shd w:val="clear" w:color="000000" w:fill="FFFFFF"/>
            <w:vAlign w:val="center"/>
          </w:tcPr>
          <w:p w14:paraId="2AD19E7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797" w:type="dxa"/>
            <w:gridSpan w:val="2"/>
            <w:vMerge w:val="continue"/>
            <w:shd w:val="clear" w:color="000000" w:fill="FFFFFF"/>
            <w:vAlign w:val="center"/>
          </w:tcPr>
          <w:p w14:paraId="304939B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bl>
    <w:p w14:paraId="2B65EF47">
      <w:pPr>
        <w:pStyle w:val="3"/>
        <w:adjustRightInd w:val="0"/>
        <w:snapToGrid w:val="0"/>
        <w:spacing w:before="0" w:after="0" w:line="240" w:lineRule="auto"/>
        <w:outlineLvl w:val="9"/>
        <w:rPr>
          <w:rFonts w:ascii="Times New Roman" w:hAnsi="Times New Roman"/>
          <w:sz w:val="21"/>
          <w:szCs w:val="21"/>
        </w:rPr>
      </w:pPr>
      <w:r>
        <w:rPr>
          <w:rFonts w:ascii="Times New Roman" w:hAnsi="Times New Roman"/>
          <w:sz w:val="21"/>
          <w:szCs w:val="21"/>
        </w:rPr>
        <w:br w:type="page"/>
      </w:r>
    </w:p>
    <w:p w14:paraId="2001036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44"/>
          <w:szCs w:val="44"/>
        </w:rPr>
      </w:pPr>
    </w:p>
    <w:p w14:paraId="1F59A47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45" w:name="_Toc2121"/>
      <w:bookmarkStart w:id="846" w:name="_Toc17487"/>
      <w:bookmarkStart w:id="847" w:name="_Toc9307"/>
      <w:bookmarkStart w:id="848" w:name="_Toc9470"/>
      <w:bookmarkStart w:id="849" w:name="_Toc29419"/>
      <w:r>
        <w:rPr>
          <w:rFonts w:hint="eastAsia" w:ascii="Times New Roman" w:hAnsi="Times New Roman" w:eastAsia="方正小标宋简体" w:cs="Times New Roman"/>
          <w:sz w:val="44"/>
          <w:szCs w:val="44"/>
          <w:highlight w:val="none"/>
        </w:rPr>
        <w:t>四川江口醇隆鼎酒业有限公司</w:t>
      </w:r>
      <w:bookmarkEnd w:id="845"/>
      <w:bookmarkEnd w:id="846"/>
      <w:bookmarkEnd w:id="847"/>
      <w:bookmarkEnd w:id="848"/>
      <w:bookmarkEnd w:id="849"/>
    </w:p>
    <w:p w14:paraId="4E4C79A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6A9F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D2C82C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2AD7594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6517B6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2A9EE1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1C26DE6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7E505D1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巴中</w:t>
            </w:r>
          </w:p>
        </w:tc>
      </w:tr>
      <w:tr w14:paraId="2871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F3F0CA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29441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四川省巴中市平昌县江口镇酒乡路2号</w:t>
            </w:r>
          </w:p>
        </w:tc>
      </w:tr>
      <w:tr w14:paraId="0888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atLeast"/>
          <w:jc w:val="center"/>
        </w:trPr>
        <w:tc>
          <w:tcPr>
            <w:tcW w:w="1271" w:type="dxa"/>
            <w:shd w:val="clear" w:color="auto" w:fill="E7E6E6" w:themeFill="background2"/>
            <w:noWrap/>
            <w:vAlign w:val="center"/>
          </w:tcPr>
          <w:p w14:paraId="189A88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05275BC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江口醇隆鼎酒业有限公司是以酒类产销为主，地处山清水秀的大巴山南麓——四川平昌。江口醇源于清光绪5年（公元1879年），自江苏无锡知县、海洲道员廖纶（平昌江口人）晚年始建“南台酒坊”，距今130余年历史。公司属巴中市国有控股企业，秉承“厚德正心，和谐共赢”的企业文化，以“中国白酒第一醇”为愿景，致力于成为中国醇和型白酒新领秀。</w:t>
            </w:r>
          </w:p>
        </w:tc>
      </w:tr>
      <w:tr w14:paraId="7A45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1" w:type="dxa"/>
            <w:shd w:val="clear" w:color="auto" w:fill="E7E6E6" w:themeFill="background2"/>
            <w:noWrap/>
            <w:vAlign w:val="center"/>
          </w:tcPr>
          <w:p w14:paraId="35F642F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61C8E3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我司在博士后工作的开展上严格按照相关规定执行，设立了专项资金、办公室和宿舍，博士后的培养经费主要来自企业自身，平均每人每年为7.5万元。</w:t>
            </w:r>
          </w:p>
        </w:tc>
      </w:tr>
      <w:tr w14:paraId="42A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5F7E91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77A5AD5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5FE5855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51FAB84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7B6A19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1415BB7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BD27A2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7BA7CF1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1948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26B9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eastAsiaTheme="minorEastAsia"/>
                <w:kern w:val="2"/>
                <w:sz w:val="21"/>
                <w:szCs w:val="21"/>
                <w:lang w:val="en-US" w:eastAsia="zh-CN" w:bidi="ar-SA"/>
              </w:rPr>
            </w:pPr>
            <w:r>
              <w:rPr>
                <w:rStyle w:val="61"/>
                <w:rFonts w:hint="default" w:ascii="Times New Roman" w:hAnsi="Times New Roman" w:cs="Times New Roman" w:eastAsiaTheme="minorEastAsia"/>
                <w:b w:val="0"/>
                <w:bCs w:val="0"/>
                <w:kern w:val="44"/>
                <w:sz w:val="21"/>
                <w:szCs w:val="21"/>
                <w:lang w:val="en-US" w:eastAsia="zh-CN" w:bidi="ar-SA"/>
              </w:rPr>
              <w:t>白酒酿造酒体开发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1C5BA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Style w:val="61"/>
                <w:rFonts w:hint="default" w:ascii="Times New Roman" w:hAnsi="Times New Roman" w:cs="Times New Roman" w:eastAsiaTheme="minorEastAsia"/>
                <w:b w:val="0"/>
                <w:bCs w:val="0"/>
                <w:kern w:val="44"/>
                <w:sz w:val="21"/>
                <w:szCs w:val="21"/>
                <w:lang w:val="en-US" w:eastAsia="zh-CN" w:bidi="ar-SA"/>
              </w:rPr>
              <w:t>2</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FC42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Style w:val="61"/>
                <w:rFonts w:hint="default" w:ascii="Times New Roman" w:hAnsi="Times New Roman" w:cs="Times New Roman" w:eastAsiaTheme="minorEastAsia"/>
                <w:b w:val="0"/>
                <w:bCs w:val="0"/>
                <w:kern w:val="44"/>
                <w:sz w:val="21"/>
                <w:szCs w:val="21"/>
                <w:lang w:val="en-US" w:eastAsia="zh-CN" w:bidi="ar-SA"/>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2E0C9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Style w:val="61"/>
                <w:rFonts w:hint="default" w:ascii="Times New Roman" w:hAnsi="Times New Roman" w:cs="Times New Roman" w:eastAsiaTheme="minorEastAsia"/>
                <w:b w:val="0"/>
                <w:bCs w:val="0"/>
                <w:kern w:val="44"/>
                <w:sz w:val="21"/>
                <w:szCs w:val="21"/>
                <w:lang w:val="en-US" w:eastAsia="zh-CN" w:bidi="ar-SA"/>
              </w:rPr>
              <w:t>白酒酿造工程</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B41E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Style w:val="61"/>
                <w:rFonts w:hint="default" w:ascii="Times New Roman" w:hAnsi="Times New Roman" w:cs="Times New Roman" w:eastAsiaTheme="minorEastAsia"/>
                <w:b w:val="0"/>
                <w:bCs w:val="0"/>
                <w:kern w:val="44"/>
                <w:sz w:val="21"/>
                <w:szCs w:val="21"/>
                <w:lang w:val="en-US" w:eastAsia="zh-CN" w:bidi="ar-SA"/>
              </w:rPr>
              <w:t>15</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21A2F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Style w:val="61"/>
                <w:rFonts w:hint="default" w:ascii="Times New Roman" w:hAnsi="Times New Roman" w:cs="Times New Roman" w:eastAsiaTheme="minorEastAsia"/>
                <w:b w:val="0"/>
                <w:bCs w:val="0"/>
                <w:kern w:val="44"/>
                <w:sz w:val="21"/>
                <w:szCs w:val="21"/>
                <w:lang w:val="en-US" w:eastAsia="zh-CN" w:bidi="ar-SA"/>
              </w:rPr>
              <w:t>四川轻化工大学</w:t>
            </w:r>
          </w:p>
        </w:tc>
      </w:tr>
    </w:tbl>
    <w:p w14:paraId="5FF71C7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759DC4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E971A3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B3DD57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506F183">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50" w:name="_Toc22023"/>
      <w:bookmarkStart w:id="851" w:name="_Toc30180"/>
      <w:bookmarkStart w:id="852" w:name="_Toc16132"/>
      <w:bookmarkStart w:id="853" w:name="_Toc28039"/>
      <w:bookmarkStart w:id="854" w:name="_Toc27889"/>
      <w:r>
        <w:rPr>
          <w:rFonts w:hint="eastAsia" w:ascii="Times New Roman" w:hAnsi="Times New Roman" w:eastAsia="方正小标宋简体" w:cs="Times New Roman"/>
          <w:sz w:val="44"/>
          <w:szCs w:val="44"/>
          <w:highlight w:val="none"/>
        </w:rPr>
        <w:t>四川捷贝通能源科技有限公司</w:t>
      </w:r>
      <w:bookmarkEnd w:id="850"/>
      <w:bookmarkEnd w:id="851"/>
      <w:bookmarkEnd w:id="852"/>
      <w:bookmarkEnd w:id="853"/>
      <w:bookmarkEnd w:id="854"/>
    </w:p>
    <w:p w14:paraId="633BD39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647"/>
        <w:gridCol w:w="1957"/>
      </w:tblGrid>
      <w:tr w14:paraId="040F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923BEC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19944B1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2CE9EC9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0EAE6DD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0EA5A0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7E8844B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遂宁</w:t>
            </w:r>
          </w:p>
        </w:tc>
      </w:tr>
      <w:tr w14:paraId="53AD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B69E16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10F6D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四川省遂宁市大英县工业集中发展区梁家坝</w:t>
            </w:r>
          </w:p>
        </w:tc>
      </w:tr>
      <w:tr w14:paraId="598E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7" w:hRule="atLeast"/>
          <w:jc w:val="center"/>
        </w:trPr>
        <w:tc>
          <w:tcPr>
            <w:tcW w:w="1271" w:type="dxa"/>
            <w:shd w:val="clear" w:color="auto" w:fill="E7E6E6" w:themeFill="background2"/>
            <w:noWrap/>
            <w:vAlign w:val="center"/>
          </w:tcPr>
          <w:p w14:paraId="462273F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6666DB2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 xml:space="preserve">四川捷贝通能源科技有限公司是一家专业从事石油天然气地质工程总包，压裂酸化工程技术服务，提高石油天然气采收率服务，排水采气技术服务，微地震监测技术服务，产能剖面测试技术服务，油气藏地质研究，油田化工产品与助剂和油田工具研发、生产、仓储、销售的国家高新技术企业。 </w:t>
            </w:r>
          </w:p>
          <w:p w14:paraId="62CDF7E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注重技术研发，已拥有仪器配备齐全的研发中心及生产能力充足的油田化学材料生产工厂，主要提供绿色清洁滑溜水、暂堵剂、堵漏剂、示踪剂、稠油降粘剂、化学增能剂、高温有机酸等系列产品，同时提供配套的技术服务。到2023年，公司开展了30多项新产品、新工艺的研究与开发，申请专利60多项，截止目前拥有授权发明专利14项，实用新型专利30余项。作为能源科技公司，追求绿色、健康、环保是公司一直坚守的理念，产品严格按照国家标准组织生产，并推行科学严谨的现代化管理模式，建立了全面的质量管理体系和环境管理体系。2022年公司技术中心成功通过四川省企业技术中心的认定、2023年获得国家级绿色工厂以及四川省博士后创新实践基地认定。</w:t>
            </w:r>
          </w:p>
          <w:p w14:paraId="4CA95B3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公司成立10年来，每年保持20%以上的增产速度，到2023年底，四川捷贝通公司已累计实现销售收入超6亿元，上交税收超过9000万元，为区域经济发展做出重大贡献。</w:t>
            </w:r>
          </w:p>
        </w:tc>
      </w:tr>
      <w:tr w14:paraId="2612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9" w:hRule="atLeast"/>
          <w:jc w:val="center"/>
        </w:trPr>
        <w:tc>
          <w:tcPr>
            <w:tcW w:w="1271" w:type="dxa"/>
            <w:shd w:val="clear" w:color="auto" w:fill="E7E6E6" w:themeFill="background2"/>
            <w:noWrap/>
            <w:vAlign w:val="center"/>
          </w:tcPr>
          <w:p w14:paraId="25E6DBC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EEDC3E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1、国内高校联合培养：与国内各类高校及科研机构开展项目合作，西南石油大学、四川大学、成都理工大学等，通过技术开发和产品研制，实现长期校企合作规划。</w:t>
            </w:r>
          </w:p>
          <w:p w14:paraId="60656BF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 xml:space="preserve">2、国外油服公司项目合作培养：与国外石油公司（公司主要业务地区：哈萨克斯坦、阿布扎比等）开展深入项目合作，通过担任项目长，实现1-2年的快速成长机制。 </w:t>
            </w:r>
          </w:p>
          <w:p w14:paraId="10510F4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3、加大经费支持：尽可能申请各级行政管理部门为博士后工作设立的多项资金资助，逐步扩大博士后的招收规模。</w:t>
            </w:r>
          </w:p>
        </w:tc>
      </w:tr>
      <w:tr w14:paraId="5EB7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556CAE3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0B5ACA7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5A0D0C2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2417E3B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CE78BA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09" w:type="dxa"/>
            <w:shd w:val="clear" w:color="auto" w:fill="E7E6E6" w:themeFill="background2"/>
            <w:vAlign w:val="center"/>
          </w:tcPr>
          <w:p w14:paraId="710557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8061E1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911" w:type="dxa"/>
            <w:shd w:val="clear" w:color="auto" w:fill="E7E6E6" w:themeFill="background2"/>
            <w:vAlign w:val="center"/>
          </w:tcPr>
          <w:p w14:paraId="1D2EDFB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3F0577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F63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A2A51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老油田“调、堵、驱”一体化技术及应用</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9BC1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72F8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48B93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石油工程</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7EA3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w:t>
            </w:r>
          </w:p>
        </w:tc>
        <w:tc>
          <w:tcPr>
            <w:tcW w:w="19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755B0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西南石油大学</w:t>
            </w:r>
          </w:p>
        </w:tc>
      </w:tr>
      <w:tr w14:paraId="32E9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26FA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致密油藏压裂驱油增渗一体化技术集成与推广应用</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AD97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27F4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B0B20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石油工程</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0F17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w:t>
            </w:r>
          </w:p>
        </w:tc>
        <w:tc>
          <w:tcPr>
            <w:tcW w:w="1911" w:type="dxa"/>
            <w:vMerge w:val="continue"/>
            <w:tcBorders>
              <w:left w:val="single" w:color="auto" w:sz="4" w:space="0"/>
              <w:right w:val="single" w:color="auto" w:sz="4" w:space="0"/>
              <w:tl2br w:val="nil"/>
              <w:tr2bl w:val="nil"/>
            </w:tcBorders>
            <w:shd w:val="clear" w:color="auto" w:fill="FFFFFF"/>
            <w:vAlign w:val="center"/>
          </w:tcPr>
          <w:p w14:paraId="03F10B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p>
        </w:tc>
      </w:tr>
      <w:tr w14:paraId="6CFD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E426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可溶胶筒封隔器的研制及应用</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70D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5A2C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B3DB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石油工程</w:t>
            </w:r>
          </w:p>
        </w:tc>
        <w:tc>
          <w:tcPr>
            <w:tcW w:w="160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60AB9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w:t>
            </w:r>
          </w:p>
        </w:tc>
        <w:tc>
          <w:tcPr>
            <w:tcW w:w="1911" w:type="dxa"/>
            <w:vMerge w:val="continue"/>
            <w:tcBorders>
              <w:left w:val="single" w:color="auto" w:sz="4" w:space="0"/>
              <w:right w:val="single" w:color="auto" w:sz="4" w:space="0"/>
              <w:tl2br w:val="nil"/>
              <w:tr2bl w:val="nil"/>
            </w:tcBorders>
            <w:shd w:val="clear" w:color="auto" w:fill="FFFFFF"/>
            <w:vAlign w:val="center"/>
          </w:tcPr>
          <w:p w14:paraId="09B474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p>
        </w:tc>
      </w:tr>
    </w:tbl>
    <w:p w14:paraId="5E68E15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07D5FE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41864D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84D9B1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F198E3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0DF3D8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EFA165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CA7B92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04466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21FD94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985614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17758D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C2DD49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80ED24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BDE6E0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6A9C0E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52F207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C84857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4D6128D">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55" w:name="_Toc18318"/>
      <w:bookmarkStart w:id="856" w:name="_Toc3643"/>
      <w:bookmarkStart w:id="857" w:name="_Toc8367"/>
      <w:bookmarkStart w:id="858" w:name="_Toc26612"/>
      <w:bookmarkStart w:id="859" w:name="_Toc17177"/>
      <w:r>
        <w:rPr>
          <w:rFonts w:hint="eastAsia" w:ascii="Times New Roman" w:hAnsi="Times New Roman" w:eastAsia="方正小标宋简体" w:cs="Times New Roman"/>
          <w:sz w:val="44"/>
          <w:szCs w:val="44"/>
          <w:highlight w:val="none"/>
        </w:rPr>
        <w:t>四川金象赛瑞化工股份有限公司</w:t>
      </w:r>
      <w:bookmarkEnd w:id="855"/>
      <w:bookmarkEnd w:id="856"/>
      <w:bookmarkEnd w:id="857"/>
      <w:bookmarkEnd w:id="858"/>
      <w:bookmarkEnd w:id="859"/>
    </w:p>
    <w:p w14:paraId="69C5B251">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1B03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E4DEA4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0231FF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3DBE8A1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617E39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0A138E7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505E67B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眉山</w:t>
            </w:r>
          </w:p>
        </w:tc>
      </w:tr>
      <w:tr w14:paraId="5B23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892215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083AF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四川省眉山</w:t>
            </w:r>
            <w:r>
              <w:rPr>
                <w:rFonts w:hint="eastAsia" w:ascii="Times New Roman" w:hAnsi="Times New Roman" w:cs="Times New Roman" w:eastAsiaTheme="minorEastAsia"/>
                <w:sz w:val="21"/>
                <w:szCs w:val="21"/>
                <w:lang w:val="en-US" w:eastAsia="zh-CN"/>
              </w:rPr>
              <w:t>市</w:t>
            </w:r>
            <w:r>
              <w:rPr>
                <w:rFonts w:hint="default" w:ascii="Times New Roman" w:hAnsi="Times New Roman" w:cs="Times New Roman" w:eastAsiaTheme="minorEastAsia"/>
                <w:sz w:val="21"/>
                <w:szCs w:val="21"/>
              </w:rPr>
              <w:t>高新技术产业园区（西区）</w:t>
            </w:r>
          </w:p>
        </w:tc>
      </w:tr>
      <w:tr w14:paraId="73D8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8" w:hRule="atLeast"/>
          <w:jc w:val="center"/>
        </w:trPr>
        <w:tc>
          <w:tcPr>
            <w:tcW w:w="1271" w:type="dxa"/>
            <w:shd w:val="clear" w:color="auto" w:fill="E7E6E6" w:themeFill="background2"/>
            <w:noWrap/>
            <w:vAlign w:val="center"/>
          </w:tcPr>
          <w:p w14:paraId="3214CD1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2328304F">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金象赛瑞化工股份有限公司成立于2003年5月，位于四川省眉山高新技术产业园区，注册资本35800万元，法定代表人雷林，下设全资子公司3家、控股子公司3家，参股公司3家，分别在四川眉山、新疆沙雅、新疆阜康、河北衡水建立了化工生产基地，在四川德阳建立了化工装备制造基地、在北京清华园设立了研发基地，凭借强大的研发优势，形成了行业内独具特色的一体化、规模化、集约化的“以天然气为原料生产合成氨、硝酸、硝铵、尿素、三聚氰胺、硝基复合肥”全过程协同的循环经济产业链模式，位列2019四川企业100强第92位、2019四川制造业企业100强第41位；荣获国家工信部“绿色工厂”称号和四川省高新技术企业、四川省技术创新示范企业等殊荣。</w:t>
            </w:r>
          </w:p>
        </w:tc>
      </w:tr>
      <w:tr w14:paraId="0FAA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jc w:val="center"/>
        </w:trPr>
        <w:tc>
          <w:tcPr>
            <w:tcW w:w="1271" w:type="dxa"/>
            <w:shd w:val="clear" w:color="auto" w:fill="E7E6E6" w:themeFill="background2"/>
            <w:noWrap/>
            <w:vAlign w:val="center"/>
          </w:tcPr>
          <w:p w14:paraId="1D35AFE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62003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为保证工作站的正常运行，公司制定了博士后创新实践基地管理办法，其中规定了研发经费的来源及博士后研究人员的薪资、津贴、奖金等内容。</w:t>
            </w:r>
          </w:p>
        </w:tc>
      </w:tr>
      <w:tr w14:paraId="6ACB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5F57C0E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4CF4FC7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3B0B5DB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E1073E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5B836E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524F056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6E0CC0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176BF9C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CBF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B862477">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电解水制氢</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520385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7E41CB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w:t>
            </w:r>
            <w:r>
              <w:rPr>
                <w:rFonts w:hint="eastAsia" w:ascii="Times New Roman" w:hAnsi="Times New Roman" w:cs="Times New Roman" w:eastAsiaTheme="minorEastAsia"/>
                <w:kern w:val="0"/>
                <w:sz w:val="21"/>
                <w:szCs w:val="21"/>
                <w:lang w:val="en-US" w:eastAsia="zh-CN"/>
              </w:rPr>
              <w:t>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7ED98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1FCDE1">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20-30</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48F473A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不限</w:t>
            </w:r>
          </w:p>
        </w:tc>
      </w:tr>
    </w:tbl>
    <w:p w14:paraId="54A05AA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A996C1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A29FA51">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09FCF68B">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60" w:name="_Toc26520"/>
      <w:bookmarkStart w:id="861" w:name="_Toc21394"/>
      <w:bookmarkStart w:id="862" w:name="_Toc16078"/>
      <w:bookmarkStart w:id="863" w:name="_Toc29675"/>
      <w:bookmarkStart w:id="864" w:name="_Toc13493"/>
      <w:r>
        <w:rPr>
          <w:rFonts w:hint="eastAsia" w:ascii="Times New Roman" w:hAnsi="Times New Roman" w:eastAsia="方正小标宋简体" w:cs="Times New Roman"/>
          <w:sz w:val="44"/>
          <w:szCs w:val="44"/>
          <w:highlight w:val="none"/>
        </w:rPr>
        <w:t>四川精控阀门制造有限公司</w:t>
      </w:r>
      <w:bookmarkEnd w:id="860"/>
      <w:bookmarkEnd w:id="861"/>
      <w:bookmarkEnd w:id="862"/>
      <w:bookmarkEnd w:id="863"/>
      <w:bookmarkEnd w:id="864"/>
    </w:p>
    <w:p w14:paraId="78ADDC8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42BD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53918E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6773D94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439179B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738D7E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2DC2FCA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6402A3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3E37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9E28E9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05584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四川省广汉市深圳路西三段3号</w:t>
            </w:r>
          </w:p>
        </w:tc>
      </w:tr>
      <w:tr w14:paraId="6D27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1271" w:type="dxa"/>
            <w:shd w:val="clear" w:color="auto" w:fill="E7E6E6" w:themeFill="background2"/>
            <w:noWrap/>
            <w:vAlign w:val="center"/>
          </w:tcPr>
          <w:p w14:paraId="3BF20EA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6D4F3B4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精控阀门成立于2001年，是专业从事船舶及能源储运控制阀研发与制造的国家高新技术企业，是国内船舶及能源储运行业的核心供应商，依托四川省企业技术中心、德阳市油气管线阀门工程技术研究中心、四川省博士后创新实践基地，通过与西南石油大学、西南交通大学等各大高校院开展各类产学研合作，突破多项关键工艺技术，参与标准起草6次，并荣获中国标准创新贡献二等奖，荣获省级科技进步奖2次，相关技术成果均转化为产品并实际运用。公司研制的压力平衡式旋塞阀率先通过国产化鉴定和产品现场工业性试验，并应用在中俄东线天然气管道项目；同时主导产品获得BV船级产品认证、挪威船级社ATEX防爆认证、德国莱茵TüV防火认证、低泄漏认证、SIL功能安全认证等国际权威认证。</w:t>
            </w:r>
          </w:p>
        </w:tc>
      </w:tr>
      <w:tr w14:paraId="4E2E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1271" w:type="dxa"/>
            <w:shd w:val="clear" w:color="auto" w:fill="E7E6E6" w:themeFill="background2"/>
            <w:noWrap/>
            <w:vAlign w:val="center"/>
          </w:tcPr>
          <w:p w14:paraId="1AF4BB0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13D5F15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1、薪资待遇：可享受中高层薪资待遇，具体视个人资历和研究方向面谈。</w:t>
            </w:r>
          </w:p>
          <w:p w14:paraId="246F6D7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2、职务层级：列入公司技术中心专家委员会成员，享有项目评定和技术审定资格。</w:t>
            </w:r>
          </w:p>
          <w:p w14:paraId="4A684AE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3、住房福利：提供广汉市城区内60-70平方米套房。</w:t>
            </w:r>
          </w:p>
          <w:p w14:paraId="08CFB53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4、交通福利：提供上下班交通车。</w:t>
            </w:r>
          </w:p>
          <w:p w14:paraId="249D6B4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5、生活福利：提供午餐、晚餐工作餐。</w:t>
            </w:r>
          </w:p>
          <w:p w14:paraId="151CA94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6、差旅福利：享受公司《出差及外出培训报销管理制度》副总级待遇。</w:t>
            </w:r>
          </w:p>
          <w:p w14:paraId="1F093C6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7、项目经费：可担任项目负责人，组建项目团队。</w:t>
            </w:r>
          </w:p>
          <w:p w14:paraId="39B68EB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8、商业保险：除法定保险外，购买人生意外保险和补充医疗保险。</w:t>
            </w:r>
          </w:p>
          <w:p w14:paraId="714A54D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9、节日福利：享受公司高层管理人员同等节日福利。</w:t>
            </w:r>
          </w:p>
          <w:p w14:paraId="2540C9E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10、其他：可享受公费体检和外出培训、交流。</w:t>
            </w:r>
          </w:p>
        </w:tc>
      </w:tr>
      <w:tr w14:paraId="5036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230B6A7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3341559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43324D4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13E17D1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EA6002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4A1328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8619DAC">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6819CA09">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BB2D20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8EF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63A68A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高压大口径超低温球阀国产化研制、分子筛用硬密封强制密封球阀及其膜片式气动执行器研制</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49411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6BB556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334CE8B">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金属材料、电气自动化、焊接等专业</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245526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300万元</w:t>
            </w:r>
          </w:p>
        </w:tc>
        <w:tc>
          <w:tcPr>
            <w:tcW w:w="1611" w:type="dxa"/>
            <w:tcBorders>
              <w:top w:val="single" w:color="auto" w:sz="4" w:space="0"/>
              <w:left w:val="single" w:color="auto" w:sz="4" w:space="0"/>
              <w:right w:val="single" w:color="auto" w:sz="4" w:space="0"/>
              <w:tl2br w:val="nil"/>
              <w:tr2bl w:val="nil"/>
            </w:tcBorders>
            <w:shd w:val="clear" w:color="auto" w:fill="FFFFFF"/>
            <w:vAlign w:val="center"/>
          </w:tcPr>
          <w:p w14:paraId="2BD8F1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无</w:t>
            </w:r>
          </w:p>
        </w:tc>
      </w:tr>
    </w:tbl>
    <w:p w14:paraId="760A9EF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81D466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59E38D">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65" w:name="_Toc31531"/>
      <w:bookmarkStart w:id="866" w:name="_Toc8488"/>
      <w:bookmarkStart w:id="867" w:name="_Toc15149"/>
      <w:bookmarkStart w:id="868" w:name="_Toc14585"/>
      <w:bookmarkStart w:id="869" w:name="_Toc25993"/>
      <w:r>
        <w:rPr>
          <w:rFonts w:hint="eastAsia" w:ascii="Times New Roman" w:hAnsi="Times New Roman" w:eastAsia="方正小标宋简体" w:cs="Times New Roman"/>
          <w:sz w:val="44"/>
          <w:szCs w:val="44"/>
          <w:highlight w:val="none"/>
        </w:rPr>
        <w:t>四川科伦博泰生物医药股份有限公司</w:t>
      </w:r>
      <w:bookmarkEnd w:id="865"/>
      <w:bookmarkEnd w:id="866"/>
      <w:bookmarkEnd w:id="867"/>
      <w:bookmarkEnd w:id="868"/>
      <w:bookmarkEnd w:id="869"/>
    </w:p>
    <w:p w14:paraId="60FDC7DA">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1BD8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C75787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28F258A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股份制企业</w:t>
            </w:r>
          </w:p>
        </w:tc>
        <w:tc>
          <w:tcPr>
            <w:tcW w:w="1616" w:type="dxa"/>
            <w:gridSpan w:val="2"/>
            <w:shd w:val="clear" w:color="auto" w:fill="E7E6E6" w:themeFill="background2"/>
            <w:noWrap/>
            <w:vAlign w:val="center"/>
          </w:tcPr>
          <w:p w14:paraId="64E213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2E42DF6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7B34E9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1444887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7851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6F12D3C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4076B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四川省成都市新华大道二段666号</w:t>
            </w:r>
          </w:p>
        </w:tc>
      </w:tr>
      <w:tr w14:paraId="01C7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6453" w:hRule="atLeast"/>
          <w:jc w:val="center"/>
        </w:trPr>
        <w:tc>
          <w:tcPr>
            <w:tcW w:w="1271" w:type="dxa"/>
            <w:shd w:val="clear" w:color="auto" w:fill="E7E6E6" w:themeFill="background2"/>
            <w:noWrap/>
            <w:vAlign w:val="center"/>
          </w:tcPr>
          <w:p w14:paraId="37C7173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246839DE">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科伦博泰生物医药股份有限公司(6990.HK)是一家专注于创新药物研发、制造及商业化的生物医药公司，始终致力于解决中国乃至全球的医疗需求。作为抗体药物偶联物(ADC)先驱及领先开发者之一，科伦博泰在ADC开发方面积累了超过十年的经验，是中国首批也是全球为数不多的建立一体化ADC研发平台OptiDCTM的生物制药公司之一。</w:t>
            </w:r>
          </w:p>
          <w:p w14:paraId="074932AF">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已建立涵盖全部主要药物开发功能的一体化能力，能够战略性地快速推进30余款差异化且具有临床价值的资产管线，其中10余款处于临床阶段。在三大自主开发的技术平台支持下，科伦博泰已具备在ADC、大分子(单克隆抗体(单抗)及双特异性抗体(双抗))及小分子药物等方面的专有技术，并已被公司的众多临床阶段候选药物所验证。科伦博泰的管线临床价值及药物开发能力也得到了全球战略合作伙伴的认可。迄今为止，公司签署了多项对外许可协议，包括与默沙东订立的开发多项针对肿瘤治疗的ADC资产的许可和合作协议。这些战略合作不仅证明了公司的研发及业务发展能力，亦是持续创新，建立全球影响力及长期增长的关键驱动力。</w:t>
            </w:r>
          </w:p>
          <w:p w14:paraId="3BB4B3A1">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展望未来，科伦博泰将努力推进管线商业化并提升一体化药物开发能力，继续引领候选药物的研发及临床活动，同时致力于优化研发平台并开发新技术以支持创新药物的研发。科伦博泰亦将继续扩大cGMP生产及质量控制设施，并增强内部商业化功能，以支持未来推出的管线资产及实现成为全球领先生物制药公司的目标。</w:t>
            </w:r>
          </w:p>
        </w:tc>
      </w:tr>
      <w:tr w14:paraId="4611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454" w:hRule="atLeast"/>
          <w:jc w:val="center"/>
        </w:trPr>
        <w:tc>
          <w:tcPr>
            <w:tcW w:w="1271" w:type="dxa"/>
            <w:shd w:val="clear" w:color="auto" w:fill="E7E6E6" w:themeFill="background2"/>
            <w:noWrap/>
            <w:vAlign w:val="center"/>
          </w:tcPr>
          <w:p w14:paraId="46F0FC9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48752492">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科伦博泰已获国家发改委批复组建全国唯一生物靶向药物国家工程研究中心，有生物靶向药物研发场地42000m²,研发仪器设备及试验装置2500余台/套，原值超过6亿元，包括了液质联用仪、梯度层析系统、四级杆-飞行时间质谱仪、三重四极杆复合线性离子阱质谱仪、三重四级杆质谱仪、酶标仪、快速全自动蛋白质表征分析系统、核磁共振分析仪、超高效液相色谱仪(带质谱仪)、半制备自动纯化系统、500L一次性生物反应器等先进设备，将为博士后提供极其良好的科研工作环境。</w:t>
            </w:r>
          </w:p>
          <w:p w14:paraId="254465F1">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科伦博泰将为进站博士后研究人员配备专业技术团队，借助公司现有的研究平台，做好对应配套工作。同时，提供充足的研发资金，重点支持，按照项目的具体情况，给予人财物方面的大力支持，科研经费按需要及时足量拨付。科伦博泰为进站博士后研究人员按月给予生活津贴，协助解决包括子女教育补贴、配偶生活补贴、定期医疗保健等，为人才提供舒适住房、上下班交通等。同时，还将通过项目提成、股权激励等激励方式，为有贡献的人才成员设计长远的未来。</w:t>
            </w:r>
          </w:p>
        </w:tc>
      </w:tr>
      <w:tr w14:paraId="09C1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2D45B3F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432A8F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1243232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2FC2210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C70A82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74943DC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47147A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4081A29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D53BAF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E48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420EE3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en-US" w:bidi="ar-SA"/>
              </w:rPr>
              <w:t>生物大分子药物工艺放大评估及控制关键技术</w:t>
            </w:r>
            <w:r>
              <w:rPr>
                <w:rFonts w:hint="eastAsia" w:ascii="Times New Roman" w:hAnsi="Times New Roman" w:cs="Times New Roman" w:eastAsiaTheme="minorEastAsia"/>
                <w:b w:val="0"/>
                <w:bCs w:val="0"/>
                <w:color w:val="000000"/>
                <w:sz w:val="21"/>
                <w:szCs w:val="21"/>
                <w:lang w:val="en-US" w:eastAsia="zh-CN" w:bidi="ar-SA"/>
              </w:rPr>
              <w:t>的研究</w:t>
            </w:r>
          </w:p>
        </w:tc>
        <w:tc>
          <w:tcPr>
            <w:tcW w:w="1132" w:type="dxa"/>
            <w:gridSpan w:val="2"/>
            <w:shd w:val="clear" w:color="auto" w:fill="auto"/>
            <w:vAlign w:val="center"/>
          </w:tcPr>
          <w:p w14:paraId="6D31A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lang w:eastAsia="zh-CN"/>
              </w:rPr>
              <w:t>1</w:t>
            </w:r>
          </w:p>
        </w:tc>
        <w:tc>
          <w:tcPr>
            <w:tcW w:w="1116" w:type="dxa"/>
            <w:gridSpan w:val="2"/>
            <w:shd w:val="clear" w:color="auto" w:fill="auto"/>
            <w:vAlign w:val="center"/>
          </w:tcPr>
          <w:p w14:paraId="64C77F62">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001</w:t>
            </w:r>
          </w:p>
        </w:tc>
        <w:tc>
          <w:tcPr>
            <w:tcW w:w="1908" w:type="dxa"/>
            <w:gridSpan w:val="2"/>
            <w:shd w:val="clear" w:color="auto" w:fill="auto"/>
            <w:vAlign w:val="center"/>
          </w:tcPr>
          <w:p w14:paraId="500D6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药学、生物学</w:t>
            </w:r>
          </w:p>
        </w:tc>
        <w:tc>
          <w:tcPr>
            <w:tcW w:w="1488" w:type="dxa"/>
            <w:gridSpan w:val="2"/>
            <w:shd w:val="clear" w:color="auto" w:fill="auto"/>
            <w:vAlign w:val="center"/>
          </w:tcPr>
          <w:p w14:paraId="549E3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w:t>
            </w:r>
          </w:p>
        </w:tc>
        <w:tc>
          <w:tcPr>
            <w:tcW w:w="1771" w:type="dxa"/>
            <w:gridSpan w:val="2"/>
            <w:vMerge w:val="restart"/>
            <w:shd w:val="clear" w:color="auto" w:fill="auto"/>
            <w:vAlign w:val="center"/>
          </w:tcPr>
          <w:p w14:paraId="109AE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sz w:val="21"/>
                <w:szCs w:val="21"/>
                <w:lang w:val="en-US" w:eastAsia="zh-CN"/>
              </w:rPr>
              <w:t>985、211</w:t>
            </w:r>
          </w:p>
        </w:tc>
      </w:tr>
      <w:tr w14:paraId="0C9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669E16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b w:val="0"/>
                <w:bCs w:val="0"/>
                <w:color w:val="000000"/>
                <w:sz w:val="21"/>
                <w:szCs w:val="21"/>
                <w:lang w:val="en-US" w:eastAsia="en-US" w:bidi="ar-SA"/>
              </w:rPr>
              <w:t>生物大分子药物靶向序列发现及优化研究</w:t>
            </w:r>
          </w:p>
        </w:tc>
        <w:tc>
          <w:tcPr>
            <w:tcW w:w="1132" w:type="dxa"/>
            <w:gridSpan w:val="2"/>
            <w:shd w:val="clear" w:color="auto" w:fill="auto"/>
            <w:vAlign w:val="center"/>
          </w:tcPr>
          <w:p w14:paraId="1CC7A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16" w:type="dxa"/>
            <w:gridSpan w:val="2"/>
            <w:shd w:val="clear" w:color="auto" w:fill="auto"/>
            <w:vAlign w:val="center"/>
          </w:tcPr>
          <w:p w14:paraId="7684C71A">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BSH</w:t>
            </w:r>
            <w:r>
              <w:rPr>
                <w:rFonts w:hint="default" w:ascii="Times New Roman" w:hAnsi="Times New Roman" w:cs="Times New Roman" w:eastAsiaTheme="minorEastAsia"/>
                <w:spacing w:val="5"/>
                <w:sz w:val="21"/>
                <w:szCs w:val="21"/>
              </w:rPr>
              <w:t>00</w:t>
            </w:r>
            <w:r>
              <w:rPr>
                <w:rFonts w:hint="eastAsia" w:ascii="Times New Roman" w:hAnsi="Times New Roman" w:cs="Times New Roman" w:eastAsiaTheme="minorEastAsia"/>
                <w:spacing w:val="5"/>
                <w:sz w:val="21"/>
                <w:szCs w:val="21"/>
                <w:lang w:val="en-US" w:eastAsia="zh-CN"/>
              </w:rPr>
              <w:t>2</w:t>
            </w:r>
          </w:p>
        </w:tc>
        <w:tc>
          <w:tcPr>
            <w:tcW w:w="1908" w:type="dxa"/>
            <w:gridSpan w:val="2"/>
            <w:shd w:val="clear" w:color="auto" w:fill="auto"/>
            <w:vAlign w:val="center"/>
          </w:tcPr>
          <w:p w14:paraId="47FE8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药学、生物学</w:t>
            </w:r>
          </w:p>
        </w:tc>
        <w:tc>
          <w:tcPr>
            <w:tcW w:w="1488" w:type="dxa"/>
            <w:gridSpan w:val="2"/>
            <w:shd w:val="clear" w:color="auto" w:fill="auto"/>
            <w:vAlign w:val="center"/>
          </w:tcPr>
          <w:p w14:paraId="69980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w:t>
            </w:r>
          </w:p>
        </w:tc>
        <w:tc>
          <w:tcPr>
            <w:tcW w:w="1771" w:type="dxa"/>
            <w:gridSpan w:val="2"/>
            <w:vMerge w:val="continue"/>
            <w:shd w:val="clear" w:color="auto" w:fill="auto"/>
            <w:vAlign w:val="center"/>
          </w:tcPr>
          <w:p w14:paraId="56C4E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p>
        </w:tc>
      </w:tr>
    </w:tbl>
    <w:p w14:paraId="5713059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997841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B7DCFB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5BC383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6F7C1B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C5703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A9FD1A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DBA57F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6C0495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8DD6A8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86A7E5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4B1F43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B00644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E959DD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EC911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6C4BF9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BD66B5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C18E35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073310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98A66F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BC83108">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70" w:name="_Toc30051"/>
      <w:bookmarkStart w:id="871" w:name="_Toc22086"/>
      <w:bookmarkStart w:id="872" w:name="_Toc9434"/>
      <w:bookmarkStart w:id="873" w:name="_Toc22293"/>
      <w:bookmarkStart w:id="874" w:name="_Toc25979"/>
      <w:r>
        <w:rPr>
          <w:rFonts w:hint="eastAsia" w:ascii="Times New Roman" w:hAnsi="Times New Roman" w:eastAsia="方正小标宋简体" w:cs="Times New Roman"/>
          <w:sz w:val="44"/>
          <w:szCs w:val="44"/>
          <w:highlight w:val="none"/>
        </w:rPr>
        <w:t>四川科特检测技术有限公司</w:t>
      </w:r>
      <w:bookmarkEnd w:id="870"/>
      <w:bookmarkEnd w:id="871"/>
      <w:bookmarkEnd w:id="872"/>
      <w:bookmarkEnd w:id="873"/>
      <w:bookmarkEnd w:id="874"/>
    </w:p>
    <w:p w14:paraId="057EF0F5">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7ECF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085801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28B9C73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7A87A55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CFBF4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21DDEE2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6F8BBE2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2BF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2FA951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24A74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四川省广汉市绍兴路三段11号</w:t>
            </w:r>
          </w:p>
        </w:tc>
      </w:tr>
      <w:tr w14:paraId="4822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1271" w:type="dxa"/>
            <w:shd w:val="clear" w:color="auto" w:fill="E7E6E6" w:themeFill="background2"/>
            <w:noWrap/>
            <w:vAlign w:val="center"/>
          </w:tcPr>
          <w:p w14:paraId="390305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5B83236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四川科特检测技术有限公司隶属中石油集团川庆钻探公司。作为第三方检测检验机构，在同行业第一家通过国家实验室认可、国家检查机构认可和国家计量认证“三合一”评审；获得API Q2、国家安全生产检测检验、国家工程设备监理、国家特种设备检验检测等国际或国家资质。拥有国家和中石油集团公司授权的全国工业产品生产许可证防喷装置审查部、石油工业井控装置质量监督检验中心，是ISO/ TC67SC4国际标准化组织石油和天然气工业用钻采设备中国技术归口单位；出具的检测报告国际互认，承担法律责任。</w:t>
            </w:r>
          </w:p>
        </w:tc>
      </w:tr>
      <w:tr w14:paraId="6620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271" w:type="dxa"/>
            <w:shd w:val="clear" w:color="auto" w:fill="E7E6E6" w:themeFill="background2"/>
            <w:noWrap/>
            <w:vAlign w:val="center"/>
          </w:tcPr>
          <w:p w14:paraId="45DD2C1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09635BA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博士后研究人员的年薪酬待遇和社会保险总额控制在25万元以内，其基本工资参照专业技术岗位二级（高级工程师）一档标准，按公司有关规定执行。</w:t>
            </w:r>
          </w:p>
        </w:tc>
      </w:tr>
      <w:tr w14:paraId="098F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413D77F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0F76D1A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57F3764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49E99EF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36BCD5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50793C8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22A0EC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037E43C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2C9162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99F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867907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二氧化碳捕集装置自动化监测技术及事故防控技术研究</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14B66F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0C740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CEF0A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电气工程</w:t>
            </w:r>
            <w:r>
              <w:rPr>
                <w:rFonts w:hint="eastAsia" w:ascii="Times New Roman" w:hAnsi="Times New Roman" w:cs="Times New Roman" w:eastAsiaTheme="minorEastAsia"/>
                <w:sz w:val="21"/>
                <w:szCs w:val="21"/>
                <w:lang w:eastAsia="zh-CN"/>
              </w:rPr>
              <w:t>、电子科学与技术</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57BDE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16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6C8CDFD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无</w:t>
            </w:r>
          </w:p>
        </w:tc>
      </w:tr>
      <w:tr w14:paraId="0B4E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4717163">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高危作业风险管控装备研制</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2D1C19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4DEE2B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BSH002</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053DE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rPr>
              <w:t>机电相关专业</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2132FB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50</w:t>
            </w:r>
          </w:p>
        </w:tc>
        <w:tc>
          <w:tcPr>
            <w:tcW w:w="1611" w:type="dxa"/>
            <w:vMerge w:val="continue"/>
            <w:tcBorders>
              <w:left w:val="single" w:color="auto" w:sz="4" w:space="0"/>
              <w:right w:val="single" w:color="auto" w:sz="4" w:space="0"/>
              <w:tl2br w:val="nil"/>
              <w:tr2bl w:val="nil"/>
            </w:tcBorders>
            <w:shd w:val="clear" w:color="auto" w:fill="FFFFFF"/>
            <w:vAlign w:val="center"/>
          </w:tcPr>
          <w:p w14:paraId="6CD0EF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heme="minorEastAsia" w:hAnsiTheme="minorEastAsia" w:eastAsiaTheme="minorEastAsia" w:cstheme="minorEastAsia"/>
                <w:sz w:val="21"/>
                <w:szCs w:val="21"/>
                <w:lang w:val="en-US" w:eastAsia="zh-CN"/>
              </w:rPr>
            </w:pPr>
          </w:p>
        </w:tc>
      </w:tr>
    </w:tbl>
    <w:p w14:paraId="6414844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223375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16B4602">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75" w:name="_Toc30688"/>
      <w:bookmarkStart w:id="876" w:name="_Toc3204"/>
      <w:bookmarkStart w:id="877" w:name="_Toc15024"/>
      <w:bookmarkStart w:id="878" w:name="_Toc23940"/>
      <w:bookmarkStart w:id="879" w:name="_Toc23511"/>
      <w:r>
        <w:rPr>
          <w:rFonts w:hint="eastAsia" w:ascii="Times New Roman" w:hAnsi="Times New Roman" w:eastAsia="方正小标宋简体" w:cs="Times New Roman"/>
          <w:sz w:val="44"/>
          <w:szCs w:val="44"/>
          <w:highlight w:val="none"/>
        </w:rPr>
        <w:t>四川煤矿安全监察局安全技术中心</w:t>
      </w:r>
      <w:bookmarkEnd w:id="875"/>
      <w:bookmarkEnd w:id="876"/>
      <w:bookmarkEnd w:id="877"/>
      <w:bookmarkEnd w:id="878"/>
      <w:bookmarkEnd w:id="879"/>
    </w:p>
    <w:p w14:paraId="4C7F07BB">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40"/>
        <w:gridCol w:w="1555"/>
        <w:gridCol w:w="1499"/>
        <w:gridCol w:w="2203"/>
      </w:tblGrid>
      <w:tr w14:paraId="118F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272F40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086" w:type="dxa"/>
            <w:shd w:val="clear" w:color="000000" w:fill="FFFFFF"/>
            <w:noWrap/>
            <w:vAlign w:val="center"/>
          </w:tcPr>
          <w:p w14:paraId="06EBC8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科研院所</w:t>
            </w:r>
          </w:p>
        </w:tc>
        <w:tc>
          <w:tcPr>
            <w:tcW w:w="2033" w:type="dxa"/>
            <w:gridSpan w:val="3"/>
            <w:shd w:val="clear" w:color="auto" w:fill="E7E6E6" w:themeFill="background2"/>
            <w:noWrap/>
            <w:vAlign w:val="center"/>
          </w:tcPr>
          <w:p w14:paraId="5890076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19" w:type="dxa"/>
            <w:shd w:val="clear" w:color="000000" w:fill="FFFFFF"/>
            <w:noWrap/>
            <w:vAlign w:val="center"/>
          </w:tcPr>
          <w:p w14:paraId="7218AAB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464" w:type="dxa"/>
            <w:shd w:val="clear" w:color="auto" w:fill="E7E6E6" w:themeFill="background2"/>
            <w:noWrap/>
            <w:vAlign w:val="center"/>
          </w:tcPr>
          <w:p w14:paraId="720721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51" w:type="dxa"/>
            <w:shd w:val="clear" w:color="000000" w:fill="FFFFFF"/>
            <w:noWrap/>
            <w:vAlign w:val="center"/>
          </w:tcPr>
          <w:p w14:paraId="003B77E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16CD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7C1D7F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5F6BAB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四川省成都市武侯区武科西四路16号</w:t>
            </w:r>
          </w:p>
        </w:tc>
      </w:tr>
      <w:tr w14:paraId="0D02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1" w:hRule="atLeast"/>
          <w:jc w:val="center"/>
        </w:trPr>
        <w:tc>
          <w:tcPr>
            <w:tcW w:w="1271" w:type="dxa"/>
            <w:shd w:val="clear" w:color="auto" w:fill="E7E6E6" w:themeFill="background2"/>
            <w:noWrap/>
            <w:vAlign w:val="center"/>
          </w:tcPr>
          <w:p w14:paraId="4CF51A0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449DD20E">
            <w:pPr>
              <w:keepNext w:val="0"/>
              <w:keepLines w:val="0"/>
              <w:pageBreakBefore w:val="0"/>
              <w:widowControl w:val="0"/>
              <w:kinsoku/>
              <w:wordWrap/>
              <w:overflowPunct/>
              <w:topLinePunct w:val="0"/>
              <w:autoSpaceDE/>
              <w:autoSpaceDN/>
              <w:bidi w:val="0"/>
              <w:adjustRightInd w:val="0"/>
              <w:snapToGrid w:val="0"/>
              <w:spacing w:line="288" w:lineRule="auto"/>
              <w:ind w:left="0" w:firstLine="420" w:firstLineChars="200"/>
              <w:jc w:val="both"/>
              <w:textAlignment w:val="auto"/>
              <w:rPr>
                <w:rFonts w:eastAsiaTheme="minorEastAsia"/>
                <w:sz w:val="21"/>
                <w:szCs w:val="21"/>
              </w:rPr>
            </w:pPr>
            <w:r>
              <w:rPr>
                <w:rFonts w:hint="eastAsia" w:eastAsiaTheme="minorEastAsia"/>
                <w:sz w:val="21"/>
                <w:szCs w:val="21"/>
              </w:rPr>
              <w:t>四川煤矿安全监察局安全技术中心（简称“四川安全技术中心”）是经中编办批准、省编办同意成立的国家矿山安全监察局四川局直属事业单位；负责管理四川矿山安全技术培训中心、四川安全生产检测检验技术研究院、煤炭工业四川建设工程质量监督站。四川安全技术中心位于成都市武侯科技园区，建有5万平米的安全科技大厦，是一家集科研孵化、安全培训、安全咨询和技术服务为一体的安全生产技术支撑单位。近年来，完成省部级及以上科研项目30余项，横向课题近200项，获得省部级以上奖励11项，授权实用型专利38项，软件著作权13项。中心现拥有各类专业技术岗位及专家共187人，科研实训矿井1个，配套科研实验室和各类仪器设备1100余台（套），设有中安酒店等后勤设施，为博士后人员提供所需的科研保障。</w:t>
            </w:r>
          </w:p>
        </w:tc>
      </w:tr>
      <w:tr w14:paraId="7E7E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1271" w:type="dxa"/>
            <w:shd w:val="clear" w:color="auto" w:fill="E7E6E6" w:themeFill="background2"/>
            <w:noWrap/>
            <w:vAlign w:val="center"/>
          </w:tcPr>
          <w:p w14:paraId="3E277A6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413EAC35">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 博士后创新实践基地设立了博士后管理办公室，制定了科研项目管理办法、科研成果奖励办法、博士后日常经费管理办法等制度，以保证博士后的日常管理。</w:t>
            </w:r>
          </w:p>
          <w:p w14:paraId="6A4A23F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 根据安全、应急、职业健康、环境保护等行业的技术需求和问题，构建了“博士后创新实践基地+研究生联合培养基地+技术应用和转移示范”的合作方式，将在站博士后人员的研究项目与工作实际需求结合起来，配备科研攻关团队。</w:t>
            </w:r>
          </w:p>
          <w:p w14:paraId="6654F32D">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 根据博士后实际需要配备食宿、工作室等，为博士后人员提供日常保障。</w:t>
            </w:r>
          </w:p>
        </w:tc>
      </w:tr>
      <w:tr w14:paraId="323E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shd w:val="clear" w:color="auto" w:fill="E7E6E6" w:themeFill="background2"/>
            <w:noWrap/>
            <w:vAlign w:val="center"/>
          </w:tcPr>
          <w:p w14:paraId="2CE805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7E215D8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4A0A038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189C918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60CA560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656" w:type="dxa"/>
            <w:gridSpan w:val="2"/>
            <w:shd w:val="clear" w:color="auto" w:fill="E7E6E6" w:themeFill="background2"/>
            <w:vAlign w:val="center"/>
          </w:tcPr>
          <w:p w14:paraId="2BC6BA0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236433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64" w:type="dxa"/>
            <w:shd w:val="clear" w:color="auto" w:fill="E7E6E6" w:themeFill="background2"/>
            <w:vAlign w:val="center"/>
          </w:tcPr>
          <w:p w14:paraId="745B05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85809F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51" w:type="dxa"/>
            <w:shd w:val="clear" w:color="auto" w:fill="E7E6E6" w:themeFill="background2"/>
            <w:vAlign w:val="center"/>
          </w:tcPr>
          <w:p w14:paraId="339A317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335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BD0B79D">
            <w:pPr>
              <w:adjustRightInd w:val="0"/>
              <w:snapToGrid w:val="0"/>
              <w:spacing w:line="240" w:lineRule="auto"/>
              <w:ind w:left="0" w:leftChars="0"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智慧化矿山建设关键技术研究与应用</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C1E23DC">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B3DBDA2">
            <w:pPr>
              <w:adjustRightInd w:val="0"/>
              <w:snapToGrid w:val="0"/>
              <w:spacing w:line="240" w:lineRule="auto"/>
              <w:ind w:left="0" w:lef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BSH001</w:t>
            </w:r>
          </w:p>
        </w:tc>
        <w:tc>
          <w:tcPr>
            <w:tcW w:w="165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B09D2AD">
            <w:pPr>
              <w:adjustRightInd w:val="0"/>
              <w:snapToGrid w:val="0"/>
              <w:spacing w:line="240" w:lineRule="auto"/>
              <w:ind w:left="0" w:leftChars="0"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测绘科学与技术</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地质资源与地质工程</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智能科学与技术</w:t>
            </w:r>
          </w:p>
        </w:tc>
        <w:tc>
          <w:tcPr>
            <w:tcW w:w="1464" w:type="dxa"/>
            <w:tcBorders>
              <w:top w:val="single" w:color="auto" w:sz="4" w:space="0"/>
              <w:left w:val="single" w:color="auto" w:sz="4" w:space="0"/>
              <w:right w:val="single" w:color="auto" w:sz="4" w:space="0"/>
              <w:tl2br w:val="nil"/>
              <w:tr2bl w:val="nil"/>
            </w:tcBorders>
            <w:shd w:val="clear" w:color="auto" w:fill="FFFFFF"/>
            <w:vAlign w:val="center"/>
          </w:tcPr>
          <w:p w14:paraId="7E3BED0A">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面议</w:t>
            </w:r>
          </w:p>
        </w:tc>
        <w:tc>
          <w:tcPr>
            <w:tcW w:w="2151" w:type="dxa"/>
            <w:tcBorders>
              <w:top w:val="single" w:color="auto" w:sz="4" w:space="0"/>
              <w:left w:val="single" w:color="auto" w:sz="4" w:space="0"/>
              <w:right w:val="single" w:color="auto" w:sz="4" w:space="0"/>
              <w:tl2br w:val="nil"/>
              <w:tr2bl w:val="nil"/>
            </w:tcBorders>
            <w:shd w:val="clear" w:color="auto" w:fill="FFFFFF"/>
            <w:vAlign w:val="center"/>
          </w:tcPr>
          <w:p w14:paraId="33DFAC1C">
            <w:pPr>
              <w:numPr>
                <w:ilvl w:val="0"/>
                <w:numId w:val="5"/>
              </w:numPr>
              <w:adjustRightInd w:val="0"/>
              <w:snapToGrid w:val="0"/>
              <w:spacing w:line="240" w:lineRule="auto"/>
              <w:ind w:firstLine="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全日制博士毕业优先；</w:t>
            </w:r>
          </w:p>
          <w:p w14:paraId="23A84FDB">
            <w:pPr>
              <w:numPr>
                <w:ilvl w:val="0"/>
                <w:numId w:val="5"/>
              </w:num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熟悉人工智能与机器学习、信息技术和物联网等相关专业技术。</w:t>
            </w:r>
          </w:p>
        </w:tc>
      </w:tr>
      <w:tr w14:paraId="1316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C4E46C4">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矿山隐蔽致灾因素普查及结果应用</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0A98786">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3FFB9EF">
            <w:pPr>
              <w:adjustRightInd w:val="0"/>
              <w:snapToGrid w:val="0"/>
              <w:spacing w:line="240" w:lineRule="auto"/>
              <w:ind w:left="0" w:lef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BSH002</w:t>
            </w:r>
          </w:p>
        </w:tc>
        <w:tc>
          <w:tcPr>
            <w:tcW w:w="165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437C391">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地质学、测绘科学与技术、地质资源与地质工程、矿业工程</w:t>
            </w:r>
          </w:p>
        </w:tc>
        <w:tc>
          <w:tcPr>
            <w:tcW w:w="1464" w:type="dxa"/>
            <w:tcBorders>
              <w:left w:val="single" w:color="auto" w:sz="4" w:space="0"/>
              <w:right w:val="single" w:color="auto" w:sz="4" w:space="0"/>
              <w:tl2br w:val="nil"/>
              <w:tr2bl w:val="nil"/>
            </w:tcBorders>
            <w:shd w:val="clear" w:color="auto" w:fill="FFFFFF"/>
            <w:vAlign w:val="center"/>
          </w:tcPr>
          <w:p w14:paraId="6D878DF5">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面议</w:t>
            </w:r>
          </w:p>
        </w:tc>
        <w:tc>
          <w:tcPr>
            <w:tcW w:w="2151" w:type="dxa"/>
            <w:tcBorders>
              <w:left w:val="single" w:color="auto" w:sz="4" w:space="0"/>
              <w:right w:val="single" w:color="auto" w:sz="4" w:space="0"/>
              <w:tl2br w:val="nil"/>
              <w:tr2bl w:val="nil"/>
            </w:tcBorders>
            <w:shd w:val="clear" w:color="auto" w:fill="FFFFFF"/>
            <w:vAlign w:val="center"/>
          </w:tcPr>
          <w:p w14:paraId="6E32BD72">
            <w:pPr>
              <w:numPr>
                <w:ilvl w:val="0"/>
                <w:numId w:val="6"/>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全日制博士毕业优先；</w:t>
            </w:r>
          </w:p>
          <w:p w14:paraId="32DC4CDD">
            <w:pPr>
              <w:numPr>
                <w:ilvl w:val="0"/>
                <w:numId w:val="6"/>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熟悉三维地质建模、瞬变电磁法、密度直流电法等物探设备与技术的应用。</w:t>
            </w:r>
          </w:p>
        </w:tc>
      </w:tr>
      <w:tr w14:paraId="2654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D01F091">
            <w:p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矿山生态修复关键技术研究及应用</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50D6502">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D412881">
            <w:pPr>
              <w:adjustRightInd w:val="0"/>
              <w:snapToGrid w:val="0"/>
              <w:spacing w:line="240" w:lineRule="auto"/>
              <w:ind w:left="0" w:leftChars="0"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lang w:val="en-US" w:eastAsia="zh-CN"/>
              </w:rPr>
              <w:t>BSH003</w:t>
            </w:r>
          </w:p>
        </w:tc>
        <w:tc>
          <w:tcPr>
            <w:tcW w:w="165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D0E7AC5">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环境科学与工程</w:t>
            </w:r>
          </w:p>
        </w:tc>
        <w:tc>
          <w:tcPr>
            <w:tcW w:w="1464" w:type="dxa"/>
            <w:tcBorders>
              <w:left w:val="single" w:color="auto" w:sz="4" w:space="0"/>
              <w:right w:val="single" w:color="auto" w:sz="4" w:space="0"/>
              <w:tl2br w:val="nil"/>
              <w:tr2bl w:val="nil"/>
            </w:tcBorders>
            <w:shd w:val="clear" w:color="auto" w:fill="FFFFFF"/>
            <w:vAlign w:val="center"/>
          </w:tcPr>
          <w:p w14:paraId="1A805006">
            <w:pPr>
              <w:adjustRightInd w:val="0"/>
              <w:snapToGrid w:val="0"/>
              <w:spacing w:line="240" w:lineRule="auto"/>
              <w:ind w:left="0" w:lef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面议</w:t>
            </w:r>
          </w:p>
        </w:tc>
        <w:tc>
          <w:tcPr>
            <w:tcW w:w="2151" w:type="dxa"/>
            <w:tcBorders>
              <w:left w:val="single" w:color="auto" w:sz="4" w:space="0"/>
              <w:right w:val="single" w:color="auto" w:sz="4" w:space="0"/>
              <w:tl2br w:val="nil"/>
              <w:tr2bl w:val="nil"/>
            </w:tcBorders>
            <w:shd w:val="clear" w:color="auto" w:fill="FFFFFF"/>
            <w:vAlign w:val="center"/>
          </w:tcPr>
          <w:p w14:paraId="29933FF6">
            <w:pPr>
              <w:numPr>
                <w:ilvl w:val="0"/>
                <w:numId w:val="7"/>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全日制博士毕业优先；</w:t>
            </w:r>
          </w:p>
          <w:p w14:paraId="13F4B55D">
            <w:pPr>
              <w:numPr>
                <w:ilvl w:val="0"/>
                <w:numId w:val="7"/>
              </w:numPr>
              <w:adjustRightInd w:val="0"/>
              <w:snapToGrid w:val="0"/>
              <w:spacing w:line="240" w:lineRule="auto"/>
              <w:ind w:left="0" w:leftChars="0"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熟悉边坡治理、尾矿治理、土壤改良和植被修复等技术相关研究。</w:t>
            </w:r>
          </w:p>
        </w:tc>
      </w:tr>
    </w:tbl>
    <w:p w14:paraId="53A2E16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A0210BA">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80" w:name="_Toc18721"/>
      <w:bookmarkStart w:id="881" w:name="_Toc23046"/>
      <w:bookmarkStart w:id="882" w:name="_Toc4200"/>
      <w:bookmarkStart w:id="883" w:name="_Toc14007"/>
      <w:bookmarkStart w:id="884" w:name="_Toc27388"/>
      <w:r>
        <w:rPr>
          <w:rFonts w:hint="eastAsia" w:ascii="Times New Roman" w:hAnsi="Times New Roman" w:eastAsia="方正小标宋简体" w:cs="Times New Roman"/>
          <w:sz w:val="44"/>
          <w:szCs w:val="44"/>
          <w:highlight w:val="none"/>
        </w:rPr>
        <w:t>四川启明星铝业有限责任公司</w:t>
      </w:r>
      <w:bookmarkEnd w:id="880"/>
      <w:bookmarkEnd w:id="881"/>
      <w:bookmarkEnd w:id="882"/>
      <w:bookmarkEnd w:id="883"/>
      <w:bookmarkEnd w:id="884"/>
    </w:p>
    <w:p w14:paraId="73EC2103">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414"/>
        <w:gridCol w:w="2190"/>
      </w:tblGrid>
      <w:tr w14:paraId="146A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7DA27E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2A87AB0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06EF6E2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42186D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gridSpan w:val="2"/>
            <w:shd w:val="clear" w:color="auto" w:fill="E7E6E6" w:themeFill="background2"/>
            <w:noWrap/>
            <w:vAlign w:val="center"/>
          </w:tcPr>
          <w:p w14:paraId="7C97C51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6F3C958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眉山</w:t>
            </w:r>
          </w:p>
        </w:tc>
      </w:tr>
      <w:tr w14:paraId="2082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A308EC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77030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四川省眉山市甘眉园区</w:t>
            </w:r>
          </w:p>
        </w:tc>
      </w:tr>
      <w:tr w14:paraId="6D90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3" w:hRule="atLeast"/>
          <w:jc w:val="center"/>
        </w:trPr>
        <w:tc>
          <w:tcPr>
            <w:tcW w:w="1271" w:type="dxa"/>
            <w:shd w:val="clear" w:color="auto" w:fill="E7E6E6" w:themeFill="background2"/>
            <w:noWrap/>
            <w:vAlign w:val="center"/>
          </w:tcPr>
          <w:p w14:paraId="7835D2A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55AD33F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启明星铝业有限责任公司，2002年3月成立，占地1500余亩，建成年产12.5万吨电解铝和15万吨阳极。公司现有产品包括铝液、铝棒、低钒低钛铝合金、铝合金线杆、铝用炭素等。2017年1月，经国务院国资委批准同意，公司正式划转到眉山市，成为眉山市属最大的国有实体企业。</w:t>
            </w:r>
          </w:p>
          <w:p w14:paraId="1FE844E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建成投产后，工业园区先后引进铝深加工及配套企业30余家，形成50万吨/年的铝深加工产业集群，带动就业8000余人。公司累计上缴税收约12.07亿元。公司依托园区深加工产业实现电解铝液全部就地转化，有效减少铸造工序与下游深加工企业的重熔能耗，降低生产消耗，实现公司与下游企业双赢。</w:t>
            </w:r>
          </w:p>
          <w:p w14:paraId="7769560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以技术进步为立企之本，项目高起点高要求，建设中采用多项国内领先、国际一流的技术，引进国际先进设备15项，主体工程获得中国建筑行业“鲁班奖”。自投产以来，累计获得授权专利143件，获得省部级科技进步奖21项。先后建成国家认可实验室、四川省企业技术中心和四川省电解铝工程技术研究中心，并通过8大管理体系认证。荣获全国五一劳动奖状、国家创新型企业、国家高新技术企业、博士后创新实践基地等多项荣誉称号。</w:t>
            </w:r>
          </w:p>
        </w:tc>
      </w:tr>
      <w:tr w14:paraId="0CDD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0" w:hRule="atLeast"/>
          <w:jc w:val="center"/>
        </w:trPr>
        <w:tc>
          <w:tcPr>
            <w:tcW w:w="1271" w:type="dxa"/>
            <w:shd w:val="clear" w:color="auto" w:fill="E7E6E6" w:themeFill="background2"/>
            <w:noWrap/>
            <w:vAlign w:val="center"/>
          </w:tcPr>
          <w:p w14:paraId="451C9FD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6C19A1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博士后人员在基地工作期间，其工资绩效由我公司人力资源部分配。将参照四川启明星铝业有限责任公司同岗位、同资历工作人员的收入和博士后研究工作的进展、博士后研究人员的工作表现等情况，博士后人员享受与我公司在职职工同等的福利待遇，中期考核获得合格者享受全额年终奖。</w:t>
            </w:r>
          </w:p>
          <w:p w14:paraId="719F67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博士后研究人员出基地后，如继续在四川启明星铝业有限责任公司工作，经招聘审核通过，则相关工作待遇将参照本公司同岗位、同资历工作人员水平。博士后研究人员出基地后，如被聘用到其他事业单位，则本基地将按照国家规定将该人员在基地期间的岗位工资、薪级工资及考核情况介绍到接受单位。</w:t>
            </w:r>
          </w:p>
          <w:p w14:paraId="03E0AB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在住房方面，我公司提供单身公寓。</w:t>
            </w:r>
          </w:p>
        </w:tc>
      </w:tr>
      <w:tr w14:paraId="5EC3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00" w:type="dxa"/>
            <w:gridSpan w:val="2"/>
            <w:shd w:val="clear" w:color="auto" w:fill="E7E6E6" w:themeFill="background2"/>
            <w:noWrap/>
            <w:vAlign w:val="center"/>
          </w:tcPr>
          <w:p w14:paraId="3AE492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68E077F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14:paraId="5C000A5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14:paraId="463D4EC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0E0E83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81" w:type="dxa"/>
            <w:shd w:val="clear" w:color="auto" w:fill="E7E6E6" w:themeFill="background2"/>
            <w:vAlign w:val="center"/>
          </w:tcPr>
          <w:p w14:paraId="6D6D8B8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4FD573F">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73D2F66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2492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1A3B25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铝合金连续挤压技术</w:t>
            </w:r>
            <w:r>
              <w:rPr>
                <w:rFonts w:hint="default" w:ascii="Times New Roman" w:hAnsi="Times New Roman" w:cs="Times New Roman" w:eastAsiaTheme="minorEastAsia"/>
                <w:sz w:val="21"/>
                <w:szCs w:val="21"/>
                <w:lang w:val="en-US" w:eastAsia="zh-CN"/>
              </w:rPr>
              <w:t>方向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C5EC13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D543D4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1E70AD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冶金工程、铝加工</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30D16F2">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c>
          <w:tcPr>
            <w:tcW w:w="2139"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21728BA">
            <w:pPr>
              <w:adjustRightInd w:val="0"/>
              <w:snapToGrid w:val="0"/>
              <w:spacing w:line="240" w:lineRule="auto"/>
              <w:ind w:firstLine="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1、年龄在35岁以下（含35岁）；</w:t>
            </w:r>
          </w:p>
          <w:p w14:paraId="5106F6B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2、获得博士学位，且获学位时间一般不超过3年，身体健康。</w:t>
            </w:r>
          </w:p>
        </w:tc>
      </w:tr>
      <w:tr w14:paraId="63A6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A3FF634">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铝合金新材料研发</w:t>
            </w:r>
            <w:r>
              <w:rPr>
                <w:rFonts w:hint="default" w:ascii="Times New Roman" w:hAnsi="Times New Roman" w:cs="Times New Roman" w:eastAsiaTheme="minorEastAsia"/>
                <w:sz w:val="21"/>
                <w:szCs w:val="21"/>
                <w:lang w:val="en-US" w:eastAsia="zh-CN"/>
              </w:rPr>
              <w:t>方向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BEA251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24184A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62E4C6D">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材料科学与工程</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312041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2139"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62E154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r w14:paraId="0638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0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A638E0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智能化改造数字化转型</w:t>
            </w:r>
            <w:r>
              <w:rPr>
                <w:rFonts w:hint="default" w:ascii="Times New Roman" w:hAnsi="Times New Roman" w:cs="Times New Roman" w:eastAsiaTheme="minorEastAsia"/>
                <w:sz w:val="21"/>
                <w:szCs w:val="21"/>
                <w:lang w:val="en-US" w:eastAsia="zh-CN"/>
              </w:rPr>
              <w:t>方向</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3269CC">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6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3FB07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BSH003</w:t>
            </w:r>
          </w:p>
        </w:tc>
        <w:tc>
          <w:tcPr>
            <w:tcW w:w="175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688ED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电子科学与技术、电子信息工程及控制科学与工程</w:t>
            </w:r>
          </w:p>
        </w:tc>
        <w:tc>
          <w:tcPr>
            <w:tcW w:w="138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19EBB7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2139" w:type="dxa"/>
            <w:vMerge w:val="continue"/>
            <w:tcBorders>
              <w:top w:val="single" w:color="auto" w:sz="4" w:space="0"/>
              <w:left w:val="single" w:color="auto" w:sz="4" w:space="0"/>
              <w:right w:val="single" w:color="auto" w:sz="4" w:space="0"/>
              <w:tl2br w:val="nil"/>
              <w:tr2bl w:val="nil"/>
            </w:tcBorders>
            <w:shd w:val="clear" w:color="auto" w:fill="FFFFFF"/>
            <w:vAlign w:val="center"/>
          </w:tcPr>
          <w:p w14:paraId="26C8F67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p>
        </w:tc>
      </w:tr>
    </w:tbl>
    <w:p w14:paraId="15CB67E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628CC4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3300D5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26D72C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A4F219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9BFA3F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3B127D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AE8A3D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C139A0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7B029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359144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472CF0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B4D4EF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A42079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B83BFD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7C0B4C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DFB911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0F3966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A85531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885" w:name="_Toc4744"/>
      <w:bookmarkStart w:id="886" w:name="_Toc2881"/>
      <w:bookmarkStart w:id="887" w:name="_Toc4288"/>
      <w:bookmarkStart w:id="888" w:name="_Toc19592"/>
      <w:bookmarkStart w:id="889" w:name="_Toc370"/>
      <w:r>
        <w:rPr>
          <w:rFonts w:eastAsia="方正小标宋简体"/>
          <w:sz w:val="44"/>
          <w:szCs w:val="44"/>
          <w:highlight w:val="none"/>
        </w:rPr>
        <w:t>四川轻化工大学</w:t>
      </w:r>
      <w:bookmarkEnd w:id="885"/>
      <w:bookmarkEnd w:id="886"/>
      <w:bookmarkEnd w:id="887"/>
      <w:bookmarkEnd w:id="888"/>
      <w:bookmarkEnd w:id="889"/>
    </w:p>
    <w:p w14:paraId="0B30C46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869"/>
        <w:gridCol w:w="915"/>
        <w:gridCol w:w="267"/>
        <w:gridCol w:w="1299"/>
        <w:gridCol w:w="1683"/>
        <w:gridCol w:w="1554"/>
        <w:gridCol w:w="65"/>
        <w:gridCol w:w="1753"/>
      </w:tblGrid>
      <w:tr w14:paraId="549B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dxa"/>
            <w:shd w:val="clear" w:color="auto" w:fill="E7E6E6" w:themeFill="background2"/>
            <w:noWrap/>
            <w:vAlign w:val="center"/>
          </w:tcPr>
          <w:p w14:paraId="7D06F56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84" w:type="dxa"/>
            <w:gridSpan w:val="2"/>
            <w:shd w:val="clear" w:color="000000" w:fill="FFFFFF"/>
            <w:noWrap/>
            <w:vAlign w:val="center"/>
          </w:tcPr>
          <w:p w14:paraId="036DCB0E">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66" w:type="dxa"/>
            <w:gridSpan w:val="2"/>
            <w:shd w:val="clear" w:color="auto" w:fill="E7E6E6" w:themeFill="background2"/>
            <w:noWrap/>
            <w:vAlign w:val="center"/>
          </w:tcPr>
          <w:p w14:paraId="2595A8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83" w:type="dxa"/>
            <w:shd w:val="clear" w:color="000000" w:fill="FFFFFF"/>
            <w:noWrap/>
            <w:vAlign w:val="center"/>
          </w:tcPr>
          <w:p w14:paraId="45D57641">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619" w:type="dxa"/>
            <w:gridSpan w:val="2"/>
            <w:shd w:val="clear" w:color="auto" w:fill="E7E6E6" w:themeFill="background2"/>
            <w:noWrap/>
            <w:vAlign w:val="center"/>
          </w:tcPr>
          <w:p w14:paraId="56A122A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3" w:type="dxa"/>
            <w:shd w:val="clear" w:color="000000" w:fill="FFFFFF"/>
            <w:noWrap/>
            <w:vAlign w:val="center"/>
          </w:tcPr>
          <w:p w14:paraId="0730B621">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48A9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dxa"/>
            <w:shd w:val="clear" w:color="auto" w:fill="E7E6E6" w:themeFill="background2"/>
            <w:noWrap/>
            <w:vAlign w:val="center"/>
          </w:tcPr>
          <w:p w14:paraId="414BA868">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05" w:type="dxa"/>
            <w:gridSpan w:val="8"/>
            <w:shd w:val="clear" w:color="000000" w:fill="FFFFFF"/>
            <w:noWrap/>
            <w:vAlign w:val="center"/>
          </w:tcPr>
          <w:p w14:paraId="25C158AB">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自贡市大安区永田路100号</w:t>
            </w:r>
          </w:p>
        </w:tc>
      </w:tr>
      <w:tr w14:paraId="3073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3" w:hRule="atLeast"/>
          <w:jc w:val="center"/>
        </w:trPr>
        <w:tc>
          <w:tcPr>
            <w:tcW w:w="1346" w:type="dxa"/>
            <w:shd w:val="clear" w:color="auto" w:fill="E7E6E6" w:themeFill="background2"/>
            <w:noWrap/>
            <w:vAlign w:val="center"/>
          </w:tcPr>
          <w:p w14:paraId="356DFD3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05" w:type="dxa"/>
            <w:gridSpan w:val="8"/>
            <w:shd w:val="clear" w:color="000000" w:fill="FFFFFF"/>
            <w:vAlign w:val="center"/>
          </w:tcPr>
          <w:p w14:paraId="40D7C3DB">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轻化工大学是四川省人民政府、国家国防科技工业局共建高校，是一所集工学、理学、管理学、教育学、文学、历史学、艺术学、法学、经济学、农学、医学等多学科协调发展的普通全日制高等学校。学校坐落于两个国家历史文化名城自贡市和宜宾市，现有李白河、汇东、宜宾、黄岭四个校区。学校办学历史悠久、教育传统优秀，连续两次获得国家“中西部高校基础能力建设工程”项目，是四川省新增博士学位授予单位立项建设优先培育单位、国家卓越工程师教育培养计划高校、国家语言文字推广基地、国家知识产权试点高校、教育部数据中国“百校工程”建设院校、教育部首批高等学校科技成果转化和技术转移基地、国家级大学生创新创业训练计划高校、首批四川省博士后创新实践基地、四川省来华留学示范基地、四川省首批创新改革试点高校、四川省深化创新创业教育改革示范高校、四川省高新技术产业示范科研单位、中国酒业协会授牌与五粮液集团共建的“中国白酒学院”。</w:t>
            </w:r>
          </w:p>
        </w:tc>
      </w:tr>
      <w:tr w14:paraId="5390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1346" w:type="dxa"/>
            <w:shd w:val="clear" w:color="auto" w:fill="E7E6E6" w:themeFill="background2"/>
            <w:noWrap/>
            <w:vAlign w:val="center"/>
          </w:tcPr>
          <w:p w14:paraId="220DCF9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05" w:type="dxa"/>
            <w:gridSpan w:val="8"/>
            <w:shd w:val="clear" w:color="000000" w:fill="FFFFFF"/>
            <w:vAlign w:val="center"/>
          </w:tcPr>
          <w:p w14:paraId="7A214779">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博士后研究人员在基地工作期间享受本校教职工工资待遇，参照本校副教授三级岗位标准，计算工作年限。校内人员在基地工作期间除享有原有的所有待遇外，额外享受600元/月的生活补贴。基地按有关规定为博士后人员缴纳社会保险。</w:t>
            </w:r>
          </w:p>
          <w:p w14:paraId="66BD10FB">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人事档案转至基地的博士后研究人员配偶（本科以上学历）及未成年的子女可随博士后研究人员一起流动。基地协助解决配偶工作及子女入学问题。</w:t>
            </w:r>
          </w:p>
        </w:tc>
      </w:tr>
      <w:tr w14:paraId="5BBC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215" w:type="dxa"/>
            <w:gridSpan w:val="2"/>
            <w:shd w:val="clear" w:color="auto" w:fill="E7E6E6" w:themeFill="background2"/>
            <w:noWrap/>
            <w:vAlign w:val="center"/>
          </w:tcPr>
          <w:p w14:paraId="729F0FC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2" w:type="dxa"/>
            <w:gridSpan w:val="2"/>
            <w:shd w:val="clear" w:color="auto" w:fill="E7E6E6" w:themeFill="background2"/>
            <w:vAlign w:val="center"/>
          </w:tcPr>
          <w:p w14:paraId="1FB1C073">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99" w:type="dxa"/>
            <w:shd w:val="clear" w:color="auto" w:fill="E7E6E6" w:themeFill="background2"/>
            <w:vAlign w:val="center"/>
          </w:tcPr>
          <w:p w14:paraId="7EA8914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83" w:type="dxa"/>
            <w:shd w:val="clear" w:color="auto" w:fill="E7E6E6" w:themeFill="background2"/>
            <w:vAlign w:val="center"/>
          </w:tcPr>
          <w:p w14:paraId="2DBA7C3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3291A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54" w:type="dxa"/>
            <w:shd w:val="clear" w:color="auto" w:fill="E7E6E6" w:themeFill="background2"/>
            <w:vAlign w:val="center"/>
          </w:tcPr>
          <w:p w14:paraId="5C5937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608543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18" w:type="dxa"/>
            <w:gridSpan w:val="2"/>
            <w:shd w:val="clear" w:color="auto" w:fill="E7E6E6" w:themeFill="background2"/>
            <w:vAlign w:val="center"/>
          </w:tcPr>
          <w:p w14:paraId="481D023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7971EF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19A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15" w:type="dxa"/>
            <w:gridSpan w:val="2"/>
            <w:shd w:val="clear" w:color="000000" w:fill="FFFFFF"/>
            <w:noWrap/>
            <w:vAlign w:val="center"/>
          </w:tcPr>
          <w:p w14:paraId="25AFD5F1">
            <w:pPr>
              <w:adjustRightInd w:val="0"/>
              <w:snapToGrid w:val="0"/>
              <w:spacing w:line="240" w:lineRule="auto"/>
              <w:ind w:firstLine="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酿酒原粮生产性能研究</w:t>
            </w:r>
          </w:p>
          <w:p w14:paraId="3B46D62C">
            <w:pPr>
              <w:adjustRightInd w:val="0"/>
              <w:snapToGrid w:val="0"/>
              <w:spacing w:line="240" w:lineRule="auto"/>
              <w:ind w:firstLine="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农产品加工与贮藏</w:t>
            </w:r>
          </w:p>
          <w:p w14:paraId="2C520977">
            <w:pPr>
              <w:adjustRightInd w:val="0"/>
              <w:snapToGrid w:val="0"/>
              <w:spacing w:line="240" w:lineRule="auto"/>
              <w:ind w:firstLine="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酿酒生物技术</w:t>
            </w:r>
          </w:p>
          <w:p w14:paraId="45D9AE2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食品加工智能制造</w:t>
            </w:r>
          </w:p>
        </w:tc>
        <w:tc>
          <w:tcPr>
            <w:tcW w:w="1182" w:type="dxa"/>
            <w:gridSpan w:val="2"/>
            <w:shd w:val="clear" w:color="000000" w:fill="FFFFFF"/>
            <w:vAlign w:val="center"/>
          </w:tcPr>
          <w:p w14:paraId="2E6BCC4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w:t>
            </w:r>
          </w:p>
        </w:tc>
        <w:tc>
          <w:tcPr>
            <w:tcW w:w="1299" w:type="dxa"/>
            <w:shd w:val="clear" w:color="000000" w:fill="FFFFFF"/>
            <w:vAlign w:val="center"/>
          </w:tcPr>
          <w:p w14:paraId="48A94199">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83" w:type="dxa"/>
            <w:shd w:val="clear" w:color="000000" w:fill="FFFFFF"/>
            <w:vAlign w:val="center"/>
          </w:tcPr>
          <w:p w14:paraId="0E8571FC">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食品科学与工程</w:t>
            </w:r>
          </w:p>
        </w:tc>
        <w:tc>
          <w:tcPr>
            <w:tcW w:w="1554" w:type="dxa"/>
            <w:shd w:val="clear" w:color="000000" w:fill="FFFFFF"/>
            <w:vAlign w:val="center"/>
          </w:tcPr>
          <w:p w14:paraId="653F5EF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6</w:t>
            </w:r>
          </w:p>
        </w:tc>
        <w:tc>
          <w:tcPr>
            <w:tcW w:w="1818" w:type="dxa"/>
            <w:gridSpan w:val="2"/>
            <w:shd w:val="clear" w:color="000000" w:fill="FFFFFF"/>
            <w:vAlign w:val="center"/>
          </w:tcPr>
          <w:p w14:paraId="734473A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21C8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15" w:type="dxa"/>
            <w:gridSpan w:val="2"/>
            <w:shd w:val="clear" w:color="000000" w:fill="FFFFFF"/>
            <w:noWrap/>
            <w:vAlign w:val="center"/>
          </w:tcPr>
          <w:p w14:paraId="11D7696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生物质材料研究与利用</w:t>
            </w:r>
          </w:p>
        </w:tc>
        <w:tc>
          <w:tcPr>
            <w:tcW w:w="1182" w:type="dxa"/>
            <w:gridSpan w:val="2"/>
            <w:shd w:val="clear" w:color="000000" w:fill="FFFFFF"/>
            <w:vAlign w:val="center"/>
          </w:tcPr>
          <w:p w14:paraId="59B64EC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w:t>
            </w:r>
          </w:p>
        </w:tc>
        <w:tc>
          <w:tcPr>
            <w:tcW w:w="1299" w:type="dxa"/>
            <w:shd w:val="clear" w:color="000000" w:fill="FFFFFF"/>
            <w:vAlign w:val="center"/>
          </w:tcPr>
          <w:p w14:paraId="070B615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83" w:type="dxa"/>
            <w:shd w:val="clear" w:color="000000" w:fill="FFFFFF"/>
            <w:vAlign w:val="center"/>
          </w:tcPr>
          <w:p w14:paraId="45EAE2CA">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轻工技术与工程</w:t>
            </w:r>
          </w:p>
        </w:tc>
        <w:tc>
          <w:tcPr>
            <w:tcW w:w="1554" w:type="dxa"/>
            <w:shd w:val="clear" w:color="000000" w:fill="FFFFFF"/>
            <w:vAlign w:val="center"/>
          </w:tcPr>
          <w:p w14:paraId="61B9744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6</w:t>
            </w:r>
          </w:p>
        </w:tc>
        <w:tc>
          <w:tcPr>
            <w:tcW w:w="1818" w:type="dxa"/>
            <w:gridSpan w:val="2"/>
            <w:shd w:val="clear" w:color="000000" w:fill="FFFFFF"/>
            <w:vAlign w:val="center"/>
          </w:tcPr>
          <w:p w14:paraId="103F87D5">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6CF76B36">
      <w:pPr>
        <w:adjustRightInd w:val="0"/>
        <w:snapToGrid w:val="0"/>
        <w:spacing w:line="240" w:lineRule="auto"/>
        <w:ind w:firstLine="420" w:firstLineChars="200"/>
        <w:rPr>
          <w:rFonts w:eastAsiaTheme="minorEastAsia"/>
          <w:sz w:val="21"/>
          <w:szCs w:val="21"/>
        </w:rPr>
      </w:pPr>
      <w:r>
        <w:rPr>
          <w:rFonts w:eastAsiaTheme="minorEastAsia"/>
          <w:sz w:val="21"/>
          <w:szCs w:val="21"/>
        </w:rPr>
        <w:br w:type="page"/>
      </w:r>
    </w:p>
    <w:p w14:paraId="0DB6D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eastAsiaTheme="minorEastAsia"/>
          <w:sz w:val="44"/>
          <w:szCs w:val="44"/>
          <w:highlight w:val="yellow"/>
        </w:rPr>
      </w:pPr>
    </w:p>
    <w:p w14:paraId="4F78036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90" w:name="_Toc5619"/>
      <w:bookmarkStart w:id="891" w:name="_Toc32518"/>
      <w:bookmarkStart w:id="892" w:name="_Toc29478"/>
      <w:bookmarkStart w:id="893" w:name="_Toc30943"/>
      <w:bookmarkStart w:id="894" w:name="_Toc23035"/>
      <w:r>
        <w:rPr>
          <w:rFonts w:hint="eastAsia" w:ascii="Times New Roman" w:hAnsi="Times New Roman" w:eastAsia="方正小标宋简体" w:cs="Times New Roman"/>
          <w:sz w:val="44"/>
          <w:szCs w:val="44"/>
          <w:highlight w:val="none"/>
        </w:rPr>
        <w:t>四川上之登新材料科技有限公司</w:t>
      </w:r>
      <w:bookmarkEnd w:id="890"/>
      <w:bookmarkEnd w:id="891"/>
      <w:bookmarkEnd w:id="892"/>
      <w:bookmarkEnd w:id="893"/>
      <w:bookmarkEnd w:id="894"/>
    </w:p>
    <w:p w14:paraId="1CCF0A48">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0194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66651D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53E826E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0E35E6F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33EB76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02B42D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6CBA14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51AF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7BACDB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3578E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四川省广汉市深圳路东二段3号</w:t>
            </w:r>
          </w:p>
        </w:tc>
      </w:tr>
      <w:tr w14:paraId="1510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2" w:hRule="atLeast"/>
          <w:jc w:val="center"/>
        </w:trPr>
        <w:tc>
          <w:tcPr>
            <w:tcW w:w="1271" w:type="dxa"/>
            <w:shd w:val="clear" w:color="auto" w:fill="E7E6E6" w:themeFill="background2"/>
            <w:noWrap/>
            <w:vAlign w:val="center"/>
          </w:tcPr>
          <w:p w14:paraId="713453B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16E693E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 xml:space="preserve">公司是德阳高新区内的一家集科研、生产、经营为一体的高新技术企业、“专精特新”小巨人企业，公司成立于2010年，注册资本5263万元，占地110亩。公司专业从事钻井液助剂14年，产品涵盖降滤失、 加重、抑制、封堵、润滑等，以水基钻井液体系、油基钻井液体系、酸化压裂体系、油气田用防腐化学助剂为主导产品。 </w:t>
            </w:r>
          </w:p>
          <w:p w14:paraId="16C1EAF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公司建有省级工程技术研究中心、省级企业技术中心、四川省专家工作站、四川省博士后创新实践基地等创新平台。与四川大学、西南石油大学建立了产学研合作关系。</w:t>
            </w:r>
          </w:p>
          <w:p w14:paraId="3C706CE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是中石油、中石化的主力供应商，与川庆钻探工程公司、渤海钻探工程有限公司、中国石化西南工程公司等知名企业建立了友好合作关系。为川渝地区非常规勘探的中石油五大钻探公司和中石化的西南，华北，江汉等钻井公司提供钻井助剂，产品销往塔里木油田、长庆油田、江苏油田、华北油田、胜利油田等，并出口俄罗斯、土库曼斯坦、哈萨克斯坦等国家。</w:t>
            </w:r>
          </w:p>
        </w:tc>
      </w:tr>
      <w:tr w14:paraId="07F0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271" w:type="dxa"/>
            <w:shd w:val="clear" w:color="auto" w:fill="E7E6E6" w:themeFill="background2"/>
            <w:noWrap/>
            <w:vAlign w:val="center"/>
          </w:tcPr>
          <w:p w14:paraId="4BE1FC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3CECF37C">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企业提供年薪20万元，博士后享受社会保险等福利待遇；政府配套10万元/年；</w:t>
            </w:r>
          </w:p>
          <w:p w14:paraId="15B1FEC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企业配套100万科研经费，政府配套20万元立项经费。</w:t>
            </w:r>
          </w:p>
        </w:tc>
      </w:tr>
      <w:tr w14:paraId="312F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27AEAD6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22C7F4E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4EE1FA2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41AC1B6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672FAE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20730CD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FB50F4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0217640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C30B5E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21A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DC8B65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高抑制强封堵抗高温抗高盐高效环保型水基钻井液体系及关键技术的研究</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C7E64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6E007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6E54DB">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工学（油田化学）</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870E0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611" w:type="dxa"/>
            <w:tcBorders>
              <w:top w:val="single" w:color="auto" w:sz="4" w:space="0"/>
              <w:left w:val="single" w:color="auto" w:sz="4" w:space="0"/>
              <w:right w:val="single" w:color="auto" w:sz="4" w:space="0"/>
              <w:tl2br w:val="nil"/>
              <w:tr2bl w:val="nil"/>
            </w:tcBorders>
            <w:shd w:val="clear" w:color="auto" w:fill="FFFFFF"/>
            <w:vAlign w:val="center"/>
          </w:tcPr>
          <w:p w14:paraId="66F685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西南石油大学</w:t>
            </w:r>
          </w:p>
        </w:tc>
      </w:tr>
    </w:tbl>
    <w:p w14:paraId="2879168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03D577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AA5D00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9C5299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A4E239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895" w:name="_Toc15487"/>
      <w:bookmarkStart w:id="896" w:name="_Toc32650"/>
      <w:bookmarkStart w:id="897" w:name="_Toc11038"/>
      <w:bookmarkStart w:id="898" w:name="_Toc27718"/>
      <w:bookmarkStart w:id="899" w:name="_Toc21377"/>
      <w:r>
        <w:rPr>
          <w:rFonts w:hint="eastAsia" w:ascii="Times New Roman" w:hAnsi="Times New Roman" w:eastAsia="方正小标宋简体" w:cs="Times New Roman"/>
          <w:sz w:val="44"/>
          <w:szCs w:val="44"/>
          <w:highlight w:val="none"/>
        </w:rPr>
        <w:t>四川省地质环境调查研究中心</w:t>
      </w:r>
      <w:bookmarkEnd w:id="895"/>
      <w:bookmarkEnd w:id="896"/>
      <w:bookmarkEnd w:id="897"/>
      <w:bookmarkEnd w:id="898"/>
      <w:bookmarkEnd w:id="899"/>
    </w:p>
    <w:p w14:paraId="24CB6FA9">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622"/>
        <w:gridCol w:w="1585"/>
        <w:gridCol w:w="2190"/>
      </w:tblGrid>
      <w:tr w14:paraId="2374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590B14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086" w:type="dxa"/>
            <w:shd w:val="clear" w:color="000000" w:fill="FFFFFF"/>
            <w:noWrap/>
            <w:vAlign w:val="center"/>
          </w:tcPr>
          <w:p w14:paraId="71BB6C2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其他</w:t>
            </w:r>
          </w:p>
        </w:tc>
        <w:tc>
          <w:tcPr>
            <w:tcW w:w="1896" w:type="dxa"/>
            <w:gridSpan w:val="2"/>
            <w:shd w:val="clear" w:color="auto" w:fill="E7E6E6" w:themeFill="background2"/>
            <w:noWrap/>
            <w:vAlign w:val="center"/>
          </w:tcPr>
          <w:p w14:paraId="0BF76FF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7BD5D7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7371F1E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715E4E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66DA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E0833B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6"/>
            <w:shd w:val="clear" w:color="000000" w:fill="FFFFFF"/>
            <w:noWrap/>
            <w:vAlign w:val="center"/>
          </w:tcPr>
          <w:p w14:paraId="2BD59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四川省成都市金牛区一环路北二段3号</w:t>
            </w:r>
          </w:p>
        </w:tc>
      </w:tr>
      <w:tr w14:paraId="3D32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271" w:type="dxa"/>
            <w:shd w:val="clear" w:color="auto" w:fill="E7E6E6" w:themeFill="background2"/>
            <w:noWrap/>
            <w:vAlign w:val="center"/>
          </w:tcPr>
          <w:p w14:paraId="6BEA91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14:paraId="2EEB7CC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省地质环境调查研究中心系四川省地质调查研究院下属公益二类事业单位，下设四川省华地建设工程有限责任公司等3个平台公司。业务类型主要有水文地质、工程地质、环境地质、城市地质、地震地质技术服务和相关科学研究，建有“四川省地质灾害防治工程技术研究中心”等多个科研平台，引进“天府学者”特聘专家。现有职工1300余人，其中博士研究生3人，硕士研究生215人；正高级职称12人，副高级职称225人。有多人获得“四川省青年科技人才”“全国五一劳动奖章” “大国工匠”等荣誉称号。单位承担国家“973”计划、国家自然科学基金项目、国家重点研发计划等重大科研项目100余项。成果获“国家优秀工程金质奖”1项、部省级科技进步一等奖5项、二等奖6项、三等奖30余项。</w:t>
            </w:r>
          </w:p>
        </w:tc>
      </w:tr>
      <w:tr w14:paraId="0210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4" w:hRule="atLeast"/>
          <w:jc w:val="center"/>
        </w:trPr>
        <w:tc>
          <w:tcPr>
            <w:tcW w:w="1271" w:type="dxa"/>
            <w:shd w:val="clear" w:color="auto" w:fill="E7E6E6" w:themeFill="background2"/>
            <w:noWrap/>
            <w:vAlign w:val="center"/>
          </w:tcPr>
          <w:p w14:paraId="1A653C7E">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14:paraId="3CBAEA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1、第一年收入按年薪制发放，不低于30万（税前，含五险一金）；第二年起采取“基薪+绩效奖金”形式发放薪酬，基薪不低于1.5万/月，绩效根据考核情况核定；</w:t>
            </w:r>
          </w:p>
          <w:p w14:paraId="36ECE0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2、按规定缴纳医疗、养老和住房公积金等“五险一金”；</w:t>
            </w:r>
          </w:p>
          <w:p w14:paraId="7940D9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3、在创新基地研究期间由创新基地负责提供两室一厅住房和享受规定的福利待遇；</w:t>
            </w:r>
          </w:p>
          <w:p w14:paraId="20AFB0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4、提供专用办公室及相关科研装备；</w:t>
            </w:r>
          </w:p>
          <w:p w14:paraId="192C0B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5、提供科研项目及科研经费；</w:t>
            </w:r>
          </w:p>
          <w:p w14:paraId="213397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6、博士后在站期间，其配偶及未成年子女的户籍可根据自身情况选择是否随博士后户籍迁入单位，若有需要我单位可协助解决户口随迁并协助联系博士后未成年子女就近入托、就学。</w:t>
            </w:r>
          </w:p>
        </w:tc>
      </w:tr>
      <w:tr w14:paraId="773B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57" w:type="dxa"/>
            <w:gridSpan w:val="2"/>
            <w:shd w:val="clear" w:color="auto" w:fill="E7E6E6" w:themeFill="background2"/>
            <w:noWrap/>
            <w:vAlign w:val="center"/>
          </w:tcPr>
          <w:p w14:paraId="07366A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14:paraId="415AB8A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572C8D1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7EA0ACD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3D8033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255F14C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1BC2A2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0102A1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354F20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754F13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013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ADB0529">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县域地质灾害全链信息管理及防灾产品综合服务系统研发与示范</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37210C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5AD810D">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B4F4DD">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计算机科学与技术或软件工程或地理信息工程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7C9727C">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30</w:t>
            </w:r>
          </w:p>
        </w:tc>
        <w:tc>
          <w:tcPr>
            <w:tcW w:w="213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19134084">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双一流</w:t>
            </w:r>
          </w:p>
        </w:tc>
      </w:tr>
      <w:tr w14:paraId="5199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39E59E7">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裸露固废堆体无客土生态修复关键技术及碳足迹评价研究</w:t>
            </w:r>
          </w:p>
        </w:tc>
        <w:tc>
          <w:tcPr>
            <w:tcW w:w="82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7AA0D5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149122A">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5F64878">
            <w:pPr>
              <w:adjustRightInd w:val="0"/>
              <w:snapToGrid w:val="0"/>
              <w:spacing w:line="240" w:lineRule="auto"/>
              <w:ind w:firstLine="0" w:firstLineChars="0"/>
              <w:jc w:val="both"/>
              <w:rPr>
                <w:rFonts w:hint="default" w:ascii="Times New Roman" w:hAnsi="Times New Roman" w:cs="Times New Roman" w:eastAsiaTheme="minorEastAsia"/>
                <w:color w:val="333333"/>
                <w:sz w:val="21"/>
                <w:szCs w:val="21"/>
                <w:shd w:val="clear" w:color="auto" w:fill="FFFFFF"/>
                <w:lang w:eastAsia="zh-CN"/>
              </w:rPr>
            </w:pPr>
            <w:r>
              <w:rPr>
                <w:rFonts w:hint="default" w:ascii="Times New Roman" w:hAnsi="Times New Roman" w:cs="Times New Roman" w:eastAsiaTheme="minorEastAsia"/>
                <w:sz w:val="21"/>
                <w:szCs w:val="21"/>
              </w:rPr>
              <w:t>环境科学与工程或林学</w:t>
            </w:r>
          </w:p>
        </w:tc>
        <w:tc>
          <w:tcPr>
            <w:tcW w:w="1548" w:type="dxa"/>
            <w:tcBorders>
              <w:top w:val="single" w:color="auto" w:sz="4" w:space="0"/>
              <w:left w:val="single" w:color="auto" w:sz="4" w:space="0"/>
              <w:right w:val="single" w:color="auto" w:sz="4" w:space="0"/>
              <w:tl2br w:val="nil"/>
              <w:tr2bl w:val="nil"/>
            </w:tcBorders>
            <w:shd w:val="clear" w:color="auto" w:fill="FFFFFF"/>
            <w:vAlign w:val="center"/>
          </w:tcPr>
          <w:p w14:paraId="1AB156F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2139" w:type="dxa"/>
            <w:vMerge w:val="continue"/>
            <w:tcBorders>
              <w:left w:val="single" w:color="auto" w:sz="4" w:space="0"/>
              <w:right w:val="single" w:color="auto" w:sz="4" w:space="0"/>
              <w:tl2br w:val="nil"/>
              <w:tr2bl w:val="nil"/>
            </w:tcBorders>
            <w:shd w:val="clear" w:color="auto" w:fill="FFFFFF"/>
            <w:vAlign w:val="center"/>
          </w:tcPr>
          <w:p w14:paraId="658214B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bl>
    <w:p w14:paraId="46099A8E">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5D70CB17">
      <w:pPr>
        <w:pStyle w:val="5"/>
        <w:keepNext w:val="0"/>
        <w:keepLines w:val="0"/>
        <w:pageBreakBefore w:val="0"/>
        <w:widowControl w:val="0"/>
        <w:kinsoku/>
        <w:wordWrap/>
        <w:overflowPunct/>
        <w:topLinePunct w:val="0"/>
        <w:autoSpaceDE/>
        <w:autoSpaceDN/>
        <w:bidi w:val="0"/>
        <w:adjustRightInd w:val="0"/>
        <w:snapToGrid w:val="0"/>
        <w:spacing w:line="240" w:lineRule="auto"/>
        <w:ind w:left="960" w:leftChars="300" w:right="685" w:rightChars="214" w:firstLine="0" w:firstLineChars="0"/>
        <w:jc w:val="center"/>
        <w:textAlignment w:val="auto"/>
        <w:outlineLvl w:val="0"/>
        <w:rPr>
          <w:rFonts w:eastAsia="方正小标宋简体"/>
          <w:sz w:val="44"/>
          <w:szCs w:val="44"/>
          <w:highlight w:val="none"/>
        </w:rPr>
      </w:pPr>
      <w:bookmarkStart w:id="900" w:name="_Toc28164"/>
      <w:bookmarkStart w:id="901" w:name="_Toc26203"/>
      <w:bookmarkStart w:id="902" w:name="_Toc22513"/>
      <w:bookmarkStart w:id="903" w:name="_Toc14484"/>
      <w:bookmarkStart w:id="904" w:name="_Toc21467"/>
      <w:r>
        <w:rPr>
          <w:rFonts w:eastAsia="方正小标宋简体"/>
          <w:sz w:val="44"/>
          <w:szCs w:val="44"/>
          <w:highlight w:val="none"/>
        </w:rPr>
        <w:t>四川省国土空间生态修复与地质灾害防治</w:t>
      </w:r>
      <w:bookmarkStart w:id="905" w:name="_Toc30205"/>
      <w:r>
        <w:rPr>
          <w:rFonts w:eastAsia="方正小标宋简体"/>
          <w:sz w:val="44"/>
          <w:szCs w:val="44"/>
          <w:highlight w:val="none"/>
        </w:rPr>
        <w:t>研究院</w:t>
      </w:r>
      <w:bookmarkEnd w:id="900"/>
      <w:bookmarkEnd w:id="901"/>
      <w:bookmarkEnd w:id="902"/>
      <w:bookmarkEnd w:id="903"/>
      <w:bookmarkEnd w:id="904"/>
      <w:bookmarkEnd w:id="905"/>
    </w:p>
    <w:p w14:paraId="2482967C">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374"/>
        <w:gridCol w:w="1264"/>
        <w:gridCol w:w="1285"/>
        <w:gridCol w:w="480"/>
        <w:gridCol w:w="1340"/>
        <w:gridCol w:w="369"/>
        <w:gridCol w:w="1373"/>
        <w:gridCol w:w="271"/>
        <w:gridCol w:w="1628"/>
      </w:tblGrid>
      <w:tr w14:paraId="3199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4FADFF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0FBE965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科研院所</w:t>
            </w:r>
          </w:p>
        </w:tc>
        <w:tc>
          <w:tcPr>
            <w:tcW w:w="1641" w:type="dxa"/>
            <w:gridSpan w:val="2"/>
            <w:shd w:val="clear" w:color="auto" w:fill="E7E6E6" w:themeFill="background2"/>
            <w:noWrap/>
            <w:vAlign w:val="center"/>
          </w:tcPr>
          <w:p w14:paraId="3A1CEED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33A557A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661E501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b/>
                <w:bCs/>
                <w:sz w:val="21"/>
                <w:szCs w:val="21"/>
              </w:rPr>
              <w:t>单位所在城市</w:t>
            </w:r>
          </w:p>
        </w:tc>
        <w:tc>
          <w:tcPr>
            <w:tcW w:w="1514" w:type="dxa"/>
            <w:shd w:val="clear" w:color="000000" w:fill="FFFFFF"/>
            <w:noWrap/>
            <w:vAlign w:val="center"/>
          </w:tcPr>
          <w:p w14:paraId="72C05E6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sz w:val="21"/>
                <w:szCs w:val="21"/>
              </w:rPr>
            </w:pPr>
            <w:r>
              <w:rPr>
                <w:rFonts w:eastAsiaTheme="minorEastAsia"/>
                <w:sz w:val="21"/>
                <w:szCs w:val="21"/>
              </w:rPr>
              <w:t>成都</w:t>
            </w:r>
          </w:p>
        </w:tc>
      </w:tr>
      <w:tr w14:paraId="7D18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E4D8D4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通讯地址</w:t>
            </w:r>
          </w:p>
        </w:tc>
        <w:tc>
          <w:tcPr>
            <w:tcW w:w="7796" w:type="dxa"/>
            <w:gridSpan w:val="9"/>
            <w:shd w:val="clear" w:color="000000" w:fill="FFFFFF"/>
            <w:noWrap/>
            <w:vAlign w:val="center"/>
          </w:tcPr>
          <w:p w14:paraId="0D4525E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成都市人民北路1段25号</w:t>
            </w:r>
          </w:p>
        </w:tc>
      </w:tr>
      <w:tr w14:paraId="04E5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1" w:hRule="atLeast"/>
          <w:jc w:val="center"/>
        </w:trPr>
        <w:tc>
          <w:tcPr>
            <w:tcW w:w="1271" w:type="dxa"/>
            <w:shd w:val="clear" w:color="auto" w:fill="E7E6E6" w:themeFill="background2"/>
            <w:noWrap/>
            <w:vAlign w:val="center"/>
          </w:tcPr>
          <w:p w14:paraId="0CFBEAA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796" w:type="dxa"/>
            <w:gridSpan w:val="9"/>
            <w:shd w:val="clear" w:color="000000" w:fill="FFFFFF"/>
            <w:vAlign w:val="center"/>
          </w:tcPr>
          <w:p w14:paraId="7CD46044">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省国土空间生态修复与地质灾害防治研究院是四川省自然资源厅直属公益性事业单位，深度融合产学研用为一体，为四川省自然资源厅开展地质灾害防治、国土空间生态修复等管理工作提供技术支撑与服务保障。长期聚焦地质灾害防治和国土空间生态修复领域，着力于开展应用基础研究、先进技术开发与推广、以及高层次人才培养。现拥有1个四川省地质灾害监测预警技术服务中心和1个博士后创新实践基地。已承担并完成了包括国家“973”项目在内的各类科研、生产、服务项目近700项，并基于此产出了丰富的论文，专著，专利，标准，软件著作权等科研成果，获得了多项省部级奖励，为四川省地质灾害防治和国土空间生态修复提供了坚实的理论和技术支持。</w:t>
            </w:r>
          </w:p>
        </w:tc>
      </w:tr>
      <w:tr w14:paraId="0BF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jc w:val="center"/>
        </w:trPr>
        <w:tc>
          <w:tcPr>
            <w:tcW w:w="1271" w:type="dxa"/>
            <w:shd w:val="clear" w:color="auto" w:fill="E7E6E6" w:themeFill="background2"/>
            <w:noWrap/>
            <w:vAlign w:val="center"/>
          </w:tcPr>
          <w:p w14:paraId="0D1906A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796" w:type="dxa"/>
            <w:gridSpan w:val="9"/>
            <w:shd w:val="clear" w:color="000000" w:fill="FFFFFF"/>
            <w:vAlign w:val="center"/>
          </w:tcPr>
          <w:p w14:paraId="02C81604">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1.博士后薪酬采取“基本薪资+绩效”形式，金额面议，对科研成果转化取得明显成绩和经济效益的博士后，给予额外专项奖励；按规定缴纳“五险一金”；为在成都无住房的博士后提供生活住房。</w:t>
            </w:r>
          </w:p>
          <w:p w14:paraId="580FE55A">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2.提供专用办公室及相关科研设备，提供技术团队支持，提供项目支持。</w:t>
            </w:r>
          </w:p>
          <w:p w14:paraId="6479D9F6">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3.提供日常工作经费。</w:t>
            </w:r>
          </w:p>
        </w:tc>
      </w:tr>
      <w:tr w14:paraId="0D6C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14A4BD0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29CC082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5" w:type="dxa"/>
            <w:shd w:val="clear" w:color="auto" w:fill="E7E6E6" w:themeFill="background2"/>
            <w:vAlign w:val="center"/>
          </w:tcPr>
          <w:p w14:paraId="2469AC8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14:paraId="49069D7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644513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20" w:type="dxa"/>
            <w:gridSpan w:val="2"/>
            <w:shd w:val="clear" w:color="auto" w:fill="E7E6E6" w:themeFill="background2"/>
            <w:vAlign w:val="center"/>
          </w:tcPr>
          <w:p w14:paraId="3A2885B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84BD30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66" w:type="dxa"/>
            <w:gridSpan w:val="2"/>
            <w:shd w:val="clear" w:color="auto" w:fill="E7E6E6" w:themeFill="background2"/>
            <w:vAlign w:val="center"/>
          </w:tcPr>
          <w:p w14:paraId="51F9B5B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C29574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07A9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450D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四川省地质灾害隐患遥感识别监测</w:t>
            </w: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14:paraId="490F7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95" w:type="dxa"/>
            <w:tcBorders>
              <w:top w:val="single" w:color="auto" w:sz="4" w:space="0"/>
              <w:left w:val="single" w:color="auto" w:sz="4" w:space="0"/>
              <w:bottom w:val="single" w:color="auto" w:sz="4" w:space="0"/>
              <w:right w:val="single" w:color="auto" w:sz="4" w:space="0"/>
            </w:tcBorders>
            <w:shd w:val="clear" w:color="auto" w:fill="FFFFFF"/>
            <w:vAlign w:val="center"/>
          </w:tcPr>
          <w:p w14:paraId="6D22E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9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5005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遥感与地理信息技专业术</w:t>
            </w:r>
          </w:p>
        </w:tc>
        <w:tc>
          <w:tcPr>
            <w:tcW w:w="162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38851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根据实际需求，保障提供</w:t>
            </w:r>
          </w:p>
        </w:tc>
        <w:tc>
          <w:tcPr>
            <w:tcW w:w="176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B0825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w:t>
            </w:r>
          </w:p>
        </w:tc>
      </w:tr>
    </w:tbl>
    <w:p w14:paraId="6499B61A">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14:paraId="476DF71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3241F7F5">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06" w:name="_Toc21618"/>
      <w:bookmarkStart w:id="907" w:name="_Toc30527"/>
      <w:bookmarkStart w:id="908" w:name="_Toc11032"/>
      <w:bookmarkStart w:id="909" w:name="_Toc5532"/>
      <w:bookmarkStart w:id="910" w:name="_Toc30724"/>
      <w:r>
        <w:rPr>
          <w:rFonts w:hint="eastAsia" w:ascii="Times New Roman" w:hAnsi="Times New Roman" w:eastAsia="方正小标宋简体" w:cs="Times New Roman"/>
          <w:sz w:val="44"/>
          <w:szCs w:val="44"/>
          <w:highlight w:val="none"/>
        </w:rPr>
        <w:t>四川省交通勘察设计研究院有限公司</w:t>
      </w:r>
      <w:bookmarkEnd w:id="906"/>
      <w:bookmarkEnd w:id="907"/>
      <w:bookmarkEnd w:id="908"/>
      <w:bookmarkEnd w:id="909"/>
      <w:bookmarkEnd w:id="910"/>
    </w:p>
    <w:p w14:paraId="6F1A08F5">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91"/>
        <w:gridCol w:w="442"/>
        <w:gridCol w:w="393"/>
        <w:gridCol w:w="1265"/>
        <w:gridCol w:w="61"/>
        <w:gridCol w:w="1622"/>
        <w:gridCol w:w="25"/>
        <w:gridCol w:w="1351"/>
        <w:gridCol w:w="442"/>
        <w:gridCol w:w="1958"/>
      </w:tblGrid>
      <w:tr w14:paraId="73F4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D07B5E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02" w:type="dxa"/>
            <w:gridSpan w:val="2"/>
            <w:shd w:val="clear" w:color="000000" w:fill="FFFFFF"/>
            <w:noWrap/>
            <w:vAlign w:val="center"/>
          </w:tcPr>
          <w:p w14:paraId="66C687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680" w:type="dxa"/>
            <w:gridSpan w:val="3"/>
            <w:shd w:val="clear" w:color="auto" w:fill="E7E6E6" w:themeFill="background2"/>
            <w:noWrap/>
            <w:vAlign w:val="center"/>
          </w:tcPr>
          <w:p w14:paraId="1C01F8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43E9C47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5BC8AB2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041A5AD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12AD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6D0396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6D761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四川省成都市青羊区太升北路35号</w:t>
            </w:r>
          </w:p>
        </w:tc>
      </w:tr>
      <w:tr w14:paraId="0A73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7" w:hRule="atLeast"/>
          <w:jc w:val="center"/>
        </w:trPr>
        <w:tc>
          <w:tcPr>
            <w:tcW w:w="1271" w:type="dxa"/>
            <w:shd w:val="clear" w:color="auto" w:fill="E7E6E6" w:themeFill="background2"/>
            <w:noWrap/>
            <w:vAlign w:val="center"/>
          </w:tcPr>
          <w:p w14:paraId="2C24146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1BEE840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省交通勘察设计研究院有限公司始建于1957年，原为省交通运输厅属事业单位，2019年转企改制，2023年按国有企业集中监管要求划归蜀道集团管理。公司现有员工1400余人，高级职称376人（正高128人），持注册证439人次。持有国家公路、水运设计等2项行业甲级，工程勘察综合甲级，以及其它公路水运勘察设计、监理、监测11项甲级资质和市政、建筑、水利等20项乙级资质，业务涵盖规划、咨询、勘察、设计、工程监理、试验检测、项目管理、科技研发等交通行业全产业链技术咨询服务。完成近1万公里高速公路、1.2万多公里国省干线公路，以及380余项水运项目勘察设计工作。拥有“全国五家、四川唯一”的BIM交通运输行业研发中心，1个省级、2个厅级、1个企业级研发平台，组建了专门的科技成果转化平台全资子公司，在高原山区公路、内河港航、绿色低碳交通、BIM+GIS智慧交通、防灾减灾等领域具有较强的研发能力，在研100余项各级科研项目。近5年来，获得了各类知识产权授权480余项，主编参编国标、行标、地标等各类标准30余部，获得省级政府科技进步奖5项、国家一级行业学会协会科技奖10余项，正在组织十余项成熟科技成果的转化应用。公司始终坚持科技创新引领高质量发展战略，奋力推进改革创新，加快建设全国一流现代工程咨询企业。</w:t>
            </w:r>
          </w:p>
        </w:tc>
      </w:tr>
      <w:tr w14:paraId="351A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9" w:hRule="atLeast"/>
          <w:jc w:val="center"/>
        </w:trPr>
        <w:tc>
          <w:tcPr>
            <w:tcW w:w="1271" w:type="dxa"/>
            <w:shd w:val="clear" w:color="auto" w:fill="E7E6E6" w:themeFill="background2"/>
            <w:noWrap/>
            <w:vAlign w:val="center"/>
          </w:tcPr>
          <w:p w14:paraId="0DA676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52956A1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1、公司招收博士后依托合作的流动站采取联合培养或委托方式招收博士后。</w:t>
            </w:r>
          </w:p>
          <w:p w14:paraId="73F5AA4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公司与博士后签订聘用合同，在站时间一般为2年，除享受公司“五险两金”、科研奖励绩效等基本福利待遇外，参照公司《高层次人才引进管理办法（试行）》，根据人才类别在安家费、激励性报酬、科研启动资金、周转人才公寓等方面给与大力支持。</w:t>
            </w:r>
          </w:p>
          <w:p w14:paraId="0808810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val="en-US" w:eastAsia="zh-CN"/>
              </w:rPr>
              <w:t>3、</w:t>
            </w:r>
            <w:r>
              <w:rPr>
                <w:rFonts w:hint="eastAsia" w:eastAsiaTheme="minorEastAsia"/>
                <w:sz w:val="21"/>
                <w:szCs w:val="21"/>
                <w:lang w:eastAsia="zh-CN"/>
              </w:rPr>
              <w:t>公司为博士后研究人员提供必要的科研和办公条件。</w:t>
            </w:r>
          </w:p>
        </w:tc>
      </w:tr>
      <w:tr w14:paraId="23ED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58EFD35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16" w:type="dxa"/>
            <w:gridSpan w:val="2"/>
            <w:shd w:val="clear" w:color="auto" w:fill="E7E6E6" w:themeFill="background2"/>
            <w:vAlign w:val="center"/>
          </w:tcPr>
          <w:p w14:paraId="75E3B04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14:paraId="2BF65C4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668" w:type="dxa"/>
            <w:gridSpan w:val="3"/>
            <w:shd w:val="clear" w:color="auto" w:fill="E7E6E6" w:themeFill="background2"/>
            <w:vAlign w:val="center"/>
          </w:tcPr>
          <w:p w14:paraId="0EFA720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0F8114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20" w:type="dxa"/>
            <w:shd w:val="clear" w:color="auto" w:fill="E7E6E6" w:themeFill="background2"/>
            <w:vAlign w:val="center"/>
          </w:tcPr>
          <w:p w14:paraId="0A47AC3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2F3FEB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43" w:type="dxa"/>
            <w:gridSpan w:val="2"/>
            <w:shd w:val="clear" w:color="auto" w:fill="E7E6E6" w:themeFill="background2"/>
            <w:vAlign w:val="center"/>
          </w:tcPr>
          <w:p w14:paraId="34F6E2C2">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0A52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0EF646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复杂场地条件下高速公路跨越沟道段工程地质问题与综合处治技术研究</w:t>
            </w:r>
          </w:p>
        </w:tc>
        <w:tc>
          <w:tcPr>
            <w:tcW w:w="8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2AB73B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E99FCD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668"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A2B67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土木工程/地质资源与地质工程</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785B2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15-20</w:t>
            </w:r>
          </w:p>
        </w:tc>
        <w:tc>
          <w:tcPr>
            <w:tcW w:w="2343" w:type="dxa"/>
            <w:gridSpan w:val="2"/>
            <w:tcBorders>
              <w:top w:val="single" w:color="auto" w:sz="4" w:space="0"/>
              <w:left w:val="single" w:color="auto" w:sz="4" w:space="0"/>
              <w:right w:val="single" w:color="auto" w:sz="4" w:space="0"/>
              <w:tl2br w:val="nil"/>
              <w:tr2bl w:val="nil"/>
            </w:tcBorders>
            <w:shd w:val="clear" w:color="auto" w:fill="FFFFFF"/>
            <w:vAlign w:val="center"/>
          </w:tcPr>
          <w:p w14:paraId="4BCD226F">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具备独立从事科研工作的能力，应具有国内外知名大学或研究机构授予的相关专业博士学位，近三年取得高水平研究成果。</w:t>
            </w:r>
          </w:p>
        </w:tc>
      </w:tr>
      <w:tr w14:paraId="124A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B07783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《工业固废磷石膏在路基路面工程中的综合高效利用技术研究》</w:t>
            </w:r>
          </w:p>
        </w:tc>
        <w:tc>
          <w:tcPr>
            <w:tcW w:w="8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A8A18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1F21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668"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44E26BC">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交通运输工程/材料科学与工程等相关专业</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28D352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15-20</w:t>
            </w:r>
          </w:p>
        </w:tc>
        <w:tc>
          <w:tcPr>
            <w:tcW w:w="2343" w:type="dxa"/>
            <w:gridSpan w:val="2"/>
            <w:tcBorders>
              <w:left w:val="single" w:color="auto" w:sz="4" w:space="0"/>
              <w:right w:val="single" w:color="auto" w:sz="4" w:space="0"/>
              <w:tl2br w:val="nil"/>
              <w:tr2bl w:val="nil"/>
            </w:tcBorders>
            <w:shd w:val="clear" w:color="auto" w:fill="FFFFFF"/>
            <w:vAlign w:val="center"/>
          </w:tcPr>
          <w:p w14:paraId="53A6742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具备独立从事科研工作的能力，应具有国内外知名大学或研究机构授予的相关专业博士学位，近三年取得高水平研究成果。</w:t>
            </w:r>
          </w:p>
        </w:tc>
      </w:tr>
      <w:tr w14:paraId="786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BACE69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长江上游—金沙江下游千公里航运体系建设论</w:t>
            </w:r>
          </w:p>
        </w:tc>
        <w:tc>
          <w:tcPr>
            <w:tcW w:w="8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A5874C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FFFB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668"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115730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交通运输工程/</w:t>
            </w:r>
          </w:p>
          <w:p w14:paraId="07413D7E">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航道工程</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187D4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15-20</w:t>
            </w:r>
          </w:p>
        </w:tc>
        <w:tc>
          <w:tcPr>
            <w:tcW w:w="2343" w:type="dxa"/>
            <w:gridSpan w:val="2"/>
            <w:tcBorders>
              <w:left w:val="single" w:color="auto" w:sz="4" w:space="0"/>
              <w:right w:val="single" w:color="auto" w:sz="4" w:space="0"/>
              <w:tl2br w:val="nil"/>
              <w:tr2bl w:val="nil"/>
            </w:tcBorders>
            <w:shd w:val="clear" w:color="auto" w:fill="FFFFFF"/>
            <w:vAlign w:val="center"/>
          </w:tcPr>
          <w:p w14:paraId="0C99B2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国内顶尖水运科研院所</w:t>
            </w:r>
          </w:p>
        </w:tc>
      </w:tr>
      <w:tr w14:paraId="7E01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7806A4F">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“经天路图”公路地质协同平台开发与研究</w:t>
            </w:r>
          </w:p>
        </w:tc>
        <w:tc>
          <w:tcPr>
            <w:tcW w:w="8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60AE3D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23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34C50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BSH004</w:t>
            </w:r>
          </w:p>
        </w:tc>
        <w:tc>
          <w:tcPr>
            <w:tcW w:w="1668"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670F19F">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土木工程/交通运输工程</w:t>
            </w:r>
          </w:p>
        </w:tc>
        <w:tc>
          <w:tcPr>
            <w:tcW w:w="132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39F440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15-20</w:t>
            </w:r>
          </w:p>
        </w:tc>
        <w:tc>
          <w:tcPr>
            <w:tcW w:w="2343" w:type="dxa"/>
            <w:gridSpan w:val="2"/>
            <w:tcBorders>
              <w:left w:val="single" w:color="auto" w:sz="4" w:space="0"/>
              <w:right w:val="single" w:color="auto" w:sz="4" w:space="0"/>
              <w:tl2br w:val="nil"/>
              <w:tr2bl w:val="nil"/>
            </w:tcBorders>
            <w:shd w:val="clear" w:color="auto" w:fill="FFFFFF"/>
            <w:vAlign w:val="center"/>
          </w:tcPr>
          <w:p w14:paraId="378E7A0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有土木、交通相关工程背景，拥有较强软件开发能力，主要从事公路智能设计、大数据分析等工作。博士毕业于国家一流学科专业。</w:t>
            </w:r>
          </w:p>
        </w:tc>
      </w:tr>
    </w:tbl>
    <w:p w14:paraId="6454D0B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2ED512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9D03BE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087DC9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0D5E45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0F8D55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FA5E43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15AB35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7C9EF9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583E36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5C5F9E4">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11" w:name="_Toc1964"/>
      <w:bookmarkStart w:id="912" w:name="_Toc12123"/>
      <w:bookmarkStart w:id="913" w:name="_Toc17795"/>
      <w:bookmarkStart w:id="914" w:name="_Toc10965"/>
      <w:bookmarkStart w:id="915" w:name="_Toc764"/>
      <w:r>
        <w:rPr>
          <w:rFonts w:hint="eastAsia" w:ascii="Times New Roman" w:hAnsi="Times New Roman" w:eastAsia="方正小标宋简体" w:cs="Times New Roman"/>
          <w:sz w:val="44"/>
          <w:szCs w:val="44"/>
          <w:highlight w:val="none"/>
        </w:rPr>
        <w:t>四川省内江市农业科学院</w:t>
      </w:r>
      <w:bookmarkEnd w:id="911"/>
      <w:bookmarkEnd w:id="912"/>
      <w:bookmarkEnd w:id="913"/>
      <w:bookmarkEnd w:id="914"/>
      <w:bookmarkEnd w:id="915"/>
    </w:p>
    <w:p w14:paraId="49C9B2F1">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51C9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89498B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48E5B50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其他</w:t>
            </w:r>
          </w:p>
        </w:tc>
        <w:tc>
          <w:tcPr>
            <w:tcW w:w="1616" w:type="dxa"/>
            <w:gridSpan w:val="2"/>
            <w:shd w:val="clear" w:color="auto" w:fill="E7E6E6" w:themeFill="background2"/>
            <w:noWrap/>
            <w:vAlign w:val="center"/>
          </w:tcPr>
          <w:p w14:paraId="78FF905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384C6C0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3B9D74C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10CAB0B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内江</w:t>
            </w:r>
          </w:p>
        </w:tc>
      </w:tr>
      <w:tr w14:paraId="7100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87B575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56DD8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四川省内江市市中区花园滩路401号</w:t>
            </w:r>
          </w:p>
        </w:tc>
      </w:tr>
      <w:tr w14:paraId="07E7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89" w:hRule="atLeast"/>
          <w:jc w:val="center"/>
        </w:trPr>
        <w:tc>
          <w:tcPr>
            <w:tcW w:w="1271" w:type="dxa"/>
            <w:shd w:val="clear" w:color="auto" w:fill="E7E6E6" w:themeFill="background2"/>
            <w:noWrap/>
            <w:vAlign w:val="center"/>
          </w:tcPr>
          <w:p w14:paraId="53BA35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66782A7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省内江市农业科学院是融创新研发、示范推广、成果转化、科普培训于一体的综合性、公益性农业区域创新中心。院内设机构23个，设有水稻、小麦、甘蔗、油菜、玉米、蔬菜、果树、中药等15个研究方向，已形成“内香水稻、内麦小麦、内江天冬”等全国知名品牌。承担国家、省级和市级科研项目70余项，国家杂交水稻原原种（原种）基地、国家大型商品粮基地、国家农作物区域试验站、国家现代农业产业技术体系综合试验站，全国青少年农业科普示范基地、国家现代农业产业技术体系四川创新团队、四川省博士后创新实践基地、四川省科普示范基地、四川省专家工作站、四川省新型研发机构、四川省粮食安全宣传教育基地、沱江流域特色农业资源共享服务平台。</w:t>
            </w:r>
          </w:p>
        </w:tc>
      </w:tr>
      <w:tr w14:paraId="0894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1979" w:hRule="atLeast"/>
          <w:jc w:val="center"/>
        </w:trPr>
        <w:tc>
          <w:tcPr>
            <w:tcW w:w="1271" w:type="dxa"/>
            <w:shd w:val="clear" w:color="auto" w:fill="E7E6E6" w:themeFill="background2"/>
            <w:noWrap/>
            <w:vAlign w:val="center"/>
          </w:tcPr>
          <w:p w14:paraId="39569B1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544274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严格执行博士后创新实践基地相关要求，向入站博士后开展科研提供有利条件。</w:t>
            </w:r>
          </w:p>
        </w:tc>
      </w:tr>
      <w:tr w14:paraId="12A3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03CFE49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64DE6BA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1CEB147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5195666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F04015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55E717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A1E2BC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322582E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8E7C21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659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2141" w:type="dxa"/>
            <w:gridSpan w:val="2"/>
            <w:shd w:val="clear" w:color="auto" w:fill="auto"/>
            <w:noWrap/>
            <w:vAlign w:val="center"/>
          </w:tcPr>
          <w:p w14:paraId="24932A6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药食同源中药营养成份分析评价及优质大健康产品技术标准研究</w:t>
            </w:r>
          </w:p>
        </w:tc>
        <w:tc>
          <w:tcPr>
            <w:tcW w:w="1132" w:type="dxa"/>
            <w:gridSpan w:val="2"/>
            <w:shd w:val="clear" w:color="auto" w:fill="auto"/>
            <w:vAlign w:val="center"/>
          </w:tcPr>
          <w:p w14:paraId="1FBDC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w:t>
            </w:r>
          </w:p>
        </w:tc>
        <w:tc>
          <w:tcPr>
            <w:tcW w:w="1116" w:type="dxa"/>
            <w:gridSpan w:val="2"/>
            <w:shd w:val="clear" w:color="auto" w:fill="auto"/>
            <w:vAlign w:val="center"/>
          </w:tcPr>
          <w:p w14:paraId="2ADF0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2DEFF6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中药学(100800)；医学生物化学与分子生物学(1008Z2)；生物化学与分子生物学(071010);生物学(071001)；生药学(100701)；中药药理学(1008Z6)；中药资源学(1008Z1)。</w:t>
            </w:r>
          </w:p>
        </w:tc>
        <w:tc>
          <w:tcPr>
            <w:tcW w:w="1632" w:type="dxa"/>
            <w:shd w:val="clear" w:color="auto" w:fill="auto"/>
            <w:vAlign w:val="center"/>
          </w:tcPr>
          <w:p w14:paraId="7F4E8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w:t>
            </w:r>
          </w:p>
        </w:tc>
        <w:tc>
          <w:tcPr>
            <w:tcW w:w="2023" w:type="dxa"/>
            <w:gridSpan w:val="3"/>
            <w:shd w:val="clear" w:color="auto" w:fill="auto"/>
            <w:vAlign w:val="center"/>
          </w:tcPr>
          <w:p w14:paraId="65F87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无</w:t>
            </w:r>
          </w:p>
        </w:tc>
      </w:tr>
    </w:tbl>
    <w:p w14:paraId="69AD3A5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209A1D9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667BD5C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916" w:name="_Toc24880"/>
      <w:bookmarkStart w:id="917" w:name="_Toc11116"/>
      <w:bookmarkStart w:id="918" w:name="_Toc19983"/>
      <w:bookmarkStart w:id="919" w:name="_Toc26313"/>
      <w:bookmarkStart w:id="920" w:name="_Toc1257"/>
      <w:r>
        <w:rPr>
          <w:rFonts w:eastAsia="方正小标宋简体"/>
          <w:sz w:val="44"/>
          <w:szCs w:val="44"/>
          <w:highlight w:val="none"/>
        </w:rPr>
        <w:t>四川省人工智能研究院（宜宾）</w:t>
      </w:r>
      <w:bookmarkEnd w:id="916"/>
      <w:bookmarkEnd w:id="917"/>
      <w:bookmarkEnd w:id="918"/>
      <w:bookmarkEnd w:id="919"/>
      <w:bookmarkEnd w:id="920"/>
    </w:p>
    <w:p w14:paraId="4E0AB80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386"/>
        <w:gridCol w:w="1304"/>
        <w:gridCol w:w="1320"/>
        <w:gridCol w:w="502"/>
        <w:gridCol w:w="1272"/>
        <w:gridCol w:w="492"/>
        <w:gridCol w:w="1061"/>
        <w:gridCol w:w="636"/>
        <w:gridCol w:w="1367"/>
      </w:tblGrid>
      <w:tr w14:paraId="635B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5633A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14:paraId="457AB0A9">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1" w:type="dxa"/>
            <w:gridSpan w:val="2"/>
            <w:shd w:val="clear" w:color="auto" w:fill="E7E6E6" w:themeFill="background2"/>
            <w:noWrap/>
            <w:vAlign w:val="center"/>
          </w:tcPr>
          <w:p w14:paraId="4D205280">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448E4F22">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52ED9698">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231" w:type="dxa"/>
            <w:shd w:val="clear" w:color="000000" w:fill="FFFFFF"/>
            <w:noWrap/>
            <w:vAlign w:val="center"/>
          </w:tcPr>
          <w:p w14:paraId="0C68B04D">
            <w:pPr>
              <w:adjustRightInd w:val="0"/>
              <w:snapToGrid w:val="0"/>
              <w:spacing w:line="240" w:lineRule="auto"/>
              <w:ind w:firstLine="0"/>
              <w:jc w:val="center"/>
              <w:rPr>
                <w:rFonts w:eastAsiaTheme="minorEastAsia"/>
                <w:sz w:val="21"/>
                <w:szCs w:val="21"/>
              </w:rPr>
            </w:pPr>
            <w:r>
              <w:rPr>
                <w:rFonts w:eastAsiaTheme="minorEastAsia"/>
                <w:sz w:val="21"/>
                <w:szCs w:val="21"/>
              </w:rPr>
              <w:t>宜宾</w:t>
            </w:r>
          </w:p>
        </w:tc>
      </w:tr>
      <w:tr w14:paraId="3669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6A7FC3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3" w:type="dxa"/>
            <w:gridSpan w:val="9"/>
            <w:shd w:val="clear" w:color="000000" w:fill="FFFFFF"/>
            <w:noWrap/>
            <w:vAlign w:val="center"/>
          </w:tcPr>
          <w:p w14:paraId="2261A425">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hint="eastAsia" w:eastAsiaTheme="minorEastAsia"/>
                <w:sz w:val="21"/>
                <w:szCs w:val="21"/>
              </w:rPr>
              <w:t>宜宾市翠屏区临港经济开发区长江北路西段附二段430号</w:t>
            </w:r>
          </w:p>
        </w:tc>
      </w:tr>
      <w:tr w14:paraId="72D3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1271" w:type="dxa"/>
            <w:shd w:val="clear" w:color="auto" w:fill="E7E6E6" w:themeFill="background2"/>
            <w:noWrap/>
            <w:vAlign w:val="center"/>
          </w:tcPr>
          <w:p w14:paraId="50C3B94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3" w:type="dxa"/>
            <w:gridSpan w:val="9"/>
            <w:shd w:val="clear" w:color="000000" w:fill="FFFFFF"/>
            <w:vAlign w:val="center"/>
          </w:tcPr>
          <w:p w14:paraId="44037718">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省人工智能研究院（宜宾）成立于2019年7月，由宜宾市人民政府、电子科技大学与四川省科学技术厅三方签署共建。研究院以“高精尖”、“产业化”为特色，建设成为引领和助推全省人工智能科技及产业发展的研究中心、成果转化中心和人工智能领域的知名研究院。研究院现有省市级创新平台“四川省博士后创新实践基地”、“宜宾市引才引智基地”，专兼职科研人员达到40人（其中博士后12名）。目前承担省部级以上项目22个，其中国家级项目4个，申请发明专利51项（已授权24项，已转让2项），登记软件著作权29项。</w:t>
            </w:r>
          </w:p>
        </w:tc>
      </w:tr>
      <w:tr w14:paraId="28D5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1271" w:type="dxa"/>
            <w:shd w:val="clear" w:color="auto" w:fill="E7E6E6" w:themeFill="background2"/>
            <w:noWrap/>
            <w:vAlign w:val="center"/>
          </w:tcPr>
          <w:p w14:paraId="5E5717F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513" w:type="dxa"/>
            <w:gridSpan w:val="9"/>
            <w:shd w:val="clear" w:color="000000" w:fill="FFFFFF"/>
            <w:vAlign w:val="center"/>
          </w:tcPr>
          <w:p w14:paraId="7C677D94">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1.按照研究院统一标准定岗定级定薪，拟提供经费不低于40万元，并按规定缴纳五险一金。2.提供良好的科研办公环境。3.博士后出站后，根据双向选择原则，结合博士后期间考核情况，择优录取。4.在宜在研究院工作满5年，按照宜宾市相关政策，给予一次性科研启动费15万元，安家费50万元。</w:t>
            </w:r>
          </w:p>
        </w:tc>
      </w:tr>
      <w:tr w14:paraId="3C7B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619" w:type="dxa"/>
            <w:gridSpan w:val="2"/>
            <w:shd w:val="clear" w:color="auto" w:fill="E7E6E6" w:themeFill="background2"/>
            <w:noWrap/>
            <w:vAlign w:val="center"/>
          </w:tcPr>
          <w:p w14:paraId="4754035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421BE0A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14:paraId="24AEA4C4">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14:paraId="7203242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1654DF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6ABEEF3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275D541">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804" w:type="dxa"/>
            <w:gridSpan w:val="2"/>
            <w:shd w:val="clear" w:color="auto" w:fill="E7E6E6" w:themeFill="background2"/>
            <w:vAlign w:val="center"/>
          </w:tcPr>
          <w:p w14:paraId="0271537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658154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584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012D571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基于多模态交互的预训练气象大模型研究</w:t>
            </w: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14:paraId="695DD7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9" w:type="dxa"/>
            <w:tcBorders>
              <w:top w:val="single" w:color="auto" w:sz="4" w:space="0"/>
              <w:left w:val="single" w:color="auto" w:sz="4" w:space="0"/>
              <w:bottom w:val="single" w:color="auto" w:sz="4" w:space="0"/>
              <w:right w:val="single" w:color="auto" w:sz="4" w:space="0"/>
            </w:tcBorders>
            <w:shd w:val="clear" w:color="auto" w:fill="FFFFFF"/>
            <w:vAlign w:val="center"/>
          </w:tcPr>
          <w:p w14:paraId="3F6AFE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9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C811E0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计算机科学与技术、软件工程</w:t>
            </w:r>
          </w:p>
        </w:tc>
        <w:tc>
          <w:tcPr>
            <w:tcW w:w="139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DF1F4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40</w:t>
            </w:r>
          </w:p>
        </w:tc>
        <w:tc>
          <w:tcPr>
            <w:tcW w:w="1804" w:type="dxa"/>
            <w:gridSpan w:val="2"/>
            <w:vMerge w:val="restart"/>
            <w:tcBorders>
              <w:top w:val="single" w:color="auto" w:sz="4" w:space="0"/>
              <w:left w:val="single" w:color="auto" w:sz="4" w:space="0"/>
              <w:right w:val="single" w:color="auto" w:sz="4" w:space="0"/>
            </w:tcBorders>
            <w:shd w:val="clear" w:color="auto" w:fill="FFFFFF"/>
            <w:vAlign w:val="center"/>
          </w:tcPr>
          <w:p w14:paraId="18E9F8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“双一流”大学</w:t>
            </w:r>
          </w:p>
        </w:tc>
      </w:tr>
      <w:tr w14:paraId="503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AE26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基于隐私感知协作的眼科疾病进展追踪与异常检测</w:t>
            </w: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14:paraId="6A9FD9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9" w:type="dxa"/>
            <w:tcBorders>
              <w:top w:val="single" w:color="auto" w:sz="4" w:space="0"/>
              <w:left w:val="single" w:color="auto" w:sz="4" w:space="0"/>
              <w:bottom w:val="single" w:color="auto" w:sz="4" w:space="0"/>
              <w:right w:val="single" w:color="auto" w:sz="4" w:space="0"/>
            </w:tcBorders>
            <w:shd w:val="clear" w:color="auto" w:fill="FFFFFF"/>
            <w:vAlign w:val="center"/>
          </w:tcPr>
          <w:p w14:paraId="0B9D8F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9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D5456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计算机科学与技术、软件工程</w:t>
            </w:r>
          </w:p>
        </w:tc>
        <w:tc>
          <w:tcPr>
            <w:tcW w:w="139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A60BB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40</w:t>
            </w:r>
          </w:p>
        </w:tc>
        <w:tc>
          <w:tcPr>
            <w:tcW w:w="1804" w:type="dxa"/>
            <w:gridSpan w:val="2"/>
            <w:vMerge w:val="continue"/>
            <w:tcBorders>
              <w:left w:val="single" w:color="auto" w:sz="4" w:space="0"/>
              <w:right w:val="single" w:color="auto" w:sz="4" w:space="0"/>
            </w:tcBorders>
            <w:shd w:val="clear" w:color="auto" w:fill="FFFFFF"/>
            <w:vAlign w:val="center"/>
          </w:tcPr>
          <w:p w14:paraId="676D2E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8AC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B901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0"/>
                <w:sz w:val="21"/>
                <w:szCs w:val="21"/>
                <w:lang w:val="en-US" w:eastAsia="zh-CN" w:bidi="ar"/>
              </w:rPr>
              <w:t>基于图数据的大模型知识增强方面的研究</w:t>
            </w: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14:paraId="32477F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9" w:type="dxa"/>
            <w:tcBorders>
              <w:top w:val="single" w:color="auto" w:sz="4" w:space="0"/>
              <w:left w:val="single" w:color="auto" w:sz="4" w:space="0"/>
              <w:bottom w:val="single" w:color="auto" w:sz="4" w:space="0"/>
              <w:right w:val="single" w:color="auto" w:sz="4" w:space="0"/>
            </w:tcBorders>
            <w:shd w:val="clear" w:color="auto" w:fill="FFFFFF"/>
            <w:vAlign w:val="center"/>
          </w:tcPr>
          <w:p w14:paraId="13B054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9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70FEB7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计算机科学与技术、软件工程</w:t>
            </w:r>
          </w:p>
        </w:tc>
        <w:tc>
          <w:tcPr>
            <w:tcW w:w="139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5AB9E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40</w:t>
            </w:r>
          </w:p>
        </w:tc>
        <w:tc>
          <w:tcPr>
            <w:tcW w:w="1804" w:type="dxa"/>
            <w:gridSpan w:val="2"/>
            <w:vMerge w:val="continue"/>
            <w:tcBorders>
              <w:left w:val="single" w:color="auto" w:sz="4" w:space="0"/>
              <w:bottom w:val="single" w:color="auto" w:sz="4" w:space="0"/>
              <w:right w:val="single" w:color="auto" w:sz="4" w:space="0"/>
            </w:tcBorders>
            <w:shd w:val="clear" w:color="auto" w:fill="FFFFFF"/>
            <w:vAlign w:val="center"/>
          </w:tcPr>
          <w:p w14:paraId="531509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5C74B51D">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14:paraId="43FE8700">
      <w:pPr>
        <w:pStyle w:val="5"/>
        <w:adjustRightInd w:val="0"/>
        <w:snapToGrid w:val="0"/>
        <w:spacing w:line="240" w:lineRule="auto"/>
        <w:ind w:firstLine="0"/>
        <w:jc w:val="center"/>
        <w:rPr>
          <w:rFonts w:eastAsia="方正小标宋简体"/>
          <w:sz w:val="44"/>
          <w:szCs w:val="44"/>
        </w:rPr>
      </w:pPr>
    </w:p>
    <w:p w14:paraId="74EB20B0">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21" w:name="_Toc5518"/>
      <w:bookmarkStart w:id="922" w:name="_Toc9856"/>
      <w:bookmarkStart w:id="923" w:name="_Toc27894"/>
      <w:bookmarkStart w:id="924" w:name="_Toc1146"/>
      <w:bookmarkStart w:id="925" w:name="_Toc10179"/>
      <w:r>
        <w:rPr>
          <w:rFonts w:hint="eastAsia" w:ascii="Times New Roman" w:hAnsi="Times New Roman" w:eastAsia="方正小标宋简体" w:cs="Times New Roman"/>
          <w:sz w:val="44"/>
          <w:szCs w:val="44"/>
          <w:highlight w:val="none"/>
        </w:rPr>
        <w:t>四川省图书馆</w:t>
      </w:r>
      <w:bookmarkEnd w:id="921"/>
      <w:bookmarkEnd w:id="922"/>
      <w:bookmarkEnd w:id="923"/>
      <w:bookmarkEnd w:id="924"/>
      <w:bookmarkEnd w:id="925"/>
    </w:p>
    <w:p w14:paraId="5C42D9DD">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3AE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AA3E87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51168C9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其他</w:t>
            </w:r>
          </w:p>
        </w:tc>
        <w:tc>
          <w:tcPr>
            <w:tcW w:w="1784" w:type="dxa"/>
            <w:gridSpan w:val="2"/>
            <w:shd w:val="clear" w:color="auto" w:fill="E7E6E6" w:themeFill="background2"/>
            <w:noWrap/>
            <w:vAlign w:val="center"/>
          </w:tcPr>
          <w:p w14:paraId="04565F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8FE079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55F77DA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1EA3CAF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2479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5D8DE7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10335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四川省成都市人民西路4号</w:t>
            </w:r>
          </w:p>
        </w:tc>
      </w:tr>
      <w:tr w14:paraId="40F4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4011" w:hRule="atLeast"/>
          <w:jc w:val="center"/>
        </w:trPr>
        <w:tc>
          <w:tcPr>
            <w:tcW w:w="1271" w:type="dxa"/>
            <w:shd w:val="clear" w:color="auto" w:fill="E7E6E6" w:themeFill="background2"/>
            <w:noWrap/>
            <w:vAlign w:val="center"/>
          </w:tcPr>
          <w:p w14:paraId="523BF64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4B3571A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省图书馆始建于1912年，是我国成立较早的公共图书馆之一。经过百年发展，目前是国际图联成员馆和世界银行资料存放馆，是四川省总书库、全国文化信息资源共享工程四川省分中心、四川省古籍保护中心、四川省文献整序和图书馆服务中心，在全国具有重要地位，在西部具有龙头地位和示范作用。四川省图书馆博土后创新实践基地经四川省人力资源和社会保障厅批准，于2017年底正式设立，目前，招收在职博士后两名。</w:t>
            </w:r>
          </w:p>
        </w:tc>
      </w:tr>
      <w:tr w14:paraId="4A6B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937" w:hRule="atLeast"/>
          <w:jc w:val="center"/>
        </w:trPr>
        <w:tc>
          <w:tcPr>
            <w:tcW w:w="1271" w:type="dxa"/>
            <w:shd w:val="clear" w:color="auto" w:fill="E7E6E6" w:themeFill="background2"/>
            <w:noWrap/>
            <w:vAlign w:val="center"/>
          </w:tcPr>
          <w:p w14:paraId="32FE40F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06B203D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本单位博士后创新实践基地招收当年应届毕业博士研究生，入站作为全职博士后从事相关研究工作，年龄一般不超过35岁。博士后招收程序含有报名、初审、面试、录用四个环节。</w:t>
            </w:r>
          </w:p>
          <w:p w14:paraId="4E79DD3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博士后研究人员进入基地工作期间有关待遇参照国家、四川省相关规定执行，四川省图书馆为博士后研究人员提供必要的科研及生活条件，协助其申请国家级、省级、市级、区级等多种博士后经费、待遇等。</w:t>
            </w:r>
          </w:p>
        </w:tc>
      </w:tr>
      <w:tr w14:paraId="3ABF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1CA4C1C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691FEB1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39443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6EBF68C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A54407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286C0A1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1026EB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706145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C9BFEF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C77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90647E2">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四川省图书馆博士后创新实践基地</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6FA4C6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F6C59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6A8DC82">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中国语言文学（中国古典文献学）、中国史、世界史</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357D0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10-33</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5751C1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bl>
    <w:p w14:paraId="4B7CB11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139B186">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26" w:name="_Toc10794"/>
      <w:bookmarkStart w:id="927" w:name="_Toc11980"/>
      <w:bookmarkStart w:id="928" w:name="_Toc30504"/>
      <w:bookmarkStart w:id="929" w:name="_Toc26014"/>
      <w:bookmarkStart w:id="930" w:name="_Toc9929"/>
      <w:r>
        <w:rPr>
          <w:rFonts w:hint="eastAsia" w:ascii="Times New Roman" w:hAnsi="Times New Roman" w:eastAsia="方正小标宋简体" w:cs="Times New Roman"/>
          <w:sz w:val="44"/>
          <w:szCs w:val="44"/>
          <w:highlight w:val="none"/>
        </w:rPr>
        <w:t>四川省宜宾惠美线业有限责任公司</w:t>
      </w:r>
      <w:bookmarkEnd w:id="926"/>
      <w:bookmarkEnd w:id="927"/>
      <w:bookmarkEnd w:id="928"/>
      <w:bookmarkEnd w:id="929"/>
      <w:bookmarkEnd w:id="930"/>
    </w:p>
    <w:p w14:paraId="64A9EEE0">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0776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3B57935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1B0A21E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616" w:type="dxa"/>
            <w:gridSpan w:val="2"/>
            <w:shd w:val="clear" w:color="auto" w:fill="E7E6E6" w:themeFill="background2"/>
            <w:noWrap/>
            <w:vAlign w:val="center"/>
          </w:tcPr>
          <w:p w14:paraId="5B28AA8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4904D3C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6DC0A90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1E4A7EA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宜宾</w:t>
            </w:r>
          </w:p>
        </w:tc>
      </w:tr>
      <w:tr w14:paraId="5B25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0B5A1BA">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29BB3F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四川省宜宾市盐坪坝纺织工业园</w:t>
            </w:r>
          </w:p>
        </w:tc>
      </w:tr>
      <w:tr w14:paraId="0C6D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370" w:hRule="atLeast"/>
          <w:jc w:val="center"/>
        </w:trPr>
        <w:tc>
          <w:tcPr>
            <w:tcW w:w="1271" w:type="dxa"/>
            <w:shd w:val="clear" w:color="auto" w:fill="E7E6E6" w:themeFill="background2"/>
            <w:noWrap/>
            <w:vAlign w:val="center"/>
          </w:tcPr>
          <w:p w14:paraId="35F5C7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74A40EA7">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四川省宜宾惠美线业有限责任公司成立于2001年，是以研发、制造、销售高档染色粘胶纤维和纱线为核心业务的国家高新技术企业和国家知识产权优势企业。占地200余亩，注册资本42952.68万元，总资产29.15亿元，公司现有员工500余人。公司具备年产35000吨染色绣花线、染色单丝和染色人棉纱的能力。同时具备年供应300万吨蒸汽、3000万吨清水、发电2.5亿KWH的能力。公司建有“省级企业技术中心”“国家地方联合工程实验室”、省级“博士后创新实践基地”等创新平台。现有有效专利93项，其中发明专利28项，拥有软件著作权保护1项，拥有注册商标14枚，其中6枚为国际注册商标；主持和参与制定行业标准6项。成功申报省、市级科技项目20余项，”纤维素纤维染色系统创新工程”荣获四川省科技进步二等奖。</w:t>
            </w:r>
          </w:p>
        </w:tc>
      </w:tr>
      <w:tr w14:paraId="4C08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94" w:hRule="atLeast"/>
          <w:jc w:val="center"/>
        </w:trPr>
        <w:tc>
          <w:tcPr>
            <w:tcW w:w="1271" w:type="dxa"/>
            <w:shd w:val="clear" w:color="auto" w:fill="E7E6E6" w:themeFill="background2"/>
            <w:noWrap/>
            <w:vAlign w:val="center"/>
          </w:tcPr>
          <w:p w14:paraId="0B7F6B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13F0122A">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1、公司专门设有企业创新实践基地技术评审委员会和企业创新实践基地管理办公室，负责做好与博士团队的联系和在办公期间工作，生活方面的服务、协调工作，尽力为其创造舒适、方便的生活及工作环境。</w:t>
            </w:r>
          </w:p>
          <w:p w14:paraId="3CFF016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2、企业为博士配备工作助手，并提供必备的办公场所和设施条件，并按年 度预算，拨付一定数额的活动及办公经费。</w:t>
            </w:r>
          </w:p>
          <w:p w14:paraId="0AD0BC6A">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3、公司已内部已制定《科技项目管理规定（2024版）》、《科学技术奖励办法》。针对完成较好的科技项目给与一定奖励。</w:t>
            </w:r>
          </w:p>
        </w:tc>
      </w:tr>
      <w:tr w14:paraId="370D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4B4CDBC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12C3F2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EC7357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7159A92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8F5523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623F9D4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9D3D198">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4323AEF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1EEC39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6B6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2F878D23">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染色污水处理研究</w:t>
            </w:r>
          </w:p>
        </w:tc>
        <w:tc>
          <w:tcPr>
            <w:tcW w:w="1132" w:type="dxa"/>
            <w:gridSpan w:val="2"/>
            <w:shd w:val="clear" w:color="auto" w:fill="auto"/>
            <w:vAlign w:val="center"/>
          </w:tcPr>
          <w:p w14:paraId="019220E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66A8BE28">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BSH001</w:t>
            </w:r>
          </w:p>
        </w:tc>
        <w:tc>
          <w:tcPr>
            <w:tcW w:w="1908" w:type="dxa"/>
            <w:gridSpan w:val="2"/>
            <w:shd w:val="clear" w:color="auto" w:fill="auto"/>
            <w:vAlign w:val="center"/>
          </w:tcPr>
          <w:p w14:paraId="6059264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化学纤维/环境工程</w:t>
            </w:r>
          </w:p>
        </w:tc>
        <w:tc>
          <w:tcPr>
            <w:tcW w:w="1488" w:type="dxa"/>
            <w:gridSpan w:val="2"/>
            <w:shd w:val="clear" w:color="auto" w:fill="auto"/>
            <w:vAlign w:val="center"/>
          </w:tcPr>
          <w:p w14:paraId="601B15A8">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10</w:t>
            </w:r>
          </w:p>
        </w:tc>
        <w:tc>
          <w:tcPr>
            <w:tcW w:w="1771" w:type="dxa"/>
            <w:gridSpan w:val="2"/>
            <w:vMerge w:val="restart"/>
            <w:shd w:val="clear" w:color="auto" w:fill="auto"/>
            <w:vAlign w:val="center"/>
          </w:tcPr>
          <w:p w14:paraId="52BDD55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无</w:t>
            </w:r>
          </w:p>
        </w:tc>
      </w:tr>
      <w:tr w14:paraId="5068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377E4C3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低浴比染色技术研究</w:t>
            </w:r>
          </w:p>
        </w:tc>
        <w:tc>
          <w:tcPr>
            <w:tcW w:w="1132" w:type="dxa"/>
            <w:gridSpan w:val="2"/>
            <w:shd w:val="clear" w:color="auto" w:fill="auto"/>
            <w:vAlign w:val="center"/>
          </w:tcPr>
          <w:p w14:paraId="1B84111D">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2</w:t>
            </w:r>
          </w:p>
        </w:tc>
        <w:tc>
          <w:tcPr>
            <w:tcW w:w="1116" w:type="dxa"/>
            <w:gridSpan w:val="2"/>
            <w:shd w:val="clear" w:color="auto" w:fill="auto"/>
            <w:vAlign w:val="center"/>
          </w:tcPr>
          <w:p w14:paraId="38E6025A">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en-US" w:bidi="ar-SA"/>
              </w:rPr>
              <w:t>BSH002</w:t>
            </w:r>
          </w:p>
        </w:tc>
        <w:tc>
          <w:tcPr>
            <w:tcW w:w="1908" w:type="dxa"/>
            <w:gridSpan w:val="2"/>
            <w:shd w:val="clear" w:color="auto" w:fill="auto"/>
            <w:vAlign w:val="center"/>
          </w:tcPr>
          <w:p w14:paraId="02253ED1">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轻化工程</w:t>
            </w:r>
          </w:p>
        </w:tc>
        <w:tc>
          <w:tcPr>
            <w:tcW w:w="1488" w:type="dxa"/>
            <w:gridSpan w:val="2"/>
            <w:shd w:val="clear" w:color="auto" w:fill="auto"/>
            <w:vAlign w:val="center"/>
          </w:tcPr>
          <w:p w14:paraId="2108D7C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10</w:t>
            </w:r>
          </w:p>
        </w:tc>
        <w:tc>
          <w:tcPr>
            <w:tcW w:w="1771" w:type="dxa"/>
            <w:gridSpan w:val="2"/>
            <w:vMerge w:val="continue"/>
            <w:shd w:val="clear" w:color="auto" w:fill="auto"/>
            <w:vAlign w:val="center"/>
          </w:tcPr>
          <w:p w14:paraId="7B04A81A">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bl>
    <w:p w14:paraId="2CAE947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743C48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31" w:name="_Toc16012"/>
      <w:bookmarkStart w:id="932" w:name="_Toc14285"/>
      <w:bookmarkStart w:id="933" w:name="_Toc26939"/>
      <w:bookmarkStart w:id="934" w:name="_Toc18483"/>
      <w:bookmarkStart w:id="935" w:name="_Toc9553"/>
      <w:r>
        <w:rPr>
          <w:rFonts w:hint="eastAsia" w:ascii="Times New Roman" w:hAnsi="Times New Roman" w:eastAsia="方正小标宋简体" w:cs="Times New Roman"/>
          <w:sz w:val="44"/>
          <w:szCs w:val="44"/>
          <w:highlight w:val="none"/>
        </w:rPr>
        <w:t>四川省银河化学股份有限公司</w:t>
      </w:r>
      <w:bookmarkEnd w:id="931"/>
      <w:bookmarkEnd w:id="932"/>
      <w:bookmarkEnd w:id="933"/>
      <w:bookmarkEnd w:id="934"/>
      <w:bookmarkEnd w:id="935"/>
    </w:p>
    <w:p w14:paraId="4CC9DE7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49FF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3577651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70E9FE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784" w:type="dxa"/>
            <w:gridSpan w:val="2"/>
            <w:shd w:val="clear" w:color="auto" w:fill="E7E6E6" w:themeFill="background2"/>
            <w:noWrap/>
            <w:vAlign w:val="center"/>
          </w:tcPr>
          <w:p w14:paraId="5F96621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5FBD0B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57E438F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7A80A94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绵阳</w:t>
            </w:r>
          </w:p>
        </w:tc>
      </w:tr>
      <w:tr w14:paraId="6915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57F994D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3EE00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四川省绵阳市安州区雎水镇青云村建设街东段138号</w:t>
            </w:r>
          </w:p>
        </w:tc>
      </w:tr>
      <w:tr w14:paraId="54A2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176" w:hRule="atLeast"/>
          <w:jc w:val="center"/>
        </w:trPr>
        <w:tc>
          <w:tcPr>
            <w:tcW w:w="1271" w:type="dxa"/>
            <w:shd w:val="clear" w:color="auto" w:fill="E7E6E6" w:themeFill="background2"/>
            <w:noWrap/>
            <w:vAlign w:val="center"/>
          </w:tcPr>
          <w:p w14:paraId="3836D06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601AE660">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四川省银河化学股份有限公司是绵阳市重点优势骨干企业、绵阳市县属国有企业，集团年产值过 70 亿元，是“万吨级碳化法制备红矾钠及铬基新材料”国家（863 计划）重点项目承担单位，牵头组织完成 80 余项铬化学创新研发项目及成果，居行业首位，先后获得国家发改委、工信部、科技部、环保部等 13 个国家重点支持产业化项目；公司是世界铬发展协会（ICDA）会员、全国化学标准化委员会铬盐工作组组长单位、中国无机盐协会副会长单位等行业主导企业，先后参与 24 项国家行业标准制（修）定，拥有 200 余项自主知识产权，其中发明专利 66 项；发表论文 20 篇；形成专有技术 20 余件；累计注册商标 77 件，拥有中国驰名商标 1 个，省级名牌产品 4 个。公司与中科院、四川大学、华东理工大学、绵阳师范学院等十多余家科研院校单位开展产学研合作，建成“四川省院士专家工作站”、“四川省博士后创新实践基地”，拥有 1 个 CMA 实验室，先后获得“国家技术创新示范企业”“全国首批绿色工厂示范企业”“国家高新技术企业”“国家知识产权优势企业”“中国驰名商标”“省级院士专家工作站”“省级工程技术研究中心”“四川省科技进步一等奖”“四川省专利一等奖”“四川省科技进步三等奖”“四川企业技术创新发展能力百强”等百余项荣誉。</w:t>
            </w:r>
          </w:p>
        </w:tc>
      </w:tr>
      <w:tr w14:paraId="17C0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94" w:hRule="atLeast"/>
          <w:jc w:val="center"/>
        </w:trPr>
        <w:tc>
          <w:tcPr>
            <w:tcW w:w="1271" w:type="dxa"/>
            <w:shd w:val="clear" w:color="auto" w:fill="E7E6E6" w:themeFill="background2"/>
            <w:noWrap/>
            <w:vAlign w:val="center"/>
          </w:tcPr>
          <w:p w14:paraId="1B8F79D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4392AB13">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ascii="Times New Roman" w:hAnsi="Times New Roman" w:cs="Times New Roman" w:eastAsiaTheme="minorEastAsia"/>
                <w:kern w:val="2"/>
                <w:sz w:val="21"/>
                <w:szCs w:val="21"/>
                <w:lang w:val="en-US" w:eastAsia="zh-CN" w:bidi="ar-SA"/>
              </w:rPr>
              <w:t>1.</w:t>
            </w:r>
            <w:r>
              <w:rPr>
                <w:rFonts w:hint="eastAsia" w:eastAsiaTheme="minorEastAsia"/>
                <w:sz w:val="21"/>
                <w:szCs w:val="21"/>
                <w:lang w:eastAsia="zh-CN"/>
              </w:rPr>
              <w:t>研究环境:充分发挥公司在铬盐行业中的技术、资源优势，为博士后们提供展示才华的平台。每位博士后进站后由国家级技术中心负责人给予研究工作的全面深入指导，确保科研能力的不断提高。另外，公司还组织博士后参加各种相关学术交流会，创造交流学习提升的机会。</w:t>
            </w:r>
          </w:p>
          <w:p w14:paraId="424E129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ascii="Times New Roman" w:hAnsi="Times New Roman" w:cs="Times New Roman" w:eastAsiaTheme="minorEastAsia"/>
                <w:kern w:val="2"/>
                <w:sz w:val="21"/>
                <w:szCs w:val="21"/>
                <w:lang w:val="en-US" w:eastAsia="zh-CN" w:bidi="ar-SA"/>
              </w:rPr>
              <w:t>2.</w:t>
            </w:r>
            <w:r>
              <w:rPr>
                <w:rFonts w:hint="eastAsia" w:eastAsiaTheme="minorEastAsia"/>
                <w:sz w:val="21"/>
                <w:szCs w:val="21"/>
                <w:lang w:eastAsia="zh-CN"/>
              </w:rPr>
              <w:t>薪酬激励:对在站博士后的薪酬实行基本薪酬加科研成果奖励的激励机制。同时，若博士后在站期间参与公司产品系列课题，可参与公司相关奖项的评定。</w:t>
            </w:r>
          </w:p>
          <w:p w14:paraId="42AE554B">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后勤保障:公司为在站博士后提供配备住房;推行服务式管理，全力做好博士后在站期间的组织、协调及家属随调、子女入学等方面工作。在站博士后配偶及未成年子女可随在站博士后一起流动，子女的入托、入学，除享受公司员工子女待遇外，其他的优惠政策按国家、省、市的有关规定执行。工资待遇按公司有关规定执行。</w:t>
            </w:r>
          </w:p>
        </w:tc>
      </w:tr>
      <w:tr w14:paraId="1659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4F172C6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3CD65AA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CE85D3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3BD8148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1F2E93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5B5581E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5CA35A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402805C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F34959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072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shd w:val="clear" w:color="auto" w:fill="auto"/>
            <w:noWrap/>
            <w:vAlign w:val="center"/>
          </w:tcPr>
          <w:p w14:paraId="1730EF0B">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sz w:val="21"/>
                <w:szCs w:val="21"/>
                <w:lang w:val="en-US" w:eastAsia="en-US" w:bidi="ar-SA"/>
              </w:rPr>
              <w:t>钒系合金、铬铝合金、铁基合金</w:t>
            </w:r>
          </w:p>
        </w:tc>
        <w:tc>
          <w:tcPr>
            <w:tcW w:w="1132" w:type="dxa"/>
            <w:gridSpan w:val="2"/>
            <w:shd w:val="clear" w:color="auto" w:fill="auto"/>
            <w:vAlign w:val="center"/>
          </w:tcPr>
          <w:p w14:paraId="387451C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5</w:t>
            </w:r>
          </w:p>
        </w:tc>
        <w:tc>
          <w:tcPr>
            <w:tcW w:w="1116" w:type="dxa"/>
            <w:gridSpan w:val="2"/>
            <w:shd w:val="clear" w:color="auto" w:fill="auto"/>
            <w:vAlign w:val="center"/>
          </w:tcPr>
          <w:p w14:paraId="0246540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BSH001</w:t>
            </w:r>
          </w:p>
        </w:tc>
        <w:tc>
          <w:tcPr>
            <w:tcW w:w="1908" w:type="dxa"/>
            <w:gridSpan w:val="2"/>
            <w:shd w:val="clear" w:color="auto" w:fill="auto"/>
            <w:vAlign w:val="center"/>
          </w:tcPr>
          <w:p w14:paraId="4BCC07F7">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sz w:val="21"/>
                <w:szCs w:val="21"/>
                <w:lang w:val="en-US" w:eastAsia="en-US" w:bidi="ar-SA"/>
              </w:rPr>
              <w:t>材料科学与工程</w:t>
            </w:r>
          </w:p>
        </w:tc>
        <w:tc>
          <w:tcPr>
            <w:tcW w:w="1488" w:type="dxa"/>
            <w:gridSpan w:val="2"/>
            <w:shd w:val="clear" w:color="auto" w:fill="auto"/>
            <w:vAlign w:val="center"/>
          </w:tcPr>
          <w:p w14:paraId="5B29092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10</w:t>
            </w:r>
          </w:p>
        </w:tc>
        <w:tc>
          <w:tcPr>
            <w:tcW w:w="1771" w:type="dxa"/>
            <w:gridSpan w:val="2"/>
            <w:shd w:val="clear" w:color="auto" w:fill="auto"/>
            <w:vAlign w:val="center"/>
          </w:tcPr>
          <w:p w14:paraId="3C5466E9">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sz w:val="21"/>
                <w:szCs w:val="21"/>
                <w:lang w:val="en-US" w:eastAsia="en-US" w:bidi="ar-SA"/>
              </w:rPr>
              <w:t>博士生源单位</w:t>
            </w:r>
            <w:r>
              <w:rPr>
                <w:rFonts w:hint="default" w:ascii="Times New Roman" w:hAnsi="Times New Roman" w:cs="Times New Roman" w:eastAsiaTheme="minorEastAsia"/>
                <w:b w:val="0"/>
                <w:bCs w:val="0"/>
                <w:color w:val="000000"/>
                <w:spacing w:val="-1"/>
                <w:sz w:val="21"/>
                <w:szCs w:val="21"/>
                <w:lang w:val="en-US" w:eastAsia="en-US" w:bidi="ar-SA"/>
              </w:rPr>
              <w:t xml:space="preserve"> </w:t>
            </w:r>
            <w:r>
              <w:rPr>
                <w:rFonts w:hint="default" w:ascii="Times New Roman" w:hAnsi="Times New Roman" w:cs="Times New Roman" w:eastAsiaTheme="minorEastAsia"/>
                <w:b w:val="0"/>
                <w:bCs w:val="0"/>
                <w:color w:val="000000"/>
                <w:sz w:val="21"/>
                <w:szCs w:val="21"/>
                <w:lang w:val="en-US" w:eastAsia="en-US" w:bidi="ar-SA"/>
              </w:rPr>
              <w:t>211及以上</w:t>
            </w:r>
          </w:p>
        </w:tc>
      </w:tr>
    </w:tbl>
    <w:p w14:paraId="793A4A5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C1E2B6E">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36" w:name="_Toc2674"/>
      <w:bookmarkStart w:id="937" w:name="_Toc32196"/>
      <w:bookmarkStart w:id="938" w:name="_Toc29715"/>
      <w:bookmarkStart w:id="939" w:name="_Toc28607"/>
      <w:bookmarkStart w:id="940" w:name="_Toc15056"/>
      <w:r>
        <w:rPr>
          <w:rFonts w:hint="eastAsia" w:ascii="Times New Roman" w:hAnsi="Times New Roman" w:eastAsia="方正小标宋简体" w:cs="Times New Roman"/>
          <w:sz w:val="44"/>
          <w:szCs w:val="44"/>
          <w:highlight w:val="none"/>
        </w:rPr>
        <w:t>四川省中医药科学院</w:t>
      </w:r>
      <w:bookmarkEnd w:id="936"/>
      <w:bookmarkEnd w:id="937"/>
      <w:bookmarkEnd w:id="938"/>
      <w:bookmarkEnd w:id="939"/>
      <w:bookmarkEnd w:id="940"/>
    </w:p>
    <w:p w14:paraId="0116F4F4">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13"/>
        <w:gridCol w:w="491"/>
        <w:gridCol w:w="456"/>
        <w:gridCol w:w="1093"/>
        <w:gridCol w:w="1622"/>
        <w:gridCol w:w="1585"/>
        <w:gridCol w:w="2190"/>
      </w:tblGrid>
      <w:tr w14:paraId="6159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10F363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2C689A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6AA389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53FBC3E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7A13C60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61EAE5A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2F0D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60C0E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0E9A2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四川省成都市武侯区人民南路4段51号</w:t>
            </w:r>
          </w:p>
        </w:tc>
      </w:tr>
      <w:tr w14:paraId="384C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271" w:type="dxa"/>
            <w:shd w:val="clear" w:color="auto" w:fill="E7E6E6" w:themeFill="background2"/>
            <w:noWrap/>
            <w:vAlign w:val="center"/>
          </w:tcPr>
          <w:p w14:paraId="79761EA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6D6BD71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省中医药科学院是集中医药科研攻关、成果转化、临床医疗、产业推进、高端智库服务于一体的中医药综合性科研机构，内设中医药临床基础与文献信息研究所、中药药学研究所等7个业务所（中心），下设有四川省中西医结合医院、四川省第二中医医院、四川省中医药转化医学中心等3个独立法人单位，与成都中医药大学联合建立中医药转化医学院，建有四川巴中、内江、安徽太和、广西防城港等8个产业技术分院。代管世界中医药联合会中药新药创制专委会、四川省药理学会等学术团体和《中药药理与临床》杂志。拥有国家中医药传承创新工程、国家中医药传承创新中心等国省重点科技创新和成果转化平台10余个。获得国家、省部级科技奖励110项，授权专利200余项。</w:t>
            </w:r>
          </w:p>
        </w:tc>
      </w:tr>
      <w:tr w14:paraId="738F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271" w:type="dxa"/>
            <w:shd w:val="clear" w:color="auto" w:fill="E7E6E6" w:themeFill="background2"/>
            <w:noWrap/>
            <w:vAlign w:val="center"/>
          </w:tcPr>
          <w:p w14:paraId="520E2A6A">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397CBD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博士后在站期间，相关政策按国家、四川省博士后有关规定执行。出站考核优秀的，可给予一定奖励。出站后，可优先录用，留院工作。</w:t>
            </w:r>
          </w:p>
        </w:tc>
      </w:tr>
      <w:tr w14:paraId="3CB7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60" w:type="dxa"/>
            <w:gridSpan w:val="2"/>
            <w:shd w:val="clear" w:color="auto" w:fill="E7E6E6" w:themeFill="background2"/>
            <w:noWrap/>
            <w:vAlign w:val="center"/>
          </w:tcPr>
          <w:p w14:paraId="7EE7E17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14:paraId="14EFC1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7422109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1211221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2583B2D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46494143">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DE2918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32480F2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BE890D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6010910B">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5C1B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C01DADA">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药食同源复方的临床和医学转化研究</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5D8F60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948F04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E7843D1">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中西医结合/中医学</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6FEEF6">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en-US" w:eastAsia="zh-CN" w:bidi="ar-SA"/>
              </w:rPr>
              <w:t>30</w:t>
            </w:r>
          </w:p>
        </w:tc>
        <w:tc>
          <w:tcPr>
            <w:tcW w:w="2139" w:type="dxa"/>
            <w:tcBorders>
              <w:top w:val="single" w:color="auto" w:sz="4" w:space="0"/>
              <w:left w:val="single" w:color="auto" w:sz="4" w:space="0"/>
              <w:right w:val="single" w:color="auto" w:sz="4" w:space="0"/>
              <w:tl2br w:val="nil"/>
              <w:tr2bl w:val="nil"/>
            </w:tcBorders>
            <w:shd w:val="clear" w:color="auto" w:fill="FFFFFF"/>
            <w:vAlign w:val="center"/>
          </w:tcPr>
          <w:p w14:paraId="40ADC40D">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医学院校毕业的中医学博士研究生</w:t>
            </w:r>
          </w:p>
        </w:tc>
      </w:tr>
      <w:tr w14:paraId="1AD0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04B90F3">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中西医结合智慧诊疗研究</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B11D6E6">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2-3</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0892D8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CCBC50">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电子信息、中医学、临床医学、中西医结合</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B282264">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lang w:val="en-US" w:eastAsia="zh-CN" w:bidi="ar-SA"/>
              </w:rPr>
              <w:t>20</w:t>
            </w:r>
          </w:p>
        </w:tc>
        <w:tc>
          <w:tcPr>
            <w:tcW w:w="2139" w:type="dxa"/>
            <w:tcBorders>
              <w:left w:val="single" w:color="auto" w:sz="4" w:space="0"/>
              <w:right w:val="single" w:color="auto" w:sz="4" w:space="0"/>
              <w:tl2br w:val="nil"/>
              <w:tr2bl w:val="nil"/>
            </w:tcBorders>
            <w:shd w:val="clear" w:color="auto" w:fill="FFFFFF"/>
            <w:vAlign w:val="center"/>
          </w:tcPr>
          <w:p w14:paraId="266E1672">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人工智能、中医学、临床医学、中西医结合专业</w:t>
            </w:r>
          </w:p>
        </w:tc>
      </w:tr>
      <w:tr w14:paraId="7EFB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F224EAA">
            <w:pPr>
              <w:adjustRightInd w:val="0"/>
              <w:snapToGrid w:val="0"/>
              <w:spacing w:line="240" w:lineRule="auto"/>
              <w:ind w:firstLine="0" w:firstLineChars="0"/>
              <w:jc w:val="both"/>
              <w:rPr>
                <w:rFonts w:hint="default" w:ascii="Times New Roman" w:hAnsi="Times New Roman" w:cs="Times New Roman" w:eastAsiaTheme="minorEastAsia"/>
                <w:sz w:val="21"/>
                <w:szCs w:val="21"/>
                <w:rtl w:val="0"/>
                <w:lang w:val="en-US" w:eastAsia="zh-CN"/>
              </w:rPr>
            </w:pPr>
            <w:r>
              <w:rPr>
                <w:rFonts w:hint="default" w:ascii="Times New Roman" w:hAnsi="Times New Roman" w:cs="Times New Roman" w:eastAsiaTheme="minorEastAsia"/>
                <w:sz w:val="21"/>
                <w:szCs w:val="21"/>
                <w:lang w:val="en-US" w:eastAsia="zh-CN"/>
              </w:rPr>
              <w:t>缓控释中药制剂的研究</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FCA5629">
            <w:pPr>
              <w:adjustRightInd w:val="0"/>
              <w:snapToGrid w:val="0"/>
              <w:spacing w:line="240" w:lineRule="auto"/>
              <w:ind w:firstLine="0" w:firstLineChars="0"/>
              <w:jc w:val="center"/>
              <w:rPr>
                <w:rFonts w:hint="default" w:ascii="Times New Roman" w:hAnsi="Times New Roman" w:cs="Times New Roman" w:eastAsiaTheme="minorEastAsia"/>
                <w:sz w:val="21"/>
                <w:szCs w:val="21"/>
                <w:rtl w:val="0"/>
                <w:lang w:val="en-US" w:eastAsia="zh-CN"/>
              </w:rPr>
            </w:pPr>
            <w:r>
              <w:rPr>
                <w:rFonts w:hint="default" w:ascii="Times New Roman" w:hAnsi="Times New Roman" w:cs="Times New Roman" w:eastAsiaTheme="minorEastAsia"/>
                <w:sz w:val="21"/>
                <w:szCs w:val="21"/>
                <w:lang w:val="en-US" w:eastAsia="zh-CN"/>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EC188BE">
            <w:pPr>
              <w:adjustRightInd w:val="0"/>
              <w:snapToGrid w:val="0"/>
              <w:spacing w:line="240" w:lineRule="auto"/>
              <w:ind w:firstLine="0" w:firstLineChars="0"/>
              <w:jc w:val="center"/>
              <w:rPr>
                <w:rFonts w:hint="default" w:ascii="Times New Roman" w:hAnsi="Times New Roman" w:cs="Times New Roman" w:eastAsiaTheme="minorEastAsia"/>
                <w:sz w:val="21"/>
                <w:szCs w:val="21"/>
                <w:rtl w:val="0"/>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70572F7">
            <w:pPr>
              <w:adjustRightInd w:val="0"/>
              <w:snapToGrid w:val="0"/>
              <w:spacing w:line="240" w:lineRule="auto"/>
              <w:ind w:firstLine="0" w:firstLineChars="0"/>
              <w:jc w:val="both"/>
              <w:rPr>
                <w:rFonts w:hint="default" w:ascii="Times New Roman" w:hAnsi="Times New Roman" w:cs="Times New Roman" w:eastAsiaTheme="minorEastAsia"/>
                <w:sz w:val="21"/>
                <w:szCs w:val="21"/>
                <w:rtl w:val="0"/>
                <w:lang w:val="en-US" w:eastAsia="zh-CN"/>
              </w:rPr>
            </w:pPr>
            <w:r>
              <w:rPr>
                <w:rFonts w:hint="default" w:ascii="Times New Roman" w:hAnsi="Times New Roman" w:cs="Times New Roman" w:eastAsiaTheme="minorEastAsia"/>
                <w:sz w:val="21"/>
                <w:szCs w:val="21"/>
                <w:lang w:val="en-US" w:eastAsia="zh-CN"/>
              </w:rPr>
              <w:t>中药学、药学、化学</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1C979F6">
            <w:pPr>
              <w:adjustRightInd w:val="0"/>
              <w:snapToGrid w:val="0"/>
              <w:spacing w:line="240" w:lineRule="auto"/>
              <w:ind w:firstLine="0" w:firstLineChars="0"/>
              <w:jc w:val="center"/>
              <w:rPr>
                <w:rFonts w:hint="default" w:ascii="Times New Roman" w:hAnsi="Times New Roman" w:cs="Times New Roman" w:eastAsiaTheme="minorEastAsia"/>
                <w:sz w:val="21"/>
                <w:szCs w:val="21"/>
                <w:rtl w:val="0"/>
                <w:lang w:val="en-US" w:eastAsia="zh-CN"/>
              </w:rPr>
            </w:pPr>
            <w:r>
              <w:rPr>
                <w:rFonts w:hint="default" w:ascii="Times New Roman" w:hAnsi="Times New Roman" w:cs="Times New Roman" w:eastAsiaTheme="minorEastAsia"/>
                <w:sz w:val="21"/>
                <w:szCs w:val="21"/>
              </w:rPr>
              <w:t>10</w:t>
            </w:r>
          </w:p>
        </w:tc>
        <w:tc>
          <w:tcPr>
            <w:tcW w:w="2139" w:type="dxa"/>
            <w:tcBorders>
              <w:left w:val="single" w:color="auto" w:sz="4" w:space="0"/>
              <w:bottom w:val="single" w:color="auto" w:sz="4" w:space="0"/>
              <w:right w:val="single" w:color="auto" w:sz="4" w:space="0"/>
              <w:tl2br w:val="nil"/>
              <w:tr2bl w:val="nil"/>
            </w:tcBorders>
            <w:shd w:val="clear" w:color="auto" w:fill="FFFFFF"/>
            <w:vAlign w:val="center"/>
          </w:tcPr>
          <w:p w14:paraId="299AF1B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具有缓控释制剂研究的经历及相关论文发表</w:t>
            </w:r>
          </w:p>
        </w:tc>
      </w:tr>
    </w:tbl>
    <w:p w14:paraId="18157EF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A808E9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41" w:name="_Toc27144"/>
      <w:bookmarkStart w:id="942" w:name="_Toc22663"/>
      <w:bookmarkStart w:id="943" w:name="_Toc2959"/>
      <w:bookmarkStart w:id="944" w:name="_Toc1191"/>
      <w:bookmarkStart w:id="945" w:name="_Toc12756"/>
      <w:r>
        <w:rPr>
          <w:rFonts w:hint="eastAsia" w:ascii="Times New Roman" w:hAnsi="Times New Roman" w:eastAsia="方正小标宋简体" w:cs="Times New Roman"/>
          <w:sz w:val="44"/>
          <w:szCs w:val="44"/>
          <w:highlight w:val="none"/>
        </w:rPr>
        <w:t>四川省综合地质调查研究所</w:t>
      </w:r>
      <w:bookmarkEnd w:id="941"/>
      <w:bookmarkEnd w:id="942"/>
      <w:bookmarkEnd w:id="943"/>
      <w:bookmarkEnd w:id="944"/>
      <w:bookmarkEnd w:id="945"/>
    </w:p>
    <w:p w14:paraId="7B5EA399">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469"/>
        <w:gridCol w:w="1343"/>
        <w:gridCol w:w="176"/>
        <w:gridCol w:w="1774"/>
        <w:gridCol w:w="33"/>
      </w:tblGrid>
      <w:tr w14:paraId="5E9A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790891DF">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79F8BD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616" w:type="dxa"/>
            <w:gridSpan w:val="2"/>
            <w:shd w:val="clear" w:color="auto" w:fill="E7E6E6" w:themeFill="background2"/>
            <w:noWrap/>
            <w:vAlign w:val="center"/>
          </w:tcPr>
          <w:p w14:paraId="1187E3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16BFC6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7CC22C6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458DAE8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513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8E54A3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3BD94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四川省成都市人民北路一段25号</w:t>
            </w:r>
          </w:p>
        </w:tc>
      </w:tr>
      <w:tr w14:paraId="140B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710" w:hRule="atLeast"/>
          <w:jc w:val="center"/>
        </w:trPr>
        <w:tc>
          <w:tcPr>
            <w:tcW w:w="1271" w:type="dxa"/>
            <w:shd w:val="clear" w:color="auto" w:fill="E7E6E6" w:themeFill="background2"/>
            <w:noWrap/>
            <w:vAlign w:val="center"/>
          </w:tcPr>
          <w:p w14:paraId="120DB9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5B857F71">
            <w:pPr>
              <w:keepNext w:val="0"/>
              <w:keepLines w:val="0"/>
              <w:pageBreakBefore w:val="0"/>
              <w:widowControl w:val="0"/>
              <w:kinsoku/>
              <w:wordWrap/>
              <w:overflowPunct/>
              <w:topLinePunct w:val="0"/>
              <w:autoSpaceDE/>
              <w:autoSpaceDN/>
              <w:bidi w:val="0"/>
              <w:adjustRightInd w:val="0"/>
              <w:snapToGrid w:val="0"/>
              <w:spacing w:line="312" w:lineRule="auto"/>
              <w:ind w:left="0" w:firstLine="420" w:firstLineChars="200"/>
              <w:jc w:val="both"/>
              <w:textAlignment w:val="auto"/>
              <w:rPr>
                <w:rFonts w:eastAsiaTheme="minorEastAsia"/>
                <w:sz w:val="21"/>
                <w:szCs w:val="21"/>
              </w:rPr>
            </w:pPr>
            <w:r>
              <w:rPr>
                <w:rFonts w:hint="eastAsia" w:eastAsiaTheme="minorEastAsia"/>
                <w:sz w:val="21"/>
                <w:szCs w:val="21"/>
              </w:rPr>
              <w:t>四川省地质调查研究院下属公益二类科研事业研究单位。主要承担综合性地质调查、监测评价，及矿产勘查开发、地球化学勘查、航测遥感等技术服务和科学研究；参与国土调查、生态地质、地理信息工程、环境污染防治、检测分析、钻探等技术服务的单位。为国家、省国土资源规划、环境保护、综合利用和管理等提供技术支撑及基础地质资料。先后组织和承担完成国家、省基础性、公益性、战略性地质类项目千余项。建有四川省博士后创新实践基地、稀土稀有战略资源评价与利用四川省重点实验室、生态环境地球化学调查评价德阳市重点实验室、中国地质调查局地质云四川节点单位、国产卫星数据四川省应用中心、稀有稀土战略性资源咨询专家等科研平台和咨询团队。</w:t>
            </w:r>
          </w:p>
        </w:tc>
      </w:tr>
      <w:tr w14:paraId="6CB4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1572" w:hRule="atLeast"/>
          <w:jc w:val="center"/>
        </w:trPr>
        <w:tc>
          <w:tcPr>
            <w:tcW w:w="1271" w:type="dxa"/>
            <w:shd w:val="clear" w:color="auto" w:fill="E7E6E6" w:themeFill="background2"/>
            <w:noWrap/>
            <w:vAlign w:val="center"/>
          </w:tcPr>
          <w:p w14:paraId="6E60F54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0C09E059">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博士后在站期间工作任务由流动站、综合所、所在项目组、合作导师共同协商确定，提交学校博管办备案。</w:t>
            </w:r>
          </w:p>
          <w:p w14:paraId="19E29B9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0" w:leftChars="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博士后在站期间的薪酬及工作经费由综合所或项目组提供。</w:t>
            </w:r>
          </w:p>
        </w:tc>
      </w:tr>
      <w:tr w14:paraId="512A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5CCA5B6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4B48428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744C45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3F751A9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CAAB3A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4D763D4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1A7DD8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25E9314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CD31FE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891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52A9A0B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b w:val="0"/>
                <w:bCs w:val="0"/>
                <w:color w:val="000000"/>
                <w:sz w:val="21"/>
                <w:szCs w:val="21"/>
                <w:lang w:val="en-US" w:eastAsia="zh-CN" w:bidi="ar-SA"/>
              </w:rPr>
              <w:t>勘查地球化学</w:t>
            </w:r>
          </w:p>
        </w:tc>
        <w:tc>
          <w:tcPr>
            <w:tcW w:w="1132" w:type="dxa"/>
            <w:gridSpan w:val="2"/>
            <w:shd w:val="clear" w:color="auto" w:fill="auto"/>
            <w:vAlign w:val="center"/>
          </w:tcPr>
          <w:p w14:paraId="7C1DE67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70592A99">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BSH001</w:t>
            </w:r>
          </w:p>
        </w:tc>
        <w:tc>
          <w:tcPr>
            <w:tcW w:w="1908" w:type="dxa"/>
            <w:gridSpan w:val="2"/>
            <w:shd w:val="clear" w:color="auto" w:fill="auto"/>
            <w:vAlign w:val="center"/>
          </w:tcPr>
          <w:p w14:paraId="2F75181F">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地球化学</w:t>
            </w:r>
          </w:p>
        </w:tc>
        <w:tc>
          <w:tcPr>
            <w:tcW w:w="1488" w:type="dxa"/>
            <w:gridSpan w:val="2"/>
            <w:shd w:val="clear" w:color="auto" w:fill="auto"/>
            <w:vAlign w:val="center"/>
          </w:tcPr>
          <w:p w14:paraId="75F8E59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20-30</w:t>
            </w:r>
          </w:p>
        </w:tc>
        <w:tc>
          <w:tcPr>
            <w:tcW w:w="1771" w:type="dxa"/>
            <w:gridSpan w:val="2"/>
            <w:vMerge w:val="restart"/>
            <w:shd w:val="clear" w:color="auto" w:fill="auto"/>
            <w:vAlign w:val="center"/>
          </w:tcPr>
          <w:p w14:paraId="1B59A534">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应届博士/35岁以下</w:t>
            </w:r>
          </w:p>
        </w:tc>
      </w:tr>
      <w:tr w14:paraId="441B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12EFF568">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default" w:ascii="Times New Roman" w:hAnsi="Times New Roman" w:cs="Times New Roman" w:eastAsiaTheme="minorEastAsia"/>
                <w:b w:val="0"/>
                <w:bCs w:val="0"/>
                <w:color w:val="000000"/>
                <w:sz w:val="21"/>
                <w:szCs w:val="21"/>
                <w:lang w:val="en-US" w:eastAsia="en-US" w:bidi="ar-SA"/>
              </w:rPr>
            </w:pPr>
            <w:r>
              <w:rPr>
                <w:rFonts w:hint="default" w:ascii="Times New Roman" w:hAnsi="Times New Roman" w:cs="Times New Roman" w:eastAsiaTheme="minorEastAsia"/>
                <w:b w:val="0"/>
                <w:bCs w:val="0"/>
                <w:color w:val="000000"/>
                <w:sz w:val="21"/>
                <w:szCs w:val="21"/>
                <w:lang w:val="en-US" w:eastAsia="zh-CN" w:bidi="ar-SA"/>
              </w:rPr>
              <w:t>成矿规律与成矿预测</w:t>
            </w:r>
          </w:p>
        </w:tc>
        <w:tc>
          <w:tcPr>
            <w:tcW w:w="1132" w:type="dxa"/>
            <w:gridSpan w:val="2"/>
            <w:shd w:val="clear" w:color="auto" w:fill="auto"/>
            <w:vAlign w:val="center"/>
          </w:tcPr>
          <w:p w14:paraId="39F9CFC6">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442A15DC">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BSH002</w:t>
            </w:r>
          </w:p>
        </w:tc>
        <w:tc>
          <w:tcPr>
            <w:tcW w:w="1908" w:type="dxa"/>
            <w:gridSpan w:val="2"/>
            <w:shd w:val="clear" w:color="auto" w:fill="auto"/>
            <w:vAlign w:val="center"/>
          </w:tcPr>
          <w:p w14:paraId="50ADD110">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r>
              <w:rPr>
                <w:rFonts w:hint="eastAsia" w:ascii="Times New Roman" w:hAnsi="Times New Roman" w:cs="Times New Roman" w:eastAsiaTheme="minorEastAsia"/>
                <w:b w:val="0"/>
                <w:bCs w:val="0"/>
                <w:color w:val="000000"/>
                <w:sz w:val="21"/>
                <w:szCs w:val="21"/>
                <w:lang w:val="en-US" w:eastAsia="zh-CN" w:bidi="ar-SA"/>
              </w:rPr>
              <w:t>地质工程</w:t>
            </w:r>
          </w:p>
        </w:tc>
        <w:tc>
          <w:tcPr>
            <w:tcW w:w="1488" w:type="dxa"/>
            <w:gridSpan w:val="2"/>
            <w:shd w:val="clear" w:color="auto" w:fill="auto"/>
            <w:vAlign w:val="center"/>
          </w:tcPr>
          <w:p w14:paraId="37201ACF">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20-30</w:t>
            </w:r>
          </w:p>
        </w:tc>
        <w:tc>
          <w:tcPr>
            <w:tcW w:w="1771" w:type="dxa"/>
            <w:gridSpan w:val="2"/>
            <w:vMerge w:val="continue"/>
            <w:shd w:val="clear" w:color="auto" w:fill="auto"/>
            <w:vAlign w:val="center"/>
          </w:tcPr>
          <w:p w14:paraId="24B8A948">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r w14:paraId="6F9A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41" w:type="dxa"/>
            <w:gridSpan w:val="2"/>
            <w:shd w:val="clear" w:color="auto" w:fill="auto"/>
            <w:noWrap/>
            <w:vAlign w:val="center"/>
          </w:tcPr>
          <w:p w14:paraId="1EC8893E">
            <w:pPr>
              <w:keepNext w:val="0"/>
              <w:keepLines w:val="0"/>
              <w:pageBreakBefore w:val="0"/>
              <w:widowControl w:val="0"/>
              <w:kinsoku/>
              <w:wordWrap/>
              <w:overflowPunct/>
              <w:topLinePunct w:val="0"/>
              <w:autoSpaceDE w:val="0"/>
              <w:autoSpaceDN w:val="0"/>
              <w:bidi w:val="0"/>
              <w:spacing w:line="240" w:lineRule="auto"/>
              <w:ind w:left="0" w:leftChars="0" w:firstLine="0" w:firstLineChars="0"/>
              <w:jc w:val="both"/>
              <w:textAlignment w:val="auto"/>
              <w:rPr>
                <w:rFonts w:hint="eastAsia"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sz w:val="21"/>
                <w:szCs w:val="21"/>
                <w:lang w:val="en-US" w:eastAsia="zh-CN" w:bidi="ar-SA"/>
              </w:rPr>
              <w:t>成矿机理</w:t>
            </w:r>
          </w:p>
        </w:tc>
        <w:tc>
          <w:tcPr>
            <w:tcW w:w="1132" w:type="dxa"/>
            <w:gridSpan w:val="2"/>
            <w:shd w:val="clear" w:color="auto" w:fill="auto"/>
            <w:vAlign w:val="center"/>
          </w:tcPr>
          <w:p w14:paraId="11C5A8E5">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1</w:t>
            </w:r>
          </w:p>
        </w:tc>
        <w:tc>
          <w:tcPr>
            <w:tcW w:w="1116" w:type="dxa"/>
            <w:gridSpan w:val="2"/>
            <w:shd w:val="clear" w:color="auto" w:fill="auto"/>
            <w:vAlign w:val="center"/>
          </w:tcPr>
          <w:p w14:paraId="18ECDCC0">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BSH003</w:t>
            </w:r>
          </w:p>
        </w:tc>
        <w:tc>
          <w:tcPr>
            <w:tcW w:w="1908" w:type="dxa"/>
            <w:gridSpan w:val="2"/>
            <w:shd w:val="clear" w:color="auto" w:fill="auto"/>
            <w:vAlign w:val="center"/>
          </w:tcPr>
          <w:p w14:paraId="38C950A2">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地质工程</w:t>
            </w:r>
          </w:p>
        </w:tc>
        <w:tc>
          <w:tcPr>
            <w:tcW w:w="1488" w:type="dxa"/>
            <w:gridSpan w:val="2"/>
            <w:shd w:val="clear" w:color="auto" w:fill="auto"/>
            <w:vAlign w:val="center"/>
          </w:tcPr>
          <w:p w14:paraId="13F861C0">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sz w:val="21"/>
                <w:szCs w:val="21"/>
                <w:lang w:val="en-US" w:eastAsia="zh-CN" w:bidi="ar-SA"/>
              </w:rPr>
            </w:pPr>
            <w:r>
              <w:rPr>
                <w:rFonts w:hint="eastAsia" w:ascii="Times New Roman" w:hAnsi="Times New Roman" w:cs="Times New Roman" w:eastAsiaTheme="minorEastAsia"/>
                <w:b w:val="0"/>
                <w:bCs w:val="0"/>
                <w:color w:val="000000"/>
                <w:sz w:val="21"/>
                <w:szCs w:val="21"/>
                <w:lang w:val="en-US" w:eastAsia="zh-CN" w:bidi="ar-SA"/>
              </w:rPr>
              <w:t>20-30</w:t>
            </w:r>
          </w:p>
        </w:tc>
        <w:tc>
          <w:tcPr>
            <w:tcW w:w="1771" w:type="dxa"/>
            <w:gridSpan w:val="2"/>
            <w:vMerge w:val="continue"/>
            <w:shd w:val="clear" w:color="auto" w:fill="auto"/>
            <w:vAlign w:val="center"/>
          </w:tcPr>
          <w:p w14:paraId="2983529A">
            <w:pPr>
              <w:keepNext w:val="0"/>
              <w:keepLines w:val="0"/>
              <w:pageBreakBefore w:val="0"/>
              <w:widowControl w:val="0"/>
              <w:kinsoku/>
              <w:wordWrap/>
              <w:overflowPunct/>
              <w:topLinePunct w:val="0"/>
              <w:autoSpaceDE w:val="0"/>
              <w:autoSpaceDN w:val="0"/>
              <w:bidi w:val="0"/>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sz w:val="21"/>
                <w:szCs w:val="21"/>
                <w:lang w:val="en-US" w:eastAsia="en-US" w:bidi="ar-SA"/>
              </w:rPr>
            </w:pPr>
          </w:p>
        </w:tc>
      </w:tr>
    </w:tbl>
    <w:p w14:paraId="67F8372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A81063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6ED7587">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46" w:name="_Toc24835"/>
      <w:bookmarkStart w:id="947" w:name="_Toc27947"/>
      <w:bookmarkStart w:id="948" w:name="_Toc17820"/>
      <w:bookmarkStart w:id="949" w:name="_Toc22612"/>
      <w:bookmarkStart w:id="950" w:name="_Toc20391"/>
      <w:r>
        <w:rPr>
          <w:rFonts w:hint="eastAsia" w:ascii="Times New Roman" w:hAnsi="Times New Roman" w:eastAsia="方正小标宋简体" w:cs="Times New Roman"/>
          <w:sz w:val="44"/>
          <w:szCs w:val="44"/>
          <w:highlight w:val="none"/>
        </w:rPr>
        <w:t>四川天府新区宇宙线研究中心</w:t>
      </w:r>
      <w:bookmarkEnd w:id="946"/>
      <w:bookmarkEnd w:id="947"/>
      <w:bookmarkEnd w:id="948"/>
      <w:bookmarkEnd w:id="949"/>
      <w:bookmarkEnd w:id="950"/>
    </w:p>
    <w:p w14:paraId="3773608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596"/>
        <w:gridCol w:w="1017"/>
        <w:gridCol w:w="581"/>
        <w:gridCol w:w="519"/>
        <w:gridCol w:w="1154"/>
        <w:gridCol w:w="463"/>
        <w:gridCol w:w="1492"/>
        <w:gridCol w:w="1629"/>
      </w:tblGrid>
      <w:tr w14:paraId="3BA2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8BAE6E0">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59" w:type="dxa"/>
            <w:shd w:val="clear" w:color="000000" w:fill="FFFFFF"/>
            <w:noWrap/>
            <w:vAlign w:val="center"/>
          </w:tcPr>
          <w:p w14:paraId="5A30380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其他</w:t>
            </w:r>
          </w:p>
        </w:tc>
        <w:tc>
          <w:tcPr>
            <w:tcW w:w="1560" w:type="dxa"/>
            <w:gridSpan w:val="2"/>
            <w:shd w:val="clear" w:color="auto" w:fill="E7E6E6" w:themeFill="background2"/>
            <w:noWrap/>
            <w:vAlign w:val="center"/>
          </w:tcPr>
          <w:p w14:paraId="636460C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34" w:type="dxa"/>
            <w:gridSpan w:val="2"/>
            <w:shd w:val="clear" w:color="000000" w:fill="FFFFFF"/>
            <w:noWrap/>
            <w:vAlign w:val="center"/>
          </w:tcPr>
          <w:p w14:paraId="266EF6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909" w:type="dxa"/>
            <w:gridSpan w:val="2"/>
            <w:shd w:val="clear" w:color="auto" w:fill="E7E6E6" w:themeFill="background2"/>
            <w:noWrap/>
            <w:vAlign w:val="center"/>
          </w:tcPr>
          <w:p w14:paraId="363F8B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591" w:type="dxa"/>
            <w:shd w:val="clear" w:color="000000" w:fill="FFFFFF"/>
            <w:noWrap/>
            <w:vAlign w:val="center"/>
          </w:tcPr>
          <w:p w14:paraId="2160973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617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764302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19BCB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四川省成都市天府新区科智路1500号</w:t>
            </w:r>
          </w:p>
        </w:tc>
      </w:tr>
      <w:tr w14:paraId="6075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1271" w:type="dxa"/>
            <w:shd w:val="clear" w:color="auto" w:fill="E7E6E6" w:themeFill="background2"/>
            <w:noWrap/>
            <w:vAlign w:val="center"/>
          </w:tcPr>
          <w:p w14:paraId="114A73D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696A095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default" w:ascii="Times New Roman" w:hAnsi="Times New Roman" w:cs="Times New Roman" w:eastAsiaTheme="minorEastAsia"/>
                <w:sz w:val="21"/>
                <w:szCs w:val="21"/>
              </w:rPr>
              <w:t>四川天府新区天府宇宙线研究中心(以下简称:研究中心）是从事宇宙线科学研究的独立事业法人单位，成立于 2019年1月，中心总建筑面积为8579㎡。研究中心开展宇宙线物理及其相关探测技术的研究，建立相应的宇宙线研究实验室、探测技术研发实验室、高海拔观测及验证实验室。充分依托国家重大基础设施高海拔宇宙线观测站（LHAASO）的实验数据，吸引国际、国内专家深入开展宇宙线物理相关研究，掌握、开发先进的探测和快电子学技术，建成探测器设计和关键器件研发基地。研究中心坚持以科研为中心，科研与教育并举，出成果与出人才并重，紧密结合科研工作，培养高级科技创新人才，成为具有重要国际影响的专业科研机构和对全球科学家开放的研究基地。</w:t>
            </w:r>
          </w:p>
        </w:tc>
      </w:tr>
      <w:tr w14:paraId="058A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1271" w:type="dxa"/>
            <w:shd w:val="clear" w:color="auto" w:fill="E7E6E6" w:themeFill="background2"/>
            <w:noWrap/>
            <w:vAlign w:val="center"/>
          </w:tcPr>
          <w:p w14:paraId="18AEB38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4F2BB14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基地为博士后研究人员从事项目研究提供良好的工作条件，博士后在站期间实行双导师负责制，对博士后的科研工作进行指导，组织完成博士后在站期间的开题、中期考核等。博士后进站人员参照站内同类人员工作标准，根据科研成果情况有相应绩效奖励，为其购买五险一金；符合相应条件的博士后，按照有关规定享受住房补贴、生活补贴。招收应届博士毕业生，或近3年获得博士学位人员，年龄一般不超过35岁。具有良好的科研潜质和学术道德，有较高的学术水平。</w:t>
            </w:r>
          </w:p>
        </w:tc>
      </w:tr>
      <w:tr w14:paraId="5F81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830" w:type="dxa"/>
            <w:gridSpan w:val="2"/>
            <w:shd w:val="clear" w:color="auto" w:fill="E7E6E6" w:themeFill="background2"/>
            <w:noWrap/>
            <w:vAlign w:val="center"/>
          </w:tcPr>
          <w:p w14:paraId="1509B37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14:paraId="3845015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3A6A7E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14:paraId="61291D6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4E347AB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14:paraId="236DF31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969EF7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shd w:val="clear" w:color="auto" w:fill="E7E6E6" w:themeFill="background2"/>
            <w:vAlign w:val="center"/>
          </w:tcPr>
          <w:p w14:paraId="65D68AE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239F8F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shd w:val="clear" w:color="auto" w:fill="E7E6E6" w:themeFill="background2"/>
            <w:vAlign w:val="center"/>
          </w:tcPr>
          <w:p w14:paraId="140D46D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79AAA4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FC0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25319F6">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高能中微子望远镜</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2C8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B339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ECA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物理、天文学</w:t>
            </w:r>
          </w:p>
        </w:tc>
        <w:tc>
          <w:tcPr>
            <w:tcW w:w="1457" w:type="dxa"/>
            <w:tcBorders>
              <w:top w:val="single" w:color="auto" w:sz="4" w:space="0"/>
              <w:left w:val="single" w:color="auto" w:sz="4" w:space="0"/>
              <w:right w:val="single" w:color="auto" w:sz="4" w:space="0"/>
              <w:tl2br w:val="nil"/>
              <w:tr2bl w:val="nil"/>
            </w:tcBorders>
            <w:shd w:val="clear" w:color="auto" w:fill="FFFFFF"/>
            <w:vAlign w:val="center"/>
          </w:tcPr>
          <w:p w14:paraId="20834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30万以上</w:t>
            </w:r>
          </w:p>
        </w:tc>
        <w:tc>
          <w:tcPr>
            <w:tcW w:w="159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0D880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无</w:t>
            </w:r>
          </w:p>
        </w:tc>
      </w:tr>
      <w:tr w14:paraId="1C69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1E77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超高能伽马源立体跟踪观测装置</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0E7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4</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FA4E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BSH002</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A9E0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物理、天文学</w:t>
            </w:r>
          </w:p>
        </w:tc>
        <w:tc>
          <w:tcPr>
            <w:tcW w:w="1457" w:type="dxa"/>
            <w:tcBorders>
              <w:left w:val="single" w:color="auto" w:sz="4" w:space="0"/>
              <w:right w:val="single" w:color="auto" w:sz="4" w:space="0"/>
              <w:tl2br w:val="nil"/>
              <w:tr2bl w:val="nil"/>
            </w:tcBorders>
            <w:shd w:val="clear" w:color="auto" w:fill="FFFFFF"/>
            <w:vAlign w:val="center"/>
          </w:tcPr>
          <w:p w14:paraId="1D1E8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30万以上</w:t>
            </w:r>
          </w:p>
        </w:tc>
        <w:tc>
          <w:tcPr>
            <w:tcW w:w="1591" w:type="dxa"/>
            <w:vMerge w:val="continue"/>
            <w:tcBorders>
              <w:left w:val="single" w:color="auto" w:sz="4" w:space="0"/>
              <w:right w:val="single" w:color="auto" w:sz="4" w:space="0"/>
              <w:tl2br w:val="nil"/>
              <w:tr2bl w:val="nil"/>
            </w:tcBorders>
            <w:shd w:val="clear" w:color="auto" w:fill="FFFFFF"/>
            <w:vAlign w:val="center"/>
          </w:tcPr>
          <w:p w14:paraId="0ABF4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7C6C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F3FA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热中子探测器阵列</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D065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319E2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BC99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物理、天文学</w:t>
            </w:r>
          </w:p>
        </w:tc>
        <w:tc>
          <w:tcPr>
            <w:tcW w:w="1457" w:type="dxa"/>
            <w:tcBorders>
              <w:left w:val="single" w:color="auto" w:sz="4" w:space="0"/>
              <w:right w:val="single" w:color="auto" w:sz="4" w:space="0"/>
              <w:tl2br w:val="nil"/>
              <w:tr2bl w:val="nil"/>
            </w:tcBorders>
            <w:shd w:val="clear" w:color="auto" w:fill="FFFFFF"/>
            <w:vAlign w:val="center"/>
          </w:tcPr>
          <w:p w14:paraId="22C2D7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30万以上</w:t>
            </w:r>
          </w:p>
        </w:tc>
        <w:tc>
          <w:tcPr>
            <w:tcW w:w="1591" w:type="dxa"/>
            <w:vMerge w:val="continue"/>
            <w:tcBorders>
              <w:left w:val="single" w:color="auto" w:sz="4" w:space="0"/>
              <w:right w:val="single" w:color="auto" w:sz="4" w:space="0"/>
              <w:tl2br w:val="nil"/>
              <w:tr2bl w:val="nil"/>
            </w:tcBorders>
            <w:shd w:val="clear" w:color="auto" w:fill="FFFFFF"/>
            <w:vAlign w:val="center"/>
          </w:tcPr>
          <w:p w14:paraId="4B288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r w14:paraId="1A86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0C30D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高海拔宇宙线观测站</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3DDA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549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BSH004</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C00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物理、天文学</w:t>
            </w:r>
          </w:p>
        </w:tc>
        <w:tc>
          <w:tcPr>
            <w:tcW w:w="1457" w:type="dxa"/>
            <w:tcBorders>
              <w:left w:val="single" w:color="auto" w:sz="4" w:space="0"/>
              <w:bottom w:val="single" w:color="auto" w:sz="4" w:space="0"/>
              <w:right w:val="single" w:color="auto" w:sz="4" w:space="0"/>
              <w:tl2br w:val="nil"/>
              <w:tr2bl w:val="nil"/>
            </w:tcBorders>
            <w:shd w:val="clear" w:color="auto" w:fill="FFFFFF"/>
            <w:vAlign w:val="center"/>
          </w:tcPr>
          <w:p w14:paraId="540054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30万以上</w:t>
            </w:r>
          </w:p>
        </w:tc>
        <w:tc>
          <w:tcPr>
            <w:tcW w:w="1591" w:type="dxa"/>
            <w:vMerge w:val="continue"/>
            <w:tcBorders>
              <w:left w:val="single" w:color="auto" w:sz="4" w:space="0"/>
              <w:bottom w:val="single" w:color="auto" w:sz="4" w:space="0"/>
              <w:right w:val="single" w:color="auto" w:sz="4" w:space="0"/>
              <w:tl2br w:val="nil"/>
              <w:tr2bl w:val="nil"/>
            </w:tcBorders>
            <w:shd w:val="clear" w:color="auto" w:fill="FFFFFF"/>
            <w:vAlign w:val="center"/>
          </w:tcPr>
          <w:p w14:paraId="3E3A0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p>
        </w:tc>
      </w:tr>
    </w:tbl>
    <w:p w14:paraId="4A160C41">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1B1F4FC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51" w:name="_Toc20901"/>
      <w:bookmarkStart w:id="952" w:name="_Toc228"/>
      <w:bookmarkStart w:id="953" w:name="_Toc409"/>
      <w:bookmarkStart w:id="954" w:name="_Toc26360"/>
      <w:bookmarkStart w:id="955" w:name="_Toc17744"/>
      <w:r>
        <w:rPr>
          <w:rFonts w:hint="eastAsia" w:ascii="Times New Roman" w:hAnsi="Times New Roman" w:eastAsia="方正小标宋简体" w:cs="Times New Roman"/>
          <w:sz w:val="44"/>
          <w:szCs w:val="44"/>
          <w:highlight w:val="none"/>
        </w:rPr>
        <w:t>四川雅化实业集团股份有限公司</w:t>
      </w:r>
      <w:bookmarkEnd w:id="951"/>
      <w:bookmarkEnd w:id="952"/>
      <w:bookmarkEnd w:id="953"/>
      <w:bookmarkEnd w:id="954"/>
      <w:bookmarkEnd w:id="955"/>
    </w:p>
    <w:p w14:paraId="25FBC76C">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2F6F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57978CA1">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2347B9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616" w:type="dxa"/>
            <w:gridSpan w:val="2"/>
            <w:shd w:val="clear" w:color="auto" w:fill="E7E6E6" w:themeFill="background2"/>
            <w:noWrap/>
            <w:vAlign w:val="center"/>
          </w:tcPr>
          <w:p w14:paraId="44D37E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15A7571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1A9013F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5EFADBB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雅安</w:t>
            </w:r>
          </w:p>
        </w:tc>
      </w:tr>
      <w:tr w14:paraId="1992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E611BFC">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76525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四川省雅安市经济开发区永兴大道南段99号</w:t>
            </w:r>
          </w:p>
        </w:tc>
      </w:tr>
      <w:tr w14:paraId="364F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89" w:hRule="atLeast"/>
          <w:jc w:val="center"/>
        </w:trPr>
        <w:tc>
          <w:tcPr>
            <w:tcW w:w="1271" w:type="dxa"/>
            <w:shd w:val="clear" w:color="auto" w:fill="E7E6E6" w:themeFill="background2"/>
            <w:noWrap/>
            <w:vAlign w:val="center"/>
          </w:tcPr>
          <w:p w14:paraId="1ECEEC2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1FBEA0D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雅化集团创立于1952年，是中国最早建立的化工企业之一。公司于2010年在深交所主板上市，现有6000多名员工，70余个全资和控股子公司，分布于中国四川、内蒙、山西、云南、吉林等省区和澳大利亚、新西兰、津巴布韦等国家。</w:t>
            </w:r>
          </w:p>
          <w:p w14:paraId="5FAF65F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雅化集团现有锂产业和民爆两大主业。</w:t>
            </w:r>
          </w:p>
          <w:p w14:paraId="27691BE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雅化具有强大的并购整合能力和海外扩张发展基础，旗下的新西兰红牛公司、雅化澳洲公司拓展了雅化民爆海外业务；津巴布韦KMC公司为雅化锂业奠定了海外锂矿及生产发展基础，同时为雅化在海外投资并购、国际贸易、国际合作搭建了完善的国际化发展平台。</w:t>
            </w:r>
          </w:p>
          <w:p w14:paraId="776C14A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雅化是国家级信息化和工业化深度融合示范企业、智能制造试点示范企业、工业互联网平台+安全生产解决方案试点示范企业，拥有国家级企业技术中心、国家认可检测和校准实验室、博士后创新实践基地等多个创新平台，具有国内领先的技术研发能力，现取得国家专利500余项，在智能装备、电子雷管、工程爆破、炸药技术、氢氧化锂等领域处于国内行业领先水平。</w:t>
            </w:r>
          </w:p>
        </w:tc>
      </w:tr>
      <w:tr w14:paraId="2ED3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1979" w:hRule="atLeast"/>
          <w:jc w:val="center"/>
        </w:trPr>
        <w:tc>
          <w:tcPr>
            <w:tcW w:w="1271" w:type="dxa"/>
            <w:shd w:val="clear" w:color="auto" w:fill="E7E6E6" w:themeFill="background2"/>
            <w:noWrap/>
            <w:vAlign w:val="center"/>
          </w:tcPr>
          <w:p w14:paraId="76A7885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1ACF9F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1、薪酬：具体薪酬面议</w:t>
            </w:r>
          </w:p>
          <w:p w14:paraId="0E8485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2、食宿：安排住房，单位食堂可就餐</w:t>
            </w:r>
          </w:p>
          <w:p w14:paraId="06BE3A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3、子女入托就学：可协助就近办理</w:t>
            </w:r>
          </w:p>
        </w:tc>
      </w:tr>
      <w:tr w14:paraId="73D9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75F70D3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55D0146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6388A9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1AB88CE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D78C0A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15D6CE0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B4DF61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04A444B5">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004FFC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850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2141" w:type="dxa"/>
            <w:gridSpan w:val="2"/>
            <w:shd w:val="clear" w:color="auto" w:fill="auto"/>
            <w:noWrap/>
            <w:vAlign w:val="center"/>
          </w:tcPr>
          <w:p w14:paraId="6C55219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锂盐生产工艺改善研究</w:t>
            </w:r>
          </w:p>
        </w:tc>
        <w:tc>
          <w:tcPr>
            <w:tcW w:w="1132" w:type="dxa"/>
            <w:gridSpan w:val="2"/>
            <w:shd w:val="clear" w:color="auto" w:fill="auto"/>
            <w:vAlign w:val="center"/>
          </w:tcPr>
          <w:p w14:paraId="08178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1-2</w:t>
            </w:r>
          </w:p>
        </w:tc>
        <w:tc>
          <w:tcPr>
            <w:tcW w:w="1116" w:type="dxa"/>
            <w:gridSpan w:val="2"/>
            <w:shd w:val="clear" w:color="auto" w:fill="auto"/>
            <w:vAlign w:val="center"/>
          </w:tcPr>
          <w:p w14:paraId="5ACFE9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60AD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化学、材料科学 与工程、电气与自动化专业等</w:t>
            </w:r>
          </w:p>
          <w:p w14:paraId="37DB9A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p>
        </w:tc>
        <w:tc>
          <w:tcPr>
            <w:tcW w:w="1632" w:type="dxa"/>
            <w:shd w:val="clear" w:color="auto" w:fill="auto"/>
            <w:vAlign w:val="center"/>
          </w:tcPr>
          <w:p w14:paraId="28763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按实际情况确定</w:t>
            </w:r>
          </w:p>
        </w:tc>
        <w:tc>
          <w:tcPr>
            <w:tcW w:w="2023" w:type="dxa"/>
            <w:gridSpan w:val="3"/>
            <w:shd w:val="clear" w:color="auto" w:fill="auto"/>
            <w:vAlign w:val="center"/>
          </w:tcPr>
          <w:p w14:paraId="49EA2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本硕博均为985、211高校</w:t>
            </w:r>
          </w:p>
        </w:tc>
      </w:tr>
    </w:tbl>
    <w:p w14:paraId="5384572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35D5BA9C">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56" w:name="_Toc12840"/>
      <w:bookmarkStart w:id="957" w:name="_Toc12690"/>
      <w:bookmarkStart w:id="958" w:name="_Toc3761"/>
      <w:bookmarkStart w:id="959" w:name="_Toc7943"/>
      <w:bookmarkStart w:id="960" w:name="_Toc6032"/>
      <w:r>
        <w:rPr>
          <w:rFonts w:hint="eastAsia" w:ascii="Times New Roman" w:hAnsi="Times New Roman" w:eastAsia="方正小标宋简体" w:cs="Times New Roman"/>
          <w:sz w:val="44"/>
          <w:szCs w:val="44"/>
          <w:highlight w:val="none"/>
        </w:rPr>
        <w:t>四川依科制药有限公司</w:t>
      </w:r>
      <w:bookmarkEnd w:id="956"/>
      <w:bookmarkEnd w:id="957"/>
      <w:bookmarkEnd w:id="958"/>
      <w:bookmarkEnd w:id="959"/>
      <w:bookmarkEnd w:id="960"/>
    </w:p>
    <w:p w14:paraId="4365A6A0">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1D15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C86A53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25D2820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513" w:type="dxa"/>
            <w:gridSpan w:val="2"/>
            <w:shd w:val="clear" w:color="auto" w:fill="E7E6E6" w:themeFill="background2"/>
            <w:noWrap/>
            <w:vAlign w:val="center"/>
          </w:tcPr>
          <w:p w14:paraId="11F0A3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7CE4AB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2399C69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6B62314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广汉</w:t>
            </w:r>
          </w:p>
        </w:tc>
      </w:tr>
      <w:tr w14:paraId="2259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AC6C699">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28CA0B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四川省广汉市中山大道南四段2号</w:t>
            </w:r>
          </w:p>
        </w:tc>
      </w:tr>
      <w:tr w14:paraId="7FF3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0" w:hRule="atLeast"/>
          <w:jc w:val="center"/>
        </w:trPr>
        <w:tc>
          <w:tcPr>
            <w:tcW w:w="1271" w:type="dxa"/>
            <w:shd w:val="clear" w:color="auto" w:fill="E7E6E6" w:themeFill="background2"/>
            <w:noWrap/>
            <w:vAlign w:val="center"/>
          </w:tcPr>
          <w:p w14:paraId="1CFE970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74111AC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四川依科制药有限公司是集科研、制药、食品、包装包材、种植、营销为一体的现代化大型医药制药企业,公司在高速增长同时,保持着绿色、健康发展之路，有六家分子公司。拥有1个中国驰名商标、2个四川省著名商标、2个四川省名牌产品，近万人终端销售团队，2000多家商业战略合作伙伴，几十万家终端合作伙伴，覆盖全国的营销网络，销售连年保持增长20%。企业综合经济效益跻身四川省制药工业前三强，先后荣获“国家高新技术企业”、“德阳市质量示范企业”、“中国制药工业百强榜”、“中国中医药企业20强”、“德阳民营企业纳税一”等荣誉称号。开创了第三终端的营销先河，首创了撼动业界的“蜀中模式”。</w:t>
            </w:r>
          </w:p>
        </w:tc>
      </w:tr>
      <w:tr w14:paraId="2617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1271" w:type="dxa"/>
            <w:shd w:val="clear" w:color="auto" w:fill="E7E6E6" w:themeFill="background2"/>
            <w:noWrap/>
            <w:vAlign w:val="center"/>
          </w:tcPr>
          <w:p w14:paraId="5971558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3E23F8A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公司内可提供博士后研究人员的住房、健身设备、日常经费及其他后勤保障情况。</w:t>
            </w:r>
          </w:p>
          <w:p w14:paraId="1EE8C7C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公司配置研发大楼，现拥有价值超过2000余万元的相关实验仪器设备，具备化学原料药、化学药制剂、中成药、消毒产品、保健食品的研发能力，可以满足目前研发需求。</w:t>
            </w:r>
          </w:p>
          <w:p w14:paraId="75CCF35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公司始终把技术创新作为公司发展的基石，新产品、新技术研发的经费始终是保证的重点，而且不设上限。研发经费主要由公司投入，同时积极争取承担国家、省市项目，获得政府项目资金。同时公司每年拨出销售收入的6%用于研发经费支出。</w:t>
            </w:r>
          </w:p>
        </w:tc>
      </w:tr>
      <w:tr w14:paraId="7B60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7D3784E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619E6C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69623EF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483F686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F0DB5B4">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1E30F71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5FB0854">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02B2C2D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50F224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3E81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EE39042">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高端化学原料药工艺开发</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F48C11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C6A0FB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F481CD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有机化学、药学</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86D7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16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0AFF9A2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985高校、双一流高校、中国科学院</w:t>
            </w:r>
          </w:p>
        </w:tc>
      </w:tr>
      <w:tr w14:paraId="7804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D620AC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中药同名同方制剂开发</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AA8C5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D0E1C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E737CF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中药学、药学</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5DC76A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1611" w:type="dxa"/>
            <w:vMerge w:val="continue"/>
            <w:tcBorders>
              <w:left w:val="single" w:color="auto" w:sz="4" w:space="0"/>
              <w:right w:val="single" w:color="auto" w:sz="4" w:space="0"/>
              <w:tl2br w:val="nil"/>
              <w:tr2bl w:val="nil"/>
            </w:tcBorders>
            <w:shd w:val="clear" w:color="auto" w:fill="FFFFFF"/>
            <w:vAlign w:val="center"/>
          </w:tcPr>
          <w:p w14:paraId="3997FF98">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p>
        </w:tc>
      </w:tr>
    </w:tbl>
    <w:p w14:paraId="26DB9F5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788A7AA">
      <w:pPr>
        <w:pStyle w:val="5"/>
        <w:adjustRightInd w:val="0"/>
        <w:snapToGrid w:val="0"/>
        <w:spacing w:line="240" w:lineRule="auto"/>
        <w:ind w:firstLine="0"/>
        <w:jc w:val="center"/>
        <w:outlineLvl w:val="0"/>
        <w:rPr>
          <w:rFonts w:eastAsia="方正小标宋简体"/>
          <w:sz w:val="44"/>
          <w:szCs w:val="44"/>
        </w:rPr>
      </w:pPr>
      <w:bookmarkStart w:id="961" w:name="_Toc13874"/>
      <w:bookmarkStart w:id="962" w:name="_Toc8222"/>
      <w:bookmarkStart w:id="963" w:name="_Toc10395"/>
      <w:bookmarkStart w:id="964" w:name="_Toc7645"/>
      <w:bookmarkStart w:id="965" w:name="_Toc29323"/>
      <w:r>
        <w:rPr>
          <w:rFonts w:eastAsia="方正小标宋简体"/>
          <w:sz w:val="44"/>
          <w:szCs w:val="44"/>
          <w:highlight w:val="none"/>
        </w:rPr>
        <w:t>四川音乐学院</w:t>
      </w:r>
      <w:bookmarkEnd w:id="961"/>
      <w:bookmarkEnd w:id="962"/>
      <w:bookmarkEnd w:id="963"/>
      <w:bookmarkEnd w:id="964"/>
      <w:bookmarkEnd w:id="965"/>
    </w:p>
    <w:p w14:paraId="758A62DA">
      <w:pPr>
        <w:pStyle w:val="5"/>
        <w:tabs>
          <w:tab w:val="center" w:pos="4705"/>
          <w:tab w:val="left" w:pos="7680"/>
        </w:tabs>
        <w:adjustRightInd w:val="0"/>
        <w:snapToGrid w:val="0"/>
        <w:spacing w:line="240" w:lineRule="auto"/>
        <w:jc w:val="center"/>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56"/>
        <w:gridCol w:w="1203"/>
        <w:gridCol w:w="1217"/>
        <w:gridCol w:w="463"/>
        <w:gridCol w:w="1173"/>
        <w:gridCol w:w="454"/>
        <w:gridCol w:w="979"/>
        <w:gridCol w:w="587"/>
        <w:gridCol w:w="2018"/>
      </w:tblGrid>
      <w:tr w14:paraId="4AB1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8C4D74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23" w:type="dxa"/>
            <w:gridSpan w:val="2"/>
            <w:shd w:val="clear" w:color="000000" w:fill="FFFFFF"/>
            <w:noWrap/>
            <w:vAlign w:val="center"/>
          </w:tcPr>
          <w:p w14:paraId="0B0FD3E4">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lang w:bidi="zh-TW"/>
              </w:rPr>
              <w:t>高等院校</w:t>
            </w:r>
          </w:p>
        </w:tc>
        <w:tc>
          <w:tcPr>
            <w:tcW w:w="1641" w:type="dxa"/>
            <w:gridSpan w:val="2"/>
            <w:shd w:val="clear" w:color="auto" w:fill="E7E6E6" w:themeFill="background2"/>
            <w:noWrap/>
            <w:vAlign w:val="center"/>
          </w:tcPr>
          <w:p w14:paraId="45022C8D">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9" w:type="dxa"/>
            <w:gridSpan w:val="2"/>
            <w:shd w:val="clear" w:color="000000" w:fill="FFFFFF"/>
            <w:noWrap/>
            <w:vAlign w:val="center"/>
          </w:tcPr>
          <w:p w14:paraId="7284D480">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29" w:type="dxa"/>
            <w:gridSpan w:val="2"/>
            <w:shd w:val="clear" w:color="auto" w:fill="E7E6E6" w:themeFill="background2"/>
            <w:noWrap/>
            <w:vAlign w:val="center"/>
          </w:tcPr>
          <w:p w14:paraId="044E7498">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71" w:type="dxa"/>
            <w:shd w:val="clear" w:color="000000" w:fill="FFFFFF"/>
            <w:noWrap/>
            <w:vAlign w:val="center"/>
          </w:tcPr>
          <w:p w14:paraId="78014077">
            <w:pPr>
              <w:adjustRightInd w:val="0"/>
              <w:snapToGrid w:val="0"/>
              <w:spacing w:line="240" w:lineRule="auto"/>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437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51E676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14C5C366">
            <w:pPr>
              <w:adjustRightInd w:val="0"/>
              <w:snapToGrid w:val="0"/>
              <w:spacing w:line="240" w:lineRule="auto"/>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四川省</w:t>
            </w:r>
            <w:r>
              <w:rPr>
                <w:rFonts w:hint="default" w:ascii="Times New Roman" w:hAnsi="Times New Roman" w:cs="Times New Roman" w:eastAsiaTheme="minorEastAsia"/>
                <w:sz w:val="21"/>
                <w:szCs w:val="21"/>
              </w:rPr>
              <w:t>成都市新生路6号</w:t>
            </w:r>
          </w:p>
        </w:tc>
      </w:tr>
      <w:tr w14:paraId="763C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1" w:hRule="atLeast"/>
          <w:jc w:val="center"/>
        </w:trPr>
        <w:tc>
          <w:tcPr>
            <w:tcW w:w="1271" w:type="dxa"/>
            <w:shd w:val="clear" w:color="auto" w:fill="E7E6E6" w:themeFill="background2"/>
            <w:noWrap/>
            <w:vAlign w:val="center"/>
          </w:tcPr>
          <w:p w14:paraId="03D11F0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073B122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 四川音乐学院前身是创建于1939年的“四川省立戏剧音乐实验学校”，1959年更为现名，系当时国内具有本科办学层次的六所专业音乐院校之一。学校有武侯、新都、临空经济区三个校区，总占地面积1500余亩，设有20个教学部门、10个研究机构。办学层次涵盖研究生教育、本科教育、成人教育和中等艺术教育，在校生规模12495余人，是全国十一所独立设置的专业音乐学院之一。</w:t>
            </w:r>
          </w:p>
          <w:p w14:paraId="0763812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学校设有系（院）20个、本科专业29个；现有“艺术学”1个一级学科，“音乐”、“舞蹈”、“美术与书法”、“设计”4个专业学位类别，并于2013年获批四川省博士后创新实践基地。</w:t>
            </w:r>
          </w:p>
          <w:p w14:paraId="3641BC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立足新时代，学校将坚决贯彻落实党的教育方针，坚持为党育人、为国育才，努力建设“国内一流、国际知名”的高等专业艺术院校。</w:t>
            </w:r>
          </w:p>
        </w:tc>
      </w:tr>
      <w:tr w14:paraId="28F0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1" w:hRule="atLeast"/>
          <w:jc w:val="center"/>
        </w:trPr>
        <w:tc>
          <w:tcPr>
            <w:tcW w:w="1271" w:type="dxa"/>
            <w:shd w:val="clear" w:color="auto" w:fill="E7E6E6" w:themeFill="background2"/>
            <w:noWrap/>
            <w:vAlign w:val="center"/>
          </w:tcPr>
          <w:p w14:paraId="131B5E5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1134E9C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1.具有良好的政治素质和道德修养，具有扎实的专业基础知识，较强的科研能力和敬业精神。</w:t>
            </w:r>
          </w:p>
          <w:p w14:paraId="204791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2.申请人须符合人社部、全国博管会规定的博士后招收基本条件，且年龄在35周岁以下，获得博士学位一般不超过3年。对于紧缺学科专业，年龄或毕业年限可适当放宽，年龄一般不超过40周岁。</w:t>
            </w:r>
          </w:p>
          <w:p w14:paraId="6BF0D47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3.已发表3篇及以上核心期刊文章；在国内博士毕业论文盲审中获得“优秀”评价或有国家社会科学基金项目在研可不受论文发表要求限制，并将优先考虑招收。</w:t>
            </w:r>
          </w:p>
        </w:tc>
      </w:tr>
      <w:tr w14:paraId="4A86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19" w:type="dxa"/>
            <w:gridSpan w:val="2"/>
            <w:shd w:val="clear" w:color="auto" w:fill="E7E6E6" w:themeFill="background2"/>
            <w:noWrap/>
            <w:vAlign w:val="center"/>
          </w:tcPr>
          <w:p w14:paraId="6E3CDBE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14:paraId="568D778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14:paraId="5527A7B0">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14:paraId="4B98860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4E2EA1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99" w:type="dxa"/>
            <w:gridSpan w:val="2"/>
            <w:shd w:val="clear" w:color="auto" w:fill="E7E6E6" w:themeFill="background2"/>
            <w:vAlign w:val="center"/>
          </w:tcPr>
          <w:p w14:paraId="7CAC637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9B99340">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544" w:type="dxa"/>
            <w:gridSpan w:val="2"/>
            <w:shd w:val="clear" w:color="auto" w:fill="E7E6E6" w:themeFill="background2"/>
            <w:vAlign w:val="center"/>
          </w:tcPr>
          <w:p w14:paraId="2FBBD7F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6E43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619" w:type="dxa"/>
            <w:gridSpan w:val="2"/>
            <w:shd w:val="clear" w:color="000000" w:fill="FFFFFF"/>
            <w:noWrap/>
            <w:vAlign w:val="center"/>
          </w:tcPr>
          <w:p w14:paraId="6219D489">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i w:val="0"/>
                <w:iCs w:val="0"/>
                <w:smallCaps w:val="0"/>
                <w:strike w:val="0"/>
                <w:color w:val="000000"/>
                <w:spacing w:val="0"/>
                <w:w w:val="100"/>
                <w:position w:val="0"/>
                <w:sz w:val="21"/>
                <w:szCs w:val="21"/>
                <w:u w:val="none"/>
                <w:shd w:val="clear" w:color="auto" w:fill="auto"/>
                <w:lang w:val="en-US" w:eastAsia="zh-CN" w:bidi="zh-TW"/>
              </w:rPr>
              <w:t>艺术学史论评研究</w:t>
            </w:r>
          </w:p>
        </w:tc>
        <w:tc>
          <w:tcPr>
            <w:tcW w:w="1175" w:type="dxa"/>
            <w:shd w:val="clear" w:color="000000" w:fill="FFFFFF"/>
            <w:vAlign w:val="center"/>
          </w:tcPr>
          <w:p w14:paraId="0463BD5B">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p>
        </w:tc>
        <w:tc>
          <w:tcPr>
            <w:tcW w:w="1189" w:type="dxa"/>
            <w:shd w:val="clear" w:color="000000" w:fill="FFFFFF"/>
            <w:vAlign w:val="center"/>
          </w:tcPr>
          <w:p w14:paraId="2E61702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98" w:type="dxa"/>
            <w:gridSpan w:val="2"/>
            <w:shd w:val="clear" w:color="000000" w:fill="FFFFFF"/>
            <w:vAlign w:val="center"/>
          </w:tcPr>
          <w:p w14:paraId="7143B758">
            <w:pPr>
              <w:adjustRightInd w:val="0"/>
              <w:snapToGrid w:val="0"/>
              <w:spacing w:line="240" w:lineRule="auto"/>
              <w:ind w:firstLine="420" w:firstLineChars="20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艺术学</w:t>
            </w:r>
          </w:p>
        </w:tc>
        <w:tc>
          <w:tcPr>
            <w:tcW w:w="1399" w:type="dxa"/>
            <w:gridSpan w:val="2"/>
            <w:shd w:val="clear" w:color="000000" w:fill="FFFFFF"/>
            <w:vAlign w:val="center"/>
          </w:tcPr>
          <w:p w14:paraId="0F86F323">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w:t>
            </w:r>
          </w:p>
        </w:tc>
        <w:tc>
          <w:tcPr>
            <w:tcW w:w="2544" w:type="dxa"/>
            <w:gridSpan w:val="2"/>
            <w:shd w:val="clear" w:color="000000" w:fill="FFFFFF"/>
            <w:vAlign w:val="center"/>
          </w:tcPr>
          <w:p w14:paraId="33BFF1F8">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i w:val="0"/>
                <w:iCs w:val="0"/>
                <w:smallCaps w:val="0"/>
                <w:strike w:val="0"/>
                <w:color w:val="000000"/>
                <w:spacing w:val="0"/>
                <w:w w:val="100"/>
                <w:position w:val="0"/>
                <w:sz w:val="21"/>
                <w:szCs w:val="21"/>
                <w:u w:val="none"/>
                <w:shd w:val="clear" w:color="auto" w:fill="auto"/>
                <w:lang w:val="en-US" w:eastAsia="zh-CN" w:bidi="zh-TW"/>
              </w:rPr>
              <w:t>211/985高校或专业音乐院校</w:t>
            </w:r>
          </w:p>
        </w:tc>
      </w:tr>
    </w:tbl>
    <w:p w14:paraId="7FA46A4E">
      <w:pPr>
        <w:pStyle w:val="5"/>
        <w:adjustRightInd w:val="0"/>
        <w:snapToGrid w:val="0"/>
        <w:spacing w:line="240" w:lineRule="auto"/>
        <w:ind w:firstLine="0"/>
        <w:jc w:val="center"/>
      </w:pPr>
      <w:r>
        <w:br w:type="page"/>
      </w:r>
    </w:p>
    <w:p w14:paraId="4023F98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44"/>
          <w:szCs w:val="44"/>
        </w:rPr>
      </w:pPr>
    </w:p>
    <w:p w14:paraId="2C9499B6">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66" w:name="_Toc9010"/>
      <w:bookmarkStart w:id="967" w:name="_Toc2041"/>
      <w:bookmarkStart w:id="968" w:name="_Toc18395"/>
      <w:bookmarkStart w:id="969" w:name="_Toc7902"/>
      <w:bookmarkStart w:id="970" w:name="_Toc31405"/>
      <w:r>
        <w:rPr>
          <w:rFonts w:hint="eastAsia" w:ascii="Times New Roman" w:hAnsi="Times New Roman" w:eastAsia="方正小标宋简体" w:cs="Times New Roman"/>
          <w:sz w:val="44"/>
          <w:szCs w:val="44"/>
          <w:highlight w:val="none"/>
        </w:rPr>
        <w:t>四川永星电子有限公司</w:t>
      </w:r>
      <w:bookmarkEnd w:id="966"/>
      <w:bookmarkEnd w:id="967"/>
      <w:bookmarkEnd w:id="968"/>
      <w:bookmarkEnd w:id="969"/>
      <w:bookmarkEnd w:id="970"/>
    </w:p>
    <w:p w14:paraId="2300A5C8">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596"/>
        <w:gridCol w:w="1017"/>
        <w:gridCol w:w="581"/>
        <w:gridCol w:w="519"/>
        <w:gridCol w:w="1154"/>
        <w:gridCol w:w="463"/>
        <w:gridCol w:w="1492"/>
        <w:gridCol w:w="1629"/>
      </w:tblGrid>
      <w:tr w14:paraId="1779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0DDBEFA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59" w:type="dxa"/>
            <w:shd w:val="clear" w:color="000000" w:fill="FFFFFF"/>
            <w:noWrap/>
            <w:vAlign w:val="center"/>
          </w:tcPr>
          <w:p w14:paraId="6C938E4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民营企业</w:t>
            </w:r>
          </w:p>
        </w:tc>
        <w:tc>
          <w:tcPr>
            <w:tcW w:w="1560" w:type="dxa"/>
            <w:gridSpan w:val="2"/>
            <w:shd w:val="clear" w:color="auto" w:fill="E7E6E6" w:themeFill="background2"/>
            <w:noWrap/>
            <w:vAlign w:val="center"/>
          </w:tcPr>
          <w:p w14:paraId="3CD501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34" w:type="dxa"/>
            <w:gridSpan w:val="2"/>
            <w:shd w:val="clear" w:color="000000" w:fill="FFFFFF"/>
            <w:noWrap/>
            <w:vAlign w:val="center"/>
          </w:tcPr>
          <w:p w14:paraId="533D7DE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909" w:type="dxa"/>
            <w:gridSpan w:val="2"/>
            <w:shd w:val="clear" w:color="auto" w:fill="E7E6E6" w:themeFill="background2"/>
            <w:noWrap/>
            <w:vAlign w:val="center"/>
          </w:tcPr>
          <w:p w14:paraId="45E4308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591" w:type="dxa"/>
            <w:shd w:val="clear" w:color="000000" w:fill="FFFFFF"/>
            <w:noWrap/>
            <w:vAlign w:val="center"/>
          </w:tcPr>
          <w:p w14:paraId="49FD2E7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2D64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833690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8"/>
            <w:shd w:val="clear" w:color="000000" w:fill="FFFFFF"/>
            <w:noWrap/>
            <w:vAlign w:val="center"/>
          </w:tcPr>
          <w:p w14:paraId="18F86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四川省成都市新都区电子路98号</w:t>
            </w:r>
          </w:p>
        </w:tc>
      </w:tr>
      <w:tr w14:paraId="238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jc w:val="center"/>
        </w:trPr>
        <w:tc>
          <w:tcPr>
            <w:tcW w:w="1271" w:type="dxa"/>
            <w:shd w:val="clear" w:color="auto" w:fill="E7E6E6" w:themeFill="background2"/>
            <w:noWrap/>
            <w:vAlign w:val="center"/>
          </w:tcPr>
          <w:p w14:paraId="5516D5F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364D312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四川永星电子有限公司（893厂）是专业电子元器件生产厂家，成立于1966年，具有近60年电子元器件研发制造经验，是“国家高新技术企业”、国家“专精特新”小巨人企业。</w:t>
            </w:r>
          </w:p>
          <w:p w14:paraId="1AE5B2D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公司先后通过ISO 9001、ISO 14001、IATF 16949，拥有1个国际标准化检测中心、一个省级企业技术中心、一个市级工业设计中心、一个市级技能大师工作室、近60项专利。公司目前年生产电阻器、电位器等电子元器件100亿只以上。公司以传感器、微波器件、电阻器、电位器为主导产品。长期服务于华为、德国西门子、ABB、长虹、海尔等世界500强企业，产品质量和服务饱受客户赞誉。</w:t>
            </w:r>
          </w:p>
        </w:tc>
      </w:tr>
      <w:tr w14:paraId="5E9C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jc w:val="center"/>
        </w:trPr>
        <w:tc>
          <w:tcPr>
            <w:tcW w:w="1271" w:type="dxa"/>
            <w:shd w:val="clear" w:color="auto" w:fill="E7E6E6" w:themeFill="background2"/>
            <w:noWrap/>
            <w:vAlign w:val="center"/>
          </w:tcPr>
          <w:p w14:paraId="383E710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119A00C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一、可为博士后研究人员提供的主要仪器设备、专业实验室及其他科研后勤条件</w:t>
            </w:r>
          </w:p>
          <w:p w14:paraId="7B8926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 公司建设有试验与可靠性分析中心，有CNAS认可的实验室，有超过500台套如温度、寿命、环境等试验设备；</w:t>
            </w:r>
          </w:p>
          <w:p w14:paraId="3B3598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 拥有国防三级资质的国防计量站一个，能提供仪器仪表及相应计量技术支持；</w:t>
            </w:r>
          </w:p>
          <w:p w14:paraId="3A1D3A2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 拥有超过1000余套的电子元器件、传感器、射频元件等产品试制设备；</w:t>
            </w:r>
          </w:p>
          <w:p w14:paraId="70FE07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 正在建设技术研究院，约1000平米；</w:t>
            </w:r>
          </w:p>
          <w:p w14:paraId="4D3FBC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 与电子科技大学联合共建实验室，能为科研、实验提供更丰富的科研资源支持。</w:t>
            </w:r>
          </w:p>
          <w:p w14:paraId="732F7B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二、可为博士后研究人员提供住房或租房补贴、博士后日常经费等</w:t>
            </w:r>
          </w:p>
          <w:p w14:paraId="2F4B46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 为博士后研究人员就近提供住宿；</w:t>
            </w:r>
          </w:p>
          <w:p w14:paraId="1E439B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 设立科研项目专项经费，并每年进行科研项目经费相关的财务预算，做到专款专用，为博士后项目的正常运行提供充足的资金保障。</w:t>
            </w:r>
          </w:p>
          <w:p w14:paraId="1CC7AE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三、享受公司员工福利待遇：六险一金、餐补、房补等各类津补贴</w:t>
            </w:r>
          </w:p>
        </w:tc>
      </w:tr>
      <w:tr w14:paraId="59D9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830" w:type="dxa"/>
            <w:gridSpan w:val="2"/>
            <w:shd w:val="clear" w:color="auto" w:fill="E7E6E6" w:themeFill="background2"/>
            <w:noWrap/>
            <w:vAlign w:val="center"/>
          </w:tcPr>
          <w:p w14:paraId="7B5E2A6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14:paraId="308C5E4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2E49F80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14:paraId="4CC549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0F7862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14:paraId="562DB81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AD8E72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shd w:val="clear" w:color="auto" w:fill="E7E6E6" w:themeFill="background2"/>
            <w:vAlign w:val="center"/>
          </w:tcPr>
          <w:p w14:paraId="1B3B95E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1B774B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shd w:val="clear" w:color="auto" w:fill="E7E6E6" w:themeFill="background2"/>
            <w:vAlign w:val="center"/>
          </w:tcPr>
          <w:p w14:paraId="7434BEE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A9B600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04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6CA7B28">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传感器芯片开发项目</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85AFBC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DE524B8">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481138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电子科学与技术</w:t>
            </w:r>
          </w:p>
        </w:tc>
        <w:tc>
          <w:tcPr>
            <w:tcW w:w="1457" w:type="dxa"/>
            <w:tcBorders>
              <w:top w:val="single" w:color="auto" w:sz="4" w:space="0"/>
              <w:left w:val="single" w:color="auto" w:sz="4" w:space="0"/>
              <w:right w:val="single" w:color="auto" w:sz="4" w:space="0"/>
              <w:tl2br w:val="nil"/>
              <w:tr2bl w:val="nil"/>
            </w:tcBorders>
            <w:shd w:val="clear" w:color="auto" w:fill="FFFFFF"/>
            <w:vAlign w:val="center"/>
          </w:tcPr>
          <w:p w14:paraId="0065BCF9">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100</w:t>
            </w:r>
          </w:p>
        </w:tc>
        <w:tc>
          <w:tcPr>
            <w:tcW w:w="159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5CF798CB">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无</w:t>
            </w:r>
          </w:p>
        </w:tc>
      </w:tr>
      <w:tr w14:paraId="0F2F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3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351590E">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微波射频器件系列开发项目</w:t>
            </w:r>
          </w:p>
        </w:tc>
        <w:tc>
          <w:tcPr>
            <w:tcW w:w="9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02F67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99006E3">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461A395">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集成电路</w:t>
            </w:r>
          </w:p>
        </w:tc>
        <w:tc>
          <w:tcPr>
            <w:tcW w:w="1457" w:type="dxa"/>
            <w:tcBorders>
              <w:left w:val="single" w:color="auto" w:sz="4" w:space="0"/>
              <w:right w:val="single" w:color="auto" w:sz="4" w:space="0"/>
              <w:tl2br w:val="nil"/>
              <w:tr2bl w:val="nil"/>
            </w:tcBorders>
            <w:shd w:val="clear" w:color="auto" w:fill="FFFFFF"/>
            <w:vAlign w:val="center"/>
          </w:tcPr>
          <w:p w14:paraId="373B1FD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1591" w:type="dxa"/>
            <w:vMerge w:val="continue"/>
            <w:tcBorders>
              <w:left w:val="single" w:color="auto" w:sz="4" w:space="0"/>
              <w:right w:val="single" w:color="auto" w:sz="4" w:space="0"/>
              <w:tl2br w:val="nil"/>
              <w:tr2bl w:val="nil"/>
            </w:tcBorders>
            <w:shd w:val="clear" w:color="auto" w:fill="FFFFFF"/>
            <w:vAlign w:val="center"/>
          </w:tcPr>
          <w:p w14:paraId="55F44E2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p>
        </w:tc>
      </w:tr>
    </w:tbl>
    <w:p w14:paraId="3230BA7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AC9918F">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highlight w:val="yellow"/>
        </w:rPr>
      </w:pPr>
      <w:bookmarkStart w:id="971" w:name="_Toc18246"/>
      <w:bookmarkStart w:id="972" w:name="_Toc30730"/>
      <w:bookmarkStart w:id="973" w:name="_Toc20608"/>
      <w:bookmarkStart w:id="974" w:name="_Toc25379"/>
      <w:bookmarkStart w:id="975" w:name="_Toc29928"/>
      <w:r>
        <w:rPr>
          <w:rFonts w:eastAsia="方正小标宋简体"/>
          <w:sz w:val="44"/>
          <w:szCs w:val="44"/>
          <w:highlight w:val="none"/>
        </w:rPr>
        <w:t>四川长虹电子控股集团有限公司</w:t>
      </w:r>
      <w:bookmarkEnd w:id="971"/>
      <w:bookmarkEnd w:id="972"/>
      <w:bookmarkEnd w:id="973"/>
      <w:bookmarkEnd w:id="974"/>
      <w:bookmarkEnd w:id="975"/>
    </w:p>
    <w:p w14:paraId="409D6236">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59"/>
        <w:gridCol w:w="1680"/>
        <w:gridCol w:w="1627"/>
        <w:gridCol w:w="1565"/>
        <w:gridCol w:w="2019"/>
      </w:tblGrid>
      <w:tr w14:paraId="12A2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6D45B9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shd w:val="clear" w:color="000000" w:fill="FFFFFF"/>
            <w:noWrap/>
            <w:vAlign w:val="center"/>
          </w:tcPr>
          <w:p w14:paraId="02451910">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shd w:val="clear" w:color="auto" w:fill="E7E6E6" w:themeFill="background2"/>
            <w:noWrap/>
            <w:vAlign w:val="center"/>
          </w:tcPr>
          <w:p w14:paraId="7CD5F9A5">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7CB169DA">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14:paraId="6A515D63">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14:paraId="16E16618">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14:paraId="6D3A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54C6E7B">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5"/>
            <w:shd w:val="clear" w:color="000000" w:fill="FFFFFF"/>
            <w:noWrap/>
            <w:vAlign w:val="center"/>
          </w:tcPr>
          <w:p w14:paraId="3854E054">
            <w:pPr>
              <w:adjustRightInd w:val="0"/>
              <w:snapToGrid w:val="0"/>
              <w:spacing w:line="240" w:lineRule="auto"/>
              <w:ind w:firstLine="420" w:firstLineChars="200"/>
              <w:jc w:val="center"/>
              <w:rPr>
                <w:rFonts w:eastAsiaTheme="minorEastAsia"/>
                <w:sz w:val="21"/>
                <w:szCs w:val="21"/>
              </w:rPr>
            </w:pPr>
            <w:r>
              <w:rPr>
                <w:rFonts w:eastAsiaTheme="minorEastAsia"/>
                <w:sz w:val="21"/>
                <w:szCs w:val="21"/>
              </w:rPr>
              <w:t>四川省绵阳市高新区绵兴东路35号</w:t>
            </w:r>
          </w:p>
        </w:tc>
      </w:tr>
      <w:tr w14:paraId="65B5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1271" w:type="dxa"/>
            <w:shd w:val="clear" w:color="auto" w:fill="E7E6E6" w:themeFill="background2"/>
            <w:noWrap/>
            <w:vAlign w:val="center"/>
          </w:tcPr>
          <w:p w14:paraId="43EF6C4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5"/>
            <w:shd w:val="clear" w:color="000000" w:fill="FFFFFF"/>
            <w:vAlign w:val="center"/>
          </w:tcPr>
          <w:p w14:paraId="694B09B0">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四川长虹电子控股集团有限公司（简称：长虹）始创于1958年，是“一五”期间国家重点工程之一，是当时国内唯一的机载火控雷达生产基地。长虹始终秉持“科技长虹、产业报国”，经过多次转型，现已成为集智慧家居、军民融合、数字经济、新能源、医疗健康等产业为一体的科技型跨国集团，培育了冰箱压缩机、航空电源系统、轨道交通电源系统、高速背板连接器、物联网模组等多个产业领域的“隐形冠军”。目前，长虹旗下拥有上市公司7家、员工约6万人，位居四川省数字经济企业第1位、中国电子信息百强企业第13位、世界品牌500强第285位。</w:t>
            </w:r>
          </w:p>
        </w:tc>
      </w:tr>
      <w:tr w14:paraId="60B6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7" w:hRule="atLeast"/>
          <w:jc w:val="center"/>
        </w:trPr>
        <w:tc>
          <w:tcPr>
            <w:tcW w:w="1271" w:type="dxa"/>
            <w:shd w:val="clear" w:color="auto" w:fill="E7E6E6" w:themeFill="background2"/>
            <w:noWrap/>
            <w:vAlign w:val="center"/>
          </w:tcPr>
          <w:p w14:paraId="35EBC4E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5"/>
            <w:shd w:val="clear" w:color="000000" w:fill="FFFFFF"/>
            <w:vAlign w:val="center"/>
          </w:tcPr>
          <w:p w14:paraId="09D6AA84">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1.提供较为优厚的工资待遇和公寓式住房；</w:t>
            </w:r>
          </w:p>
          <w:p w14:paraId="7FA73755">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2.提供博士后专项资助；</w:t>
            </w:r>
          </w:p>
          <w:p w14:paraId="6139AECB">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3.参加集团内外各项评优及荣誉评选；</w:t>
            </w:r>
          </w:p>
          <w:p w14:paraId="6D6254E3">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4.协助安排配偶工作及子女入学事宜。</w:t>
            </w:r>
          </w:p>
        </w:tc>
      </w:tr>
    </w:tbl>
    <w:p w14:paraId="32019EF9">
      <w:pPr>
        <w:adjustRightInd w:val="0"/>
        <w:snapToGrid w:val="0"/>
        <w:spacing w:line="20" w:lineRule="exact"/>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110"/>
        <w:gridCol w:w="1195"/>
        <w:gridCol w:w="2241"/>
        <w:gridCol w:w="1488"/>
        <w:gridCol w:w="1631"/>
      </w:tblGrid>
      <w:tr w14:paraId="04D9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032" w:type="dxa"/>
            <w:shd w:val="clear" w:color="auto" w:fill="E7E6E6" w:themeFill="background2"/>
            <w:noWrap/>
            <w:vAlign w:val="center"/>
          </w:tcPr>
          <w:p w14:paraId="08F4E8D9">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1" w:type="dxa"/>
            <w:shd w:val="clear" w:color="auto" w:fill="E7E6E6" w:themeFill="background2"/>
            <w:vAlign w:val="center"/>
          </w:tcPr>
          <w:p w14:paraId="479DCB35">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4" w:type="dxa"/>
            <w:shd w:val="clear" w:color="auto" w:fill="E7E6E6" w:themeFill="background2"/>
            <w:vAlign w:val="center"/>
          </w:tcPr>
          <w:p w14:paraId="7AA221A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183" w:type="dxa"/>
            <w:shd w:val="clear" w:color="auto" w:fill="E7E6E6" w:themeFill="background2"/>
            <w:vAlign w:val="center"/>
          </w:tcPr>
          <w:p w14:paraId="332FC68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86F55A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0" w:type="dxa"/>
            <w:shd w:val="clear" w:color="auto" w:fill="E7E6E6" w:themeFill="background2"/>
            <w:vAlign w:val="center"/>
          </w:tcPr>
          <w:p w14:paraId="114D77B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AD46AD6">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89" w:type="dxa"/>
            <w:shd w:val="clear" w:color="auto" w:fill="E7E6E6" w:themeFill="background2"/>
            <w:vAlign w:val="center"/>
          </w:tcPr>
          <w:p w14:paraId="33825D2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6DE365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1F9B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32" w:type="dxa"/>
            <w:shd w:val="clear" w:color="000000" w:fill="FFFFFF"/>
            <w:noWrap/>
            <w:vAlign w:val="center"/>
          </w:tcPr>
          <w:p w14:paraId="71DB1D64">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频选天线罩</w:t>
            </w:r>
          </w:p>
        </w:tc>
        <w:tc>
          <w:tcPr>
            <w:tcW w:w="1081" w:type="dxa"/>
            <w:shd w:val="clear" w:color="000000" w:fill="FFFFFF"/>
            <w:vAlign w:val="center"/>
          </w:tcPr>
          <w:p w14:paraId="7E8FB3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1</w:t>
            </w:r>
          </w:p>
        </w:tc>
        <w:tc>
          <w:tcPr>
            <w:tcW w:w="1164" w:type="dxa"/>
            <w:shd w:val="clear" w:color="000000" w:fill="FFFFFF"/>
            <w:vAlign w:val="center"/>
          </w:tcPr>
          <w:p w14:paraId="09E4B41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2183" w:type="dxa"/>
            <w:shd w:val="clear" w:color="000000" w:fill="FFFFFF"/>
            <w:vAlign w:val="center"/>
          </w:tcPr>
          <w:p w14:paraId="2B22A71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微波电磁场</w:t>
            </w:r>
          </w:p>
        </w:tc>
        <w:tc>
          <w:tcPr>
            <w:tcW w:w="1450" w:type="dxa"/>
            <w:shd w:val="clear" w:color="000000" w:fill="FFFFFF"/>
            <w:vAlign w:val="center"/>
          </w:tcPr>
          <w:p w14:paraId="08C135A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面议</w:t>
            </w:r>
          </w:p>
        </w:tc>
        <w:tc>
          <w:tcPr>
            <w:tcW w:w="1589" w:type="dxa"/>
            <w:vMerge w:val="restart"/>
            <w:shd w:val="clear" w:color="000000" w:fill="FFFFFF"/>
            <w:vAlign w:val="center"/>
          </w:tcPr>
          <w:p w14:paraId="50C51D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211/985院校</w:t>
            </w:r>
          </w:p>
        </w:tc>
      </w:tr>
      <w:tr w14:paraId="7845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32" w:type="dxa"/>
            <w:shd w:val="clear" w:color="000000" w:fill="FFFFFF"/>
            <w:noWrap/>
            <w:vAlign w:val="center"/>
          </w:tcPr>
          <w:p w14:paraId="553E389D">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CFD仿真</w:t>
            </w:r>
          </w:p>
        </w:tc>
        <w:tc>
          <w:tcPr>
            <w:tcW w:w="1081" w:type="dxa"/>
            <w:shd w:val="clear" w:color="000000" w:fill="FFFFFF"/>
            <w:vAlign w:val="center"/>
          </w:tcPr>
          <w:p w14:paraId="4493C2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1</w:t>
            </w:r>
          </w:p>
        </w:tc>
        <w:tc>
          <w:tcPr>
            <w:tcW w:w="1164" w:type="dxa"/>
            <w:shd w:val="clear" w:color="000000" w:fill="FFFFFF"/>
            <w:vAlign w:val="center"/>
          </w:tcPr>
          <w:p w14:paraId="5FDC192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2183" w:type="dxa"/>
            <w:shd w:val="clear" w:color="000000" w:fill="FFFFFF"/>
            <w:vAlign w:val="center"/>
          </w:tcPr>
          <w:p w14:paraId="154489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动力工程及工程热物理</w:t>
            </w:r>
          </w:p>
        </w:tc>
        <w:tc>
          <w:tcPr>
            <w:tcW w:w="1450" w:type="dxa"/>
            <w:shd w:val="clear" w:color="000000" w:fill="FFFFFF"/>
            <w:vAlign w:val="center"/>
          </w:tcPr>
          <w:p w14:paraId="4A1725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面议</w:t>
            </w:r>
          </w:p>
        </w:tc>
        <w:tc>
          <w:tcPr>
            <w:tcW w:w="1589" w:type="dxa"/>
            <w:vMerge w:val="continue"/>
            <w:shd w:val="clear" w:color="000000" w:fill="FFFFFF"/>
            <w:vAlign w:val="center"/>
          </w:tcPr>
          <w:p w14:paraId="296261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33A2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32" w:type="dxa"/>
            <w:shd w:val="clear" w:color="000000" w:fill="FFFFFF"/>
            <w:noWrap/>
            <w:vAlign w:val="center"/>
          </w:tcPr>
          <w:p w14:paraId="0C2309E6">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基于化学气相沉积法制备高性能硅基负极材料</w:t>
            </w:r>
          </w:p>
        </w:tc>
        <w:tc>
          <w:tcPr>
            <w:tcW w:w="1081" w:type="dxa"/>
            <w:shd w:val="clear" w:color="000000" w:fill="FFFFFF"/>
            <w:vAlign w:val="center"/>
          </w:tcPr>
          <w:p w14:paraId="72D0DC9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1</w:t>
            </w:r>
          </w:p>
        </w:tc>
        <w:tc>
          <w:tcPr>
            <w:tcW w:w="1164" w:type="dxa"/>
            <w:shd w:val="clear" w:color="000000" w:fill="FFFFFF"/>
            <w:vAlign w:val="center"/>
          </w:tcPr>
          <w:p w14:paraId="60DEC13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2183" w:type="dxa"/>
            <w:shd w:val="clear" w:color="000000" w:fill="FFFFFF"/>
            <w:vAlign w:val="center"/>
          </w:tcPr>
          <w:p w14:paraId="1A6875C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物理化学</w:t>
            </w:r>
          </w:p>
        </w:tc>
        <w:tc>
          <w:tcPr>
            <w:tcW w:w="1450" w:type="dxa"/>
            <w:shd w:val="clear" w:color="000000" w:fill="FFFFFF"/>
            <w:vAlign w:val="center"/>
          </w:tcPr>
          <w:p w14:paraId="241C82D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2"/>
                <w:sz w:val="21"/>
                <w:szCs w:val="21"/>
              </w:rPr>
              <w:t>面议</w:t>
            </w:r>
          </w:p>
        </w:tc>
        <w:tc>
          <w:tcPr>
            <w:tcW w:w="1589" w:type="dxa"/>
            <w:vMerge w:val="continue"/>
            <w:shd w:val="clear" w:color="000000" w:fill="FFFFFF"/>
            <w:vAlign w:val="center"/>
          </w:tcPr>
          <w:p w14:paraId="3B3498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26497D92">
      <w:pPr>
        <w:pStyle w:val="5"/>
        <w:adjustRightInd w:val="0"/>
        <w:snapToGrid w:val="0"/>
        <w:spacing w:line="240" w:lineRule="auto"/>
        <w:ind w:firstLine="0"/>
        <w:rPr>
          <w:rFonts w:eastAsiaTheme="minorEastAsia"/>
          <w:sz w:val="21"/>
          <w:szCs w:val="21"/>
        </w:rPr>
      </w:pPr>
      <w:r>
        <w:br w:type="page"/>
      </w:r>
    </w:p>
    <w:p w14:paraId="1630B9E7">
      <w:pPr>
        <w:pStyle w:val="5"/>
        <w:keepNext w:val="0"/>
        <w:keepLines w:val="0"/>
        <w:pageBreakBefore w:val="0"/>
        <w:widowControl w:val="0"/>
        <w:tabs>
          <w:tab w:val="center" w:pos="4705"/>
          <w:tab w:val="left" w:pos="7680"/>
        </w:tabs>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001724F3">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76" w:name="_Toc10128"/>
      <w:bookmarkStart w:id="977" w:name="_Toc1347"/>
      <w:bookmarkStart w:id="978" w:name="_Toc18496"/>
      <w:bookmarkStart w:id="979" w:name="_Toc29237"/>
      <w:bookmarkStart w:id="980" w:name="_Toc17781"/>
      <w:r>
        <w:rPr>
          <w:rFonts w:hint="eastAsia" w:ascii="Times New Roman" w:hAnsi="Times New Roman" w:eastAsia="方正小标宋简体" w:cs="Times New Roman"/>
          <w:sz w:val="44"/>
          <w:szCs w:val="44"/>
          <w:highlight w:val="none"/>
        </w:rPr>
        <w:t>遂宁市中心医院</w:t>
      </w:r>
      <w:bookmarkEnd w:id="976"/>
      <w:bookmarkEnd w:id="977"/>
      <w:bookmarkEnd w:id="978"/>
      <w:bookmarkEnd w:id="979"/>
      <w:bookmarkEnd w:id="980"/>
    </w:p>
    <w:p w14:paraId="0E852B5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644"/>
        <w:gridCol w:w="860"/>
        <w:gridCol w:w="356"/>
        <w:gridCol w:w="1193"/>
        <w:gridCol w:w="1622"/>
        <w:gridCol w:w="171"/>
        <w:gridCol w:w="1303"/>
        <w:gridCol w:w="96"/>
        <w:gridCol w:w="2205"/>
      </w:tblGrid>
      <w:tr w14:paraId="4ED7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02AA27D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504" w:type="dxa"/>
            <w:gridSpan w:val="2"/>
            <w:shd w:val="clear" w:color="000000" w:fill="FFFFFF"/>
            <w:noWrap/>
            <w:vAlign w:val="center"/>
          </w:tcPr>
          <w:p w14:paraId="372EA7F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医疗机构</w:t>
            </w:r>
          </w:p>
        </w:tc>
        <w:tc>
          <w:tcPr>
            <w:tcW w:w="1549" w:type="dxa"/>
            <w:gridSpan w:val="2"/>
            <w:shd w:val="clear" w:color="auto" w:fill="E7E6E6" w:themeFill="background2"/>
            <w:noWrap/>
            <w:vAlign w:val="center"/>
          </w:tcPr>
          <w:p w14:paraId="273029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22" w:type="dxa"/>
            <w:shd w:val="clear" w:color="000000" w:fill="FFFFFF"/>
            <w:noWrap/>
            <w:vAlign w:val="center"/>
          </w:tcPr>
          <w:p w14:paraId="339145C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70" w:type="dxa"/>
            <w:gridSpan w:val="3"/>
            <w:shd w:val="clear" w:color="auto" w:fill="E7E6E6" w:themeFill="background2"/>
            <w:noWrap/>
            <w:vAlign w:val="center"/>
          </w:tcPr>
          <w:p w14:paraId="77BD1EF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205" w:type="dxa"/>
            <w:shd w:val="clear" w:color="000000" w:fill="FFFFFF"/>
            <w:noWrap/>
            <w:vAlign w:val="center"/>
          </w:tcPr>
          <w:p w14:paraId="4628F5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遂宁</w:t>
            </w:r>
          </w:p>
        </w:tc>
      </w:tr>
      <w:tr w14:paraId="7049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6D42168D">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0" w:type="dxa"/>
            <w:gridSpan w:val="9"/>
            <w:shd w:val="clear" w:color="000000" w:fill="FFFFFF"/>
            <w:noWrap/>
            <w:vAlign w:val="center"/>
          </w:tcPr>
          <w:p w14:paraId="55916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四川省遂宁</w:t>
            </w:r>
            <w:r>
              <w:rPr>
                <w:rFonts w:hint="eastAsia" w:cs="Times New Roman" w:eastAsiaTheme="minorEastAsia"/>
                <w:sz w:val="21"/>
                <w:szCs w:val="21"/>
                <w:lang w:val="en-US" w:eastAsia="zh-CN"/>
              </w:rPr>
              <w:t>市</w:t>
            </w:r>
            <w:r>
              <w:rPr>
                <w:rFonts w:hint="default" w:ascii="Times New Roman" w:hAnsi="Times New Roman" w:cs="Times New Roman" w:eastAsiaTheme="minorEastAsia"/>
                <w:sz w:val="21"/>
                <w:szCs w:val="21"/>
              </w:rPr>
              <w:t>河东新区东平北路27号</w:t>
            </w:r>
          </w:p>
        </w:tc>
      </w:tr>
      <w:tr w14:paraId="4395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0" w:hRule="atLeast"/>
          <w:jc w:val="center"/>
        </w:trPr>
        <w:tc>
          <w:tcPr>
            <w:tcW w:w="1301" w:type="dxa"/>
            <w:shd w:val="clear" w:color="auto" w:fill="E7E6E6" w:themeFill="background2"/>
            <w:noWrap/>
            <w:vAlign w:val="center"/>
          </w:tcPr>
          <w:p w14:paraId="2C498A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9"/>
            <w:shd w:val="clear" w:color="000000" w:fill="FFFFFF"/>
            <w:vAlign w:val="center"/>
          </w:tcPr>
          <w:p w14:paraId="045A92C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遂宁市中心医院是一所集医疗、教学、科研、预防、保健为一体的国家三级甲等综合医院。承担着省内外十余家医学院校的临床教学任务,是重庆医科大学、川北医学院、成都中医药大学、遵义医科大学及西南医科大学的研究生联合培养单位，与重庆医科大学联合招聘培养博士后研究人员。是西班牙特拉萨大学医院、法国昂热医教中心、加拿大七橡树综合医院国际友好合作医院。建立了遂宁市首个院士工作站，与毕晓普癌症研究所合作共建了精准肿瘤基础实验室，建设了国科健康医疗大数据遂宁研究中心，我院生物样本库获批国家科技部中国人类遗传资源保藏行政许可，建立了超声+医学研究平台并获批成为超声医学工程国家重点实验室分室。目前科研用房面积逾2600平方米，拥有开展生物医学相关基础科研所需主要仪器设备总价值1800余万元。</w:t>
            </w:r>
          </w:p>
        </w:tc>
      </w:tr>
      <w:tr w14:paraId="0336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7" w:hRule="atLeast"/>
          <w:jc w:val="center"/>
        </w:trPr>
        <w:tc>
          <w:tcPr>
            <w:tcW w:w="1301" w:type="dxa"/>
            <w:shd w:val="clear" w:color="auto" w:fill="E7E6E6" w:themeFill="background2"/>
            <w:noWrap/>
            <w:vAlign w:val="center"/>
          </w:tcPr>
          <w:p w14:paraId="78754A3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9"/>
            <w:shd w:val="clear" w:color="000000" w:fill="FFFFFF"/>
            <w:vAlign w:val="center"/>
          </w:tcPr>
          <w:p w14:paraId="4937FE3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我院高度重视人才工作，对招收的博士后在人、财、物、居等方面给予充分保障，为博士后人才提供优良的科研及生活条件。博士后薪酬、福利、奖励和社保按不低于医院同等职称的专职科研人员的标准发放。博士后的科研经费由医院根据博士后科研项目情况投入，进站人员给予20万元科研项目启动经费（含各级财政支持科研启动经费），必要时根据项目具体情况按国家级项目1：3，部级项目1：2，省级项目1：1.5追加科研经费。博士后人才享受遂宁市高层次人才引进政策，医院协助申报相应安家补助、住房保障等政策。协助办理其配偶、子女的户口随迁、就学等有关事项。享受医院工会会员工会会员同等福利，如结婚慰问，符合政策的生育慰问、节日慰问、体检等福利。提供国内、外参加学术会议和培训的机会。符合医院科技成果奖励相关政策的成果，按医院现行办法与本院职工享受同等待遇。</w:t>
            </w:r>
          </w:p>
        </w:tc>
      </w:tr>
      <w:tr w14:paraId="6295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945" w:type="dxa"/>
            <w:gridSpan w:val="2"/>
            <w:shd w:val="clear" w:color="auto" w:fill="E7E6E6" w:themeFill="background2"/>
            <w:noWrap/>
            <w:vAlign w:val="center"/>
          </w:tcPr>
          <w:p w14:paraId="6DB08D5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216" w:type="dxa"/>
            <w:gridSpan w:val="2"/>
            <w:shd w:val="clear" w:color="auto" w:fill="E7E6E6" w:themeFill="background2"/>
            <w:vAlign w:val="center"/>
          </w:tcPr>
          <w:p w14:paraId="42E8BA2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93" w:type="dxa"/>
            <w:shd w:val="clear" w:color="auto" w:fill="E7E6E6" w:themeFill="background2"/>
            <w:vAlign w:val="center"/>
          </w:tcPr>
          <w:p w14:paraId="473F54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793" w:type="dxa"/>
            <w:gridSpan w:val="2"/>
            <w:shd w:val="clear" w:color="auto" w:fill="E7E6E6" w:themeFill="background2"/>
            <w:vAlign w:val="center"/>
          </w:tcPr>
          <w:p w14:paraId="37C4CF1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E4E1EE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03" w:type="dxa"/>
            <w:shd w:val="clear" w:color="auto" w:fill="E7E6E6" w:themeFill="background2"/>
            <w:vAlign w:val="center"/>
          </w:tcPr>
          <w:p w14:paraId="0EBD5CD6">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75C0872">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301" w:type="dxa"/>
            <w:gridSpan w:val="2"/>
            <w:shd w:val="clear" w:color="auto" w:fill="E7E6E6" w:themeFill="background2"/>
            <w:vAlign w:val="center"/>
          </w:tcPr>
          <w:p w14:paraId="10BA69E7">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547A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4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A95DAE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聚焦超声治疗基础及临床研究</w:t>
            </w:r>
          </w:p>
        </w:tc>
        <w:tc>
          <w:tcPr>
            <w:tcW w:w="12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35E28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1~2人</w:t>
            </w:r>
          </w:p>
        </w:tc>
        <w:tc>
          <w:tcPr>
            <w:tcW w:w="11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3C0D9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79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524CB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肿瘤学、外科学</w:t>
            </w:r>
          </w:p>
        </w:tc>
        <w:tc>
          <w:tcPr>
            <w:tcW w:w="130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75E2A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w:t>
            </w:r>
            <w:r>
              <w:rPr>
                <w:rStyle w:val="28"/>
                <w:rFonts w:hint="default" w:ascii="Times New Roman" w:hAnsi="Times New Roman" w:cs="Times New Roman" w:eastAsiaTheme="minorEastAsia"/>
                <w:i w:val="0"/>
                <w:iCs w:val="0"/>
                <w:caps w:val="0"/>
                <w:color w:val="333333"/>
                <w:spacing w:val="0"/>
                <w:sz w:val="21"/>
                <w:szCs w:val="21"/>
                <w:shd w:val="clear" w:color="auto" w:fill="FFFFFF"/>
              </w:rPr>
              <w:t>~</w:t>
            </w:r>
            <w:r>
              <w:rPr>
                <w:rFonts w:hint="default" w:ascii="Times New Roman" w:hAnsi="Times New Roman" w:cs="Times New Roman" w:eastAsiaTheme="minorEastAsia"/>
                <w:sz w:val="21"/>
                <w:szCs w:val="21"/>
                <w:lang w:val="en-US" w:eastAsia="zh-CN"/>
              </w:rPr>
              <w:t>30</w:t>
            </w:r>
          </w:p>
        </w:tc>
        <w:tc>
          <w:tcPr>
            <w:tcW w:w="2301" w:type="dxa"/>
            <w:gridSpan w:val="2"/>
            <w:tcBorders>
              <w:top w:val="single" w:color="auto" w:sz="4" w:space="0"/>
              <w:left w:val="single" w:color="auto" w:sz="4" w:space="0"/>
              <w:right w:val="single" w:color="auto" w:sz="4" w:space="0"/>
              <w:tl2br w:val="nil"/>
              <w:tr2bl w:val="nil"/>
            </w:tcBorders>
            <w:shd w:val="clear" w:color="auto" w:fill="FFFFFF"/>
            <w:vAlign w:val="center"/>
          </w:tcPr>
          <w:p w14:paraId="410CF85D">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具有良好的政治素质和道德修养，遵纪守法，无违法违纪等不良记录；2.原则上35周岁（含）以下，身心健康，全职从事博士后研究工作；3.已经获得博士学位的应届博士研究生；4.具有基础、临床研究相关的专业学科背景，基础理论扎实，具有较强的科研能力、团队合作能力和敬业精神，能开创性地完成相应科研工作。</w:t>
            </w:r>
          </w:p>
          <w:p w14:paraId="3A0BBC2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p>
        </w:tc>
      </w:tr>
    </w:tbl>
    <w:p w14:paraId="7F15665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FACB3B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323005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9A09E1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66EC9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70A5B0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323DEA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3638CA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07FBF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3D3506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91BE1C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5CC02B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E56E1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EBF74A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C2F9E1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E23ED9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AB075FB">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2A8A2FC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81" w:name="_Toc29243"/>
      <w:bookmarkStart w:id="982" w:name="_Toc19882"/>
      <w:bookmarkStart w:id="983" w:name="_Toc8545"/>
      <w:bookmarkStart w:id="984" w:name="_Toc30607"/>
      <w:bookmarkStart w:id="985" w:name="_Toc32519"/>
      <w:r>
        <w:rPr>
          <w:rFonts w:hint="eastAsia" w:ascii="Times New Roman" w:hAnsi="Times New Roman" w:eastAsia="方正小标宋简体" w:cs="Times New Roman"/>
          <w:sz w:val="44"/>
          <w:szCs w:val="44"/>
          <w:highlight w:val="none"/>
        </w:rPr>
        <w:t>台沃科技集团股份有限公司</w:t>
      </w:r>
      <w:bookmarkEnd w:id="981"/>
      <w:bookmarkEnd w:id="982"/>
      <w:bookmarkEnd w:id="983"/>
      <w:bookmarkEnd w:id="984"/>
      <w:bookmarkEnd w:id="985"/>
    </w:p>
    <w:p w14:paraId="3A38C44E">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335"/>
        <w:gridCol w:w="820"/>
        <w:gridCol w:w="1000"/>
        <w:gridCol w:w="139"/>
        <w:gridCol w:w="1478"/>
        <w:gridCol w:w="469"/>
        <w:gridCol w:w="1343"/>
        <w:gridCol w:w="176"/>
        <w:gridCol w:w="1774"/>
        <w:gridCol w:w="33"/>
      </w:tblGrid>
      <w:tr w14:paraId="2567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4EA33266">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98" w:type="dxa"/>
            <w:gridSpan w:val="2"/>
            <w:shd w:val="clear" w:color="000000" w:fill="FFFFFF"/>
            <w:noWrap/>
            <w:vAlign w:val="center"/>
          </w:tcPr>
          <w:p w14:paraId="59BD84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民营企业</w:t>
            </w:r>
          </w:p>
        </w:tc>
        <w:tc>
          <w:tcPr>
            <w:tcW w:w="1784" w:type="dxa"/>
            <w:gridSpan w:val="2"/>
            <w:shd w:val="clear" w:color="auto" w:fill="E7E6E6" w:themeFill="background2"/>
            <w:noWrap/>
            <w:vAlign w:val="center"/>
          </w:tcPr>
          <w:p w14:paraId="05DE60E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3306C58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74CC1F8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662A5C0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绵阳</w:t>
            </w:r>
          </w:p>
        </w:tc>
      </w:tr>
      <w:tr w14:paraId="03C1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7EED9BD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1911E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四川省绵阳市经开区万达广场21栋25层</w:t>
            </w:r>
          </w:p>
        </w:tc>
      </w:tr>
      <w:tr w14:paraId="4A77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124" w:hRule="atLeast"/>
          <w:jc w:val="center"/>
        </w:trPr>
        <w:tc>
          <w:tcPr>
            <w:tcW w:w="1271" w:type="dxa"/>
            <w:shd w:val="clear" w:color="auto" w:fill="E7E6E6" w:themeFill="background2"/>
            <w:noWrap/>
            <w:vAlign w:val="center"/>
          </w:tcPr>
          <w:p w14:paraId="41ED28D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1749CD1F">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台沃集团成立于2003年6月，注册地为三台县芦溪工业集中区，是一家为农户科学种田提供全产业链服务的科技型企业。公司已成为农业产业化国家重点龙头企业、国家高新技术企业、国家知识产权优势企业，与四川农业大学、西南科技大学、四川省农科院、中科院成都生物研究所合作，建成了四川省农作物专用配方肥工程实验室、四川省缓控释专用生态肥工程技术研究中心、四川省博士后创新实践基地、四川省企业技术中心共4个。20余年来，始终秉承“科技为先、兴农报国”的办企宗旨，怀揣“为耕者谋丰收”、“让科学种田更简单”的企业使命和愿景，为广大农户和农业新型经营主体提供作物专用肥、现代种业、绿色防控、粮油加工、高效种植集成技术推广与农业托管等全程社会化服务。2023年实现产值11.17亿元，助农增收13.2亿元。公司行业地位居四川前茅。</w:t>
            </w:r>
          </w:p>
        </w:tc>
      </w:tr>
      <w:tr w14:paraId="1A4B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146" w:hRule="atLeast"/>
          <w:jc w:val="center"/>
        </w:trPr>
        <w:tc>
          <w:tcPr>
            <w:tcW w:w="1271" w:type="dxa"/>
            <w:shd w:val="clear" w:color="auto" w:fill="E7E6E6" w:themeFill="background2"/>
            <w:noWrap/>
            <w:vAlign w:val="center"/>
          </w:tcPr>
          <w:p w14:paraId="44ADD2CC">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625188F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1.博士后待遇一事一议；</w:t>
            </w:r>
          </w:p>
          <w:p w14:paraId="2EDF13C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2.提供住宿或租房补贴；</w:t>
            </w:r>
          </w:p>
          <w:p w14:paraId="2F0456F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3.提供餐补；</w:t>
            </w:r>
          </w:p>
          <w:p w14:paraId="31CF4E8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4.解决子女入学。</w:t>
            </w:r>
          </w:p>
        </w:tc>
      </w:tr>
      <w:tr w14:paraId="4EF6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641DD52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3B469F8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A71625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14:paraId="518DC81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9277E7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88" w:type="dxa"/>
            <w:gridSpan w:val="2"/>
            <w:shd w:val="clear" w:color="auto" w:fill="E7E6E6" w:themeFill="background2"/>
            <w:vAlign w:val="center"/>
          </w:tcPr>
          <w:p w14:paraId="03E61DA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7969F1B">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71" w:type="dxa"/>
            <w:gridSpan w:val="2"/>
            <w:shd w:val="clear" w:color="auto" w:fill="E7E6E6" w:themeFill="background2"/>
            <w:vAlign w:val="center"/>
          </w:tcPr>
          <w:p w14:paraId="00550C6D">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01EA0EA9">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4C9D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141" w:type="dxa"/>
            <w:gridSpan w:val="2"/>
            <w:vMerge w:val="restart"/>
            <w:tcBorders>
              <w:top w:val="single" w:color="auto" w:sz="4" w:space="0"/>
              <w:left w:val="single" w:color="auto" w:sz="4" w:space="0"/>
              <w:right w:val="single" w:color="auto" w:sz="4" w:space="0"/>
              <w:tl2br w:val="nil"/>
              <w:tr2bl w:val="nil"/>
            </w:tcBorders>
            <w:shd w:val="clear" w:color="auto" w:fill="FFFFFF"/>
            <w:noWrap/>
            <w:vAlign w:val="center"/>
          </w:tcPr>
          <w:p w14:paraId="096AA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肥料产品生产工艺研发</w:t>
            </w:r>
          </w:p>
        </w:tc>
        <w:tc>
          <w:tcPr>
            <w:tcW w:w="1132" w:type="dxa"/>
            <w:gridSpan w:val="2"/>
            <w:vMerge w:val="restart"/>
            <w:tcBorders>
              <w:top w:val="single" w:color="auto" w:sz="4" w:space="0"/>
              <w:left w:val="single" w:color="auto" w:sz="4" w:space="0"/>
              <w:right w:val="single" w:color="auto" w:sz="4" w:space="0"/>
              <w:tl2br w:val="nil"/>
              <w:tr2bl w:val="nil"/>
            </w:tcBorders>
            <w:shd w:val="clear" w:color="auto" w:fill="FFFFFF"/>
            <w:vAlign w:val="center"/>
          </w:tcPr>
          <w:p w14:paraId="39AD17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116" w:type="dxa"/>
            <w:gridSpan w:val="2"/>
            <w:vMerge w:val="restart"/>
            <w:tcBorders>
              <w:top w:val="single" w:color="auto" w:sz="4" w:space="0"/>
              <w:left w:val="single" w:color="auto" w:sz="4" w:space="0"/>
              <w:right w:val="single" w:color="auto" w:sz="4" w:space="0"/>
              <w:tl2br w:val="nil"/>
              <w:tr2bl w:val="nil"/>
            </w:tcBorders>
            <w:shd w:val="clear" w:color="auto" w:fill="FFFFFF"/>
            <w:vAlign w:val="center"/>
          </w:tcPr>
          <w:p w14:paraId="4DB13E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BSH001</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BF96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化工类</w:t>
            </w:r>
          </w:p>
        </w:tc>
        <w:tc>
          <w:tcPr>
            <w:tcW w:w="1488" w:type="dxa"/>
            <w:gridSpan w:val="2"/>
            <w:vMerge w:val="restart"/>
            <w:tcBorders>
              <w:top w:val="single" w:color="auto" w:sz="4" w:space="0"/>
              <w:left w:val="single" w:color="auto" w:sz="4" w:space="0"/>
              <w:right w:val="single" w:color="auto" w:sz="4" w:space="0"/>
              <w:tl2br w:val="nil"/>
              <w:tr2bl w:val="nil"/>
            </w:tcBorders>
            <w:shd w:val="clear" w:color="auto" w:fill="FFFFFF"/>
            <w:vAlign w:val="center"/>
          </w:tcPr>
          <w:p w14:paraId="21BCC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40</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702867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四川大学/南京工业大学/上海交通大学</w:t>
            </w:r>
          </w:p>
        </w:tc>
      </w:tr>
      <w:tr w14:paraId="335F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141" w:type="dxa"/>
            <w:gridSpan w:val="2"/>
            <w:vMerge w:val="continue"/>
            <w:tcBorders>
              <w:left w:val="single" w:color="auto" w:sz="4" w:space="0"/>
              <w:bottom w:val="single" w:color="auto" w:sz="4" w:space="0"/>
              <w:right w:val="single" w:color="auto" w:sz="4" w:space="0"/>
              <w:tl2br w:val="nil"/>
              <w:tr2bl w:val="nil"/>
            </w:tcBorders>
            <w:shd w:val="clear" w:color="auto" w:fill="FFFFFF"/>
            <w:noWrap/>
            <w:vAlign w:val="center"/>
          </w:tcPr>
          <w:p w14:paraId="4F3A95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p>
        </w:tc>
        <w:tc>
          <w:tcPr>
            <w:tcW w:w="1132" w:type="dxa"/>
            <w:gridSpan w:val="2"/>
            <w:vMerge w:val="continue"/>
            <w:tcBorders>
              <w:left w:val="single" w:color="auto" w:sz="4" w:space="0"/>
              <w:bottom w:val="single" w:color="auto" w:sz="4" w:space="0"/>
              <w:right w:val="single" w:color="auto" w:sz="4" w:space="0"/>
              <w:tl2br w:val="nil"/>
              <w:tr2bl w:val="nil"/>
            </w:tcBorders>
            <w:shd w:val="clear" w:color="auto" w:fill="FFFFFF"/>
            <w:vAlign w:val="center"/>
          </w:tcPr>
          <w:p w14:paraId="237441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c>
          <w:tcPr>
            <w:tcW w:w="1116" w:type="dxa"/>
            <w:gridSpan w:val="2"/>
            <w:vMerge w:val="continue"/>
            <w:tcBorders>
              <w:left w:val="single" w:color="auto" w:sz="4" w:space="0"/>
              <w:bottom w:val="single" w:color="auto" w:sz="4" w:space="0"/>
              <w:right w:val="single" w:color="auto" w:sz="4" w:space="0"/>
              <w:tl2br w:val="nil"/>
              <w:tr2bl w:val="nil"/>
            </w:tcBorders>
            <w:shd w:val="clear" w:color="auto" w:fill="FFFFFF"/>
            <w:vAlign w:val="center"/>
          </w:tcPr>
          <w:p w14:paraId="05497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012B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机械自动化</w:t>
            </w:r>
          </w:p>
        </w:tc>
        <w:tc>
          <w:tcPr>
            <w:tcW w:w="1488" w:type="dxa"/>
            <w:gridSpan w:val="2"/>
            <w:vMerge w:val="continue"/>
            <w:tcBorders>
              <w:left w:val="single" w:color="auto" w:sz="4" w:space="0"/>
              <w:bottom w:val="single" w:color="auto" w:sz="4" w:space="0"/>
              <w:right w:val="single" w:color="auto" w:sz="4" w:space="0"/>
              <w:tl2br w:val="nil"/>
              <w:tr2bl w:val="nil"/>
            </w:tcBorders>
            <w:shd w:val="clear" w:color="auto" w:fill="FFFFFF"/>
            <w:vAlign w:val="center"/>
          </w:tcPr>
          <w:p w14:paraId="1BBBA0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p>
        </w:tc>
        <w:tc>
          <w:tcPr>
            <w:tcW w:w="1771" w:type="dxa"/>
            <w:gridSpan w:val="2"/>
            <w:tcBorders>
              <w:left w:val="single" w:color="auto" w:sz="4" w:space="0"/>
              <w:bottom w:val="single" w:color="auto" w:sz="4" w:space="0"/>
              <w:right w:val="single" w:color="auto" w:sz="4" w:space="0"/>
              <w:tl2br w:val="nil"/>
              <w:tr2bl w:val="nil"/>
            </w:tcBorders>
            <w:shd w:val="clear" w:color="auto" w:fill="FFFFFF"/>
            <w:vAlign w:val="center"/>
          </w:tcPr>
          <w:p w14:paraId="45D9B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清华大学/浙江大学</w:t>
            </w:r>
          </w:p>
        </w:tc>
      </w:tr>
      <w:tr w14:paraId="794E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CAB7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水肥一体化研究</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EDC6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7854E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BSH002</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3BA8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水肥一体方向</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C9A6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50</w:t>
            </w:r>
          </w:p>
        </w:tc>
        <w:tc>
          <w:tcPr>
            <w:tcW w:w="177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7015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四川农业大学/西南科技大学/塔里木大学</w:t>
            </w:r>
          </w:p>
        </w:tc>
      </w:tr>
      <w:tr w14:paraId="683E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739F7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智慧农业开发</w:t>
            </w:r>
          </w:p>
        </w:tc>
        <w:tc>
          <w:tcPr>
            <w:tcW w:w="1132"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FB313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p>
        </w:tc>
        <w:tc>
          <w:tcPr>
            <w:tcW w:w="111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9621E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BSH003</w:t>
            </w:r>
          </w:p>
        </w:tc>
        <w:tc>
          <w:tcPr>
            <w:tcW w:w="190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6E07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智慧农业方向</w:t>
            </w:r>
          </w:p>
        </w:tc>
        <w:tc>
          <w:tcPr>
            <w:tcW w:w="14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4AA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50</w:t>
            </w:r>
          </w:p>
        </w:tc>
        <w:tc>
          <w:tcPr>
            <w:tcW w:w="1771" w:type="dxa"/>
            <w:gridSpan w:val="2"/>
            <w:tcBorders>
              <w:top w:val="single" w:color="auto" w:sz="4" w:space="0"/>
              <w:left w:val="single" w:color="auto" w:sz="4" w:space="0"/>
              <w:right w:val="single" w:color="auto" w:sz="4" w:space="0"/>
              <w:tl2br w:val="nil"/>
              <w:tr2bl w:val="nil"/>
            </w:tcBorders>
            <w:shd w:val="clear" w:color="auto" w:fill="FFFFFF"/>
            <w:vAlign w:val="center"/>
          </w:tcPr>
          <w:p w14:paraId="0225A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四川农业大学/西南科技大学/塔里木大学</w:t>
            </w:r>
          </w:p>
        </w:tc>
      </w:tr>
    </w:tbl>
    <w:p w14:paraId="0C63581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E91E4E9">
      <w:pPr>
        <w:pStyle w:val="5"/>
        <w:adjustRightInd w:val="0"/>
        <w:snapToGrid w:val="0"/>
        <w:spacing w:line="240" w:lineRule="auto"/>
        <w:ind w:firstLine="0"/>
        <w:jc w:val="center"/>
        <w:outlineLvl w:val="9"/>
        <w:rPr>
          <w:rFonts w:hint="eastAsia" w:ascii="Times New Roman" w:hAnsi="Times New Roman" w:eastAsia="方正小标宋简体" w:cs="Times New Roman"/>
          <w:sz w:val="44"/>
          <w:szCs w:val="44"/>
          <w:highlight w:val="none"/>
        </w:rPr>
      </w:pPr>
      <w:bookmarkStart w:id="986" w:name="_Toc9088"/>
    </w:p>
    <w:p w14:paraId="22E147E5">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87" w:name="_Toc16296"/>
      <w:bookmarkStart w:id="988" w:name="_Toc22205"/>
      <w:bookmarkStart w:id="989" w:name="_Toc9963"/>
      <w:bookmarkStart w:id="990" w:name="_Toc8770"/>
      <w:r>
        <w:rPr>
          <w:rFonts w:hint="eastAsia" w:ascii="Times New Roman" w:hAnsi="Times New Roman" w:eastAsia="方正小标宋简体" w:cs="Times New Roman"/>
          <w:sz w:val="44"/>
          <w:szCs w:val="44"/>
          <w:highlight w:val="none"/>
        </w:rPr>
        <w:t>天府永兴实验室</w:t>
      </w:r>
      <w:bookmarkEnd w:id="986"/>
      <w:bookmarkEnd w:id="987"/>
      <w:bookmarkEnd w:id="988"/>
      <w:bookmarkEnd w:id="989"/>
      <w:bookmarkEnd w:id="990"/>
    </w:p>
    <w:p w14:paraId="4B214462">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504"/>
        <w:gridCol w:w="1119"/>
        <w:gridCol w:w="430"/>
        <w:gridCol w:w="786"/>
        <w:gridCol w:w="835"/>
        <w:gridCol w:w="799"/>
        <w:gridCol w:w="1020"/>
        <w:gridCol w:w="307"/>
        <w:gridCol w:w="1650"/>
      </w:tblGrid>
      <w:tr w14:paraId="4C80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DED84A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shd w:val="clear" w:color="000000" w:fill="FFFFFF"/>
            <w:noWrap/>
            <w:vAlign w:val="center"/>
          </w:tcPr>
          <w:p w14:paraId="6B1CF4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513" w:type="dxa"/>
            <w:gridSpan w:val="2"/>
            <w:shd w:val="clear" w:color="auto" w:fill="E7E6E6" w:themeFill="background2"/>
            <w:noWrap/>
            <w:vAlign w:val="center"/>
          </w:tcPr>
          <w:p w14:paraId="1E5C7E1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0B933F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2"/>
            <w:shd w:val="clear" w:color="auto" w:fill="E7E6E6" w:themeFill="background2"/>
            <w:noWrap/>
            <w:vAlign w:val="center"/>
          </w:tcPr>
          <w:p w14:paraId="42099E8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gridSpan w:val="2"/>
            <w:shd w:val="clear" w:color="000000" w:fill="FFFFFF"/>
            <w:noWrap/>
            <w:vAlign w:val="center"/>
          </w:tcPr>
          <w:p w14:paraId="47131DF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4C43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7B2BE138">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9"/>
            <w:shd w:val="clear" w:color="000000" w:fill="FFFFFF"/>
            <w:noWrap/>
            <w:vAlign w:val="center"/>
          </w:tcPr>
          <w:p w14:paraId="44597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四川省成都市双流区集萃街619号天府海创园12号楼</w:t>
            </w:r>
          </w:p>
        </w:tc>
      </w:tr>
      <w:tr w14:paraId="249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8" w:hRule="atLeast"/>
          <w:jc w:val="center"/>
        </w:trPr>
        <w:tc>
          <w:tcPr>
            <w:tcW w:w="1271" w:type="dxa"/>
            <w:shd w:val="clear" w:color="auto" w:fill="E7E6E6" w:themeFill="background2"/>
            <w:noWrap/>
            <w:vAlign w:val="center"/>
          </w:tcPr>
          <w:p w14:paraId="46BEDD7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0F344C6E">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天府永兴实验室是四川省委、省政府布局建设的“碳中和”省级实验室，于2021年12月23日正式揭牌运行，落户西部（成都）科学城。</w:t>
            </w:r>
          </w:p>
          <w:p w14:paraId="10068A8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实验室瞄准国际前沿、国内领先、四川特色、低碳产业，由北京大学张远航院士任主任、清华大学贺克斌院士任学术委员会主任，汇聚全国碳中和领域60余位院士专家学者，共同打造碳中和人才汇聚高地、科技创新先锋、产业发展引擎。</w:t>
            </w:r>
          </w:p>
          <w:p w14:paraId="61748B5B">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实验室科学布局清洁低碳能源、资源碳中和、碳捕集与利用、碳汇与地质固碳、减污降碳协同、碳中和集成耦合六个研究方向，通过“核心+基地+网络”的运行模式，打通“基础研究–技术攻关–产业转化”创新全链条，促进低碳产业高质量发展和经济社会绿色转型，为我国实现碳中和目标书写四川答卷、打造四川样本，为应对气候变化输出中国方案、贡献中国力量。</w:t>
            </w:r>
          </w:p>
        </w:tc>
      </w:tr>
      <w:tr w14:paraId="6483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7" w:hRule="atLeast"/>
          <w:jc w:val="center"/>
        </w:trPr>
        <w:tc>
          <w:tcPr>
            <w:tcW w:w="1271" w:type="dxa"/>
            <w:shd w:val="clear" w:color="auto" w:fill="E7E6E6" w:themeFill="background2"/>
            <w:noWrap/>
            <w:vAlign w:val="center"/>
          </w:tcPr>
          <w:p w14:paraId="20ADA88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51ADBBC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1、高水平的事业平台</w:t>
            </w:r>
          </w:p>
          <w:p w14:paraId="1742CD92">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（1）院士专家领衔的高水平科研团队</w:t>
            </w:r>
          </w:p>
          <w:p w14:paraId="7D26F2BD">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（2）高能级的科研实验平台</w:t>
            </w:r>
          </w:p>
          <w:p w14:paraId="7447F64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（3）参与解决碳中和领域“卡脖子”科学问题的历史机遇</w:t>
            </w:r>
          </w:p>
          <w:p w14:paraId="5AEDE675">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2、有竞争力的薪酬福利待遇</w:t>
            </w:r>
          </w:p>
          <w:p w14:paraId="1FF3D933">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（1）市场化的薪酬体系：同行业同地区有竞争力的薪酬水平</w:t>
            </w:r>
          </w:p>
          <w:p w14:paraId="28030609">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（2）多元化的福利体系：货币化补贴、健康体检、补充假期等</w:t>
            </w:r>
          </w:p>
          <w:p w14:paraId="002F085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（3）多层次的奖励体系：科技成果奖励、成果转化收益分配等</w:t>
            </w:r>
          </w:p>
          <w:p w14:paraId="33C4DA4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3、全方位的职业发展路径</w:t>
            </w:r>
          </w:p>
          <w:p w14:paraId="7379CC5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（1）科研、技术、产业、管理多序列职业上升通道</w:t>
            </w:r>
          </w:p>
          <w:p w14:paraId="447F788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（2）国际化的学术交流机会、高质量的赋能培训</w:t>
            </w:r>
          </w:p>
          <w:p w14:paraId="1C69011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（3）完善畅通的职称评定体系</w:t>
            </w:r>
          </w:p>
          <w:p w14:paraId="32976B24">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4、优越的地方人才政策</w:t>
            </w:r>
          </w:p>
          <w:p w14:paraId="6FD10661">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积极推荐申报四川省、成都市、天府新区各级各类人才计划，在人才补贴、落户、安居、子女入学、医疗等方面提供服务保障。</w:t>
            </w:r>
          </w:p>
        </w:tc>
      </w:tr>
      <w:tr w14:paraId="787F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740" w:type="dxa"/>
            <w:gridSpan w:val="2"/>
            <w:shd w:val="clear" w:color="auto" w:fill="E7E6E6" w:themeFill="background2"/>
            <w:noWrap/>
            <w:vAlign w:val="center"/>
          </w:tcPr>
          <w:p w14:paraId="72B6B94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14:paraId="1B03445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14:paraId="0CBE26A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14:paraId="226F63E0">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1F1BA95">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296" w:type="dxa"/>
            <w:gridSpan w:val="2"/>
            <w:shd w:val="clear" w:color="auto" w:fill="E7E6E6" w:themeFill="background2"/>
            <w:vAlign w:val="center"/>
          </w:tcPr>
          <w:p w14:paraId="3802C9B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5128BF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11" w:type="dxa"/>
            <w:shd w:val="clear" w:color="auto" w:fill="E7E6E6" w:themeFill="background2"/>
            <w:vAlign w:val="center"/>
          </w:tcPr>
          <w:p w14:paraId="3CDF2EF1">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31DCAE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C1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F8113A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生态碳汇计算</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6C711A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009871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BSH001</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B3438DE">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农林经济管理、生态学、土壤学、生物学</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81A675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611"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63F965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无</w:t>
            </w:r>
          </w:p>
        </w:tc>
      </w:tr>
      <w:tr w14:paraId="5B24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7AB6E25">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油气原位制氢</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C346C5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4B613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BSH002</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CC80B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石油与天然气工程、化学工程与技术、计算机科学与技术</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01D6F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611" w:type="dxa"/>
            <w:vMerge w:val="continue"/>
            <w:tcBorders>
              <w:left w:val="single" w:color="auto" w:sz="4" w:space="0"/>
              <w:right w:val="single" w:color="auto" w:sz="4" w:space="0"/>
              <w:tl2br w:val="nil"/>
              <w:tr2bl w:val="nil"/>
            </w:tcBorders>
            <w:shd w:val="clear" w:color="auto" w:fill="FFFFFF"/>
            <w:vAlign w:val="center"/>
          </w:tcPr>
          <w:p w14:paraId="3801416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p>
        </w:tc>
      </w:tr>
      <w:tr w14:paraId="1340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28FD3509">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二氧化碳压裂</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4DF7D7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C6399E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BSH003</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8BD011">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石油与天然气工程、化学工程与技术</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1DA5A9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611" w:type="dxa"/>
            <w:vMerge w:val="continue"/>
            <w:tcBorders>
              <w:left w:val="single" w:color="auto" w:sz="4" w:space="0"/>
              <w:right w:val="single" w:color="auto" w:sz="4" w:space="0"/>
              <w:tl2br w:val="nil"/>
              <w:tr2bl w:val="nil"/>
            </w:tcBorders>
            <w:shd w:val="clear" w:color="auto" w:fill="FFFFFF"/>
            <w:vAlign w:val="center"/>
          </w:tcPr>
          <w:p w14:paraId="4880391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p>
        </w:tc>
      </w:tr>
      <w:tr w14:paraId="03EB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74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D14810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新型电力系统</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8A3D1F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188"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641650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BSH004</w:t>
            </w:r>
          </w:p>
        </w:tc>
        <w:tc>
          <w:tcPr>
            <w:tcW w:w="15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5C78AE7">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电气工程及其自动化</w:t>
            </w:r>
          </w:p>
        </w:tc>
        <w:tc>
          <w:tcPr>
            <w:tcW w:w="1296"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742E32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611" w:type="dxa"/>
            <w:tcBorders>
              <w:left w:val="single" w:color="auto" w:sz="4" w:space="0"/>
              <w:right w:val="single" w:color="auto" w:sz="4" w:space="0"/>
              <w:tl2br w:val="nil"/>
              <w:tr2bl w:val="nil"/>
            </w:tcBorders>
            <w:shd w:val="clear" w:color="auto" w:fill="FFFFFF"/>
            <w:vAlign w:val="center"/>
          </w:tcPr>
          <w:p w14:paraId="218CCFC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985高校全日制博士学历</w:t>
            </w:r>
          </w:p>
        </w:tc>
      </w:tr>
    </w:tbl>
    <w:p w14:paraId="73680C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8A12A8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28AF08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EA4761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A05F8E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71D10C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79A115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7D141E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737621C">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036ABC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2A243A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21EB2D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369CA9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84D810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E32F9F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3F29CF1">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991" w:name="_Toc3814"/>
      <w:bookmarkStart w:id="992" w:name="_Toc13696"/>
      <w:bookmarkStart w:id="993" w:name="_Toc13728"/>
      <w:bookmarkStart w:id="994" w:name="_Toc3858"/>
      <w:bookmarkStart w:id="995" w:name="_Toc29393"/>
      <w:r>
        <w:rPr>
          <w:rFonts w:hint="eastAsia" w:ascii="Times New Roman" w:hAnsi="Times New Roman" w:eastAsia="方正小标宋简体" w:cs="Times New Roman"/>
          <w:sz w:val="44"/>
          <w:szCs w:val="44"/>
          <w:highlight w:val="none"/>
        </w:rPr>
        <w:t>宜宾凯翼汽车有限公司</w:t>
      </w:r>
      <w:bookmarkEnd w:id="991"/>
      <w:bookmarkEnd w:id="992"/>
      <w:bookmarkEnd w:id="993"/>
      <w:bookmarkEnd w:id="994"/>
      <w:bookmarkEnd w:id="995"/>
    </w:p>
    <w:tbl>
      <w:tblPr>
        <w:tblStyle w:val="25"/>
        <w:tblpPr w:leftFromText="180" w:rightFromText="180" w:vertAnchor="text" w:horzAnchor="page" w:tblpXSpec="center" w:tblpY="232"/>
        <w:tblOverlap w:val="never"/>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13"/>
        <w:gridCol w:w="491"/>
        <w:gridCol w:w="456"/>
        <w:gridCol w:w="1093"/>
        <w:gridCol w:w="1622"/>
        <w:gridCol w:w="1585"/>
        <w:gridCol w:w="2190"/>
      </w:tblGrid>
      <w:tr w14:paraId="746C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4F7F0FA2">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469" w:type="dxa"/>
            <w:gridSpan w:val="2"/>
            <w:shd w:val="clear" w:color="000000" w:fill="FFFFFF"/>
            <w:noWrap/>
            <w:vAlign w:val="center"/>
          </w:tcPr>
          <w:p w14:paraId="42221AF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国有企业</w:t>
            </w:r>
          </w:p>
        </w:tc>
        <w:tc>
          <w:tcPr>
            <w:tcW w:w="1513" w:type="dxa"/>
            <w:gridSpan w:val="2"/>
            <w:shd w:val="clear" w:color="auto" w:fill="E7E6E6" w:themeFill="background2"/>
            <w:noWrap/>
            <w:vAlign w:val="center"/>
          </w:tcPr>
          <w:p w14:paraId="57D0E1D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shd w:val="clear" w:color="000000" w:fill="FFFFFF"/>
            <w:noWrap/>
            <w:vAlign w:val="center"/>
          </w:tcPr>
          <w:p w14:paraId="33E369D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8" w:type="dxa"/>
            <w:shd w:val="clear" w:color="auto" w:fill="E7E6E6" w:themeFill="background2"/>
            <w:noWrap/>
            <w:vAlign w:val="center"/>
          </w:tcPr>
          <w:p w14:paraId="3F1F061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139" w:type="dxa"/>
            <w:shd w:val="clear" w:color="000000" w:fill="FFFFFF"/>
            <w:noWrap/>
            <w:vAlign w:val="center"/>
          </w:tcPr>
          <w:p w14:paraId="72AD34B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宜宾</w:t>
            </w:r>
          </w:p>
        </w:tc>
      </w:tr>
      <w:tr w14:paraId="5510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277D7DB">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7"/>
            <w:shd w:val="clear" w:color="000000" w:fill="FFFFFF"/>
            <w:noWrap/>
            <w:vAlign w:val="center"/>
          </w:tcPr>
          <w:p w14:paraId="33C3C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四川省宜宾市翠屏区临港经济技术开发区长江北路西段附四段7号</w:t>
            </w:r>
          </w:p>
        </w:tc>
      </w:tr>
      <w:tr w14:paraId="229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271" w:type="dxa"/>
            <w:shd w:val="clear" w:color="auto" w:fill="E7E6E6" w:themeFill="background2"/>
            <w:noWrap/>
            <w:vAlign w:val="center"/>
          </w:tcPr>
          <w:p w14:paraId="0D84F08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14:paraId="1A1C4768">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宜宾凯翼汽车有限公司是四川省省委、省政府和宜宾市委、市政府重点支持、发展和着力打造的大型新兴产业企业，是宜宾打造千亿级汽车产业的龙头引擎和“一蓝一绿”战略的践行者。公司是四川省首家具备轿车、SUV、MPV车型，兼具燃油和新能源双资质全品类的乘用车生产企业，并肩负着“驱动产业生态、赋能区域发展、践行产业梦想”的使命，心怀“让出行更低碳、让生活更美好”的伟大愿景。</w:t>
            </w:r>
          </w:p>
          <w:p w14:paraId="543B7B9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   凯翼汽车抢抓国家实施“双碳”战略和宜宾“世界动力电池大会”机遇，坚定不移走新能源和智能网联汽车发展之路，以全新品牌、产品、营销和商业模式，全力追赶，后发快进。同时，重点布局东南亚、北非、中东、东欧、中南美、中亚等国际市场，全力争创2030年50万台高质量产销规模，以跻身中国主流车企。</w:t>
            </w:r>
          </w:p>
        </w:tc>
      </w:tr>
      <w:tr w14:paraId="7759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9" w:hRule="atLeast"/>
          <w:jc w:val="center"/>
        </w:trPr>
        <w:tc>
          <w:tcPr>
            <w:tcW w:w="1271" w:type="dxa"/>
            <w:shd w:val="clear" w:color="auto" w:fill="E7E6E6" w:themeFill="background2"/>
            <w:noWrap/>
            <w:vAlign w:val="center"/>
          </w:tcPr>
          <w:p w14:paraId="702F39F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14:paraId="77082F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1.薪酬：综合年薪税前30-40万元。</w:t>
            </w:r>
          </w:p>
          <w:p w14:paraId="73D2CC8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2.社会保障：六险一金。</w:t>
            </w:r>
          </w:p>
          <w:p w14:paraId="19CD3D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3.高管带教：由公司高层领导对博士后研究人员进行指导与培训。</w:t>
            </w:r>
          </w:p>
          <w:p w14:paraId="2772C7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4.科研资助：给予博士后科研项目专项资金支持，并配置科研团队。</w:t>
            </w:r>
          </w:p>
          <w:p w14:paraId="48189A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5.专项奖励：在站期间取得的科技成果给予专项奖励。</w:t>
            </w:r>
          </w:p>
          <w:p w14:paraId="0E8BC7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6.职称评审：博士后人员进站满1年，研究成果或业绩突出，经2名导师署名推荐、设站单位考核合格，可破格申报评审副高级职称，具有副高级职称的可破格申报评审正高级职称。</w:t>
            </w:r>
          </w:p>
          <w:p w14:paraId="6F2CE9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7.生活保障：享受宜宾市人才引进政策，发放人才绿卡，在住宿、配偶就业、子女入学、交通、医疗等方面提供保障；可申请15-20万元安家费及每月1500-2000元生活补助。</w:t>
            </w:r>
          </w:p>
          <w:p w14:paraId="74C88D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8.其他福利：购车优惠、员工班车、交通补贴、通讯补助、用餐补贴等。</w:t>
            </w:r>
          </w:p>
        </w:tc>
      </w:tr>
      <w:tr w14:paraId="065D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60" w:type="dxa"/>
            <w:gridSpan w:val="2"/>
            <w:shd w:val="clear" w:color="auto" w:fill="E7E6E6" w:themeFill="background2"/>
            <w:noWrap/>
            <w:vAlign w:val="center"/>
          </w:tcPr>
          <w:p w14:paraId="26227F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14:paraId="405277B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01A972D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14:paraId="7DEE87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39A7E0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14:paraId="345D23C4">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28E206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548" w:type="dxa"/>
            <w:shd w:val="clear" w:color="auto" w:fill="E7E6E6" w:themeFill="background2"/>
            <w:vAlign w:val="center"/>
          </w:tcPr>
          <w:p w14:paraId="5DB5B80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5FAB659">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shd w:val="clear" w:color="auto" w:fill="E7E6E6" w:themeFill="background2"/>
            <w:vAlign w:val="center"/>
          </w:tcPr>
          <w:p w14:paraId="6C9140C4">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362C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180B1A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国家、省部及横向项目，企业研发项目</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31B91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C776E0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BSH001</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FA9285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机械工程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493A9A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10</w:t>
            </w:r>
          </w:p>
        </w:tc>
        <w:tc>
          <w:tcPr>
            <w:tcW w:w="213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7D0279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全国各大高校</w:t>
            </w:r>
          </w:p>
        </w:tc>
      </w:tr>
      <w:tr w14:paraId="6536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noWrap/>
            <w:vAlign w:val="center"/>
          </w:tcPr>
          <w:p w14:paraId="524CB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1F029EA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49AF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人数</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5C2CA28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04F64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编号</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53322328">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4698627B">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5098011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C4525E2">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139" w:type="dxa"/>
            <w:tcBorders>
              <w:top w:val="single" w:color="auto" w:sz="4" w:space="0"/>
              <w:left w:val="single" w:color="auto" w:sz="4" w:space="0"/>
              <w:right w:val="single" w:color="auto" w:sz="4" w:space="0"/>
              <w:tl2br w:val="nil"/>
              <w:tr2bl w:val="nil"/>
            </w:tcBorders>
            <w:shd w:val="clear" w:color="auto" w:fill="E7E6E6" w:themeFill="background2"/>
            <w:vAlign w:val="center"/>
          </w:tcPr>
          <w:p w14:paraId="77404F40">
            <w:pPr>
              <w:adjustRightInd w:val="0"/>
              <w:snapToGrid w:val="0"/>
              <w:spacing w:line="240" w:lineRule="auto"/>
              <w:ind w:firstLine="0"/>
              <w:jc w:val="center"/>
              <w:rPr>
                <w:rFonts w:hint="eastAsia"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74E8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78333446">
            <w:pPr>
              <w:adjustRightInd w:val="0"/>
              <w:snapToGrid w:val="0"/>
              <w:spacing w:line="240" w:lineRule="auto"/>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国家、省部及横向项目，企业研发项目</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31306B2">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045FE19">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BSH002</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14C5C60">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电气工程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0FD04E7">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2139" w:type="dxa"/>
            <w:vMerge w:val="restart"/>
            <w:tcBorders>
              <w:top w:val="single" w:color="auto" w:sz="4" w:space="0"/>
              <w:left w:val="single" w:color="auto" w:sz="4" w:space="0"/>
              <w:right w:val="single" w:color="auto" w:sz="4" w:space="0"/>
              <w:tl2br w:val="nil"/>
              <w:tr2bl w:val="nil"/>
            </w:tcBorders>
            <w:shd w:val="clear" w:color="auto" w:fill="FFFFFF"/>
            <w:vAlign w:val="center"/>
          </w:tcPr>
          <w:p w14:paraId="366D764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全国各大高校</w:t>
            </w:r>
          </w:p>
        </w:tc>
      </w:tr>
      <w:tr w14:paraId="7A58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5871D37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国家、省部及横向项目，企业研发项目</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19D842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CE5C4D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3</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487E5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交通运输工程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51368C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w:t>
            </w:r>
          </w:p>
        </w:tc>
        <w:tc>
          <w:tcPr>
            <w:tcW w:w="2139" w:type="dxa"/>
            <w:vMerge w:val="continue"/>
            <w:tcBorders>
              <w:left w:val="single" w:color="auto" w:sz="4" w:space="0"/>
              <w:right w:val="single" w:color="auto" w:sz="4" w:space="0"/>
              <w:tl2br w:val="nil"/>
              <w:tr2bl w:val="nil"/>
            </w:tcBorders>
            <w:shd w:val="clear" w:color="auto" w:fill="FFFFFF"/>
            <w:vAlign w:val="center"/>
          </w:tcPr>
          <w:p w14:paraId="226E48D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1E91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8B59FF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国家、省部及横向项目，企业研发项目</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B478EF9">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A07FA0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4</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4BD607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软件工程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E92D28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w:t>
            </w:r>
          </w:p>
        </w:tc>
        <w:tc>
          <w:tcPr>
            <w:tcW w:w="2139" w:type="dxa"/>
            <w:vMerge w:val="continue"/>
            <w:tcBorders>
              <w:left w:val="single" w:color="auto" w:sz="4" w:space="0"/>
              <w:right w:val="single" w:color="auto" w:sz="4" w:space="0"/>
              <w:tl2br w:val="nil"/>
              <w:tr2bl w:val="nil"/>
            </w:tcBorders>
            <w:shd w:val="clear" w:color="auto" w:fill="FFFFFF"/>
            <w:vAlign w:val="center"/>
          </w:tcPr>
          <w:p w14:paraId="5162ABD2">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r w14:paraId="4463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260"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0DD156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国家、省部及横向项目，企业研发项目</w:t>
            </w:r>
          </w:p>
        </w:tc>
        <w:tc>
          <w:tcPr>
            <w:tcW w:w="925"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64F78B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w:t>
            </w:r>
          </w:p>
        </w:tc>
        <w:tc>
          <w:tcPr>
            <w:tcW w:w="106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341830E">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BSH00</w:t>
            </w:r>
            <w:r>
              <w:rPr>
                <w:rFonts w:hint="default" w:ascii="Times New Roman" w:hAnsi="Times New Roman" w:cs="Times New Roman" w:eastAsiaTheme="minorEastAsia"/>
                <w:sz w:val="21"/>
                <w:szCs w:val="21"/>
                <w:lang w:val="en-US" w:eastAsia="zh-CN"/>
              </w:rPr>
              <w:t>5</w:t>
            </w:r>
          </w:p>
        </w:tc>
        <w:tc>
          <w:tcPr>
            <w:tcW w:w="15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5D7D2A">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材料科学与工程</w:t>
            </w:r>
          </w:p>
        </w:tc>
        <w:tc>
          <w:tcPr>
            <w:tcW w:w="15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B3341C7">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w:t>
            </w:r>
          </w:p>
        </w:tc>
        <w:tc>
          <w:tcPr>
            <w:tcW w:w="2139" w:type="dxa"/>
            <w:vMerge w:val="continue"/>
            <w:tcBorders>
              <w:left w:val="single" w:color="auto" w:sz="4" w:space="0"/>
              <w:right w:val="single" w:color="auto" w:sz="4" w:space="0"/>
              <w:tl2br w:val="nil"/>
              <w:tr2bl w:val="nil"/>
            </w:tcBorders>
            <w:shd w:val="clear" w:color="auto" w:fill="FFFFFF"/>
            <w:vAlign w:val="center"/>
          </w:tcPr>
          <w:p w14:paraId="2B7FAE4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p>
        </w:tc>
      </w:tr>
    </w:tbl>
    <w:p w14:paraId="7C5FBB77">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p w14:paraId="38C5111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FEE038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AC4775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F8E8D7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7CAF6A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61F21D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38D13C1B">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7C1744B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E7E69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82D652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AC187D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C80D04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1D1971C">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3234DA16">
      <w:pPr>
        <w:pStyle w:val="5"/>
        <w:adjustRightInd w:val="0"/>
        <w:snapToGrid w:val="0"/>
        <w:spacing w:line="240" w:lineRule="auto"/>
        <w:ind w:firstLine="0"/>
        <w:jc w:val="both"/>
        <w:rPr>
          <w:rFonts w:hint="eastAsia" w:ascii="Times New Roman" w:hAnsi="Times New Roman" w:eastAsia="方正小标宋简体" w:cs="Times New Roman"/>
          <w:sz w:val="44"/>
          <w:szCs w:val="44"/>
          <w:highlight w:val="yellow"/>
        </w:rPr>
      </w:pPr>
    </w:p>
    <w:p w14:paraId="197A454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996" w:name="_Toc24497"/>
      <w:bookmarkStart w:id="997" w:name="_Toc14054"/>
      <w:bookmarkStart w:id="998" w:name="_Toc23475"/>
      <w:bookmarkStart w:id="999" w:name="_Toc14573"/>
      <w:bookmarkStart w:id="1000" w:name="_Toc6281"/>
      <w:r>
        <w:rPr>
          <w:rFonts w:eastAsia="方正小标宋简体"/>
          <w:sz w:val="44"/>
          <w:szCs w:val="44"/>
          <w:highlight w:val="none"/>
        </w:rPr>
        <w:t>浙江大学自贡创新中心</w:t>
      </w:r>
      <w:bookmarkEnd w:id="996"/>
      <w:bookmarkEnd w:id="997"/>
      <w:bookmarkEnd w:id="998"/>
      <w:bookmarkEnd w:id="999"/>
      <w:bookmarkEnd w:id="1000"/>
    </w:p>
    <w:p w14:paraId="32FCB3D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358"/>
        <w:gridCol w:w="1255"/>
        <w:gridCol w:w="581"/>
        <w:gridCol w:w="519"/>
        <w:gridCol w:w="1154"/>
        <w:gridCol w:w="463"/>
        <w:gridCol w:w="1492"/>
        <w:gridCol w:w="1629"/>
      </w:tblGrid>
      <w:tr w14:paraId="3C8E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3FF139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26" w:type="dxa"/>
            <w:shd w:val="clear" w:color="000000" w:fill="FFFFFF"/>
            <w:noWrap/>
            <w:vAlign w:val="center"/>
          </w:tcPr>
          <w:p w14:paraId="4A627E44">
            <w:pPr>
              <w:adjustRightInd w:val="0"/>
              <w:snapToGrid w:val="0"/>
              <w:spacing w:line="240" w:lineRule="auto"/>
              <w:ind w:left="0" w:leftChars="0" w:firstLine="0" w:firstLineChars="0"/>
              <w:jc w:val="center"/>
              <w:rPr>
                <w:rFonts w:hint="eastAsia" w:eastAsiaTheme="minorEastAsia"/>
                <w:sz w:val="21"/>
                <w:szCs w:val="21"/>
                <w:lang w:eastAsia="zh-CN"/>
              </w:rPr>
            </w:pPr>
            <w:r>
              <w:rPr>
                <w:rFonts w:hint="eastAsia" w:eastAsiaTheme="minorEastAsia"/>
                <w:sz w:val="21"/>
                <w:szCs w:val="21"/>
                <w:lang w:val="en-US" w:eastAsia="zh-CN"/>
              </w:rPr>
              <w:t>其他</w:t>
            </w:r>
          </w:p>
        </w:tc>
        <w:tc>
          <w:tcPr>
            <w:tcW w:w="1793" w:type="dxa"/>
            <w:gridSpan w:val="2"/>
            <w:shd w:val="clear" w:color="auto" w:fill="E7E6E6" w:themeFill="background2"/>
            <w:noWrap/>
            <w:vAlign w:val="center"/>
          </w:tcPr>
          <w:p w14:paraId="39E44B0B">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14:paraId="491E00AE">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14:paraId="1A37DB03">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14:paraId="599E1762">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0EB6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C643D9D">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14:paraId="01A6A273">
            <w:pPr>
              <w:adjustRightInd w:val="0"/>
              <w:snapToGrid w:val="0"/>
              <w:spacing w:line="240" w:lineRule="auto"/>
              <w:ind w:firstLine="1890" w:firstLineChars="900"/>
              <w:rPr>
                <w:rFonts w:eastAsiaTheme="minorEastAsia"/>
                <w:sz w:val="21"/>
                <w:szCs w:val="21"/>
              </w:rPr>
            </w:pPr>
            <w:r>
              <w:rPr>
                <w:rFonts w:eastAsiaTheme="minorEastAsia"/>
                <w:sz w:val="21"/>
                <w:szCs w:val="21"/>
              </w:rPr>
              <w:t>四川省</w:t>
            </w:r>
            <w:r>
              <w:rPr>
                <w:rFonts w:hint="eastAsia" w:eastAsiaTheme="minorEastAsia"/>
                <w:sz w:val="21"/>
                <w:szCs w:val="21"/>
              </w:rPr>
              <w:t>自贡市高新工业园区金川路69号</w:t>
            </w:r>
          </w:p>
        </w:tc>
      </w:tr>
      <w:tr w14:paraId="5FA9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1271" w:type="dxa"/>
            <w:shd w:val="clear" w:color="auto" w:fill="E7E6E6" w:themeFill="background2"/>
            <w:noWrap/>
            <w:vAlign w:val="center"/>
          </w:tcPr>
          <w:p w14:paraId="7025804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14:paraId="31B3A7F2">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浙江大学自贡创新中心博士后创新实践基地于2016年获四川省人力资源和社会保障厅批准建立，依托单位是浙江大学自贡创新中心（以下简称中心）。中心是浙江大学在西南地区布局的第一个公益性事业法人单位，组建能源清洁利用、机电装备、盐健康与个人护理等专家服务团队致力于发展成为集技术研发、成果转化、产业孵化、战略规划和教育培训功能“五位一体”的创新创业服务机构。</w:t>
            </w:r>
          </w:p>
        </w:tc>
      </w:tr>
      <w:tr w14:paraId="262B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1271" w:type="dxa"/>
            <w:shd w:val="clear" w:color="auto" w:fill="E7E6E6" w:themeFill="background2"/>
            <w:noWrap/>
            <w:vAlign w:val="center"/>
          </w:tcPr>
          <w:p w14:paraId="4A83815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14:paraId="3062753E">
            <w:pPr>
              <w:adjustRightInd w:val="0"/>
              <w:snapToGrid w:val="0"/>
              <w:spacing w:line="480" w:lineRule="auto"/>
              <w:ind w:firstLine="420" w:firstLineChars="200"/>
              <w:rPr>
                <w:rFonts w:hint="eastAsia" w:eastAsiaTheme="minorEastAsia"/>
                <w:sz w:val="21"/>
                <w:szCs w:val="21"/>
              </w:rPr>
            </w:pPr>
            <w:r>
              <w:rPr>
                <w:rFonts w:hint="eastAsia" w:eastAsiaTheme="minorEastAsia"/>
                <w:sz w:val="21"/>
                <w:szCs w:val="21"/>
              </w:rPr>
              <w:t>1、免费为博士及以上者提供专家套房居住；</w:t>
            </w:r>
          </w:p>
          <w:p w14:paraId="758531EC">
            <w:pPr>
              <w:adjustRightInd w:val="0"/>
              <w:snapToGrid w:val="0"/>
              <w:spacing w:line="480" w:lineRule="auto"/>
              <w:ind w:firstLine="420" w:firstLineChars="200"/>
              <w:rPr>
                <w:rFonts w:hint="eastAsia" w:eastAsiaTheme="minorEastAsia"/>
                <w:sz w:val="21"/>
                <w:szCs w:val="21"/>
              </w:rPr>
            </w:pPr>
            <w:r>
              <w:rPr>
                <w:rFonts w:hint="eastAsia" w:eastAsiaTheme="minorEastAsia"/>
                <w:sz w:val="21"/>
                <w:szCs w:val="21"/>
              </w:rPr>
              <w:t>2、享受通讯补贴、交通补贴、工作餐等，免费上下班交通班车；</w:t>
            </w:r>
          </w:p>
          <w:p w14:paraId="75395B15">
            <w:pPr>
              <w:adjustRightInd w:val="0"/>
              <w:snapToGrid w:val="0"/>
              <w:spacing w:line="480" w:lineRule="auto"/>
              <w:ind w:firstLine="420" w:firstLineChars="200"/>
              <w:rPr>
                <w:rFonts w:eastAsiaTheme="minorEastAsia"/>
                <w:sz w:val="21"/>
                <w:szCs w:val="21"/>
              </w:rPr>
            </w:pPr>
            <w:r>
              <w:rPr>
                <w:rFonts w:hint="eastAsia" w:eastAsiaTheme="minorEastAsia"/>
                <w:sz w:val="21"/>
                <w:szCs w:val="21"/>
              </w:rPr>
              <w:t>3、按国家规定享受五险一金、周末双休及法定节假日、探亲家、年休假等福利。</w:t>
            </w:r>
          </w:p>
        </w:tc>
      </w:tr>
      <w:tr w14:paraId="6CCF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597" w:type="dxa"/>
            <w:gridSpan w:val="2"/>
            <w:shd w:val="clear" w:color="auto" w:fill="E7E6E6" w:themeFill="background2"/>
            <w:noWrap/>
            <w:vAlign w:val="center"/>
          </w:tcPr>
          <w:p w14:paraId="31261EF0">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6" w:type="dxa"/>
            <w:shd w:val="clear" w:color="auto" w:fill="E7E6E6" w:themeFill="background2"/>
            <w:vAlign w:val="center"/>
          </w:tcPr>
          <w:p w14:paraId="7630B0E2">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74" w:type="dxa"/>
            <w:gridSpan w:val="2"/>
            <w:shd w:val="clear" w:color="auto" w:fill="E7E6E6" w:themeFill="background2"/>
            <w:vAlign w:val="center"/>
          </w:tcPr>
          <w:p w14:paraId="73CF9B3C">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79" w:type="dxa"/>
            <w:gridSpan w:val="2"/>
            <w:shd w:val="clear" w:color="auto" w:fill="E7E6E6" w:themeFill="background2"/>
            <w:vAlign w:val="center"/>
          </w:tcPr>
          <w:p w14:paraId="2944B12E">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0D739D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57" w:type="dxa"/>
            <w:shd w:val="clear" w:color="auto" w:fill="E7E6E6" w:themeFill="background2"/>
            <w:vAlign w:val="center"/>
          </w:tcPr>
          <w:p w14:paraId="256783B8">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0CC1F7D">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1" w:type="dxa"/>
            <w:shd w:val="clear" w:color="auto" w:fill="E7E6E6" w:themeFill="background2"/>
            <w:vAlign w:val="center"/>
          </w:tcPr>
          <w:p w14:paraId="3CE785C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17B78F0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784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59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3D39EC43">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浙江大学自贡创新中心技术创新平台</w:t>
            </w:r>
          </w:p>
        </w:tc>
        <w:tc>
          <w:tcPr>
            <w:tcW w:w="122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76F4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CC220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7C67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机械工程</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5904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74108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0311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59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643427AB">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浙江大学自贡创新中心技术创新平台</w:t>
            </w:r>
          </w:p>
        </w:tc>
        <w:tc>
          <w:tcPr>
            <w:tcW w:w="122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628F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513D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9423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能源科学技术</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7945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8E152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3F29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59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F0CADAE">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浙江大学自贡创新中心技术创新平台</w:t>
            </w:r>
          </w:p>
        </w:tc>
        <w:tc>
          <w:tcPr>
            <w:tcW w:w="122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1B0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74"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BC8B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579"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D6E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化学工程与技术</w:t>
            </w:r>
          </w:p>
        </w:tc>
        <w:tc>
          <w:tcPr>
            <w:tcW w:w="1457"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22628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59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69227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14:paraId="06192F6E">
      <w:pPr>
        <w:adjustRightInd w:val="0"/>
        <w:snapToGrid w:val="0"/>
        <w:spacing w:line="240" w:lineRule="auto"/>
        <w:rPr>
          <w:sz w:val="21"/>
          <w:szCs w:val="21"/>
        </w:rPr>
      </w:pPr>
      <w:r>
        <w:rPr>
          <w:sz w:val="21"/>
          <w:szCs w:val="21"/>
        </w:rPr>
        <w:br w:type="page"/>
      </w:r>
    </w:p>
    <w:p w14:paraId="454A1CBA">
      <w:pPr>
        <w:pStyle w:val="5"/>
        <w:adjustRightInd w:val="0"/>
        <w:snapToGrid w:val="0"/>
        <w:spacing w:line="240" w:lineRule="auto"/>
        <w:jc w:val="center"/>
        <w:rPr>
          <w:sz w:val="44"/>
          <w:szCs w:val="44"/>
        </w:rPr>
      </w:pPr>
    </w:p>
    <w:p w14:paraId="2BD58A0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1001" w:name="_Toc12323"/>
      <w:bookmarkStart w:id="1002" w:name="_Toc7177"/>
      <w:bookmarkStart w:id="1003" w:name="_Toc15299"/>
      <w:bookmarkStart w:id="1004" w:name="_Toc30408"/>
      <w:bookmarkStart w:id="1005" w:name="_Toc24415"/>
      <w:r>
        <w:rPr>
          <w:rFonts w:hint="eastAsia" w:ascii="Times New Roman" w:hAnsi="Times New Roman" w:eastAsia="方正小标宋简体" w:cs="Times New Roman"/>
          <w:sz w:val="44"/>
          <w:szCs w:val="44"/>
          <w:highlight w:val="none"/>
        </w:rPr>
        <w:t>中国农业科学院都市农业研究所</w:t>
      </w:r>
      <w:bookmarkEnd w:id="1001"/>
      <w:bookmarkEnd w:id="1002"/>
      <w:bookmarkEnd w:id="1003"/>
      <w:bookmarkEnd w:id="1004"/>
      <w:bookmarkEnd w:id="1005"/>
    </w:p>
    <w:p w14:paraId="1CC81715">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06CA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D790A6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6D0AA39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科研院所</w:t>
            </w:r>
          </w:p>
        </w:tc>
        <w:tc>
          <w:tcPr>
            <w:tcW w:w="1616" w:type="dxa"/>
            <w:gridSpan w:val="2"/>
            <w:shd w:val="clear" w:color="auto" w:fill="E7E6E6" w:themeFill="background2"/>
            <w:noWrap/>
            <w:vAlign w:val="center"/>
          </w:tcPr>
          <w:p w14:paraId="5FE2595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65E3E78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449BFC5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29E3FC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3DA5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07C242E7">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7B891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四川省成都市双流区（天府新区）兴隆街道天明社区蜡梓东街36号</w:t>
            </w:r>
          </w:p>
        </w:tc>
      </w:tr>
      <w:tr w14:paraId="1A37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213" w:hRule="atLeast"/>
          <w:jc w:val="center"/>
        </w:trPr>
        <w:tc>
          <w:tcPr>
            <w:tcW w:w="1271" w:type="dxa"/>
            <w:shd w:val="clear" w:color="auto" w:fill="E7E6E6" w:themeFill="background2"/>
            <w:noWrap/>
            <w:vAlign w:val="center"/>
          </w:tcPr>
          <w:p w14:paraId="16FC2948">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4708384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中国农业科学院都市农业研究所（以下简称都市所）是经中编办批复成立的国家级农业科研单位，是国家成都农业科技中心(以下简称国家成都中心)的重要支撑机构，围绕都市农业学科发展和西南地区产业需求，分类布局建设了设施农业、功能农业、休闲农业三大学科领域，设施农业装备、设施种养工程、设施生物安全、功能产品加工工程、功能产品营养安全、都市农业理论与政策、休闲农业技术与工程、城市农业生态与环境八大重点方向。</w:t>
            </w:r>
          </w:p>
        </w:tc>
      </w:tr>
      <w:tr w14:paraId="7CB1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2656" w:hRule="atLeast"/>
          <w:jc w:val="center"/>
        </w:trPr>
        <w:tc>
          <w:tcPr>
            <w:tcW w:w="1271" w:type="dxa"/>
            <w:shd w:val="clear" w:color="auto" w:fill="E7E6E6" w:themeFill="background2"/>
            <w:noWrap/>
            <w:vAlign w:val="center"/>
          </w:tcPr>
          <w:p w14:paraId="1E2336B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387451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我所为博士后人员提供优厚的待遇，除基本工资性收入以外，在站期间取得的科研成果纳入研究所科研奖励范围，按照在职职工标准发放。博士后人员享受五险一金、工会福利等职工福利待遇，同时可申请入住研究所公寓。在站期间根据项目需要可到国外开展合作研究。此外，符合四川省、成都市及天府新区等支持政策的，可同时享受相应待遇；同时享受“全国博管会-中国农业科学院”等专项经费资助：如入选中国农业科学院博士后“优农计划”等专项资助计划，连续资助两年；在站期间可申报“中国农业科学院优秀博士后”评审，入选者给予奖金奖励并推荐站内副高级职称申报等，综合待遇不低于30万/年。</w:t>
            </w:r>
          </w:p>
        </w:tc>
      </w:tr>
      <w:tr w14:paraId="4F2A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530A2BA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2BEF7FE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1FD1516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6210E42B">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9A1866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63B5789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7AB6E06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3A77C04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39745997">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5C48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shd w:val="clear" w:color="auto" w:fill="auto"/>
            <w:noWrap/>
            <w:vAlign w:val="center"/>
          </w:tcPr>
          <w:p w14:paraId="60657B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设施农业</w:t>
            </w:r>
          </w:p>
        </w:tc>
        <w:tc>
          <w:tcPr>
            <w:tcW w:w="1132" w:type="dxa"/>
            <w:gridSpan w:val="2"/>
            <w:shd w:val="clear" w:color="auto" w:fill="auto"/>
            <w:vAlign w:val="center"/>
          </w:tcPr>
          <w:p w14:paraId="714F0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13</w:t>
            </w:r>
          </w:p>
        </w:tc>
        <w:tc>
          <w:tcPr>
            <w:tcW w:w="1116" w:type="dxa"/>
            <w:gridSpan w:val="2"/>
            <w:shd w:val="clear" w:color="auto" w:fill="auto"/>
            <w:vAlign w:val="center"/>
          </w:tcPr>
          <w:p w14:paraId="37CD6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BSH001</w:t>
            </w:r>
          </w:p>
        </w:tc>
        <w:tc>
          <w:tcPr>
            <w:tcW w:w="1512" w:type="dxa"/>
            <w:gridSpan w:val="2"/>
            <w:shd w:val="clear" w:color="auto" w:fill="auto"/>
            <w:vAlign w:val="center"/>
          </w:tcPr>
          <w:p w14:paraId="6B4984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作物学、农业工程、生物学、兽医学、农业资源与环境</w:t>
            </w:r>
          </w:p>
        </w:tc>
        <w:tc>
          <w:tcPr>
            <w:tcW w:w="1632" w:type="dxa"/>
            <w:shd w:val="clear" w:color="auto" w:fill="auto"/>
            <w:vAlign w:val="center"/>
          </w:tcPr>
          <w:p w14:paraId="70C0B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30</w:t>
            </w:r>
          </w:p>
        </w:tc>
        <w:tc>
          <w:tcPr>
            <w:tcW w:w="2023" w:type="dxa"/>
            <w:gridSpan w:val="3"/>
            <w:vMerge w:val="restart"/>
            <w:shd w:val="clear" w:color="auto" w:fill="auto"/>
            <w:vAlign w:val="center"/>
          </w:tcPr>
          <w:p w14:paraId="357F09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国内外著名大学及研究机构博士学位。专业：设施农业装备、设施种养工程、设施生物安全、功能产品加工工程、功能产品营养安全、休闲农业技术与工程、城市农业生态与环境等相关专业。</w:t>
            </w:r>
          </w:p>
        </w:tc>
      </w:tr>
      <w:tr w14:paraId="718D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shd w:val="clear" w:color="auto" w:fill="auto"/>
            <w:noWrap/>
            <w:vAlign w:val="center"/>
          </w:tcPr>
          <w:p w14:paraId="5D10CC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功能农业</w:t>
            </w:r>
          </w:p>
        </w:tc>
        <w:tc>
          <w:tcPr>
            <w:tcW w:w="1132" w:type="dxa"/>
            <w:gridSpan w:val="2"/>
            <w:shd w:val="clear" w:color="auto" w:fill="auto"/>
            <w:vAlign w:val="center"/>
          </w:tcPr>
          <w:p w14:paraId="05AD6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6</w:t>
            </w:r>
          </w:p>
        </w:tc>
        <w:tc>
          <w:tcPr>
            <w:tcW w:w="1116" w:type="dxa"/>
            <w:gridSpan w:val="2"/>
            <w:shd w:val="clear" w:color="auto" w:fill="auto"/>
            <w:vAlign w:val="center"/>
          </w:tcPr>
          <w:p w14:paraId="0F6E2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BSH002</w:t>
            </w:r>
          </w:p>
        </w:tc>
        <w:tc>
          <w:tcPr>
            <w:tcW w:w="1512" w:type="dxa"/>
            <w:gridSpan w:val="2"/>
            <w:shd w:val="clear" w:color="auto" w:fill="auto"/>
            <w:vAlign w:val="center"/>
          </w:tcPr>
          <w:p w14:paraId="50E1A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食品科学与工程</w:t>
            </w:r>
          </w:p>
        </w:tc>
        <w:tc>
          <w:tcPr>
            <w:tcW w:w="1632" w:type="dxa"/>
            <w:shd w:val="clear" w:color="auto" w:fill="auto"/>
            <w:vAlign w:val="center"/>
          </w:tcPr>
          <w:p w14:paraId="5659F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30</w:t>
            </w:r>
          </w:p>
        </w:tc>
        <w:tc>
          <w:tcPr>
            <w:tcW w:w="2023" w:type="dxa"/>
            <w:gridSpan w:val="3"/>
            <w:vMerge w:val="continue"/>
            <w:shd w:val="clear" w:color="auto" w:fill="auto"/>
            <w:vAlign w:val="center"/>
          </w:tcPr>
          <w:p w14:paraId="6A1BE4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p>
        </w:tc>
      </w:tr>
      <w:tr w14:paraId="6B6B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1" w:type="dxa"/>
            <w:gridSpan w:val="2"/>
            <w:shd w:val="clear" w:color="auto" w:fill="auto"/>
            <w:noWrap/>
            <w:vAlign w:val="center"/>
          </w:tcPr>
          <w:p w14:paraId="04BFE5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休闲农业</w:t>
            </w:r>
          </w:p>
        </w:tc>
        <w:tc>
          <w:tcPr>
            <w:tcW w:w="1132" w:type="dxa"/>
            <w:gridSpan w:val="2"/>
            <w:shd w:val="clear" w:color="auto" w:fill="auto"/>
            <w:vAlign w:val="center"/>
          </w:tcPr>
          <w:p w14:paraId="07569E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1</w:t>
            </w:r>
          </w:p>
        </w:tc>
        <w:tc>
          <w:tcPr>
            <w:tcW w:w="1116" w:type="dxa"/>
            <w:gridSpan w:val="2"/>
            <w:shd w:val="clear" w:color="auto" w:fill="auto"/>
            <w:vAlign w:val="center"/>
          </w:tcPr>
          <w:p w14:paraId="7595C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BSH003</w:t>
            </w:r>
          </w:p>
        </w:tc>
        <w:tc>
          <w:tcPr>
            <w:tcW w:w="1512" w:type="dxa"/>
            <w:gridSpan w:val="2"/>
            <w:shd w:val="clear" w:color="auto" w:fill="auto"/>
            <w:vAlign w:val="center"/>
          </w:tcPr>
          <w:p w14:paraId="15674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园艺学</w:t>
            </w:r>
          </w:p>
        </w:tc>
        <w:tc>
          <w:tcPr>
            <w:tcW w:w="1632" w:type="dxa"/>
            <w:shd w:val="clear" w:color="auto" w:fill="auto"/>
            <w:vAlign w:val="center"/>
          </w:tcPr>
          <w:p w14:paraId="21120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30</w:t>
            </w:r>
          </w:p>
        </w:tc>
        <w:tc>
          <w:tcPr>
            <w:tcW w:w="2023" w:type="dxa"/>
            <w:gridSpan w:val="3"/>
            <w:vMerge w:val="continue"/>
            <w:shd w:val="clear" w:color="auto" w:fill="auto"/>
            <w:vAlign w:val="center"/>
          </w:tcPr>
          <w:p w14:paraId="6EBA1C6E">
            <w:pPr>
              <w:adjustRightInd w:val="0"/>
              <w:snapToGrid w:val="0"/>
              <w:spacing w:line="240" w:lineRule="auto"/>
              <w:ind w:firstLine="0" w:firstLineChars="0"/>
              <w:jc w:val="center"/>
              <w:rPr>
                <w:rFonts w:hint="eastAsia" w:ascii="Times New Roman" w:hAnsi="Times New Roman" w:cs="Times New Roman" w:eastAsiaTheme="minorEastAsia"/>
                <w:b w:val="0"/>
                <w:bCs w:val="0"/>
                <w:color w:val="auto"/>
                <w:sz w:val="21"/>
                <w:szCs w:val="21"/>
                <w:lang w:val="en-US" w:eastAsia="zh-CN" w:bidi="ar-SA"/>
              </w:rPr>
            </w:pPr>
          </w:p>
        </w:tc>
      </w:tr>
    </w:tbl>
    <w:p w14:paraId="13B028F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4887702B">
      <w:pPr>
        <w:pStyle w:val="5"/>
        <w:tabs>
          <w:tab w:val="center" w:pos="4705"/>
          <w:tab w:val="left" w:pos="7680"/>
        </w:tabs>
        <w:adjustRightInd w:val="0"/>
        <w:snapToGrid w:val="0"/>
        <w:spacing w:line="240" w:lineRule="auto"/>
        <w:ind w:firstLine="0"/>
        <w:jc w:val="center"/>
        <w:outlineLvl w:val="9"/>
        <w:rPr>
          <w:rFonts w:eastAsia="方正小标宋简体"/>
          <w:sz w:val="44"/>
          <w:szCs w:val="44"/>
          <w:highlight w:val="none"/>
        </w:rPr>
      </w:pPr>
      <w:bookmarkStart w:id="1006" w:name="_Toc5581"/>
    </w:p>
    <w:p w14:paraId="7784C187">
      <w:pPr>
        <w:pStyle w:val="5"/>
        <w:tabs>
          <w:tab w:val="center" w:pos="4705"/>
          <w:tab w:val="left" w:pos="7680"/>
        </w:tabs>
        <w:adjustRightInd w:val="0"/>
        <w:snapToGrid w:val="0"/>
        <w:spacing w:line="240" w:lineRule="auto"/>
        <w:ind w:firstLine="0"/>
        <w:jc w:val="center"/>
        <w:outlineLvl w:val="0"/>
        <w:rPr>
          <w:rFonts w:eastAsia="方正小标宋简体"/>
          <w:sz w:val="44"/>
          <w:szCs w:val="44"/>
        </w:rPr>
      </w:pPr>
      <w:bookmarkStart w:id="1007" w:name="_Toc2337"/>
      <w:bookmarkStart w:id="1008" w:name="_Toc20000"/>
      <w:bookmarkStart w:id="1009" w:name="_Toc19091"/>
      <w:bookmarkStart w:id="1010" w:name="_Toc16393"/>
      <w:r>
        <w:rPr>
          <w:rFonts w:eastAsia="方正小标宋简体"/>
          <w:sz w:val="44"/>
          <w:szCs w:val="44"/>
          <w:highlight w:val="none"/>
        </w:rPr>
        <w:t>中昊晨光化工研究院有限公司</w:t>
      </w:r>
      <w:bookmarkEnd w:id="1006"/>
      <w:bookmarkEnd w:id="1007"/>
      <w:bookmarkEnd w:id="1008"/>
      <w:bookmarkEnd w:id="1009"/>
      <w:bookmarkEnd w:id="1010"/>
    </w:p>
    <w:p w14:paraId="39FBEDEF">
      <w:pPr>
        <w:pStyle w:val="5"/>
        <w:tabs>
          <w:tab w:val="center" w:pos="4705"/>
          <w:tab w:val="left" w:pos="7680"/>
        </w:tabs>
        <w:adjustRightInd w:val="0"/>
        <w:snapToGrid w:val="0"/>
        <w:spacing w:line="240" w:lineRule="auto"/>
        <w:ind w:firstLine="0"/>
        <w:jc w:val="center"/>
        <w:rPr>
          <w:rFonts w:eastAsia="方正小标宋简体"/>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571"/>
        <w:gridCol w:w="922"/>
        <w:gridCol w:w="196"/>
        <w:gridCol w:w="1087"/>
        <w:gridCol w:w="463"/>
        <w:gridCol w:w="1627"/>
        <w:gridCol w:w="1565"/>
        <w:gridCol w:w="332"/>
        <w:gridCol w:w="1687"/>
      </w:tblGrid>
      <w:tr w14:paraId="6929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540F509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59" w:type="dxa"/>
            <w:gridSpan w:val="2"/>
            <w:shd w:val="clear" w:color="000000" w:fill="FFFFFF"/>
            <w:noWrap/>
            <w:vAlign w:val="center"/>
          </w:tcPr>
          <w:p w14:paraId="73D3B362">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705" w:type="dxa"/>
            <w:gridSpan w:val="3"/>
            <w:shd w:val="clear" w:color="auto" w:fill="E7E6E6" w:themeFill="background2"/>
            <w:noWrap/>
            <w:vAlign w:val="center"/>
          </w:tcPr>
          <w:p w14:paraId="08963A8A">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14:paraId="2A3127A9">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14:paraId="54A7E50D">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14:paraId="6CB61835">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4182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C537941">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14:paraId="27C3B812">
            <w:pPr>
              <w:adjustRightInd w:val="0"/>
              <w:snapToGrid w:val="0"/>
              <w:spacing w:line="240" w:lineRule="auto"/>
              <w:ind w:firstLine="420" w:firstLineChars="20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自贡市富顺县富世镇晨光路193号</w:t>
            </w:r>
          </w:p>
        </w:tc>
      </w:tr>
      <w:tr w14:paraId="2BF8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1271" w:type="dxa"/>
            <w:shd w:val="clear" w:color="auto" w:fill="E7E6E6" w:themeFill="background2"/>
            <w:noWrap/>
            <w:vAlign w:val="center"/>
          </w:tcPr>
          <w:p w14:paraId="2C617B5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14:paraId="6C0558A5">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中昊晨光化工研究院有限公司是集新型高分子材料（有机氟、有机硅等）研发、生产、销售，及化工工程设计建设、维护于一体的大型综合性科技企业。始建于1965年，是中国最早从事化工新材料研制生产的科研院所之一。现隶属于中国中化下属中化蓝天集团有限公司。主要产品包括氟树脂、氟橡胶、含氟精细化学品、特种有机硅产品，在有机氟领域处于国内领先水平，在国际上具有较高知名度。公司总部位于“千年盐都”“才子之乡”:自贡富顺，新基地位于自贡沿滩川南新材料产业基地内。依托科技创新平台承担国家、省部级多项科研项目，获得发明专 利 300 余项，其中国内发明专利 260 余项，国外专利授权 20 余项。</w:t>
            </w:r>
          </w:p>
          <w:p w14:paraId="62AC3192">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近年来，共有 100 余项科技成果通过省、部级鉴定和验收，40 余 项成果获得国家级和省市级科技成果奖励。</w:t>
            </w:r>
          </w:p>
        </w:tc>
      </w:tr>
      <w:tr w14:paraId="31B6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1271" w:type="dxa"/>
            <w:shd w:val="clear" w:color="auto" w:fill="E7E6E6" w:themeFill="background2"/>
            <w:noWrap/>
            <w:vAlign w:val="center"/>
          </w:tcPr>
          <w:p w14:paraId="45A2F81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14:paraId="5F643BB8">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主要依据中昊晨光化工研究院有限公司《博士后创新实践基地管理办法》执行。</w:t>
            </w:r>
          </w:p>
          <w:p w14:paraId="71E397A1">
            <w:pPr>
              <w:adjustRightInd w:val="0"/>
              <w:snapToGrid w:val="0"/>
              <w:spacing w:line="360" w:lineRule="auto"/>
              <w:ind w:firstLine="420" w:firstLineChars="200"/>
              <w:rPr>
                <w:rFonts w:hint="eastAsia" w:eastAsiaTheme="minorEastAsia"/>
                <w:sz w:val="21"/>
                <w:szCs w:val="21"/>
              </w:rPr>
            </w:pPr>
            <w:r>
              <w:rPr>
                <w:rFonts w:hint="eastAsia" w:eastAsiaTheme="minorEastAsia"/>
                <w:sz w:val="21"/>
                <w:szCs w:val="21"/>
              </w:rPr>
              <w:t>在“实践基地”期间，由流动站所属单位和“实践基地”共同组织考核，对研究成果突出的博士后给予表彰奖励；按照国家知识产权法和有关规定，公正处理研究成果的权益归属；为博士后提供日常经费和项目经费。</w:t>
            </w:r>
          </w:p>
          <w:p w14:paraId="0DD39313">
            <w:pPr>
              <w:adjustRightInd w:val="0"/>
              <w:snapToGrid w:val="0"/>
              <w:spacing w:line="360" w:lineRule="auto"/>
              <w:ind w:firstLine="420" w:firstLineChars="200"/>
              <w:rPr>
                <w:rFonts w:eastAsiaTheme="minorEastAsia"/>
                <w:sz w:val="21"/>
                <w:szCs w:val="21"/>
              </w:rPr>
            </w:pPr>
            <w:r>
              <w:rPr>
                <w:rFonts w:hint="eastAsia" w:eastAsiaTheme="minorEastAsia"/>
                <w:sz w:val="21"/>
                <w:szCs w:val="21"/>
              </w:rPr>
              <w:t>在公司工作期间，按合同约定的工资待遇支付工资，享受我司员工同等劳保福利，并按照国家和地方有关规定，协调解决住宿、医疗、子女教育等问题。</w:t>
            </w:r>
          </w:p>
        </w:tc>
      </w:tr>
      <w:tr w14:paraId="32B1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829" w:type="dxa"/>
            <w:gridSpan w:val="2"/>
            <w:shd w:val="clear" w:color="auto" w:fill="E7E6E6" w:themeFill="background2"/>
            <w:noWrap/>
            <w:vAlign w:val="center"/>
          </w:tcPr>
          <w:p w14:paraId="568BBFF6">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14:paraId="5A66D2EC">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2" w:type="dxa"/>
            <w:shd w:val="clear" w:color="auto" w:fill="E7E6E6" w:themeFill="background2"/>
            <w:vAlign w:val="center"/>
          </w:tcPr>
          <w:p w14:paraId="261B90F7">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41" w:type="dxa"/>
            <w:gridSpan w:val="2"/>
            <w:shd w:val="clear" w:color="auto" w:fill="E7E6E6" w:themeFill="background2"/>
            <w:vAlign w:val="center"/>
          </w:tcPr>
          <w:p w14:paraId="035C1A5C">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6D15C23">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853" w:type="dxa"/>
            <w:gridSpan w:val="2"/>
            <w:shd w:val="clear" w:color="auto" w:fill="E7E6E6" w:themeFill="background2"/>
            <w:vAlign w:val="center"/>
          </w:tcPr>
          <w:p w14:paraId="4ECEDB9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1C5AC3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47" w:type="dxa"/>
            <w:shd w:val="clear" w:color="auto" w:fill="E7E6E6" w:themeFill="background2"/>
            <w:vAlign w:val="center"/>
          </w:tcPr>
          <w:p w14:paraId="1D9E8E03">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71D0627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B09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29" w:type="dxa"/>
            <w:gridSpan w:val="2"/>
            <w:shd w:val="clear" w:color="000000" w:fill="FFFFFF"/>
            <w:noWrap/>
            <w:vAlign w:val="center"/>
          </w:tcPr>
          <w:p w14:paraId="75D57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电子领域用氟聚合物应用评价研究</w:t>
            </w:r>
          </w:p>
        </w:tc>
        <w:tc>
          <w:tcPr>
            <w:tcW w:w="1092" w:type="dxa"/>
            <w:gridSpan w:val="2"/>
            <w:shd w:val="clear" w:color="000000" w:fill="FFFFFF"/>
            <w:vAlign w:val="center"/>
          </w:tcPr>
          <w:p w14:paraId="6A0E9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2" w:type="dxa"/>
            <w:shd w:val="clear" w:color="000000" w:fill="FFFFFF"/>
            <w:vAlign w:val="center"/>
          </w:tcPr>
          <w:p w14:paraId="2F92A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BSH001</w:t>
            </w:r>
          </w:p>
        </w:tc>
        <w:tc>
          <w:tcPr>
            <w:tcW w:w="2041" w:type="dxa"/>
            <w:gridSpan w:val="2"/>
            <w:shd w:val="clear" w:color="000000" w:fill="FFFFFF"/>
            <w:vAlign w:val="center"/>
          </w:tcPr>
          <w:p w14:paraId="441B0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高分子化学</w:t>
            </w:r>
            <w:r>
              <w:rPr>
                <w:rFonts w:hint="default" w:ascii="Times New Roman" w:hAnsi="Times New Roman" w:cs="Times New Roman" w:eastAsiaTheme="minorEastAsia"/>
                <w:sz w:val="21"/>
                <w:szCs w:val="21"/>
                <w:lang w:val="en-US" w:eastAsia="zh-CN"/>
              </w:rPr>
              <w:t>与物理</w:t>
            </w:r>
          </w:p>
        </w:tc>
        <w:tc>
          <w:tcPr>
            <w:tcW w:w="1853" w:type="dxa"/>
            <w:gridSpan w:val="2"/>
            <w:shd w:val="clear" w:color="000000" w:fill="FFFFFF"/>
            <w:vAlign w:val="center"/>
          </w:tcPr>
          <w:p w14:paraId="0473A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双方按协议约定</w:t>
            </w:r>
          </w:p>
        </w:tc>
        <w:tc>
          <w:tcPr>
            <w:tcW w:w="1647" w:type="dxa"/>
            <w:vMerge w:val="restart"/>
            <w:shd w:val="clear" w:color="000000" w:fill="FFFFFF"/>
            <w:vAlign w:val="center"/>
          </w:tcPr>
          <w:p w14:paraId="1FF7C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双一流高校</w:t>
            </w:r>
          </w:p>
        </w:tc>
      </w:tr>
      <w:tr w14:paraId="1210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29" w:type="dxa"/>
            <w:gridSpan w:val="2"/>
            <w:shd w:val="clear" w:color="000000" w:fill="FFFFFF"/>
            <w:noWrap/>
            <w:vAlign w:val="center"/>
          </w:tcPr>
          <w:p w14:paraId="11C5D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含氟精细化学品合成研究</w:t>
            </w:r>
          </w:p>
        </w:tc>
        <w:tc>
          <w:tcPr>
            <w:tcW w:w="1092" w:type="dxa"/>
            <w:gridSpan w:val="2"/>
            <w:shd w:val="clear" w:color="000000" w:fill="FFFFFF"/>
            <w:vAlign w:val="center"/>
          </w:tcPr>
          <w:p w14:paraId="4B37C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062" w:type="dxa"/>
            <w:shd w:val="clear" w:color="000000" w:fill="FFFFFF"/>
            <w:vAlign w:val="center"/>
          </w:tcPr>
          <w:p w14:paraId="15BCE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BSH002</w:t>
            </w:r>
          </w:p>
        </w:tc>
        <w:tc>
          <w:tcPr>
            <w:tcW w:w="2041" w:type="dxa"/>
            <w:gridSpan w:val="2"/>
            <w:shd w:val="clear" w:color="000000" w:fill="FFFFFF"/>
            <w:vAlign w:val="center"/>
          </w:tcPr>
          <w:p w14:paraId="4C3A4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有机化学、应用化学、化学工程与工艺</w:t>
            </w:r>
          </w:p>
        </w:tc>
        <w:tc>
          <w:tcPr>
            <w:tcW w:w="1853" w:type="dxa"/>
            <w:gridSpan w:val="2"/>
            <w:shd w:val="clear" w:color="000000" w:fill="FFFFFF"/>
            <w:vAlign w:val="center"/>
          </w:tcPr>
          <w:p w14:paraId="240444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双方按协议约定</w:t>
            </w:r>
          </w:p>
        </w:tc>
        <w:tc>
          <w:tcPr>
            <w:tcW w:w="1647" w:type="dxa"/>
            <w:vMerge w:val="continue"/>
            <w:shd w:val="clear" w:color="000000" w:fill="FFFFFF"/>
            <w:vAlign w:val="center"/>
          </w:tcPr>
          <w:p w14:paraId="0BEFA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9B1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29" w:type="dxa"/>
            <w:gridSpan w:val="2"/>
            <w:shd w:val="clear" w:color="000000" w:fill="FFFFFF"/>
            <w:noWrap/>
            <w:vAlign w:val="center"/>
          </w:tcPr>
          <w:p w14:paraId="5F118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氟聚合物端基处理研究</w:t>
            </w:r>
          </w:p>
        </w:tc>
        <w:tc>
          <w:tcPr>
            <w:tcW w:w="1092" w:type="dxa"/>
            <w:gridSpan w:val="2"/>
            <w:shd w:val="clear" w:color="000000" w:fill="FFFFFF"/>
            <w:vAlign w:val="center"/>
          </w:tcPr>
          <w:p w14:paraId="4CA63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62" w:type="dxa"/>
            <w:shd w:val="clear" w:color="000000" w:fill="FFFFFF"/>
            <w:vAlign w:val="center"/>
          </w:tcPr>
          <w:p w14:paraId="2C460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BSH003</w:t>
            </w:r>
          </w:p>
        </w:tc>
        <w:tc>
          <w:tcPr>
            <w:tcW w:w="2041" w:type="dxa"/>
            <w:gridSpan w:val="2"/>
            <w:shd w:val="clear" w:color="000000" w:fill="FFFFFF"/>
            <w:vAlign w:val="center"/>
          </w:tcPr>
          <w:p w14:paraId="5A4F32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有机化学、应用化学、化学工程与工艺</w:t>
            </w:r>
          </w:p>
        </w:tc>
        <w:tc>
          <w:tcPr>
            <w:tcW w:w="1853" w:type="dxa"/>
            <w:gridSpan w:val="2"/>
            <w:shd w:val="clear" w:color="000000" w:fill="FFFFFF"/>
            <w:vAlign w:val="center"/>
          </w:tcPr>
          <w:p w14:paraId="0B941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双方按协议约定</w:t>
            </w:r>
          </w:p>
        </w:tc>
        <w:tc>
          <w:tcPr>
            <w:tcW w:w="1647" w:type="dxa"/>
            <w:vMerge w:val="continue"/>
            <w:shd w:val="clear" w:color="000000" w:fill="FFFFFF"/>
            <w:vAlign w:val="center"/>
          </w:tcPr>
          <w:p w14:paraId="0E3E1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160ADF82">
      <w:pPr>
        <w:pStyle w:val="5"/>
        <w:adjustRightInd w:val="0"/>
        <w:snapToGrid w:val="0"/>
        <w:spacing w:line="240" w:lineRule="auto"/>
        <w:ind w:firstLine="0"/>
        <w:rPr>
          <w:rFonts w:eastAsiaTheme="minorEastAsia"/>
          <w:sz w:val="21"/>
          <w:szCs w:val="21"/>
        </w:rPr>
      </w:pPr>
      <w:r>
        <w:br w:type="page"/>
      </w:r>
    </w:p>
    <w:p w14:paraId="1BEE844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71797D5E">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1011" w:name="_Toc13769"/>
      <w:bookmarkStart w:id="1012" w:name="_Toc22878"/>
      <w:bookmarkStart w:id="1013" w:name="_Toc20431"/>
      <w:bookmarkStart w:id="1014" w:name="_Toc17180"/>
      <w:bookmarkStart w:id="1015" w:name="_Toc22837"/>
      <w:r>
        <w:rPr>
          <w:rFonts w:hint="eastAsia" w:ascii="Times New Roman" w:hAnsi="Times New Roman" w:eastAsia="方正小标宋简体" w:cs="Times New Roman"/>
          <w:sz w:val="44"/>
          <w:szCs w:val="44"/>
          <w:highlight w:val="none"/>
        </w:rPr>
        <w:t>中铁二十三局集团有限公司</w:t>
      </w:r>
      <w:bookmarkEnd w:id="1011"/>
      <w:bookmarkEnd w:id="1012"/>
      <w:bookmarkEnd w:id="1013"/>
      <w:bookmarkEnd w:id="1014"/>
      <w:bookmarkEnd w:id="1015"/>
    </w:p>
    <w:p w14:paraId="1D769BB0">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12"/>
        <w:gridCol w:w="848"/>
        <w:gridCol w:w="1093"/>
        <w:gridCol w:w="140"/>
        <w:gridCol w:w="1673"/>
        <w:gridCol w:w="1343"/>
        <w:gridCol w:w="204"/>
        <w:gridCol w:w="2037"/>
      </w:tblGrid>
      <w:tr w14:paraId="5C29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5A9D474E">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112" w:type="dxa"/>
            <w:shd w:val="clear" w:color="000000" w:fill="FFFFFF"/>
            <w:noWrap/>
            <w:vAlign w:val="center"/>
          </w:tcPr>
          <w:p w14:paraId="0DB5F95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国有企业</w:t>
            </w:r>
          </w:p>
        </w:tc>
        <w:tc>
          <w:tcPr>
            <w:tcW w:w="2081" w:type="dxa"/>
            <w:gridSpan w:val="3"/>
            <w:shd w:val="clear" w:color="auto" w:fill="E7E6E6" w:themeFill="background2"/>
            <w:noWrap/>
            <w:vAlign w:val="center"/>
          </w:tcPr>
          <w:p w14:paraId="20D305B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673" w:type="dxa"/>
            <w:shd w:val="clear" w:color="000000" w:fill="FFFFFF"/>
            <w:noWrap/>
            <w:vAlign w:val="center"/>
          </w:tcPr>
          <w:p w14:paraId="1657ECC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547" w:type="dxa"/>
            <w:gridSpan w:val="2"/>
            <w:shd w:val="clear" w:color="auto" w:fill="E7E6E6" w:themeFill="background2"/>
            <w:noWrap/>
            <w:vAlign w:val="center"/>
          </w:tcPr>
          <w:p w14:paraId="5E7AA2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2037" w:type="dxa"/>
            <w:shd w:val="clear" w:color="000000" w:fill="FFFFFF"/>
            <w:noWrap/>
            <w:vAlign w:val="center"/>
          </w:tcPr>
          <w:p w14:paraId="44FF212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成都</w:t>
            </w:r>
          </w:p>
        </w:tc>
      </w:tr>
      <w:tr w14:paraId="40A3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1" w:type="dxa"/>
            <w:shd w:val="clear" w:color="auto" w:fill="E7E6E6" w:themeFill="background2"/>
            <w:noWrap/>
            <w:vAlign w:val="center"/>
          </w:tcPr>
          <w:p w14:paraId="37AD4AA5">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450" w:type="dxa"/>
            <w:gridSpan w:val="8"/>
            <w:shd w:val="clear" w:color="000000" w:fill="FFFFFF"/>
            <w:noWrap/>
            <w:vAlign w:val="center"/>
          </w:tcPr>
          <w:p w14:paraId="125FB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四川省成都市二环路西二段10号附1号</w:t>
            </w:r>
          </w:p>
        </w:tc>
      </w:tr>
      <w:tr w14:paraId="39C0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301" w:type="dxa"/>
            <w:shd w:val="clear" w:color="auto" w:fill="E7E6E6" w:themeFill="background2"/>
            <w:noWrap/>
            <w:vAlign w:val="center"/>
          </w:tcPr>
          <w:p w14:paraId="4D9FC226">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8"/>
            <w:shd w:val="clear" w:color="000000" w:fill="FFFFFF"/>
            <w:vAlign w:val="center"/>
          </w:tcPr>
          <w:p w14:paraId="79590FC7">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eastAsiaTheme="minorEastAsia"/>
                <w:sz w:val="21"/>
                <w:szCs w:val="21"/>
              </w:rPr>
            </w:pPr>
            <w:r>
              <w:rPr>
                <w:rFonts w:hint="eastAsia" w:eastAsiaTheme="minorEastAsia"/>
                <w:sz w:val="21"/>
                <w:szCs w:val="21"/>
              </w:rPr>
              <w:t>中铁二十三局集团有限公司，简称中铁二十三局，隶属于国务院国资委直接监管的世界500强特大型企业—中国铁建股份有限公司，是国有大型建筑施工企业。</w:t>
            </w:r>
          </w:p>
          <w:p w14:paraId="3955C8C6">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中铁二十三局始终把科技创新摆在企业发展的重要位置，大力实施“科技兴企、人才强企”战略，充分发挥创新体系优势，不断健全完善科技创新管理体制机制，取得了丰硕的科技创新成果。公司拥有国家企业技术中心，是国家高新技术企业、国家知识产权示范企业，建有四川省博士后创新实践基地、四川省工程研究中心、四川省专家工作站，形成了“国家级+省部级”的梯队式科技创新平台体系。公司拥有授权专利592项，其中发明专利185项，拥有PCT专利1项，软件著作权32项。获省部级及以上工法199项；获国家科技进步奖2项，省部级科技进步奖59项，中国土木工程詹天佑奖8项。</w:t>
            </w:r>
          </w:p>
        </w:tc>
      </w:tr>
      <w:tr w14:paraId="7045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3" w:hRule="atLeast"/>
          <w:jc w:val="center"/>
        </w:trPr>
        <w:tc>
          <w:tcPr>
            <w:tcW w:w="1301" w:type="dxa"/>
            <w:shd w:val="clear" w:color="auto" w:fill="E7E6E6" w:themeFill="background2"/>
            <w:noWrap/>
            <w:vAlign w:val="center"/>
          </w:tcPr>
          <w:p w14:paraId="0AF94B5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8"/>
            <w:shd w:val="clear" w:color="000000" w:fill="FFFFFF"/>
            <w:vAlign w:val="center"/>
          </w:tcPr>
          <w:p w14:paraId="5E9C5C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1.根据博士后科学基金会要求，积极组织博士后申报基金项目；</w:t>
            </w:r>
          </w:p>
          <w:p w14:paraId="2B0E10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2.根据成都市人才项目相关规定，组织博士后申报生活、住房补助及相关福利待遇；</w:t>
            </w:r>
          </w:p>
          <w:p w14:paraId="5FCBFF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3.积极组织博士后申报省、市级科研项目；</w:t>
            </w:r>
          </w:p>
          <w:p w14:paraId="5072E4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4.为博士后匹配知名专家作为导师，提供良好的科研环境和平台；</w:t>
            </w:r>
          </w:p>
          <w:p w14:paraId="425668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lang w:eastAsia="zh-CN"/>
              </w:rPr>
              <w:t>5.进站博士后人员的基本薪金、绩效薪金、养老保险、失业保险、医疗保险、住房公积金等按国家及《中铁二十三局集团有限公司博士后研究人员管理办法》的相关规定执行。</w:t>
            </w:r>
          </w:p>
        </w:tc>
      </w:tr>
      <w:tr w14:paraId="2FAA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13" w:type="dxa"/>
            <w:gridSpan w:val="2"/>
            <w:shd w:val="clear" w:color="auto" w:fill="E7E6E6" w:themeFill="background2"/>
            <w:noWrap/>
            <w:vAlign w:val="center"/>
          </w:tcPr>
          <w:p w14:paraId="74F0B8B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848" w:type="dxa"/>
            <w:shd w:val="clear" w:color="auto" w:fill="E7E6E6" w:themeFill="background2"/>
            <w:vAlign w:val="center"/>
          </w:tcPr>
          <w:p w14:paraId="0650D3D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34A55D9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人数</w:t>
            </w:r>
          </w:p>
        </w:tc>
        <w:tc>
          <w:tcPr>
            <w:tcW w:w="1093" w:type="dxa"/>
            <w:shd w:val="clear" w:color="auto" w:fill="E7E6E6" w:themeFill="background2"/>
            <w:vAlign w:val="center"/>
          </w:tcPr>
          <w:p w14:paraId="382E97E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1AE5B7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编号</w:t>
            </w:r>
          </w:p>
        </w:tc>
        <w:tc>
          <w:tcPr>
            <w:tcW w:w="1813" w:type="dxa"/>
            <w:gridSpan w:val="2"/>
            <w:shd w:val="clear" w:color="auto" w:fill="E7E6E6" w:themeFill="background2"/>
            <w:vAlign w:val="center"/>
          </w:tcPr>
          <w:p w14:paraId="236EE25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705DD7A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43" w:type="dxa"/>
            <w:shd w:val="clear" w:color="auto" w:fill="E7E6E6" w:themeFill="background2"/>
            <w:vAlign w:val="center"/>
          </w:tcPr>
          <w:p w14:paraId="71E099B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65BE5BB7">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41" w:type="dxa"/>
            <w:gridSpan w:val="2"/>
            <w:shd w:val="clear" w:color="auto" w:fill="E7E6E6" w:themeFill="background2"/>
            <w:vAlign w:val="center"/>
          </w:tcPr>
          <w:p w14:paraId="32CD999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14:paraId="51A6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4A2F2F92">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智能化、数字化检验检测关键技术开发</w:t>
            </w:r>
          </w:p>
        </w:tc>
        <w:tc>
          <w:tcPr>
            <w:tcW w:w="8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10E371">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E81958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BSH001</w:t>
            </w:r>
          </w:p>
        </w:tc>
        <w:tc>
          <w:tcPr>
            <w:tcW w:w="18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B2140F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控制科学与工程/电子科学与技术/土木工程</w:t>
            </w:r>
          </w:p>
        </w:tc>
        <w:tc>
          <w:tcPr>
            <w:tcW w:w="1343" w:type="dxa"/>
            <w:tcBorders>
              <w:top w:val="single" w:color="auto" w:sz="4" w:space="0"/>
              <w:left w:val="single" w:color="auto" w:sz="4" w:space="0"/>
              <w:right w:val="single" w:color="auto" w:sz="4" w:space="0"/>
              <w:tl2br w:val="nil"/>
              <w:tr2bl w:val="nil"/>
            </w:tcBorders>
            <w:shd w:val="clear" w:color="auto" w:fill="FFFFFF"/>
            <w:vAlign w:val="center"/>
          </w:tcPr>
          <w:p w14:paraId="2172B3EB">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面谈</w:t>
            </w:r>
          </w:p>
        </w:tc>
        <w:tc>
          <w:tcPr>
            <w:tcW w:w="2241" w:type="dxa"/>
            <w:gridSpan w:val="2"/>
            <w:tcBorders>
              <w:top w:val="single" w:color="auto" w:sz="4" w:space="0"/>
              <w:left w:val="single" w:color="auto" w:sz="4" w:space="0"/>
              <w:right w:val="single" w:color="auto" w:sz="4" w:space="0"/>
              <w:tl2br w:val="nil"/>
              <w:tr2bl w:val="nil"/>
            </w:tcBorders>
            <w:shd w:val="clear" w:color="auto" w:fill="FFFFFF"/>
            <w:vAlign w:val="center"/>
          </w:tcPr>
          <w:p w14:paraId="19F86070">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有检测专业管理软件、智能检测设备、数据应用终端等项目的研发经历</w:t>
            </w:r>
          </w:p>
        </w:tc>
      </w:tr>
      <w:tr w14:paraId="3FD2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0455E2F">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智慧农业、生物农业、农业科学</w:t>
            </w:r>
            <w:r>
              <w:rPr>
                <w:rFonts w:hint="default" w:ascii="Times New Roman" w:hAnsi="Times New Roman" w:cs="Times New Roman" w:eastAsiaTheme="minorEastAsia"/>
                <w:sz w:val="21"/>
                <w:szCs w:val="21"/>
                <w:lang w:val="en-US" w:eastAsia="zh-CN"/>
              </w:rPr>
              <w:t>研究</w:t>
            </w:r>
          </w:p>
        </w:tc>
        <w:tc>
          <w:tcPr>
            <w:tcW w:w="8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70DBF88">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AB80332">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BSH002</w:t>
            </w:r>
          </w:p>
        </w:tc>
        <w:tc>
          <w:tcPr>
            <w:tcW w:w="18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A67300F">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农林经济管理</w:t>
            </w:r>
          </w:p>
        </w:tc>
        <w:tc>
          <w:tcPr>
            <w:tcW w:w="1343" w:type="dxa"/>
            <w:tcBorders>
              <w:left w:val="single" w:color="auto" w:sz="4" w:space="0"/>
              <w:right w:val="single" w:color="auto" w:sz="4" w:space="0"/>
              <w:tl2br w:val="nil"/>
              <w:tr2bl w:val="nil"/>
            </w:tcBorders>
            <w:shd w:val="clear" w:color="auto" w:fill="FFFFFF"/>
            <w:vAlign w:val="center"/>
          </w:tcPr>
          <w:p w14:paraId="5DAC5E43">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面谈</w:t>
            </w:r>
          </w:p>
        </w:tc>
        <w:tc>
          <w:tcPr>
            <w:tcW w:w="2241" w:type="dxa"/>
            <w:gridSpan w:val="2"/>
            <w:tcBorders>
              <w:left w:val="single" w:color="auto" w:sz="4" w:space="0"/>
              <w:right w:val="single" w:color="auto" w:sz="4" w:space="0"/>
              <w:tl2br w:val="nil"/>
              <w:tr2bl w:val="nil"/>
            </w:tcBorders>
            <w:shd w:val="clear" w:color="auto" w:fill="FFFFFF"/>
            <w:vAlign w:val="center"/>
          </w:tcPr>
          <w:p w14:paraId="1DDFEC3A">
            <w:pPr>
              <w:adjustRightInd w:val="0"/>
              <w:snapToGrid w:val="0"/>
              <w:spacing w:line="240" w:lineRule="auto"/>
              <w:ind w:firstLine="0" w:firstLine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有相关‌</w:t>
            </w:r>
            <w:r>
              <w:rPr>
                <w:rFonts w:hint="default" w:ascii="Times New Roman" w:hAnsi="Times New Roman" w:cs="Times New Roman" w:eastAsiaTheme="minorEastAsia"/>
                <w:sz w:val="21"/>
                <w:szCs w:val="21"/>
                <w:lang w:val="en-US" w:eastAsia="zh-CN"/>
              </w:rPr>
              <w:fldChar w:fldCharType="begin"/>
            </w:r>
            <w:r>
              <w:rPr>
                <w:rFonts w:hint="default" w:ascii="Times New Roman" w:hAnsi="Times New Roman" w:cs="Times New Roman" w:eastAsiaTheme="minorEastAsia"/>
                <w:sz w:val="21"/>
                <w:szCs w:val="21"/>
                <w:lang w:val="en-US" w:eastAsia="zh-CN"/>
              </w:rPr>
              <w:instrText xml:space="preserve"> HYPERLINK "https://www.baidu.com/s?wd=%E6%9E%97%E4%B8%8B%E7%A7%8D%E6%A4%8D%E4%B8%9A&amp;rsv_idx=2&amp;tn=baiduhome_pg&amp;usm=5&amp;ie=utf-8&amp;rsv_pq=e0af127401b72b72&amp;oq=%E6%9E%97%E4%B8%8B%E7%BB%8F%E6%B5%8E&amp;rsv_t=b5d66D/mgi+QYxWZSZPbJUyBy86wQkmgY24Ij5B7pNFg+ORiDL+5hYMyJIm44Y40dxB/&amp;sa=re_dqa_generate" \t "https://www.baidu.com/_self" </w:instrText>
            </w:r>
            <w:r>
              <w:rPr>
                <w:rFonts w:hint="default"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林下种植业</w:t>
            </w:r>
            <w:r>
              <w:rPr>
                <w:rFonts w:hint="default" w:ascii="Times New Roman" w:hAnsi="Times New Roman" w:cs="Times New Roman" w:eastAsiaTheme="minorEastAsia"/>
                <w:sz w:val="21"/>
                <w:szCs w:val="21"/>
                <w:lang w:val="en-US" w:eastAsia="zh-CN"/>
              </w:rPr>
              <w:fldChar w:fldCharType="end"/>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fldChar w:fldCharType="begin"/>
            </w:r>
            <w:r>
              <w:rPr>
                <w:rFonts w:hint="default" w:ascii="Times New Roman" w:hAnsi="Times New Roman" w:cs="Times New Roman" w:eastAsiaTheme="minorEastAsia"/>
                <w:sz w:val="21"/>
                <w:szCs w:val="21"/>
                <w:lang w:val="en-US" w:eastAsia="zh-CN"/>
              </w:rPr>
              <w:instrText xml:space="preserve"> HYPERLINK "https://www.baidu.com/s?wd=%E5%85%BB%E6%AE%96%E4%B8%9A&amp;rsv_idx=2&amp;tn=baiduhome_pg&amp;usm=5&amp;ie=utf-8&amp;rsv_pq=e0af127401b72b72&amp;oq=%E6%9E%97%E4%B8%8B%E7%BB%8F%E6%B5%8E&amp;rsv_t=4c7a+SikQx8cwZpNbcZB5wgZ2e+015PJRW7/mibCwP/YyRwTLyKm5iOye84LdNhXgTWF&amp;sa=re_dqa_generate" \t "https://www.baidu.com/_self" </w:instrText>
            </w:r>
            <w:r>
              <w:rPr>
                <w:rFonts w:hint="default"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养殖业</w:t>
            </w:r>
            <w:r>
              <w:rPr>
                <w:rFonts w:hint="default" w:ascii="Times New Roman" w:hAnsi="Times New Roman" w:cs="Times New Roman" w:eastAsiaTheme="minorEastAsia"/>
                <w:sz w:val="21"/>
                <w:szCs w:val="21"/>
                <w:lang w:val="en-US" w:eastAsia="zh-CN"/>
              </w:rPr>
              <w:fldChar w:fldCharType="end"/>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fldChar w:fldCharType="begin"/>
            </w:r>
            <w:r>
              <w:rPr>
                <w:rFonts w:hint="default" w:ascii="Times New Roman" w:hAnsi="Times New Roman" w:cs="Times New Roman" w:eastAsiaTheme="minorEastAsia"/>
                <w:sz w:val="21"/>
                <w:szCs w:val="21"/>
                <w:lang w:val="en-US" w:eastAsia="zh-CN"/>
              </w:rPr>
              <w:instrText xml:space="preserve"> HYPERLINK "https://www.baidu.com/s?wd=%E9%87%87%E9%9B%86%E4%B8%9A&amp;rsv_idx=2&amp;tn=baiduhome_pg&amp;usm=5&amp;ie=utf-8&amp;rsv_pq=e0af127401b72b72&amp;oq=%E6%9E%97%E4%B8%8B%E7%BB%8F%E6%B5%8E&amp;rsv_t=789fN16uISjhzWr5p+gIxlVTyttq0zUBb4qv6Rg/pvbc0SNWCFISEVy8H/Y1lTdQ+0ax&amp;sa=re_dqa_generate" \t "https://www.baidu.com/_self" </w:instrText>
            </w:r>
            <w:r>
              <w:rPr>
                <w:rFonts w:hint="default"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采集业</w:t>
            </w:r>
            <w:r>
              <w:rPr>
                <w:rFonts w:hint="default" w:ascii="Times New Roman" w:hAnsi="Times New Roman" w:cs="Times New Roman" w:eastAsiaTheme="minorEastAsia"/>
                <w:sz w:val="21"/>
                <w:szCs w:val="21"/>
                <w:lang w:val="en-US" w:eastAsia="zh-CN"/>
              </w:rPr>
              <w:fldChar w:fldCharType="end"/>
            </w:r>
            <w:r>
              <w:rPr>
                <w:rFonts w:hint="default" w:ascii="Times New Roman" w:hAnsi="Times New Roman" w:cs="Times New Roman" w:eastAsiaTheme="minorEastAsia"/>
                <w:sz w:val="21"/>
                <w:szCs w:val="21"/>
                <w:lang w:val="en-US" w:eastAsia="zh-CN"/>
              </w:rPr>
              <w:t>和‌</w:t>
            </w:r>
            <w:r>
              <w:rPr>
                <w:rFonts w:hint="default" w:ascii="Times New Roman" w:hAnsi="Times New Roman" w:cs="Times New Roman" w:eastAsiaTheme="minorEastAsia"/>
                <w:sz w:val="21"/>
                <w:szCs w:val="21"/>
                <w:lang w:val="en-US" w:eastAsia="zh-CN"/>
              </w:rPr>
              <w:fldChar w:fldCharType="begin"/>
            </w:r>
            <w:r>
              <w:rPr>
                <w:rFonts w:hint="default" w:ascii="Times New Roman" w:hAnsi="Times New Roman" w:cs="Times New Roman" w:eastAsiaTheme="minorEastAsia"/>
                <w:sz w:val="21"/>
                <w:szCs w:val="21"/>
                <w:lang w:val="en-US" w:eastAsia="zh-CN"/>
              </w:rPr>
              <w:instrText xml:space="preserve"> HYPERLINK "https://www.baidu.com/s?wd=%E6%A3%AE%E6%9E%97%E6%97%85%E6%B8%B8%E4%B8%9A&amp;rsv_idx=2&amp;tn=baiduhome_pg&amp;usm=5&amp;ie=utf-8&amp;rsv_pq=e0af127401b72b72&amp;oq=%E6%9E%97%E4%B8%8B%E7%BB%8F%E6%B5%8E&amp;rsv_t=0793ZDB3jUjBh7OYWmfosgr5AoLoMyynbZDgK0KFkAdFXNKJ7Tlac46wJwh4usm2yHYv&amp;sa=re_dqa_generate" \t "https://www.baidu.com/_self" </w:instrText>
            </w:r>
            <w:r>
              <w:rPr>
                <w:rFonts w:hint="default" w:ascii="Times New Roman" w:hAnsi="Times New Roman" w:cs="Times New Roman" w:eastAsiaTheme="minorEastAsia"/>
                <w:sz w:val="21"/>
                <w:szCs w:val="21"/>
                <w:lang w:val="en-US" w:eastAsia="zh-CN"/>
              </w:rPr>
              <w:fldChar w:fldCharType="separate"/>
            </w:r>
            <w:r>
              <w:rPr>
                <w:rFonts w:hint="default" w:ascii="Times New Roman" w:hAnsi="Times New Roman" w:cs="Times New Roman" w:eastAsiaTheme="minorEastAsia"/>
                <w:sz w:val="21"/>
                <w:szCs w:val="21"/>
                <w:lang w:val="en-US" w:eastAsia="zh-CN"/>
              </w:rPr>
              <w:t>森林旅游业</w:t>
            </w:r>
            <w:r>
              <w:rPr>
                <w:rFonts w:hint="default" w:ascii="Times New Roman" w:hAnsi="Times New Roman" w:cs="Times New Roman" w:eastAsiaTheme="minorEastAsia"/>
                <w:sz w:val="21"/>
                <w:szCs w:val="21"/>
                <w:lang w:val="en-US" w:eastAsia="zh-CN"/>
              </w:rPr>
              <w:fldChar w:fldCharType="end"/>
            </w:r>
            <w:r>
              <w:rPr>
                <w:rFonts w:hint="default" w:ascii="Times New Roman" w:hAnsi="Times New Roman" w:cs="Times New Roman" w:eastAsiaTheme="minorEastAsia"/>
                <w:sz w:val="21"/>
                <w:szCs w:val="21"/>
                <w:lang w:val="en-US" w:eastAsia="zh-CN"/>
              </w:rPr>
              <w:t>等方面经验或者研发经历。</w:t>
            </w:r>
          </w:p>
        </w:tc>
      </w:tr>
      <w:tr w14:paraId="3E43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413" w:type="dxa"/>
            <w:gridSpan w:val="2"/>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noWrap/>
            <w:vAlign w:val="center"/>
          </w:tcPr>
          <w:p w14:paraId="59F7A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项目名称</w:t>
            </w:r>
          </w:p>
        </w:tc>
        <w:tc>
          <w:tcPr>
            <w:tcW w:w="848"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0454015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w:t>
            </w:r>
          </w:p>
          <w:p w14:paraId="098EA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人数</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426DBA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w:t>
            </w:r>
          </w:p>
          <w:p w14:paraId="7E23A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编号</w:t>
            </w:r>
          </w:p>
        </w:tc>
        <w:tc>
          <w:tcPr>
            <w:tcW w:w="1813" w:type="dxa"/>
            <w:gridSpan w:val="2"/>
            <w:tcBorders>
              <w:top w:val="single" w:color="auto" w:sz="4" w:space="0"/>
              <w:left w:val="single" w:color="auto" w:sz="4" w:space="0"/>
              <w:bottom w:val="single" w:color="auto" w:sz="4" w:space="0"/>
              <w:right w:val="single" w:color="auto" w:sz="4" w:space="0"/>
              <w:tl2br w:val="nil"/>
              <w:tr2bl w:val="nil"/>
            </w:tcBorders>
            <w:shd w:val="clear" w:color="auto" w:fill="E7E6E6" w:themeFill="background2"/>
            <w:vAlign w:val="center"/>
          </w:tcPr>
          <w:p w14:paraId="49D0F947">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133E8490">
            <w:pPr>
              <w:adjustRightInd w:val="0"/>
              <w:snapToGrid w:val="0"/>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（一级学科</w:t>
            </w:r>
            <w:r>
              <w:rPr>
                <w:rFonts w:hint="eastAsia" w:eastAsiaTheme="minorEastAsia"/>
                <w:b/>
                <w:bCs/>
                <w:sz w:val="21"/>
                <w:szCs w:val="21"/>
                <w:lang w:eastAsia="zh-CN"/>
              </w:rPr>
              <w:t>）</w:t>
            </w:r>
          </w:p>
        </w:tc>
        <w:tc>
          <w:tcPr>
            <w:tcW w:w="1343" w:type="dxa"/>
            <w:tcBorders>
              <w:left w:val="single" w:color="auto" w:sz="4" w:space="0"/>
              <w:right w:val="single" w:color="auto" w:sz="4" w:space="0"/>
              <w:tl2br w:val="nil"/>
              <w:tr2bl w:val="nil"/>
            </w:tcBorders>
            <w:shd w:val="clear" w:color="auto" w:fill="E7E6E6" w:themeFill="background2"/>
            <w:vAlign w:val="center"/>
          </w:tcPr>
          <w:p w14:paraId="700E4B2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0D49F157">
            <w:pPr>
              <w:adjustRightInd w:val="0"/>
              <w:snapToGrid w:val="0"/>
              <w:spacing w:line="240" w:lineRule="auto"/>
              <w:ind w:firstLine="0" w:firstLineChars="0"/>
              <w:jc w:val="center"/>
              <w:rPr>
                <w:rFonts w:hint="eastAsia" w:ascii="Times New Roman" w:hAnsi="Times New Roman" w:cs="Times New Roman" w:eastAsiaTheme="minorEastAsia"/>
                <w:b/>
                <w:bCs/>
                <w:kern w:val="2"/>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241" w:type="dxa"/>
            <w:gridSpan w:val="2"/>
            <w:tcBorders>
              <w:left w:val="single" w:color="auto" w:sz="4" w:space="0"/>
              <w:right w:val="single" w:color="auto" w:sz="4" w:space="0"/>
              <w:tl2br w:val="nil"/>
              <w:tr2bl w:val="nil"/>
            </w:tcBorders>
            <w:shd w:val="clear" w:color="auto" w:fill="E7E6E6" w:themeFill="background2"/>
            <w:vAlign w:val="center"/>
          </w:tcPr>
          <w:p w14:paraId="651C7D9A">
            <w:pPr>
              <w:adjustRightInd w:val="0"/>
              <w:snapToGrid w:val="0"/>
              <w:spacing w:line="240" w:lineRule="auto"/>
              <w:ind w:firstLine="0"/>
              <w:jc w:val="center"/>
              <w:rPr>
                <w:rFonts w:hint="default" w:ascii="Times New Roman" w:hAnsi="Times New Roman" w:cs="Times New Roman" w:eastAsiaTheme="minorEastAsia"/>
                <w:b/>
                <w:bCs/>
                <w:kern w:val="2"/>
                <w:sz w:val="21"/>
                <w:szCs w:val="21"/>
                <w:lang w:val="en-US" w:eastAsia="zh-CN" w:bidi="ar-SA"/>
              </w:rPr>
            </w:pPr>
            <w:r>
              <w:rPr>
                <w:rFonts w:eastAsiaTheme="minorEastAsia"/>
                <w:b/>
                <w:bCs/>
                <w:sz w:val="21"/>
                <w:szCs w:val="21"/>
              </w:rPr>
              <w:t>博士生源单位等要求</w:t>
            </w:r>
          </w:p>
        </w:tc>
      </w:tr>
      <w:tr w14:paraId="2088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04354E45">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新能源储能、铅酸（炭）电池、锂离子电池、钠离子电池和液流电池</w:t>
            </w:r>
          </w:p>
        </w:tc>
        <w:tc>
          <w:tcPr>
            <w:tcW w:w="8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AB29910">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A8AACD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rPr>
              <w:t>BSH003</w:t>
            </w:r>
          </w:p>
        </w:tc>
        <w:tc>
          <w:tcPr>
            <w:tcW w:w="18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702ECD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材料、化学</w:t>
            </w:r>
          </w:p>
        </w:tc>
        <w:tc>
          <w:tcPr>
            <w:tcW w:w="1343" w:type="dxa"/>
            <w:tcBorders>
              <w:left w:val="single" w:color="auto" w:sz="4" w:space="0"/>
              <w:right w:val="single" w:color="auto" w:sz="4" w:space="0"/>
              <w:tl2br w:val="nil"/>
              <w:tr2bl w:val="nil"/>
            </w:tcBorders>
            <w:shd w:val="clear" w:color="auto" w:fill="FFFFFF"/>
            <w:vAlign w:val="center"/>
          </w:tcPr>
          <w:p w14:paraId="42E5CEFF">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面谈</w:t>
            </w:r>
          </w:p>
        </w:tc>
        <w:tc>
          <w:tcPr>
            <w:tcW w:w="2241" w:type="dxa"/>
            <w:gridSpan w:val="2"/>
            <w:tcBorders>
              <w:left w:val="single" w:color="auto" w:sz="4" w:space="0"/>
              <w:right w:val="single" w:color="auto" w:sz="4" w:space="0"/>
              <w:tl2br w:val="nil"/>
              <w:tr2bl w:val="nil"/>
            </w:tcBorders>
            <w:shd w:val="clear" w:color="auto" w:fill="FFFFFF"/>
            <w:vAlign w:val="center"/>
          </w:tcPr>
          <w:p w14:paraId="50E1F6CE">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有相关</w:t>
            </w:r>
            <w:r>
              <w:rPr>
                <w:rFonts w:hint="default" w:ascii="Times New Roman" w:hAnsi="Times New Roman" w:cs="Times New Roman" w:eastAsiaTheme="minorEastAsia"/>
                <w:sz w:val="21"/>
                <w:szCs w:val="21"/>
              </w:rPr>
              <w:t>化学储能设备及基础设施的规划、勘察、设计、施工、运营、维护、技术服务等</w:t>
            </w:r>
            <w:r>
              <w:rPr>
                <w:rFonts w:hint="default" w:ascii="Times New Roman" w:hAnsi="Times New Roman" w:cs="Times New Roman" w:eastAsiaTheme="minorEastAsia"/>
                <w:sz w:val="21"/>
                <w:szCs w:val="21"/>
                <w:lang w:val="en-US" w:eastAsia="zh-CN"/>
              </w:rPr>
              <w:t>方面经验或者研发经历</w:t>
            </w:r>
          </w:p>
        </w:tc>
      </w:tr>
      <w:tr w14:paraId="67B1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noWrap/>
            <w:vAlign w:val="center"/>
          </w:tcPr>
          <w:p w14:paraId="1DA42AD4">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数字经济</w:t>
            </w:r>
            <w:r>
              <w:rPr>
                <w:rFonts w:hint="default" w:ascii="Times New Roman" w:hAnsi="Times New Roman" w:cs="Times New Roman" w:eastAsiaTheme="minorEastAsia"/>
                <w:sz w:val="21"/>
                <w:szCs w:val="21"/>
                <w:lang w:val="en-US" w:eastAsia="zh-CN"/>
              </w:rPr>
              <w:t>与碳排放研究</w:t>
            </w:r>
          </w:p>
        </w:tc>
        <w:tc>
          <w:tcPr>
            <w:tcW w:w="848"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446C0D5">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09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F3CD2BC">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813"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60BA53C">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应用经济学</w:t>
            </w:r>
          </w:p>
        </w:tc>
        <w:tc>
          <w:tcPr>
            <w:tcW w:w="1343" w:type="dxa"/>
            <w:tcBorders>
              <w:left w:val="single" w:color="auto" w:sz="4" w:space="0"/>
              <w:right w:val="single" w:color="auto" w:sz="4" w:space="0"/>
              <w:tl2br w:val="nil"/>
              <w:tr2bl w:val="nil"/>
            </w:tcBorders>
            <w:shd w:val="clear" w:color="auto" w:fill="FFFFFF"/>
            <w:vAlign w:val="center"/>
          </w:tcPr>
          <w:p w14:paraId="1B3020A6">
            <w:pPr>
              <w:adjustRightInd w:val="0"/>
              <w:snapToGrid w:val="0"/>
              <w:spacing w:line="240" w:lineRule="auto"/>
              <w:ind w:firstLine="0" w:firstLineChars="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面谈</w:t>
            </w:r>
          </w:p>
        </w:tc>
        <w:tc>
          <w:tcPr>
            <w:tcW w:w="2241" w:type="dxa"/>
            <w:gridSpan w:val="2"/>
            <w:tcBorders>
              <w:left w:val="single" w:color="auto" w:sz="4" w:space="0"/>
              <w:right w:val="single" w:color="auto" w:sz="4" w:space="0"/>
              <w:tl2br w:val="nil"/>
              <w:tr2bl w:val="nil"/>
            </w:tcBorders>
            <w:shd w:val="clear" w:color="auto" w:fill="FFFFFF"/>
            <w:vAlign w:val="center"/>
          </w:tcPr>
          <w:p w14:paraId="618EBADC">
            <w:pPr>
              <w:adjustRightInd w:val="0"/>
              <w:snapToGrid w:val="0"/>
              <w:spacing w:line="240" w:lineRule="auto"/>
              <w:ind w:firstLine="0" w:firstLineChars="0"/>
              <w:jc w:val="both"/>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在数字经济或</w:t>
            </w:r>
            <w:r>
              <w:rPr>
                <w:rFonts w:hint="default" w:ascii="Times New Roman" w:hAnsi="Times New Roman" w:cs="Times New Roman" w:eastAsiaTheme="minorEastAsia"/>
                <w:sz w:val="21"/>
                <w:szCs w:val="21"/>
                <w:lang w:val="en-US" w:eastAsia="zh-CN"/>
              </w:rPr>
              <w:t>碳排放</w:t>
            </w:r>
            <w:r>
              <w:rPr>
                <w:rFonts w:hint="default" w:ascii="Times New Roman" w:hAnsi="Times New Roman" w:cs="Times New Roman" w:eastAsiaTheme="minorEastAsia"/>
                <w:sz w:val="21"/>
                <w:szCs w:val="21"/>
              </w:rPr>
              <w:t>等相关领域有一定的研究</w:t>
            </w:r>
            <w:r>
              <w:rPr>
                <w:rFonts w:hint="default" w:ascii="Times New Roman" w:hAnsi="Times New Roman" w:cs="Times New Roman" w:eastAsiaTheme="minorEastAsia"/>
                <w:sz w:val="21"/>
                <w:szCs w:val="21"/>
                <w:lang w:val="en-US" w:eastAsia="zh-CN"/>
              </w:rPr>
              <w:t>基础</w:t>
            </w:r>
          </w:p>
        </w:tc>
      </w:tr>
    </w:tbl>
    <w:p w14:paraId="31A1FDD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1AAB2C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063B08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FFD6BA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A494473">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538C6B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16BF9A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6813CD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4AC794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9F58AE7">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1F702B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59FAB8A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4D8F37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9C99A7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0D7114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32E9FA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AE3A07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1419CB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04672B5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6FDC99E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16578E35">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442CA66F">
      <w:pPr>
        <w:pStyle w:val="5"/>
        <w:adjustRightInd w:val="0"/>
        <w:snapToGrid w:val="0"/>
        <w:spacing w:line="240" w:lineRule="auto"/>
        <w:ind w:firstLine="0"/>
        <w:jc w:val="center"/>
        <w:outlineLvl w:val="0"/>
        <w:rPr>
          <w:rFonts w:hint="eastAsia" w:ascii="Times New Roman" w:hAnsi="Times New Roman" w:eastAsia="方正小标宋简体" w:cs="Times New Roman"/>
          <w:sz w:val="44"/>
          <w:szCs w:val="44"/>
          <w:highlight w:val="yellow"/>
        </w:rPr>
      </w:pPr>
      <w:bookmarkStart w:id="1016" w:name="_Toc32218"/>
      <w:bookmarkStart w:id="1017" w:name="_Toc24038"/>
      <w:bookmarkStart w:id="1018" w:name="_Toc7576"/>
      <w:bookmarkStart w:id="1019" w:name="_Toc3091"/>
      <w:bookmarkStart w:id="1020" w:name="_Toc16227"/>
      <w:r>
        <w:rPr>
          <w:rFonts w:hint="eastAsia" w:ascii="Times New Roman" w:hAnsi="Times New Roman" w:eastAsia="方正小标宋简体" w:cs="Times New Roman"/>
          <w:sz w:val="44"/>
          <w:szCs w:val="44"/>
          <w:highlight w:val="none"/>
        </w:rPr>
        <w:t>中铁信托有限责任公司</w:t>
      </w:r>
      <w:bookmarkEnd w:id="1016"/>
      <w:bookmarkEnd w:id="1017"/>
      <w:bookmarkEnd w:id="1018"/>
      <w:bookmarkEnd w:id="1019"/>
      <w:bookmarkEnd w:id="1020"/>
    </w:p>
    <w:p w14:paraId="205385B3">
      <w:pPr>
        <w:pStyle w:val="5"/>
        <w:adjustRightInd w:val="0"/>
        <w:snapToGrid w:val="0"/>
        <w:spacing w:line="240" w:lineRule="auto"/>
        <w:ind w:firstLine="0"/>
        <w:jc w:val="center"/>
        <w:rPr>
          <w:rFonts w:hint="eastAsia" w:ascii="Times New Roman" w:hAnsi="Times New Roman" w:eastAsia="方正小标宋简体" w:cs="Times New Roman"/>
          <w:sz w:val="21"/>
          <w:szCs w:val="21"/>
          <w:highlight w:val="yellow"/>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88"/>
        <w:gridCol w:w="506"/>
        <w:gridCol w:w="649"/>
        <w:gridCol w:w="1000"/>
        <w:gridCol w:w="139"/>
        <w:gridCol w:w="1478"/>
        <w:gridCol w:w="65"/>
        <w:gridCol w:w="1665"/>
        <w:gridCol w:w="82"/>
        <w:gridCol w:w="1950"/>
        <w:gridCol w:w="33"/>
      </w:tblGrid>
      <w:tr w14:paraId="43A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2DB64183">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单位性质</w:t>
            </w:r>
          </w:p>
        </w:tc>
        <w:tc>
          <w:tcPr>
            <w:tcW w:w="1366" w:type="dxa"/>
            <w:gridSpan w:val="2"/>
            <w:shd w:val="clear" w:color="000000" w:fill="FFFFFF"/>
            <w:noWrap/>
            <w:vAlign w:val="center"/>
          </w:tcPr>
          <w:p w14:paraId="79B9FB7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国有企业</w:t>
            </w:r>
          </w:p>
        </w:tc>
        <w:tc>
          <w:tcPr>
            <w:tcW w:w="1616" w:type="dxa"/>
            <w:gridSpan w:val="2"/>
            <w:shd w:val="clear" w:color="auto" w:fill="E7E6E6" w:themeFill="background2"/>
            <w:noWrap/>
            <w:vAlign w:val="center"/>
          </w:tcPr>
          <w:p w14:paraId="455D196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设站单位类型</w:t>
            </w:r>
          </w:p>
        </w:tc>
        <w:tc>
          <w:tcPr>
            <w:tcW w:w="1584" w:type="dxa"/>
            <w:gridSpan w:val="2"/>
            <w:shd w:val="clear" w:color="000000" w:fill="FFFFFF"/>
            <w:noWrap/>
            <w:vAlign w:val="center"/>
          </w:tcPr>
          <w:p w14:paraId="1224B7A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创新实践基地</w:t>
            </w:r>
          </w:p>
        </w:tc>
        <w:tc>
          <w:tcPr>
            <w:tcW w:w="1776" w:type="dxa"/>
            <w:gridSpan w:val="3"/>
            <w:shd w:val="clear" w:color="auto" w:fill="E7E6E6" w:themeFill="background2"/>
            <w:noWrap/>
            <w:vAlign w:val="center"/>
          </w:tcPr>
          <w:p w14:paraId="697D29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sz w:val="21"/>
                <w:szCs w:val="21"/>
              </w:rPr>
              <w:t>单位所在城市</w:t>
            </w:r>
          </w:p>
        </w:tc>
        <w:tc>
          <w:tcPr>
            <w:tcW w:w="1911" w:type="dxa"/>
            <w:shd w:val="clear" w:color="000000" w:fill="FFFFFF"/>
            <w:noWrap/>
            <w:vAlign w:val="center"/>
          </w:tcPr>
          <w:p w14:paraId="68EB6A6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成都</w:t>
            </w:r>
          </w:p>
        </w:tc>
      </w:tr>
      <w:tr w14:paraId="102D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567" w:hRule="atLeast"/>
          <w:jc w:val="center"/>
        </w:trPr>
        <w:tc>
          <w:tcPr>
            <w:tcW w:w="1271" w:type="dxa"/>
            <w:shd w:val="clear" w:color="auto" w:fill="E7E6E6" w:themeFill="background2"/>
            <w:noWrap/>
            <w:vAlign w:val="center"/>
          </w:tcPr>
          <w:p w14:paraId="10FDA014">
            <w:pPr>
              <w:adjustRightInd w:val="0"/>
              <w:snapToGrid w:val="0"/>
              <w:spacing w:line="240" w:lineRule="auto"/>
              <w:ind w:firstLine="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通讯地址</w:t>
            </w:r>
          </w:p>
        </w:tc>
        <w:tc>
          <w:tcPr>
            <w:tcW w:w="8253" w:type="dxa"/>
            <w:gridSpan w:val="10"/>
            <w:shd w:val="clear" w:color="000000" w:fill="FFFFFF"/>
            <w:noWrap/>
            <w:vAlign w:val="center"/>
          </w:tcPr>
          <w:p w14:paraId="0967DA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四川省成都市武侯区航空路1号国航世纪中心B座28楼</w:t>
            </w:r>
          </w:p>
        </w:tc>
      </w:tr>
      <w:tr w14:paraId="1ABD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689" w:hRule="atLeast"/>
          <w:jc w:val="center"/>
        </w:trPr>
        <w:tc>
          <w:tcPr>
            <w:tcW w:w="1271" w:type="dxa"/>
            <w:shd w:val="clear" w:color="auto" w:fill="E7E6E6" w:themeFill="background2"/>
            <w:noWrap/>
            <w:vAlign w:val="center"/>
          </w:tcPr>
          <w:p w14:paraId="6FB29A52">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14:paraId="4C2809CA">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eastAsiaTheme="minorEastAsia"/>
                <w:sz w:val="21"/>
                <w:szCs w:val="21"/>
              </w:rPr>
            </w:pPr>
            <w:r>
              <w:rPr>
                <w:rFonts w:hint="eastAsia" w:eastAsiaTheme="minorEastAsia"/>
                <w:sz w:val="21"/>
                <w:szCs w:val="21"/>
              </w:rPr>
              <w:t>中铁信托有限责任公司是经中国银行业监督管理委员会批准，以金融信托为主营业务的非银行金融机构，于2012年正式设立并运营博士后创新实践基地，是四川省内最早获得该资格的金融机构之一，信托行业内第三家获取该资格的公司。中铁信托博士后创新实践基地与西南财经大学、四川大学进行合作，以培养信托业高层次人才、促进业务创新，推动行业可持续发展为已任，目前已出版《家族信托的产品创新与投资管理》《中国信托业转型升级创新研究》《信托文化建设概论》等多部专著,并承担信托业协会、中国中铁等多家单位的科研课题，为信托行业研究和信托产品研发发挥了重要作用。</w:t>
            </w:r>
          </w:p>
        </w:tc>
      </w:tr>
      <w:tr w14:paraId="10A2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trHeight w:val="3427" w:hRule="atLeast"/>
          <w:jc w:val="center"/>
        </w:trPr>
        <w:tc>
          <w:tcPr>
            <w:tcW w:w="1271" w:type="dxa"/>
            <w:shd w:val="clear" w:color="auto" w:fill="E7E6E6" w:themeFill="background2"/>
            <w:noWrap/>
            <w:vAlign w:val="center"/>
          </w:tcPr>
          <w:p w14:paraId="08F50975">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14:paraId="4945D5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Theme="minorEastAsia"/>
                <w:sz w:val="21"/>
                <w:szCs w:val="21"/>
                <w:lang w:eastAsia="zh-CN"/>
              </w:rPr>
            </w:pPr>
            <w:r>
              <w:rPr>
                <w:rFonts w:hint="eastAsia" w:eastAsiaTheme="minorEastAsia"/>
                <w:sz w:val="21"/>
                <w:szCs w:val="21"/>
                <w:lang w:eastAsia="zh-CN"/>
              </w:rPr>
              <w:t>公司现行的博士后主要政策是自2023年8月4日起施行的新修订的《中铁信托有限责任公司博士后管理办法》(中铁信托司发〔2023〕84号)，和自2023年12月25日起施行的《中铁信托有限责任公司创新实验基地关于政府资助博士后的经费管理办法》(中铁信托司发〔2023〕119号)。管理办法对管理机构与职责，研究项目与招收计划的确定，博士后进站条件及申请、审批程序，在站博士后的管理，工资、福利待遇及经费管理，博士后出站的有关规定，研究成果管理，以及省、市、区对博士后的日常资助、生活资助等资助经费的管理做了详细的说明。</w:t>
            </w:r>
          </w:p>
        </w:tc>
      </w:tr>
      <w:tr w14:paraId="62EB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614F29A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14:paraId="4788EC9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3B4F6C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14:paraId="535C729D">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3639DE0C">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14EAA19F">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112A8BAF">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39641D66">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61A2810">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067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141" w:type="dxa"/>
            <w:gridSpan w:val="2"/>
            <w:shd w:val="clear" w:color="auto" w:fill="auto"/>
            <w:noWrap/>
            <w:vAlign w:val="center"/>
          </w:tcPr>
          <w:p w14:paraId="0DA143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default" w:ascii="Times New Roman" w:hAnsi="Times New Roman" w:cs="Times New Roman" w:eastAsiaTheme="minorEastAsia"/>
                <w:b w:val="0"/>
                <w:bCs w:val="0"/>
                <w:color w:val="auto"/>
                <w:sz w:val="21"/>
                <w:szCs w:val="21"/>
                <w:lang w:val="en-US" w:eastAsia="en-US" w:bidi="ar-SA"/>
              </w:rPr>
              <w:t>信托公司参与资本市场竞争研究</w:t>
            </w:r>
          </w:p>
        </w:tc>
        <w:tc>
          <w:tcPr>
            <w:tcW w:w="1132" w:type="dxa"/>
            <w:gridSpan w:val="2"/>
            <w:shd w:val="clear" w:color="auto" w:fill="auto"/>
            <w:vAlign w:val="center"/>
          </w:tcPr>
          <w:p w14:paraId="4C0FD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2</w:t>
            </w:r>
          </w:p>
        </w:tc>
        <w:tc>
          <w:tcPr>
            <w:tcW w:w="1116" w:type="dxa"/>
            <w:gridSpan w:val="2"/>
            <w:shd w:val="clear" w:color="auto" w:fill="auto"/>
            <w:vAlign w:val="center"/>
          </w:tcPr>
          <w:p w14:paraId="4D2EE65D">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color w:val="auto"/>
                <w:sz w:val="21"/>
                <w:szCs w:val="21"/>
              </w:rPr>
              <w:t>BSH</w:t>
            </w:r>
            <w:r>
              <w:rPr>
                <w:rFonts w:hint="default" w:ascii="Times New Roman" w:hAnsi="Times New Roman" w:cs="Times New Roman" w:eastAsiaTheme="minorEastAsia"/>
                <w:color w:val="auto"/>
                <w:spacing w:val="5"/>
                <w:sz w:val="21"/>
                <w:szCs w:val="21"/>
              </w:rPr>
              <w:t>001</w:t>
            </w:r>
          </w:p>
        </w:tc>
        <w:tc>
          <w:tcPr>
            <w:tcW w:w="1512" w:type="dxa"/>
            <w:gridSpan w:val="2"/>
            <w:shd w:val="clear" w:color="auto" w:fill="auto"/>
            <w:vAlign w:val="center"/>
          </w:tcPr>
          <w:p w14:paraId="3021A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应用经济学</w:t>
            </w:r>
          </w:p>
        </w:tc>
        <w:tc>
          <w:tcPr>
            <w:tcW w:w="1632" w:type="dxa"/>
            <w:shd w:val="clear" w:color="auto" w:fill="auto"/>
            <w:vAlign w:val="center"/>
          </w:tcPr>
          <w:p w14:paraId="695EB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20</w:t>
            </w:r>
          </w:p>
        </w:tc>
        <w:tc>
          <w:tcPr>
            <w:tcW w:w="2023" w:type="dxa"/>
            <w:gridSpan w:val="3"/>
            <w:shd w:val="clear" w:color="auto" w:fill="auto"/>
            <w:vAlign w:val="center"/>
          </w:tcPr>
          <w:p w14:paraId="3217B9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bidi="ar-SA"/>
              </w:rPr>
              <w:t>已经或即将在国内外获得博士学位，品学兼优，身体健康，年龄原则上在35周岁以下，专业符合实践基地招收要求；具有较强的研究能力和敬业精神，能够尽职尽责的完成博士后研究工作。</w:t>
            </w:r>
          </w:p>
        </w:tc>
      </w:tr>
      <w:tr w14:paraId="67B6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141" w:type="dxa"/>
            <w:gridSpan w:val="2"/>
            <w:shd w:val="clear" w:color="auto" w:fill="E7E6E6" w:themeFill="background2"/>
            <w:noWrap/>
            <w:vAlign w:val="center"/>
          </w:tcPr>
          <w:p w14:paraId="6889E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en-US" w:bidi="ar-SA"/>
              </w:rPr>
            </w:pPr>
            <w:r>
              <w:rPr>
                <w:rFonts w:eastAsiaTheme="minorEastAsia"/>
                <w:b/>
                <w:bCs/>
                <w:color w:val="auto"/>
                <w:sz w:val="21"/>
                <w:szCs w:val="21"/>
              </w:rPr>
              <w:t>项目名称</w:t>
            </w:r>
          </w:p>
        </w:tc>
        <w:tc>
          <w:tcPr>
            <w:tcW w:w="1132" w:type="dxa"/>
            <w:gridSpan w:val="2"/>
            <w:shd w:val="clear" w:color="auto" w:fill="E7E6E6" w:themeFill="background2"/>
            <w:vAlign w:val="center"/>
          </w:tcPr>
          <w:p w14:paraId="09467F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eastAsiaTheme="minorEastAsia"/>
                <w:b/>
                <w:bCs/>
                <w:color w:val="auto"/>
                <w:sz w:val="21"/>
                <w:szCs w:val="21"/>
              </w:rPr>
              <w:t>需求人数</w:t>
            </w:r>
          </w:p>
        </w:tc>
        <w:tc>
          <w:tcPr>
            <w:tcW w:w="1116" w:type="dxa"/>
            <w:gridSpan w:val="2"/>
            <w:shd w:val="clear" w:color="auto" w:fill="E7E6E6" w:themeFill="background2"/>
            <w:vAlign w:val="center"/>
          </w:tcPr>
          <w:p w14:paraId="51619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eastAsiaTheme="minorEastAsia"/>
                <w:b/>
                <w:bCs/>
                <w:color w:val="auto"/>
                <w:sz w:val="21"/>
                <w:szCs w:val="21"/>
              </w:rPr>
              <w:t>岗位编号</w:t>
            </w:r>
          </w:p>
        </w:tc>
        <w:tc>
          <w:tcPr>
            <w:tcW w:w="1512" w:type="dxa"/>
            <w:gridSpan w:val="2"/>
            <w:shd w:val="clear" w:color="auto" w:fill="E7E6E6" w:themeFill="background2"/>
            <w:vAlign w:val="center"/>
          </w:tcPr>
          <w:p w14:paraId="6E80536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A18D366">
            <w:pPr>
              <w:adjustRightInd w:val="0"/>
              <w:snapToGrid w:val="0"/>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en-US" w:bidi="ar-SA"/>
              </w:rPr>
            </w:pPr>
            <w:r>
              <w:rPr>
                <w:rFonts w:eastAsiaTheme="minorEastAsia"/>
                <w:b/>
                <w:bCs/>
                <w:sz w:val="21"/>
                <w:szCs w:val="21"/>
              </w:rPr>
              <w:t>（一级学科</w:t>
            </w:r>
            <w:r>
              <w:rPr>
                <w:rFonts w:hint="eastAsia" w:eastAsiaTheme="minorEastAsia"/>
                <w:b/>
                <w:bCs/>
                <w:sz w:val="21"/>
                <w:szCs w:val="21"/>
                <w:lang w:eastAsia="zh-CN"/>
              </w:rPr>
              <w:t>）</w:t>
            </w:r>
          </w:p>
        </w:tc>
        <w:tc>
          <w:tcPr>
            <w:tcW w:w="1632" w:type="dxa"/>
            <w:shd w:val="clear" w:color="auto" w:fill="E7E6E6" w:themeFill="background2"/>
            <w:vAlign w:val="center"/>
          </w:tcPr>
          <w:p w14:paraId="740BD92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59C34CBC">
            <w:pPr>
              <w:adjustRightInd w:val="0"/>
              <w:snapToGrid w:val="0"/>
              <w:spacing w:line="240" w:lineRule="auto"/>
              <w:ind w:firstLine="0" w:firstLineChars="0"/>
              <w:jc w:val="center"/>
              <w:rPr>
                <w:rFonts w:hint="default" w:ascii="Times New Roman" w:hAnsi="Times New Roman" w:cs="Times New Roman" w:eastAsiaTheme="minorEastAsia"/>
                <w:b w:val="0"/>
                <w:bCs w:val="0"/>
                <w:color w:val="auto"/>
                <w:sz w:val="21"/>
                <w:szCs w:val="21"/>
                <w:lang w:val="en-US" w:eastAsia="zh-CN" w:bidi="ar-SA"/>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2023" w:type="dxa"/>
            <w:gridSpan w:val="3"/>
            <w:shd w:val="clear" w:color="auto" w:fill="E7E6E6" w:themeFill="background2"/>
            <w:vAlign w:val="center"/>
          </w:tcPr>
          <w:p w14:paraId="61FBC51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F94494C">
            <w:pPr>
              <w:adjustRightInd w:val="0"/>
              <w:snapToGrid w:val="0"/>
              <w:spacing w:line="240" w:lineRule="auto"/>
              <w:ind w:firstLine="0" w:firstLineChars="0"/>
              <w:jc w:val="center"/>
              <w:rPr>
                <w:rFonts w:hint="eastAsia" w:ascii="Times New Roman" w:hAnsi="Times New Roman" w:cs="Times New Roman" w:eastAsiaTheme="minorEastAsia"/>
                <w:color w:val="auto"/>
                <w:sz w:val="21"/>
                <w:szCs w:val="21"/>
                <w:lang w:val="en-US" w:eastAsia="zh-CN"/>
              </w:rPr>
            </w:pPr>
            <w:r>
              <w:rPr>
                <w:rFonts w:eastAsiaTheme="minorEastAsia"/>
                <w:b/>
                <w:bCs/>
                <w:sz w:val="21"/>
                <w:szCs w:val="21"/>
              </w:rPr>
              <w:t>等要求</w:t>
            </w:r>
          </w:p>
        </w:tc>
      </w:tr>
      <w:tr w14:paraId="2612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141" w:type="dxa"/>
            <w:gridSpan w:val="2"/>
            <w:shd w:val="clear" w:color="auto" w:fill="auto"/>
            <w:noWrap/>
            <w:vAlign w:val="center"/>
          </w:tcPr>
          <w:p w14:paraId="2F5C1A5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en-US" w:bidi="ar-SA"/>
              </w:rPr>
            </w:pPr>
            <w:r>
              <w:rPr>
                <w:rFonts w:hint="default" w:ascii="Times New Roman" w:hAnsi="Times New Roman" w:cs="Times New Roman" w:eastAsiaTheme="minorEastAsia"/>
                <w:b w:val="0"/>
                <w:bCs w:val="0"/>
                <w:color w:val="auto"/>
                <w:sz w:val="21"/>
                <w:szCs w:val="21"/>
                <w:lang w:val="en-US" w:eastAsia="en-US" w:bidi="ar-SA"/>
              </w:rPr>
              <w:t>新业务分类背景下信托业转型发展研究</w:t>
            </w:r>
          </w:p>
        </w:tc>
        <w:tc>
          <w:tcPr>
            <w:tcW w:w="1132" w:type="dxa"/>
            <w:gridSpan w:val="2"/>
            <w:shd w:val="clear" w:color="auto" w:fill="auto"/>
            <w:vAlign w:val="center"/>
          </w:tcPr>
          <w:p w14:paraId="1B8E6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1116" w:type="dxa"/>
            <w:gridSpan w:val="2"/>
            <w:shd w:val="clear" w:color="auto" w:fill="auto"/>
            <w:vAlign w:val="center"/>
          </w:tcPr>
          <w:p w14:paraId="4770FDD5">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BSH</w:t>
            </w:r>
            <w:r>
              <w:rPr>
                <w:rFonts w:hint="default" w:ascii="Times New Roman" w:hAnsi="Times New Roman" w:cs="Times New Roman" w:eastAsiaTheme="minorEastAsia"/>
                <w:color w:val="auto"/>
                <w:spacing w:val="5"/>
                <w:sz w:val="21"/>
                <w:szCs w:val="21"/>
              </w:rPr>
              <w:t>00</w:t>
            </w:r>
            <w:r>
              <w:rPr>
                <w:rFonts w:hint="eastAsia" w:ascii="Times New Roman" w:hAnsi="Times New Roman" w:cs="Times New Roman" w:eastAsiaTheme="minorEastAsia"/>
                <w:color w:val="auto"/>
                <w:spacing w:val="5"/>
                <w:sz w:val="21"/>
                <w:szCs w:val="21"/>
                <w:lang w:val="en-US" w:eastAsia="zh-CN"/>
              </w:rPr>
              <w:t>2</w:t>
            </w:r>
          </w:p>
        </w:tc>
        <w:tc>
          <w:tcPr>
            <w:tcW w:w="1512" w:type="dxa"/>
            <w:gridSpan w:val="2"/>
            <w:shd w:val="clear" w:color="auto" w:fill="auto"/>
            <w:vAlign w:val="center"/>
          </w:tcPr>
          <w:p w14:paraId="134CA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应用经济学</w:t>
            </w:r>
          </w:p>
        </w:tc>
        <w:tc>
          <w:tcPr>
            <w:tcW w:w="1632" w:type="dxa"/>
            <w:shd w:val="clear" w:color="auto" w:fill="auto"/>
            <w:vAlign w:val="center"/>
          </w:tcPr>
          <w:p w14:paraId="56BB2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20</w:t>
            </w:r>
          </w:p>
        </w:tc>
        <w:tc>
          <w:tcPr>
            <w:tcW w:w="2023" w:type="dxa"/>
            <w:gridSpan w:val="3"/>
            <w:vMerge w:val="restart"/>
            <w:shd w:val="clear" w:color="auto" w:fill="auto"/>
            <w:vAlign w:val="center"/>
          </w:tcPr>
          <w:p w14:paraId="2D7781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bidi="ar-SA"/>
              </w:rPr>
              <w:t>已经或即将在国内外获得博士学位，品学兼优，身体健康，年龄原则上在35周岁以下，专业符合实践基地招收要求；具有较强的研究能力和敬业精神，能够尽职尽责的完成博士后研究工作。</w:t>
            </w:r>
          </w:p>
        </w:tc>
      </w:tr>
      <w:tr w14:paraId="5BB4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141" w:type="dxa"/>
            <w:gridSpan w:val="2"/>
            <w:shd w:val="clear" w:color="auto" w:fill="auto"/>
            <w:noWrap/>
            <w:vAlign w:val="center"/>
          </w:tcPr>
          <w:p w14:paraId="4A7E29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自选课题</w:t>
            </w:r>
          </w:p>
        </w:tc>
        <w:tc>
          <w:tcPr>
            <w:tcW w:w="1132" w:type="dxa"/>
            <w:gridSpan w:val="2"/>
            <w:shd w:val="clear" w:color="auto" w:fill="auto"/>
            <w:vAlign w:val="center"/>
          </w:tcPr>
          <w:p w14:paraId="1F5606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1116" w:type="dxa"/>
            <w:gridSpan w:val="2"/>
            <w:shd w:val="clear" w:color="auto" w:fill="auto"/>
            <w:vAlign w:val="center"/>
          </w:tcPr>
          <w:p w14:paraId="235F8636">
            <w:pPr>
              <w:pStyle w:val="6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BSH</w:t>
            </w:r>
            <w:r>
              <w:rPr>
                <w:rFonts w:hint="default" w:ascii="Times New Roman" w:hAnsi="Times New Roman" w:cs="Times New Roman" w:eastAsiaTheme="minorEastAsia"/>
                <w:color w:val="auto"/>
                <w:spacing w:val="5"/>
                <w:sz w:val="21"/>
                <w:szCs w:val="21"/>
              </w:rPr>
              <w:t>00</w:t>
            </w:r>
            <w:r>
              <w:rPr>
                <w:rFonts w:hint="eastAsia" w:ascii="Times New Roman" w:hAnsi="Times New Roman" w:cs="Times New Roman" w:eastAsiaTheme="minorEastAsia"/>
                <w:color w:val="auto"/>
                <w:spacing w:val="5"/>
                <w:sz w:val="21"/>
                <w:szCs w:val="21"/>
                <w:lang w:val="en-US" w:eastAsia="zh-CN"/>
              </w:rPr>
              <w:t>3</w:t>
            </w:r>
          </w:p>
        </w:tc>
        <w:tc>
          <w:tcPr>
            <w:tcW w:w="1512" w:type="dxa"/>
            <w:gridSpan w:val="2"/>
            <w:shd w:val="clear" w:color="auto" w:fill="auto"/>
            <w:vAlign w:val="center"/>
          </w:tcPr>
          <w:p w14:paraId="4E501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en-US" w:bidi="ar-SA"/>
              </w:rPr>
            </w:pPr>
            <w:r>
              <w:rPr>
                <w:rFonts w:hint="eastAsia" w:ascii="Times New Roman" w:hAnsi="Times New Roman" w:cs="Times New Roman" w:eastAsiaTheme="minorEastAsia"/>
                <w:b w:val="0"/>
                <w:bCs w:val="0"/>
                <w:color w:val="auto"/>
                <w:sz w:val="21"/>
                <w:szCs w:val="21"/>
                <w:lang w:val="en-US" w:eastAsia="zh-CN" w:bidi="ar-SA"/>
              </w:rPr>
              <w:t>应用经济学</w:t>
            </w:r>
          </w:p>
        </w:tc>
        <w:tc>
          <w:tcPr>
            <w:tcW w:w="1632" w:type="dxa"/>
            <w:shd w:val="clear" w:color="auto" w:fill="auto"/>
            <w:vAlign w:val="center"/>
          </w:tcPr>
          <w:p w14:paraId="1F4A0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bidi="ar-SA"/>
              </w:rPr>
              <w:t>20</w:t>
            </w:r>
          </w:p>
        </w:tc>
        <w:tc>
          <w:tcPr>
            <w:tcW w:w="2023" w:type="dxa"/>
            <w:gridSpan w:val="3"/>
            <w:vMerge w:val="continue"/>
            <w:shd w:val="clear" w:color="auto" w:fill="auto"/>
            <w:vAlign w:val="center"/>
          </w:tcPr>
          <w:p w14:paraId="219EE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p>
        </w:tc>
      </w:tr>
    </w:tbl>
    <w:p w14:paraId="7E3D821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yellow"/>
        </w:rPr>
      </w:pPr>
    </w:p>
    <w:p w14:paraId="29EEA628">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668676CF">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578FE0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1EEAEBBA">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4CED6C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142097C4">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00FA2C1">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B9E41D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4A31593D">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4C5AD0C6">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620A45B2">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8CA0419">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402972CE">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207AE220">
      <w:pPr>
        <w:pStyle w:val="5"/>
        <w:adjustRightInd w:val="0"/>
        <w:snapToGrid w:val="0"/>
        <w:spacing w:line="240" w:lineRule="auto"/>
        <w:ind w:firstLine="0"/>
        <w:jc w:val="center"/>
        <w:rPr>
          <w:rFonts w:hint="eastAsia" w:ascii="Times New Roman" w:hAnsi="Times New Roman" w:eastAsia="方正小标宋简体" w:cs="Times New Roman"/>
          <w:sz w:val="44"/>
          <w:szCs w:val="44"/>
          <w:highlight w:val="none"/>
        </w:rPr>
      </w:pPr>
    </w:p>
    <w:p w14:paraId="0F8A4DB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1021" w:name="_Toc6777"/>
      <w:bookmarkStart w:id="1022" w:name="_Toc4685"/>
      <w:bookmarkStart w:id="1023" w:name="_Toc23175"/>
      <w:bookmarkStart w:id="1024" w:name="_Toc3017"/>
      <w:r>
        <w:rPr>
          <w:rFonts w:eastAsia="方正小标宋简体"/>
          <w:sz w:val="44"/>
          <w:szCs w:val="44"/>
          <w:highlight w:val="none"/>
        </w:rPr>
        <w:t>自贡市第四人民医院</w:t>
      </w:r>
      <w:bookmarkEnd w:id="619"/>
      <w:bookmarkEnd w:id="1021"/>
      <w:bookmarkEnd w:id="1022"/>
      <w:bookmarkEnd w:id="1023"/>
      <w:bookmarkEnd w:id="1024"/>
    </w:p>
    <w:p w14:paraId="22152F9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16"/>
        <w:gridCol w:w="341"/>
        <w:gridCol w:w="799"/>
        <w:gridCol w:w="887"/>
        <w:gridCol w:w="253"/>
        <w:gridCol w:w="1371"/>
        <w:gridCol w:w="371"/>
        <w:gridCol w:w="1192"/>
        <w:gridCol w:w="268"/>
        <w:gridCol w:w="1754"/>
      </w:tblGrid>
      <w:tr w14:paraId="4828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66CAE881">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2338753">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50" w:type="dxa"/>
            <w:gridSpan w:val="2"/>
            <w:shd w:val="clear" w:color="auto" w:fill="E7E6E6" w:themeFill="background2"/>
            <w:noWrap/>
            <w:vAlign w:val="center"/>
          </w:tcPr>
          <w:p w14:paraId="3CC16F1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14:paraId="6438336E">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3CB96B2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14:paraId="5ABF9D0A">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3FFE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1F95D7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14:paraId="56FDD416">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自贡市自流井区檀木林街19号</w:t>
            </w:r>
          </w:p>
        </w:tc>
      </w:tr>
      <w:tr w14:paraId="00B6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8" w:hRule="atLeast"/>
          <w:jc w:val="center"/>
        </w:trPr>
        <w:tc>
          <w:tcPr>
            <w:tcW w:w="1271" w:type="dxa"/>
            <w:shd w:val="clear" w:color="auto" w:fill="E7E6E6" w:themeFill="background2"/>
            <w:noWrap/>
            <w:vAlign w:val="center"/>
          </w:tcPr>
          <w:p w14:paraId="2F7B00DB">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14:paraId="1E4131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自贡市第四人民医院前身系1942年成立的自贡市卫生院。医院现为国家三级甲等综合医院、国家级爱婴医院、国家医疗器械临床试验机构、国家药物临床试验机构、国家级胸痛中心、国家级卒中中心、川南五地市直升机医疗救援基地。建有四川省医学检验临床医学研究中心、博士后创新实践基地、院士（专家）工作站、超声医疗国家工程研究中心前列腺疾病实验室、自贡市骨科与运动康复临床医学研究中心、自贡市数字医学中心等多个高水平创新平台。医院现年总诊疗140万人次、出院9.8万余人次、住院手术3.1万余人次，急救出车1.3万余车次。医院现有职工2937人，高、中级职称人员1192人，硕博士研究生434人。医院设施设备先进，建有全市唯一的复合手术室。拥有西门子Force超高端双源CT、西门子领先生命感知MRI、飞利浦高端数字血管机、64排128层螺旋CT、PET/CT、骨科机器人等高精尖医疗设备。医院连续三年获得国家三级公立医院绩效考核等级A等次。</w:t>
            </w:r>
          </w:p>
        </w:tc>
      </w:tr>
      <w:tr w14:paraId="39C2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4" w:hRule="atLeast"/>
          <w:jc w:val="center"/>
        </w:trPr>
        <w:tc>
          <w:tcPr>
            <w:tcW w:w="1271" w:type="dxa"/>
            <w:shd w:val="clear" w:color="auto" w:fill="E7E6E6" w:themeFill="background2"/>
            <w:noWrap/>
            <w:vAlign w:val="center"/>
          </w:tcPr>
          <w:p w14:paraId="7DCA0A2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14:paraId="1B9C40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1.提供两室两厅住房一套；</w:t>
            </w:r>
          </w:p>
          <w:p w14:paraId="5D135A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2.每月发放人才津贴2000元；</w:t>
            </w:r>
          </w:p>
          <w:p w14:paraId="0DEC22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3.薪酬及其他要求可与院长面谈</w:t>
            </w:r>
            <w:r>
              <w:rPr>
                <w:rFonts w:hint="eastAsia" w:eastAsiaTheme="minorEastAsia"/>
                <w:sz w:val="21"/>
                <w:szCs w:val="21"/>
                <w:lang w:eastAsia="zh-CN"/>
              </w:rPr>
              <w:t>；</w:t>
            </w:r>
          </w:p>
          <w:p w14:paraId="609430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4.可在核定编制总量内办理入编手续，不受当年用编进人计划限制</w:t>
            </w:r>
            <w:r>
              <w:rPr>
                <w:rFonts w:hint="eastAsia" w:eastAsiaTheme="minorEastAsia"/>
                <w:sz w:val="21"/>
                <w:szCs w:val="21"/>
                <w:lang w:eastAsia="zh-CN"/>
              </w:rPr>
              <w:t>；</w:t>
            </w:r>
          </w:p>
          <w:p w14:paraId="69F115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lang w:eastAsia="zh-CN"/>
              </w:rPr>
            </w:pPr>
            <w:r>
              <w:rPr>
                <w:rFonts w:hint="eastAsia" w:eastAsiaTheme="minorEastAsia"/>
                <w:sz w:val="21"/>
                <w:szCs w:val="21"/>
              </w:rPr>
              <w:t>5.优先晋升职称职级，优先聘任在中层及以上管理岗位，优先推荐各级“两代表一委员”、各级各类评先评优</w:t>
            </w:r>
            <w:r>
              <w:rPr>
                <w:rFonts w:hint="eastAsia" w:eastAsiaTheme="minorEastAsia"/>
                <w:sz w:val="21"/>
                <w:szCs w:val="21"/>
                <w:lang w:eastAsia="zh-CN"/>
              </w:rPr>
              <w:t>；</w:t>
            </w:r>
          </w:p>
          <w:p w14:paraId="59B89E9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6.落实市人才工作领导小组《关于服务高层次人才提供更好生活便利的五项措施》，积极协调提供高层次人才子女入学、医疗保健、配偶就业、政务服务等方面的优质服务和保障。</w:t>
            </w:r>
          </w:p>
        </w:tc>
      </w:tr>
      <w:tr w14:paraId="5B18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461" w:type="dxa"/>
            <w:gridSpan w:val="2"/>
            <w:shd w:val="clear" w:color="auto" w:fill="E7E6E6" w:themeFill="background2"/>
            <w:noWrap/>
            <w:vAlign w:val="center"/>
          </w:tcPr>
          <w:p w14:paraId="1FA1BEE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14:paraId="50594477">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14:paraId="37A6A22A">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14:paraId="17F3933A">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081886A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auto" w:fill="E7E6E6" w:themeFill="background2"/>
            <w:vAlign w:val="center"/>
          </w:tcPr>
          <w:p w14:paraId="6AFEE16E">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453F84F5">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auto" w:fill="E7E6E6" w:themeFill="background2"/>
            <w:vAlign w:val="center"/>
          </w:tcPr>
          <w:p w14:paraId="6B9E53EE">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64D6FA4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2E55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3C562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急诊大数据与人工智能</w:t>
            </w:r>
          </w:p>
        </w:tc>
        <w:tc>
          <w:tcPr>
            <w:tcW w:w="1116" w:type="dxa"/>
            <w:gridSpan w:val="2"/>
            <w:shd w:val="clear" w:color="000000" w:fill="FFFFFF"/>
            <w:vAlign w:val="center"/>
          </w:tcPr>
          <w:p w14:paraId="44610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3AA33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704" w:type="dxa"/>
            <w:gridSpan w:val="2"/>
            <w:shd w:val="clear" w:color="000000" w:fill="FFFFFF"/>
            <w:vAlign w:val="center"/>
          </w:tcPr>
          <w:p w14:paraId="01206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医学计算机相关专业</w:t>
            </w:r>
          </w:p>
        </w:tc>
        <w:tc>
          <w:tcPr>
            <w:tcW w:w="1428" w:type="dxa"/>
            <w:gridSpan w:val="2"/>
            <w:shd w:val="clear" w:color="000000" w:fill="FFFFFF"/>
            <w:vAlign w:val="center"/>
          </w:tcPr>
          <w:p w14:paraId="44A71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w:t>
            </w:r>
          </w:p>
        </w:tc>
        <w:tc>
          <w:tcPr>
            <w:tcW w:w="1715" w:type="dxa"/>
            <w:shd w:val="clear" w:color="000000" w:fill="FFFFFF"/>
            <w:vAlign w:val="center"/>
          </w:tcPr>
          <w:p w14:paraId="3CA612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2141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2461" w:type="dxa"/>
            <w:gridSpan w:val="2"/>
            <w:shd w:val="clear" w:color="000000" w:fill="E7E6E6" w:themeFill="background2"/>
            <w:noWrap/>
            <w:vAlign w:val="center"/>
          </w:tcPr>
          <w:p w14:paraId="6ABB7E2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bidi="ar"/>
              </w:rPr>
            </w:pPr>
            <w:r>
              <w:rPr>
                <w:rFonts w:eastAsiaTheme="minorEastAsia"/>
                <w:b/>
                <w:bCs/>
                <w:sz w:val="21"/>
                <w:szCs w:val="21"/>
              </w:rPr>
              <w:t>项目名称</w:t>
            </w:r>
          </w:p>
        </w:tc>
        <w:tc>
          <w:tcPr>
            <w:tcW w:w="1116" w:type="dxa"/>
            <w:gridSpan w:val="2"/>
            <w:shd w:val="clear" w:color="000000" w:fill="E7E6E6" w:themeFill="background2"/>
            <w:vAlign w:val="center"/>
          </w:tcPr>
          <w:p w14:paraId="5AC2E4F7">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eastAsiaTheme="minorEastAsia"/>
                <w:b/>
                <w:bCs/>
                <w:sz w:val="21"/>
                <w:szCs w:val="21"/>
              </w:rPr>
              <w:t>需求人数</w:t>
            </w:r>
          </w:p>
        </w:tc>
        <w:tc>
          <w:tcPr>
            <w:tcW w:w="1116" w:type="dxa"/>
            <w:gridSpan w:val="2"/>
            <w:shd w:val="clear" w:color="000000" w:fill="E7E6E6" w:themeFill="background2"/>
            <w:vAlign w:val="center"/>
          </w:tcPr>
          <w:p w14:paraId="26329F6D">
            <w:pPr>
              <w:adjustRightInd w:val="0"/>
              <w:snapToGrid w:val="0"/>
              <w:spacing w:line="240" w:lineRule="auto"/>
              <w:ind w:firstLine="0" w:firstLineChars="0"/>
              <w:jc w:val="center"/>
              <w:rPr>
                <w:rFonts w:hint="default" w:ascii="Times New Roman" w:hAnsi="Times New Roman" w:cs="Times New Roman" w:eastAsiaTheme="minorEastAsia"/>
                <w:kern w:val="0"/>
                <w:sz w:val="21"/>
                <w:szCs w:val="21"/>
              </w:rPr>
            </w:pPr>
            <w:r>
              <w:rPr>
                <w:rFonts w:eastAsiaTheme="minorEastAsia"/>
                <w:b/>
                <w:bCs/>
                <w:sz w:val="21"/>
                <w:szCs w:val="21"/>
              </w:rPr>
              <w:t>岗位编号</w:t>
            </w:r>
          </w:p>
        </w:tc>
        <w:tc>
          <w:tcPr>
            <w:tcW w:w="1704" w:type="dxa"/>
            <w:gridSpan w:val="2"/>
            <w:shd w:val="clear" w:color="000000" w:fill="E7E6E6" w:themeFill="background2"/>
            <w:vAlign w:val="center"/>
          </w:tcPr>
          <w:p w14:paraId="36CA0241">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6DEBB93E">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bidi="ar"/>
              </w:rPr>
            </w:pPr>
            <w:r>
              <w:rPr>
                <w:rFonts w:eastAsiaTheme="minorEastAsia"/>
                <w:b/>
                <w:bCs/>
                <w:sz w:val="21"/>
                <w:szCs w:val="21"/>
              </w:rPr>
              <w:t>（一级学科</w:t>
            </w:r>
            <w:r>
              <w:rPr>
                <w:rFonts w:hint="eastAsia" w:eastAsiaTheme="minorEastAsia"/>
                <w:b/>
                <w:bCs/>
                <w:sz w:val="21"/>
                <w:szCs w:val="21"/>
                <w:lang w:eastAsia="zh-CN"/>
              </w:rPr>
              <w:t>）</w:t>
            </w:r>
          </w:p>
        </w:tc>
        <w:tc>
          <w:tcPr>
            <w:tcW w:w="1428" w:type="dxa"/>
            <w:gridSpan w:val="2"/>
            <w:shd w:val="clear" w:color="000000" w:fill="E7E6E6" w:themeFill="background2"/>
            <w:vAlign w:val="center"/>
          </w:tcPr>
          <w:p w14:paraId="46444472">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243318A4">
            <w:pPr>
              <w:adjustRightInd w:val="0"/>
              <w:snapToGrid w:val="0"/>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715" w:type="dxa"/>
            <w:shd w:val="clear" w:color="000000" w:fill="E7E6E6" w:themeFill="background2"/>
            <w:vAlign w:val="center"/>
          </w:tcPr>
          <w:p w14:paraId="4EB38E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51D13CF1">
            <w:pPr>
              <w:adjustRightInd w:val="0"/>
              <w:snapToGrid w:val="0"/>
              <w:spacing w:line="240" w:lineRule="auto"/>
              <w:ind w:firstLine="0" w:firstLineChars="0"/>
              <w:jc w:val="center"/>
              <w:rPr>
                <w:rFonts w:hint="default" w:ascii="Times New Roman" w:hAnsi="Times New Roman" w:cs="Times New Roman" w:eastAsiaTheme="minorEastAsia"/>
                <w:sz w:val="21"/>
                <w:szCs w:val="21"/>
              </w:rPr>
            </w:pPr>
            <w:r>
              <w:rPr>
                <w:rFonts w:eastAsiaTheme="minorEastAsia"/>
                <w:b/>
                <w:bCs/>
                <w:sz w:val="21"/>
                <w:szCs w:val="21"/>
              </w:rPr>
              <w:t>等要求</w:t>
            </w:r>
          </w:p>
        </w:tc>
      </w:tr>
      <w:tr w14:paraId="46FA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782E9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心肺复苏动物模型研究　</w:t>
            </w:r>
          </w:p>
        </w:tc>
        <w:tc>
          <w:tcPr>
            <w:tcW w:w="1116" w:type="dxa"/>
            <w:gridSpan w:val="2"/>
            <w:shd w:val="clear" w:color="000000" w:fill="FFFFFF"/>
            <w:vAlign w:val="center"/>
          </w:tcPr>
          <w:p w14:paraId="13E63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48A967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2</w:t>
            </w:r>
          </w:p>
        </w:tc>
        <w:tc>
          <w:tcPr>
            <w:tcW w:w="1704" w:type="dxa"/>
            <w:gridSpan w:val="2"/>
            <w:shd w:val="clear" w:color="000000" w:fill="FFFFFF"/>
            <w:vAlign w:val="center"/>
          </w:tcPr>
          <w:p w14:paraId="571835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急诊重症或麻醉相关专业　</w:t>
            </w:r>
          </w:p>
        </w:tc>
        <w:tc>
          <w:tcPr>
            <w:tcW w:w="1428" w:type="dxa"/>
            <w:gridSpan w:val="2"/>
            <w:shd w:val="clear" w:color="000000" w:fill="FFFFFF"/>
            <w:vAlign w:val="center"/>
          </w:tcPr>
          <w:p w14:paraId="02A8E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1715" w:type="dxa"/>
            <w:vMerge w:val="restart"/>
            <w:shd w:val="clear" w:color="000000" w:fill="FFFFFF"/>
            <w:vAlign w:val="center"/>
          </w:tcPr>
          <w:p w14:paraId="723A5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w:t>
            </w:r>
          </w:p>
        </w:tc>
      </w:tr>
      <w:tr w14:paraId="2A30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52A88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自然语言处理与医疗大数据</w:t>
            </w:r>
          </w:p>
        </w:tc>
        <w:tc>
          <w:tcPr>
            <w:tcW w:w="1116" w:type="dxa"/>
            <w:gridSpan w:val="2"/>
            <w:shd w:val="clear" w:color="000000" w:fill="FFFFFF"/>
            <w:vAlign w:val="center"/>
          </w:tcPr>
          <w:p w14:paraId="2A769A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180693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3</w:t>
            </w:r>
          </w:p>
        </w:tc>
        <w:tc>
          <w:tcPr>
            <w:tcW w:w="1704" w:type="dxa"/>
            <w:gridSpan w:val="2"/>
            <w:shd w:val="clear" w:color="000000" w:fill="FFFFFF"/>
            <w:vAlign w:val="center"/>
          </w:tcPr>
          <w:p w14:paraId="022F8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医学信息与计算机软件</w:t>
            </w:r>
          </w:p>
        </w:tc>
        <w:tc>
          <w:tcPr>
            <w:tcW w:w="1428" w:type="dxa"/>
            <w:gridSpan w:val="2"/>
            <w:shd w:val="clear" w:color="000000" w:fill="FFFFFF"/>
            <w:vAlign w:val="center"/>
          </w:tcPr>
          <w:p w14:paraId="1459A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w:t>
            </w:r>
          </w:p>
        </w:tc>
        <w:tc>
          <w:tcPr>
            <w:tcW w:w="1715" w:type="dxa"/>
            <w:vMerge w:val="continue"/>
            <w:shd w:val="clear" w:color="000000" w:fill="FFFFFF"/>
            <w:vAlign w:val="center"/>
          </w:tcPr>
          <w:p w14:paraId="571DA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0811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283F2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3D打印技术在外科手术中的应用研究</w:t>
            </w:r>
          </w:p>
        </w:tc>
        <w:tc>
          <w:tcPr>
            <w:tcW w:w="1116" w:type="dxa"/>
            <w:gridSpan w:val="2"/>
            <w:shd w:val="clear" w:color="000000" w:fill="FFFFFF"/>
            <w:vAlign w:val="center"/>
          </w:tcPr>
          <w:p w14:paraId="3AED2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631C7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4</w:t>
            </w:r>
          </w:p>
        </w:tc>
        <w:tc>
          <w:tcPr>
            <w:tcW w:w="1704" w:type="dxa"/>
            <w:gridSpan w:val="2"/>
            <w:shd w:val="clear" w:color="000000" w:fill="FFFFFF"/>
            <w:vAlign w:val="center"/>
          </w:tcPr>
          <w:p w14:paraId="342FC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临床医学</w:t>
            </w:r>
          </w:p>
        </w:tc>
        <w:tc>
          <w:tcPr>
            <w:tcW w:w="1428" w:type="dxa"/>
            <w:gridSpan w:val="2"/>
            <w:shd w:val="clear" w:color="000000" w:fill="FFFFFF"/>
            <w:vAlign w:val="center"/>
          </w:tcPr>
          <w:p w14:paraId="4E4C2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w:t>
            </w:r>
          </w:p>
        </w:tc>
        <w:tc>
          <w:tcPr>
            <w:tcW w:w="1715" w:type="dxa"/>
            <w:vMerge w:val="continue"/>
            <w:shd w:val="clear" w:color="000000" w:fill="FFFFFF"/>
            <w:vAlign w:val="center"/>
          </w:tcPr>
          <w:p w14:paraId="733C7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2451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1555ED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机器人导航辅助外科手术的临床应用研究</w:t>
            </w:r>
          </w:p>
        </w:tc>
        <w:tc>
          <w:tcPr>
            <w:tcW w:w="1116" w:type="dxa"/>
            <w:gridSpan w:val="2"/>
            <w:shd w:val="clear" w:color="000000" w:fill="FFFFFF"/>
            <w:vAlign w:val="center"/>
          </w:tcPr>
          <w:p w14:paraId="446E51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43175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5</w:t>
            </w:r>
          </w:p>
        </w:tc>
        <w:tc>
          <w:tcPr>
            <w:tcW w:w="1704" w:type="dxa"/>
            <w:gridSpan w:val="2"/>
            <w:shd w:val="clear" w:color="000000" w:fill="FFFFFF"/>
            <w:vAlign w:val="center"/>
          </w:tcPr>
          <w:p w14:paraId="27467F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临床医学</w:t>
            </w:r>
          </w:p>
        </w:tc>
        <w:tc>
          <w:tcPr>
            <w:tcW w:w="1428" w:type="dxa"/>
            <w:gridSpan w:val="2"/>
            <w:shd w:val="clear" w:color="000000" w:fill="FFFFFF"/>
            <w:vAlign w:val="center"/>
          </w:tcPr>
          <w:p w14:paraId="36C5E5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w:t>
            </w:r>
          </w:p>
        </w:tc>
        <w:tc>
          <w:tcPr>
            <w:tcW w:w="1715" w:type="dxa"/>
            <w:vMerge w:val="continue"/>
            <w:shd w:val="clear" w:color="000000" w:fill="FFFFFF"/>
            <w:vAlign w:val="center"/>
          </w:tcPr>
          <w:p w14:paraId="12E61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r w14:paraId="1B11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1" w:type="dxa"/>
            <w:gridSpan w:val="2"/>
            <w:shd w:val="clear" w:color="000000" w:fill="FFFFFF"/>
            <w:noWrap/>
            <w:vAlign w:val="center"/>
          </w:tcPr>
          <w:p w14:paraId="7B1E0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医用小型3D打印机的研制和临床应用</w:t>
            </w:r>
          </w:p>
        </w:tc>
        <w:tc>
          <w:tcPr>
            <w:tcW w:w="1116" w:type="dxa"/>
            <w:gridSpan w:val="2"/>
            <w:shd w:val="clear" w:color="000000" w:fill="FFFFFF"/>
            <w:vAlign w:val="center"/>
          </w:tcPr>
          <w:p w14:paraId="64E085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16" w:type="dxa"/>
            <w:gridSpan w:val="2"/>
            <w:shd w:val="clear" w:color="000000" w:fill="FFFFFF"/>
            <w:vAlign w:val="center"/>
          </w:tcPr>
          <w:p w14:paraId="06C13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w:t>
            </w:r>
            <w:r>
              <w:rPr>
                <w:rFonts w:hint="default" w:ascii="Times New Roman" w:hAnsi="Times New Roman" w:cs="Times New Roman" w:eastAsiaTheme="minorEastAsia"/>
                <w:kern w:val="0"/>
                <w:sz w:val="21"/>
                <w:szCs w:val="21"/>
                <w:lang w:val="en-US" w:eastAsia="zh-CN"/>
              </w:rPr>
              <w:t>6</w:t>
            </w:r>
          </w:p>
        </w:tc>
        <w:tc>
          <w:tcPr>
            <w:tcW w:w="1704" w:type="dxa"/>
            <w:gridSpan w:val="2"/>
            <w:shd w:val="clear" w:color="000000" w:fill="FFFFFF"/>
            <w:vAlign w:val="center"/>
          </w:tcPr>
          <w:p w14:paraId="46E5B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bidi="ar"/>
              </w:rPr>
              <w:t>生物医学工程</w:t>
            </w:r>
          </w:p>
        </w:tc>
        <w:tc>
          <w:tcPr>
            <w:tcW w:w="1428" w:type="dxa"/>
            <w:gridSpan w:val="2"/>
            <w:shd w:val="clear" w:color="000000" w:fill="FFFFFF"/>
            <w:vAlign w:val="center"/>
          </w:tcPr>
          <w:p w14:paraId="07A3E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1715" w:type="dxa"/>
            <w:vMerge w:val="continue"/>
            <w:shd w:val="clear" w:color="000000" w:fill="FFFFFF"/>
            <w:vAlign w:val="center"/>
          </w:tcPr>
          <w:p w14:paraId="09192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p>
        </w:tc>
      </w:tr>
    </w:tbl>
    <w:p w14:paraId="5A98F07D">
      <w:pPr>
        <w:pStyle w:val="3"/>
        <w:spacing w:before="0" w:after="0" w:line="240" w:lineRule="auto"/>
        <w:outlineLvl w:val="9"/>
        <w:rPr>
          <w:rFonts w:ascii="Times New Roman" w:hAnsi="Times New Roman" w:eastAsia="方正小标宋简体"/>
          <w:sz w:val="21"/>
          <w:szCs w:val="21"/>
        </w:rPr>
      </w:pPr>
      <w:r>
        <w:rPr>
          <w:rFonts w:ascii="Times New Roman" w:hAnsi="Times New Roman"/>
          <w:sz w:val="21"/>
          <w:szCs w:val="21"/>
        </w:rPr>
        <w:br w:type="page"/>
      </w:r>
    </w:p>
    <w:p w14:paraId="261359F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19F2930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1025" w:name="_Toc30327"/>
      <w:bookmarkStart w:id="1026" w:name="_Toc13342"/>
      <w:bookmarkStart w:id="1027" w:name="_Toc13179"/>
      <w:bookmarkStart w:id="1028" w:name="_Toc18780"/>
      <w:bookmarkStart w:id="1029" w:name="_Toc2402"/>
      <w:r>
        <w:rPr>
          <w:rFonts w:eastAsia="方正小标宋简体"/>
          <w:sz w:val="44"/>
          <w:szCs w:val="44"/>
          <w:highlight w:val="none"/>
        </w:rPr>
        <w:t>自贡市第一人民医院</w:t>
      </w:r>
      <w:bookmarkEnd w:id="1025"/>
      <w:bookmarkEnd w:id="1026"/>
      <w:bookmarkEnd w:id="1027"/>
      <w:bookmarkEnd w:id="1028"/>
      <w:bookmarkEnd w:id="1029"/>
    </w:p>
    <w:p w14:paraId="4CDE3BB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179"/>
        <w:gridCol w:w="364"/>
        <w:gridCol w:w="948"/>
        <w:gridCol w:w="713"/>
        <w:gridCol w:w="612"/>
        <w:gridCol w:w="1090"/>
        <w:gridCol w:w="586"/>
        <w:gridCol w:w="962"/>
        <w:gridCol w:w="387"/>
        <w:gridCol w:w="1616"/>
        <w:gridCol w:w="8"/>
      </w:tblGrid>
      <w:tr w14:paraId="6F2D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2F0DE79">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11BEACA2">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14:paraId="5CB3EA15">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81" w:type="dxa"/>
            <w:gridSpan w:val="2"/>
            <w:shd w:val="clear" w:color="000000" w:fill="FFFFFF"/>
            <w:noWrap/>
            <w:vAlign w:val="center"/>
          </w:tcPr>
          <w:p w14:paraId="09DF4D28">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7D8D360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86" w:type="dxa"/>
            <w:gridSpan w:val="3"/>
            <w:shd w:val="clear" w:color="000000" w:fill="FFFFFF"/>
            <w:noWrap/>
            <w:vAlign w:val="center"/>
          </w:tcPr>
          <w:p w14:paraId="56479472">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0C6F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2D96613C">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0" w:type="dxa"/>
            <w:gridSpan w:val="11"/>
            <w:shd w:val="clear" w:color="000000" w:fill="FFFFFF"/>
            <w:noWrap/>
            <w:vAlign w:val="center"/>
          </w:tcPr>
          <w:p w14:paraId="3B2747A3">
            <w:pPr>
              <w:adjustRightInd w:val="0"/>
              <w:snapToGrid w:val="0"/>
              <w:spacing w:line="240" w:lineRule="auto"/>
              <w:ind w:firstLine="0"/>
              <w:jc w:val="center"/>
              <w:rPr>
                <w:rFonts w:eastAsiaTheme="minorEastAsia"/>
                <w:sz w:val="21"/>
                <w:szCs w:val="21"/>
              </w:rPr>
            </w:pPr>
            <w:r>
              <w:rPr>
                <w:rFonts w:hint="eastAsia" w:eastAsiaTheme="minorEastAsia"/>
                <w:sz w:val="21"/>
                <w:szCs w:val="21"/>
              </w:rPr>
              <w:t>四川省自贡市自流井区尚一灏一支路42号</w:t>
            </w:r>
          </w:p>
        </w:tc>
      </w:tr>
      <w:tr w14:paraId="331D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shd w:val="clear" w:color="auto" w:fill="E7E6E6" w:themeFill="background2"/>
            <w:noWrap/>
            <w:vAlign w:val="center"/>
          </w:tcPr>
          <w:p w14:paraId="4E4CE9B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0" w:type="dxa"/>
            <w:gridSpan w:val="11"/>
            <w:shd w:val="clear" w:color="000000" w:fill="FFFFFF"/>
            <w:vAlign w:val="center"/>
          </w:tcPr>
          <w:p w14:paraId="0E7C85A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自贡市第一人民医院始建于1908年，距今115年历史。现发展成为集预防、医疗、科研、教学为一体的三级甲等综合医院、公共卫生应急救治医院，现已建成为集医疗、教学、预防为一体的三级甲等综合医院，省级重点学科1个，省级重点专科11个，市级重点专科21个，市级质控中心27个，建有省级博士后创新实践基地、市级院士（专家）工作站1个。医院建成卒中中心、胸痛中心等6个国家级中心，有“国家中医药防治传染病临床基地”等8个国家基地。</w:t>
            </w:r>
          </w:p>
        </w:tc>
      </w:tr>
      <w:tr w14:paraId="2DB3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1271" w:type="dxa"/>
            <w:shd w:val="clear" w:color="auto" w:fill="E7E6E6" w:themeFill="background2"/>
            <w:noWrap/>
            <w:vAlign w:val="center"/>
          </w:tcPr>
          <w:p w14:paraId="3476E794">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0" w:type="dxa"/>
            <w:gridSpan w:val="11"/>
            <w:shd w:val="clear" w:color="000000" w:fill="FFFFFF"/>
            <w:vAlign w:val="center"/>
          </w:tcPr>
          <w:p w14:paraId="02B4EE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我院博士后科研流动站、工作站和创新实践基地自筹经费招收博士后研究人员进站的，可申请博士后日常经费，资助期为两年，资助额16万元，主要用于博士后研究人员工资、奖金、生活补助和社会保险费用等。每年省财政根据实际招收进站和申请人数据实结算。</w:t>
            </w:r>
          </w:p>
        </w:tc>
      </w:tr>
      <w:tr w14:paraId="27CA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48" w:hRule="atLeast"/>
          <w:jc w:val="center"/>
        </w:trPr>
        <w:tc>
          <w:tcPr>
            <w:tcW w:w="2435" w:type="dxa"/>
            <w:gridSpan w:val="2"/>
            <w:shd w:val="clear" w:color="auto" w:fill="E7E6E6" w:themeFill="background2"/>
            <w:noWrap/>
            <w:vAlign w:val="center"/>
          </w:tcPr>
          <w:p w14:paraId="49C70AA8">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96" w:type="dxa"/>
            <w:gridSpan w:val="2"/>
            <w:shd w:val="clear" w:color="auto" w:fill="E7E6E6" w:themeFill="background2"/>
            <w:vAlign w:val="center"/>
          </w:tcPr>
          <w:p w14:paraId="036A28FE">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08" w:type="dxa"/>
            <w:gridSpan w:val="2"/>
            <w:shd w:val="clear" w:color="auto" w:fill="E7E6E6" w:themeFill="background2"/>
            <w:vAlign w:val="center"/>
          </w:tcPr>
          <w:p w14:paraId="77DE5C43">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14:paraId="5150AB45">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53EE303D">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32" w:type="dxa"/>
            <w:gridSpan w:val="2"/>
            <w:shd w:val="clear" w:color="auto" w:fill="E7E6E6" w:themeFill="background2"/>
            <w:vAlign w:val="center"/>
          </w:tcPr>
          <w:p w14:paraId="6F8387F1">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A845BEE">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596" w:type="dxa"/>
            <w:shd w:val="clear" w:color="auto" w:fill="E7E6E6" w:themeFill="background2"/>
            <w:vAlign w:val="center"/>
          </w:tcPr>
          <w:p w14:paraId="3E313B4A">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4B3ADD5A">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7FF3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417" w:hRule="atLeast"/>
          <w:jc w:val="center"/>
        </w:trPr>
        <w:tc>
          <w:tcPr>
            <w:tcW w:w="2435" w:type="dxa"/>
            <w:gridSpan w:val="2"/>
            <w:shd w:val="clear" w:color="000000" w:fill="FFFFFF"/>
            <w:noWrap/>
            <w:vAlign w:val="center"/>
          </w:tcPr>
          <w:p w14:paraId="6DA6E6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增强肿瘤渗透和改善乏氧的白蛋白纳米平台介导切伦科夫光动力治疗联合放射治疗用于三阴性乳腺癌的诊疗一体化研究</w:t>
            </w:r>
          </w:p>
        </w:tc>
        <w:tc>
          <w:tcPr>
            <w:tcW w:w="1296" w:type="dxa"/>
            <w:gridSpan w:val="2"/>
            <w:shd w:val="clear" w:color="000000" w:fill="FFFFFF"/>
            <w:vAlign w:val="center"/>
          </w:tcPr>
          <w:p w14:paraId="46102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08" w:type="dxa"/>
            <w:gridSpan w:val="2"/>
            <w:shd w:val="clear" w:color="000000" w:fill="FFFFFF"/>
            <w:vAlign w:val="center"/>
          </w:tcPr>
          <w:p w14:paraId="554ED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656" w:type="dxa"/>
            <w:gridSpan w:val="2"/>
            <w:shd w:val="clear" w:color="000000" w:fill="FFFFFF"/>
            <w:vAlign w:val="center"/>
          </w:tcPr>
          <w:p w14:paraId="69D88F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基础医学1001</w:t>
            </w:r>
          </w:p>
        </w:tc>
        <w:tc>
          <w:tcPr>
            <w:tcW w:w="1332" w:type="dxa"/>
            <w:gridSpan w:val="2"/>
            <w:shd w:val="clear" w:color="000000" w:fill="FFFFFF"/>
            <w:vAlign w:val="center"/>
          </w:tcPr>
          <w:p w14:paraId="677F1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10</w:t>
            </w:r>
          </w:p>
        </w:tc>
        <w:tc>
          <w:tcPr>
            <w:tcW w:w="1596" w:type="dxa"/>
            <w:shd w:val="clear" w:color="000000" w:fill="FFFFFF"/>
            <w:vAlign w:val="center"/>
          </w:tcPr>
          <w:p w14:paraId="3C7C3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4EBC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417" w:hRule="atLeast"/>
          <w:jc w:val="center"/>
        </w:trPr>
        <w:tc>
          <w:tcPr>
            <w:tcW w:w="2435" w:type="dxa"/>
            <w:gridSpan w:val="2"/>
            <w:shd w:val="clear" w:color="000000" w:fill="FFFFFF"/>
            <w:noWrap/>
            <w:vAlign w:val="center"/>
          </w:tcPr>
          <w:p w14:paraId="4C309C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基于“痰瘀胜则阳气微”理论探讨泻肺强心方治疗慢性肺源性心脏病相关难治性心力衰竭的多中心随机对照双盲的临床疗效及多组学机制研究</w:t>
            </w:r>
          </w:p>
        </w:tc>
        <w:tc>
          <w:tcPr>
            <w:tcW w:w="1296" w:type="dxa"/>
            <w:gridSpan w:val="2"/>
            <w:shd w:val="clear" w:color="000000" w:fill="FFFFFF"/>
            <w:vAlign w:val="center"/>
          </w:tcPr>
          <w:p w14:paraId="5B0D5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08" w:type="dxa"/>
            <w:gridSpan w:val="2"/>
            <w:shd w:val="clear" w:color="000000" w:fill="FFFFFF"/>
            <w:vAlign w:val="center"/>
          </w:tcPr>
          <w:p w14:paraId="28D94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BSH002</w:t>
            </w:r>
          </w:p>
        </w:tc>
        <w:tc>
          <w:tcPr>
            <w:tcW w:w="1656" w:type="dxa"/>
            <w:gridSpan w:val="2"/>
            <w:shd w:val="clear" w:color="000000" w:fill="FFFFFF"/>
            <w:vAlign w:val="center"/>
          </w:tcPr>
          <w:p w14:paraId="131A5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中医学1005</w:t>
            </w:r>
          </w:p>
        </w:tc>
        <w:tc>
          <w:tcPr>
            <w:tcW w:w="1332" w:type="dxa"/>
            <w:gridSpan w:val="2"/>
            <w:shd w:val="clear" w:color="000000" w:fill="FFFFFF"/>
            <w:vAlign w:val="center"/>
          </w:tcPr>
          <w:p w14:paraId="00213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20</w:t>
            </w:r>
          </w:p>
        </w:tc>
        <w:tc>
          <w:tcPr>
            <w:tcW w:w="1596" w:type="dxa"/>
            <w:shd w:val="clear" w:color="000000" w:fill="FFFFFF"/>
            <w:vAlign w:val="center"/>
          </w:tcPr>
          <w:p w14:paraId="3D7F8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r w14:paraId="4AAB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417" w:hRule="atLeast"/>
          <w:jc w:val="center"/>
        </w:trPr>
        <w:tc>
          <w:tcPr>
            <w:tcW w:w="2435" w:type="dxa"/>
            <w:gridSpan w:val="2"/>
            <w:shd w:val="clear" w:color="000000" w:fill="FFFFFF"/>
            <w:noWrap/>
            <w:vAlign w:val="center"/>
          </w:tcPr>
          <w:p w14:paraId="172070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基于证据的老年人跌倒预防与管理系列科普短视频创作</w:t>
            </w:r>
          </w:p>
        </w:tc>
        <w:tc>
          <w:tcPr>
            <w:tcW w:w="1296" w:type="dxa"/>
            <w:gridSpan w:val="2"/>
            <w:shd w:val="clear" w:color="000000" w:fill="FFFFFF"/>
            <w:vAlign w:val="center"/>
          </w:tcPr>
          <w:p w14:paraId="45313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308" w:type="dxa"/>
            <w:gridSpan w:val="2"/>
            <w:shd w:val="clear" w:color="000000" w:fill="FFFFFF"/>
            <w:vAlign w:val="center"/>
          </w:tcPr>
          <w:p w14:paraId="54FDE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BSH003</w:t>
            </w:r>
          </w:p>
        </w:tc>
        <w:tc>
          <w:tcPr>
            <w:tcW w:w="1656" w:type="dxa"/>
            <w:gridSpan w:val="2"/>
            <w:shd w:val="clear" w:color="000000" w:fill="FFFFFF"/>
            <w:vAlign w:val="center"/>
          </w:tcPr>
          <w:p w14:paraId="23EFB33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临床医学1002</w:t>
            </w:r>
          </w:p>
          <w:p w14:paraId="086A6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护理学1011</w:t>
            </w:r>
          </w:p>
        </w:tc>
        <w:tc>
          <w:tcPr>
            <w:tcW w:w="1332" w:type="dxa"/>
            <w:gridSpan w:val="2"/>
            <w:shd w:val="clear" w:color="000000" w:fill="FFFFFF"/>
            <w:vAlign w:val="center"/>
          </w:tcPr>
          <w:p w14:paraId="13061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15</w:t>
            </w:r>
          </w:p>
        </w:tc>
        <w:tc>
          <w:tcPr>
            <w:tcW w:w="1596" w:type="dxa"/>
            <w:shd w:val="clear" w:color="000000" w:fill="FFFFFF"/>
            <w:vAlign w:val="center"/>
          </w:tcPr>
          <w:p w14:paraId="74477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无</w:t>
            </w:r>
          </w:p>
        </w:tc>
      </w:tr>
    </w:tbl>
    <w:p w14:paraId="7A127882">
      <w:pPr>
        <w:widowControl/>
        <w:spacing w:line="240" w:lineRule="auto"/>
        <w:ind w:firstLine="0"/>
        <w:jc w:val="left"/>
        <w:rPr>
          <w:rFonts w:eastAsia="方正小标宋简体"/>
          <w:sz w:val="44"/>
          <w:szCs w:val="44"/>
        </w:rPr>
      </w:pPr>
      <w:r>
        <w:rPr>
          <w:rFonts w:eastAsia="方正小标宋简体"/>
          <w:sz w:val="44"/>
          <w:szCs w:val="44"/>
        </w:rPr>
        <w:br w:type="page"/>
      </w:r>
    </w:p>
    <w:p w14:paraId="4AA1782D">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eastAsia="方正小标宋简体"/>
          <w:sz w:val="44"/>
          <w:szCs w:val="44"/>
        </w:rPr>
      </w:pPr>
    </w:p>
    <w:p w14:paraId="65E4D628">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eastAsia="方正小标宋简体"/>
          <w:sz w:val="44"/>
          <w:szCs w:val="44"/>
        </w:rPr>
      </w:pPr>
      <w:bookmarkStart w:id="1030" w:name="_Toc7190"/>
      <w:bookmarkStart w:id="1031" w:name="_Toc3567"/>
      <w:bookmarkStart w:id="1032" w:name="_Toc21892"/>
      <w:bookmarkStart w:id="1033" w:name="_Toc28425"/>
      <w:bookmarkStart w:id="1034" w:name="_Toc265"/>
      <w:r>
        <w:rPr>
          <w:rFonts w:eastAsia="方正小标宋简体"/>
          <w:sz w:val="44"/>
          <w:szCs w:val="44"/>
          <w:highlight w:val="none"/>
        </w:rPr>
        <w:t>自贡市精神卫生中心</w:t>
      </w:r>
      <w:bookmarkEnd w:id="1030"/>
      <w:bookmarkEnd w:id="1031"/>
      <w:bookmarkEnd w:id="1032"/>
      <w:bookmarkEnd w:id="1033"/>
      <w:bookmarkEnd w:id="1034"/>
    </w:p>
    <w:p w14:paraId="2DA2E09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sz w:val="21"/>
          <w:szCs w:val="21"/>
        </w:rPr>
      </w:pP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817"/>
        <w:gridCol w:w="749"/>
        <w:gridCol w:w="471"/>
        <w:gridCol w:w="1213"/>
        <w:gridCol w:w="1632"/>
        <w:gridCol w:w="421"/>
        <w:gridCol w:w="1149"/>
        <w:gridCol w:w="256"/>
        <w:gridCol w:w="1737"/>
      </w:tblGrid>
      <w:tr w14:paraId="0B87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33AF2D3D">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14:paraId="3DEC6389">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14:paraId="402B7C84">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14:paraId="5F2E08A2">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14:paraId="1E425827">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40" w:type="dxa"/>
            <w:gridSpan w:val="2"/>
            <w:shd w:val="clear" w:color="000000" w:fill="FFFFFF"/>
            <w:noWrap/>
            <w:vAlign w:val="center"/>
          </w:tcPr>
          <w:p w14:paraId="4F5AAE1E">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14:paraId="1F8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shd w:val="clear" w:color="auto" w:fill="E7E6E6" w:themeFill="background2"/>
            <w:noWrap/>
            <w:vAlign w:val="center"/>
          </w:tcPr>
          <w:p w14:paraId="17ABDFAE">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22" w:type="dxa"/>
            <w:gridSpan w:val="9"/>
            <w:shd w:val="clear" w:color="000000" w:fill="FFFFFF"/>
            <w:noWrap/>
            <w:vAlign w:val="center"/>
          </w:tcPr>
          <w:p w14:paraId="2DE141C9">
            <w:pPr>
              <w:adjustRightInd w:val="0"/>
              <w:snapToGrid w:val="0"/>
              <w:spacing w:line="240" w:lineRule="auto"/>
              <w:ind w:firstLine="0"/>
              <w:jc w:val="center"/>
              <w:rPr>
                <w:rFonts w:eastAsiaTheme="minorEastAsia"/>
                <w:sz w:val="21"/>
                <w:szCs w:val="21"/>
              </w:rPr>
            </w:pPr>
            <w:r>
              <w:rPr>
                <w:rFonts w:hint="eastAsia" w:eastAsiaTheme="minorEastAsia"/>
                <w:sz w:val="21"/>
                <w:szCs w:val="21"/>
                <w:lang w:val="en-US" w:eastAsia="zh-CN"/>
              </w:rPr>
              <w:t>四川省</w:t>
            </w:r>
            <w:r>
              <w:rPr>
                <w:rFonts w:hint="eastAsia" w:eastAsiaTheme="minorEastAsia"/>
                <w:sz w:val="21"/>
                <w:szCs w:val="21"/>
              </w:rPr>
              <w:t>自贡市贡井区贡舒路666号</w:t>
            </w:r>
          </w:p>
        </w:tc>
      </w:tr>
      <w:tr w14:paraId="738B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8" w:hRule="atLeast"/>
          <w:jc w:val="center"/>
        </w:trPr>
        <w:tc>
          <w:tcPr>
            <w:tcW w:w="1271" w:type="dxa"/>
            <w:shd w:val="clear" w:color="auto" w:fill="E7E6E6" w:themeFill="background2"/>
            <w:noWrap/>
            <w:vAlign w:val="center"/>
          </w:tcPr>
          <w:p w14:paraId="1FC1608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22" w:type="dxa"/>
            <w:gridSpan w:val="9"/>
            <w:shd w:val="clear" w:color="000000" w:fill="FFFFFF"/>
            <w:vAlign w:val="center"/>
          </w:tcPr>
          <w:p w14:paraId="16CD36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自贡市精神卫生中心.西南医科大学附属自贡医院始建于1959年，是自川南医教学研防一体，以精神病、老年病、心理咨询与治疗为主，综合科系基本配套的临床教学医院。</w:t>
            </w:r>
          </w:p>
          <w:p w14:paraId="0D6322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医院面积257余亩，总建筑面积22.7万平方米，设置编制床位1450张，开放床位2650张。精神科为省乙级重点学科、省临床重点专科，老年科为省甲级重点专科。博士导师1人，硕士导师2人，高级职称115人。</w:t>
            </w:r>
          </w:p>
          <w:p w14:paraId="00EB182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医院有独立法人资质的自贡市脑科学研究院，占地3000平米，3000平米，基础设施投入2800余万，设备投入1800万， 专职研究员16人，有全市唯一的SPF级动物房实验平台、组织化学实验平台、分子生物实验平台、细胞培养平台、电生理平台、光学成像平台、全市唯一的生物样本库。创建了自贡市智慧医养大数据服务平台、自贡市社会心理服务平台。</w:t>
            </w:r>
          </w:p>
        </w:tc>
      </w:tr>
      <w:tr w14:paraId="77B5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jc w:val="center"/>
        </w:trPr>
        <w:tc>
          <w:tcPr>
            <w:tcW w:w="1271" w:type="dxa"/>
            <w:shd w:val="clear" w:color="auto" w:fill="E7E6E6" w:themeFill="background2"/>
            <w:noWrap/>
            <w:vAlign w:val="center"/>
          </w:tcPr>
          <w:p w14:paraId="3E66FD30">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22" w:type="dxa"/>
            <w:gridSpan w:val="9"/>
            <w:shd w:val="clear" w:color="000000" w:fill="FFFFFF"/>
            <w:vAlign w:val="center"/>
          </w:tcPr>
          <w:p w14:paraId="221104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博士后实行年薪制，年薪为30万元/年（含税），包括基本工资、绩效工资、承担规定的教学科研工作量激励、各类社会保险个人缴纳部分、住房公积金个人缴纳部分、博士后住房补贴等各种薪资和福利。</w:t>
            </w:r>
          </w:p>
          <w:p w14:paraId="18C11A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医院提供博士后科研启动经费20万元/人，该经费单独立账，由科技教育科统一管理，经费开支需合作导师签字。</w:t>
            </w:r>
          </w:p>
          <w:p w14:paraId="1D3EA1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Theme="minorEastAsia"/>
                <w:sz w:val="21"/>
                <w:szCs w:val="21"/>
              </w:rPr>
            </w:pPr>
            <w:r>
              <w:rPr>
                <w:rFonts w:hint="eastAsia" w:eastAsiaTheme="minorEastAsia"/>
                <w:sz w:val="21"/>
                <w:szCs w:val="21"/>
              </w:rPr>
              <w:t>博士后期满出站考核优秀者，医院一次性奖励10万元 （税前）。</w:t>
            </w:r>
          </w:p>
          <w:p w14:paraId="12FDDA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1"/>
                <w:szCs w:val="21"/>
              </w:rPr>
            </w:pPr>
            <w:r>
              <w:rPr>
                <w:rFonts w:hint="eastAsia" w:eastAsiaTheme="minorEastAsia"/>
                <w:sz w:val="21"/>
                <w:szCs w:val="21"/>
              </w:rPr>
              <w:t>以医院为第一完成单位或共同一作排名第一，共同通讯排名第一的按照医院科研绩效奖励办法奖励。</w:t>
            </w:r>
          </w:p>
        </w:tc>
      </w:tr>
      <w:tr w14:paraId="14F2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066" w:type="dxa"/>
            <w:gridSpan w:val="2"/>
            <w:shd w:val="clear" w:color="auto" w:fill="E7E6E6" w:themeFill="background2"/>
            <w:noWrap/>
            <w:vAlign w:val="center"/>
          </w:tcPr>
          <w:p w14:paraId="11C50775">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14:paraId="53F0478D">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1" w:type="dxa"/>
            <w:shd w:val="clear" w:color="auto" w:fill="E7E6E6" w:themeFill="background2"/>
            <w:vAlign w:val="center"/>
          </w:tcPr>
          <w:p w14:paraId="4D482CBB">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99" w:type="dxa"/>
            <w:gridSpan w:val="2"/>
            <w:shd w:val="clear" w:color="auto" w:fill="E7E6E6" w:themeFill="background2"/>
            <w:vAlign w:val="center"/>
          </w:tcPr>
          <w:p w14:paraId="2F5B58A9">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14:paraId="207321D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（一级学科</w:t>
            </w:r>
            <w:r>
              <w:rPr>
                <w:rFonts w:hint="eastAsia" w:eastAsiaTheme="minorEastAsia"/>
                <w:b/>
                <w:bCs/>
                <w:sz w:val="21"/>
                <w:szCs w:val="21"/>
                <w:lang w:eastAsia="zh-CN"/>
              </w:rPr>
              <w:t>）</w:t>
            </w:r>
          </w:p>
        </w:tc>
        <w:tc>
          <w:tcPr>
            <w:tcW w:w="1368" w:type="dxa"/>
            <w:gridSpan w:val="2"/>
            <w:shd w:val="clear" w:color="auto" w:fill="E7E6E6" w:themeFill="background2"/>
            <w:vAlign w:val="center"/>
          </w:tcPr>
          <w:p w14:paraId="55E0C1F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拟提供经费</w:t>
            </w:r>
          </w:p>
          <w:p w14:paraId="321C3D0A">
            <w:pPr>
              <w:adjustRightInd w:val="0"/>
              <w:snapToGrid w:val="0"/>
              <w:spacing w:line="240" w:lineRule="auto"/>
              <w:ind w:firstLine="0" w:firstLineChars="0"/>
              <w:jc w:val="center"/>
              <w:rPr>
                <w:rFonts w:eastAsiaTheme="minorEastAsia"/>
                <w:b/>
                <w:bCs/>
                <w:sz w:val="21"/>
                <w:szCs w:val="21"/>
              </w:rPr>
            </w:pPr>
            <w:r>
              <w:rPr>
                <w:rFonts w:hint="eastAsia" w:eastAsiaTheme="minorEastAsia"/>
                <w:b/>
                <w:bCs/>
                <w:sz w:val="21"/>
                <w:szCs w:val="21"/>
                <w:lang w:eastAsia="zh-CN"/>
              </w:rPr>
              <w:t>（</w:t>
            </w:r>
            <w:r>
              <w:rPr>
                <w:rFonts w:eastAsiaTheme="minorEastAsia"/>
                <w:b/>
                <w:bCs/>
                <w:sz w:val="21"/>
                <w:szCs w:val="21"/>
              </w:rPr>
              <w:t>万元/年</w:t>
            </w:r>
            <w:r>
              <w:rPr>
                <w:rFonts w:hint="eastAsia" w:eastAsiaTheme="minorEastAsia"/>
                <w:b/>
                <w:bCs/>
                <w:sz w:val="21"/>
                <w:szCs w:val="21"/>
                <w:lang w:eastAsia="zh-CN"/>
              </w:rPr>
              <w:t>）</w:t>
            </w:r>
          </w:p>
        </w:tc>
        <w:tc>
          <w:tcPr>
            <w:tcW w:w="1691" w:type="dxa"/>
            <w:shd w:val="clear" w:color="auto" w:fill="E7E6E6" w:themeFill="background2"/>
            <w:vAlign w:val="center"/>
          </w:tcPr>
          <w:p w14:paraId="7074673C">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14:paraId="2444581B">
            <w:pPr>
              <w:adjustRightInd w:val="0"/>
              <w:snapToGrid w:val="0"/>
              <w:spacing w:line="240" w:lineRule="auto"/>
              <w:ind w:firstLine="0" w:firstLineChars="0"/>
              <w:jc w:val="center"/>
              <w:rPr>
                <w:rFonts w:eastAsiaTheme="minorEastAsia"/>
                <w:b/>
                <w:bCs/>
                <w:sz w:val="21"/>
                <w:szCs w:val="21"/>
              </w:rPr>
            </w:pPr>
            <w:r>
              <w:rPr>
                <w:rFonts w:eastAsiaTheme="minorEastAsia"/>
                <w:b/>
                <w:bCs/>
                <w:sz w:val="21"/>
                <w:szCs w:val="21"/>
              </w:rPr>
              <w:t>等要求</w:t>
            </w:r>
          </w:p>
        </w:tc>
      </w:tr>
      <w:tr w14:paraId="602A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2066" w:type="dxa"/>
            <w:gridSpan w:val="2"/>
            <w:shd w:val="clear" w:color="000000" w:fill="FFFFFF"/>
            <w:noWrap/>
            <w:vAlign w:val="center"/>
          </w:tcPr>
          <w:p w14:paraId="317C1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创新中医药对老年认知功能改善作用和临床转化研究</w:t>
            </w:r>
          </w:p>
        </w:tc>
        <w:tc>
          <w:tcPr>
            <w:tcW w:w="1188" w:type="dxa"/>
            <w:gridSpan w:val="2"/>
            <w:shd w:val="clear" w:color="000000" w:fill="FFFFFF"/>
            <w:vAlign w:val="center"/>
          </w:tcPr>
          <w:p w14:paraId="10049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181" w:type="dxa"/>
            <w:shd w:val="clear" w:color="000000" w:fill="FFFFFF"/>
            <w:vAlign w:val="center"/>
          </w:tcPr>
          <w:p w14:paraId="1F907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BSH001</w:t>
            </w:r>
          </w:p>
        </w:tc>
        <w:tc>
          <w:tcPr>
            <w:tcW w:w="1999" w:type="dxa"/>
            <w:gridSpan w:val="2"/>
            <w:shd w:val="clear" w:color="000000" w:fill="FFFFFF"/>
            <w:vAlign w:val="center"/>
          </w:tcPr>
          <w:p w14:paraId="054C0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中医学</w:t>
            </w:r>
          </w:p>
        </w:tc>
        <w:tc>
          <w:tcPr>
            <w:tcW w:w="1368" w:type="dxa"/>
            <w:gridSpan w:val="2"/>
            <w:shd w:val="clear" w:color="000000" w:fill="FFFFFF"/>
            <w:vAlign w:val="center"/>
          </w:tcPr>
          <w:p w14:paraId="73E7B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30</w:t>
            </w:r>
          </w:p>
        </w:tc>
        <w:tc>
          <w:tcPr>
            <w:tcW w:w="1691" w:type="dxa"/>
            <w:shd w:val="clear" w:color="000000" w:fill="FFFFFF"/>
            <w:vAlign w:val="center"/>
          </w:tcPr>
          <w:p w14:paraId="1B6AB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成都中医药大学</w:t>
            </w:r>
          </w:p>
        </w:tc>
      </w:tr>
    </w:tbl>
    <w:p w14:paraId="35EA720B">
      <w:pPr>
        <w:widowControl/>
        <w:adjustRightInd w:val="0"/>
        <w:snapToGrid w:val="0"/>
        <w:spacing w:line="240" w:lineRule="auto"/>
        <w:ind w:firstLine="0"/>
        <w:jc w:val="left"/>
        <w:rPr>
          <w:rFonts w:hint="eastAsia" w:eastAsia="方正小标宋简体"/>
          <w:sz w:val="44"/>
          <w:szCs w:val="44"/>
        </w:rPr>
      </w:pPr>
    </w:p>
    <w:sectPr>
      <w:footerReference r:id="rId9" w:type="default"/>
      <w:pgSz w:w="11906" w:h="16838"/>
      <w:pgMar w:top="1588" w:right="1077" w:bottom="1588" w:left="1077" w:header="964" w:footer="1134" w:gutter="0"/>
      <w:pgBorders>
        <w:top w:val="none" w:sz="0" w:space="0"/>
        <w:left w:val="none" w:sz="0" w:space="0"/>
        <w:bottom w:val="none" w:sz="0" w:space="0"/>
        <w:right w:val="none" w:sz="0" w:space="0"/>
      </w:pgBorders>
      <w:pgNumType w:fmt="decimal" w:start="1"/>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1" w:fontKey="{0AC6FFCB-337B-477E-A393-C0C0F1F14FC6}"/>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66F4CEDE-C5DB-4A08-9D75-B20797C6D11E}"/>
  </w:font>
  <w:font w:name="MingLiU">
    <w:panose1 w:val="02020509000000000000"/>
    <w:charset w:val="88"/>
    <w:family w:val="modern"/>
    <w:pitch w:val="default"/>
    <w:sig w:usb0="A00002FF" w:usb1="28CFFCFA" w:usb2="00000016" w:usb3="00000000" w:csb0="00100001" w:csb1="00000000"/>
  </w:font>
  <w:font w:name="等线">
    <w:panose1 w:val="02010600030101010101"/>
    <w:charset w:val="86"/>
    <w:family w:val="auto"/>
    <w:pitch w:val="default"/>
    <w:sig w:usb0="A00002BF" w:usb1="38CF7CFA" w:usb2="00000016" w:usb3="00000000" w:csb0="0004000F" w:csb1="00000000"/>
    <w:embedRegular r:id="rId3" w:fontKey="{B39E0C5E-6186-40AB-B906-91010B9608DA}"/>
  </w:font>
  <w:font w:name="方正小标宋简体">
    <w:panose1 w:val="02010601030101010101"/>
    <w:charset w:val="86"/>
    <w:family w:val="auto"/>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方正仿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4" w:fontKey="{0E800D92-0697-4B1B-81D1-E17FA52C4A64}"/>
  </w:font>
  <w:font w:name="楷体">
    <w:panose1 w:val="02010609060101010101"/>
    <w:charset w:val="86"/>
    <w:family w:val="auto"/>
    <w:pitch w:val="default"/>
    <w:sig w:usb0="800002BF" w:usb1="38CF7CFA" w:usb2="00000016" w:usb3="00000000" w:csb0="00040001" w:csb1="00000000"/>
    <w:embedRegular r:id="rId5" w:fontKey="{000A151B-6E65-4128-88A1-3D39EDEDE739}"/>
  </w:font>
  <w:font w:name="方正仿宋_GBK">
    <w:panose1 w:val="03000509000000000000"/>
    <w:charset w:val="86"/>
    <w:family w:val="script"/>
    <w:pitch w:val="default"/>
    <w:sig w:usb0="00000001" w:usb1="080E0000" w:usb2="00000000" w:usb3="00000000" w:csb0="00040000" w:csb1="00000000"/>
    <w:embedRegular r:id="rId6" w:fontKey="{9B3B0BE5-19B5-4850-8FBF-A7FDE04C5049}"/>
  </w:font>
  <w:font w:name="*KSRHUCJLKS0_23_0">
    <w:altName w:val="Segoe Print"/>
    <w:panose1 w:val="00000000000000000000"/>
    <w:charset w:val="00"/>
    <w:family w:val="auto"/>
    <w:pitch w:val="default"/>
    <w:sig w:usb0="00000000" w:usb1="00000000" w:usb2="00000000" w:usb3="00000000" w:csb0="00000000" w:csb1="00000000"/>
    <w:embedRegular r:id="rId7" w:fontKey="{6AF30900-C554-4E09-A022-190CB3303B91}"/>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F8B2E">
    <w:pPr>
      <w:pStyle w:val="16"/>
      <w:jc w:val="center"/>
      <w:rPr>
        <w:rFonts w:ascii="宋体" w:hAnsi="宋体" w:eastAsia="宋体"/>
        <w:b/>
        <w:bCs/>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E1C6A">
    <w:pPr>
      <w:pStyle w:val="16"/>
      <w:jc w:val="center"/>
      <w:rPr>
        <w:rFonts w:ascii="宋体" w:hAnsi="宋体" w:eastAsia="宋体"/>
        <w:b/>
        <w:bCs/>
        <w:sz w:val="24"/>
        <w:szCs w:val="24"/>
      </w:rPr>
    </w:pPr>
    <w:r>
      <w:rPr>
        <w:sz w:val="24"/>
      </w:rPr>
      <mc:AlternateContent>
        <mc:Choice Requires="wps">
          <w:drawing>
            <wp:anchor distT="0" distB="0" distL="114300" distR="114300" simplePos="0" relativeHeight="251659264" behindDoc="1" locked="0" layoutInCell="1" allowOverlap="1">
              <wp:simplePos x="0" y="0"/>
              <wp:positionH relativeFrom="margin">
                <wp:posOffset>-678815</wp:posOffset>
              </wp:positionH>
              <wp:positionV relativeFrom="paragraph">
                <wp:posOffset>132715</wp:posOffset>
              </wp:positionV>
              <wp:extent cx="7555230" cy="283210"/>
              <wp:effectExtent l="0" t="0" r="0" b="0"/>
              <wp:wrapTight wrapText="bothSides">
                <wp:wrapPolygon>
                  <wp:start x="9" y="242"/>
                  <wp:lineTo x="21591" y="242"/>
                  <wp:lineTo x="21591" y="21358"/>
                  <wp:lineTo x="9" y="21358"/>
                  <wp:lineTo x="9" y="242"/>
                </wp:wrapPolygon>
              </wp:wrapTight>
              <wp:docPr id="1" name="文本框 1"/>
              <wp:cNvGraphicFramePr/>
              <a:graphic xmlns:a="http://schemas.openxmlformats.org/drawingml/2006/main">
                <a:graphicData uri="http://schemas.microsoft.com/office/word/2010/wordprocessingShape">
                  <wps:wsp>
                    <wps:cNvSpPr txBox="1"/>
                    <wps:spPr>
                      <a:xfrm>
                        <a:off x="0" y="0"/>
                        <a:ext cx="7555230"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57EB6">
                          <w:pPr>
                            <w:pStyle w:val="16"/>
                            <w:ind w:left="0" w:leftChars="0"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3.45pt;margin-top:10.45pt;height:22.3pt;width:594.9pt;mso-position-horizontal-relative:margin;mso-wrap-distance-left:9pt;mso-wrap-distance-right:9pt;z-index:-251657216;mso-width-relative:page;mso-height-relative:page;" filled="f" stroked="f" coordsize="21600,21600" wrapcoords="9 242 21591 242 21591 21358 9 21358 9 242" o:gfxdata="UEsDBAoAAAAAAIdO4kAAAAAAAAAAAAAAAAAEAAAAZHJzL1BLAwQUAAAACACHTuJAmwuSnNkAAAAL&#10;AQAADwAAAGRycy9kb3ducmV2LnhtbE2PTU/DMAyG70j8h8hI3LaklVaN0nQHPm58bTBp3NImtBWJ&#10;UyVpN/493glOtuVHrx9Xm5OzbDYhDh4lZEsBzGDr9YCdhI/3x8UaWEwKtbIejYQfE2FTX15UqtT+&#10;iFsz71LHKARjqST0KY0l57HtjVNx6UeDtPvywalEY+i4DupI4c7yXIiCOzUgXejVaO56037vJifB&#10;HmJ4akT6nO+75/T2yqf9Q/Yi5fVVJm6BJXNKfzCc9UkdanJq/IQ6MithkYnihlgJuaB6JsQ6p66R&#10;UKxWwOuK//+h/gVQSwMEFAAAAAgAh07iQANwjb01AgAAYgQAAA4AAABkcnMvZTJvRG9jLnhtbK1U&#10;y24TMRTdI/EPlvdkklQpVdRJFVoVIUW0UkGsHY8nY8kvbCcz4QPgD1ixYc935Ts49kxSVFh0wcY5&#10;4/s8517n8qrTiuyED9Kakk5GY0qE4baSZlPSjx9uX11QEiIzFVPWiJLuRaBXi5cvLls3F1PbWFUJ&#10;T5DEhHnrStrE6OZFEXgjNAsj64SBsbZes4hPvykqz1pk16qYjsfnRWt95bzlIgTc3vRGOmT0z0lo&#10;61pycWP5VgsT+6xeKBZBKTTSBbrI3da14PGuroOIRJUUTGM+UQR4nc5iccnmG89cI/nQAntOC084&#10;aSYNip5S3bDIyNbLv1Jpyb0Nto4jbnXRE8mKgMVk/ESbh4Y5kblA6uBOoof/l5a/3917IitsAiWG&#10;aQz88P3b4cevw8+vZJLkaV2Yw+vBwS92b2yXXIf7gMvEuqu9Tr/gQ2CHuPuTuKKLhOPy9Ww2m57B&#10;xGGbXpxNJ1n94jHa+RDfCqtJAiX1GF7WlO1WIaIiXI8uqZixt1KpPEBlSFvS87PZOAecLIhQBoGJ&#10;Q99rQrFbdwOBta324OVtvxjB8VuJ4isW4j3z2AT0i7cS73DUyqKIHRAljfVf/nWf/DEgWClpsVkl&#10;DZ+3zAtK1DuD0SFlPAJ/BOsjMFt9bbGsGAe6yRABPqojrL3Vn/CElqkKTMxw1CppPMLr2O83niAX&#10;y2V22jovN00fgMVzLK7Mg+OpTC/lchttLbPKSaJel0E5rF4Wf3gmabf//M5ej38N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bC5Kc2QAAAAsBAAAPAAAAAAAAAAEAIAAAACIAAABkcnMvZG93bnJl&#10;di54bWxQSwECFAAUAAAACACHTuJAA3CNvTUCAABiBAAADgAAAAAAAAABACAAAAAoAQAAZHJzL2Uy&#10;b0RvYy54bWxQSwUGAAAAAAYABgBZAQAAzwUAAAAA&#10;">
              <v:fill on="f" focussize="0,0"/>
              <v:stroke on="f" weight="0.5pt"/>
              <v:imagedata o:title=""/>
              <o:lock v:ext="edit" aspectratio="f"/>
              <v:textbox inset="0mm,0mm,0mm,0mm">
                <w:txbxContent>
                  <w:p w14:paraId="3C357EB6">
                    <w:pPr>
                      <w:pStyle w:val="16"/>
                      <w:ind w:left="0" w:leftChars="0" w:firstLine="0" w:firstLineChars="0"/>
                      <w:jc w:val="center"/>
                    </w:pPr>
                    <w:r>
                      <w:fldChar w:fldCharType="begin"/>
                    </w:r>
                    <w:r>
                      <w:instrText xml:space="preserve"> PAGE  \* MERGEFORMAT </w:instrText>
                    </w:r>
                    <w:r>
                      <w:fldChar w:fldCharType="separate"/>
                    </w:r>
                    <w:r>
                      <w:t>1</w:t>
                    </w:r>
                    <w:r>
                      <w:fldChar w:fldCharType="end"/>
                    </w: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4B9">
    <w:pPr>
      <w:pStyle w:val="16"/>
      <w:jc w:val="center"/>
      <w:rPr>
        <w:rFonts w:ascii="宋体" w:hAnsi="宋体" w:eastAsia="宋体"/>
        <w:b/>
        <w:bCs/>
        <w:sz w:val="24"/>
        <w:szCs w:val="24"/>
      </w:rPr>
    </w:pPr>
    <w:r>
      <w:rPr>
        <w:sz w:val="24"/>
      </w:rPr>
      <mc:AlternateContent>
        <mc:Choice Requires="wps">
          <w:drawing>
            <wp:anchor distT="0" distB="0" distL="114300" distR="114300" simplePos="0" relativeHeight="251660288" behindDoc="1" locked="0" layoutInCell="1" allowOverlap="1">
              <wp:simplePos x="0" y="0"/>
              <wp:positionH relativeFrom="margin">
                <wp:posOffset>-678815</wp:posOffset>
              </wp:positionH>
              <wp:positionV relativeFrom="paragraph">
                <wp:posOffset>132715</wp:posOffset>
              </wp:positionV>
              <wp:extent cx="7555230" cy="283210"/>
              <wp:effectExtent l="0" t="0" r="0" b="0"/>
              <wp:wrapTight wrapText="bothSides">
                <wp:wrapPolygon>
                  <wp:start x="9" y="242"/>
                  <wp:lineTo x="21591" y="242"/>
                  <wp:lineTo x="21591" y="21358"/>
                  <wp:lineTo x="9" y="21358"/>
                  <wp:lineTo x="9" y="242"/>
                </wp:wrapPolygon>
              </wp:wrapTight>
              <wp:docPr id="2" name="文本框 2"/>
              <wp:cNvGraphicFramePr/>
              <a:graphic xmlns:a="http://schemas.openxmlformats.org/drawingml/2006/main">
                <a:graphicData uri="http://schemas.microsoft.com/office/word/2010/wordprocessingShape">
                  <wps:wsp>
                    <wps:cNvSpPr txBox="1"/>
                    <wps:spPr>
                      <a:xfrm>
                        <a:off x="0" y="0"/>
                        <a:ext cx="7555230"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0C721">
                          <w:pPr>
                            <w:pStyle w:val="16"/>
                            <w:ind w:left="0" w:leftChars="0" w:firstLine="0" w:firstLineChars="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3.45pt;margin-top:10.45pt;height:22.3pt;width:594.9pt;mso-position-horizontal-relative:margin;mso-wrap-distance-left:9pt;mso-wrap-distance-right:9pt;z-index:-251656192;mso-width-relative:page;mso-height-relative:page;" filled="f" stroked="f" coordsize="21600,21600" wrapcoords="9 242 21591 242 21591 21358 9 21358 9 242" o:gfxdata="UEsDBAoAAAAAAIdO4kAAAAAAAAAAAAAAAAAEAAAAZHJzL1BLAwQUAAAACACHTuJAmwuSnNkAAAAL&#10;AQAADwAAAGRycy9kb3ducmV2LnhtbE2PTU/DMAyG70j8h8hI3LaklVaN0nQHPm58bTBp3NImtBWJ&#10;UyVpN/493glOtuVHrx9Xm5OzbDYhDh4lZEsBzGDr9YCdhI/3x8UaWEwKtbIejYQfE2FTX15UqtT+&#10;iFsz71LHKARjqST0KY0l57HtjVNx6UeDtPvywalEY+i4DupI4c7yXIiCOzUgXejVaO56037vJifB&#10;HmJ4akT6nO+75/T2yqf9Q/Yi5fVVJm6BJXNKfzCc9UkdanJq/IQ6MithkYnihlgJuaB6JsQ6p66R&#10;UKxWwOuK//+h/gVQSwMEFAAAAAgAh07iQAWToVs3AgAAYgQAAA4AAABkcnMvZTJvRG9jLnhtbK1U&#10;zY7TMBC+I/EOlu80baouq6rpqmxVhFSxKy2Is+s4jSXbY2y3SXkAeANOXLjzXH0Oxk7SRQuHPXBx&#10;J/P/fTPTxU2rFTkK5yWYgk5GY0qE4VBKsy/oxw+bV9eU+MBMyRQYUdCT8PRm+fLForFzkUMNqhSO&#10;YBLj540taB2CnWeZ57XQzI/ACoPGCpxmAT/dPisdazC7Vlk+Hl9lDbjSOuDCe9SuOyPtM7rnJISq&#10;klysgR+0MKHL6oRiASH5WlpPl6nbqhI83FWVF4GogiLSkF4sgvIuvtlyweZ7x2wted8Ce04LTzBp&#10;Jg0WvaRas8DIwcm/UmnJHXiowoiDzjogiRFEMRk/4eahZlYkLEi1txfS/f9Ly98f7x2RZUFzSgzT&#10;OPDz92/nH7/OP7+SPNLTWD9HrweLfqF9Ay0uzaD3qIyo28rp+It4CNqR3NOFXNEGwlH5ejab5VM0&#10;cbTl19N8ktjPHqOt8+GtAE2iUFCHw0ucsuPWB+wEXQeXWMzARiqVBqgMaQp6NZ2NU8DFghHKYGDE&#10;0PUapdDu2h7YDsoT4nLQLYa3fCOx+Jb5cM8cbgL2i7cS7vCpFGAR6CVKanBf/qWP/jggtFLS4GYV&#10;1H8+MCcoUe8Mjg5ThkFwg7AbBHPQt4DLOsErtDyJGOCCGsTKgf6EJ7SKVdDEDMdaBQ2DeBu6/cYT&#10;5GK1Sk4H6+S+7gJw8SwLW/NgeSzTUbk6BKhkYjlS1PHSM4erl8jvzyTu9p/fyevxr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sLkpzZAAAACwEAAA8AAAAAAAAAAQAgAAAAIgAAAGRycy9kb3du&#10;cmV2LnhtbFBLAQIUABQAAAAIAIdO4kAFk6FbNwIAAGIEAAAOAAAAAAAAAAEAIAAAACgBAABkcnMv&#10;ZTJvRG9jLnhtbFBLBQYAAAAABgAGAFkBAADRBQAAAAA=&#10;">
              <v:fill on="f" focussize="0,0"/>
              <v:stroke on="f" weight="0.5pt"/>
              <v:imagedata o:title=""/>
              <o:lock v:ext="edit" aspectratio="f"/>
              <v:textbox inset="0mm,0mm,0mm,0mm">
                <w:txbxContent>
                  <w:p w14:paraId="40E0C721">
                    <w:pPr>
                      <w:pStyle w:val="16"/>
                      <w:ind w:left="0" w:leftChars="0" w:firstLine="0" w:firstLineChars="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7713E">
    <w:pPr>
      <w:pStyle w:val="17"/>
      <w:pBdr>
        <w:bottom w:val="none" w:color="auto" w:sz="0" w:space="1"/>
      </w:pBdr>
      <w:rPr>
        <w:rFonts w:hint="default" w:ascii="Times New Roman" w:hAnsi="Times New Roman" w:eastAsia="楷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A04DE">
    <w:pPr>
      <w:pStyle w:val="17"/>
      <w:pBdr>
        <w:bottom w:val="double" w:color="auto" w:sz="4" w:space="1"/>
      </w:pBdr>
      <w:tabs>
        <w:tab w:val="left" w:pos="3114"/>
        <w:tab w:val="center" w:pos="5247"/>
      </w:tabs>
      <w:ind w:left="0" w:leftChars="0" w:firstLine="0" w:firstLineChars="0"/>
      <w:jc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四川省博士后需求信息（202</w:t>
    </w:r>
    <w:r>
      <w:rPr>
        <w:rFonts w:hint="default" w:ascii="Times New Roman" w:hAnsi="Times New Roman" w:eastAsia="楷体" w:cs="Times New Roman"/>
        <w:sz w:val="21"/>
        <w:szCs w:val="21"/>
        <w:lang w:val="en-US" w:eastAsia="zh-CN"/>
      </w:rPr>
      <w:t>5</w:t>
    </w:r>
    <w:r>
      <w:rPr>
        <w:rFonts w:hint="default" w:ascii="Times New Roman" w:hAnsi="Times New Roman" w:eastAsia="楷体" w:cs="Times New Roman"/>
        <w:sz w:val="21"/>
        <w:szCs w:val="21"/>
      </w:rPr>
      <w:t>年度）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CACD0"/>
    <w:multiLevelType w:val="singleLevel"/>
    <w:tmpl w:val="805CACD0"/>
    <w:lvl w:ilvl="0" w:tentative="0">
      <w:start w:val="1"/>
      <w:numFmt w:val="decimal"/>
      <w:suff w:val="nothing"/>
      <w:lvlText w:val="%1"/>
      <w:lvlJc w:val="left"/>
      <w:pPr>
        <w:ind w:left="425" w:leftChars="0" w:hanging="425" w:firstLineChars="0"/>
      </w:pPr>
      <w:rPr>
        <w:rFonts w:hint="default" w:ascii="宋体" w:hAnsi="宋体" w:eastAsia="宋体" w:cs="宋体"/>
        <w:b w:val="0"/>
        <w:bCs w:val="0"/>
      </w:rPr>
    </w:lvl>
  </w:abstractNum>
  <w:abstractNum w:abstractNumId="1">
    <w:nsid w:val="BF2AA72B"/>
    <w:multiLevelType w:val="singleLevel"/>
    <w:tmpl w:val="BF2AA72B"/>
    <w:lvl w:ilvl="0" w:tentative="0">
      <w:start w:val="1"/>
      <w:numFmt w:val="decimal"/>
      <w:lvlText w:val="%1."/>
      <w:lvlJc w:val="left"/>
      <w:pPr>
        <w:tabs>
          <w:tab w:val="left" w:pos="312"/>
        </w:tabs>
      </w:pPr>
    </w:lvl>
  </w:abstractNum>
  <w:abstractNum w:abstractNumId="2">
    <w:nsid w:val="0B98E74F"/>
    <w:multiLevelType w:val="singleLevel"/>
    <w:tmpl w:val="0B98E74F"/>
    <w:lvl w:ilvl="0" w:tentative="0">
      <w:start w:val="1"/>
      <w:numFmt w:val="decimal"/>
      <w:lvlText w:val="%1."/>
      <w:lvlJc w:val="left"/>
      <w:pPr>
        <w:tabs>
          <w:tab w:val="left" w:pos="312"/>
        </w:tabs>
      </w:pPr>
    </w:lvl>
  </w:abstractNum>
  <w:abstractNum w:abstractNumId="3">
    <w:nsid w:val="184711F1"/>
    <w:multiLevelType w:val="multilevel"/>
    <w:tmpl w:val="184711F1"/>
    <w:lvl w:ilvl="0" w:tentative="0">
      <w:start w:val="1"/>
      <w:numFmt w:val="decimal"/>
      <w:isLgl/>
      <w:suff w:val="space"/>
      <w:lvlText w:val="%1  "/>
      <w:lvlJc w:val="left"/>
      <w:pPr>
        <w:ind w:left="0" w:firstLine="0"/>
      </w:pPr>
      <w:rPr>
        <w:rFonts w:hint="default" w:ascii="Times New Roman" w:hAnsi="Times New Roman" w:eastAsia="黑体"/>
        <w:b w:val="0"/>
        <w:i w:val="0"/>
        <w:snapToGrid w:val="0"/>
        <w:spacing w:val="0"/>
        <w:w w:val="100"/>
        <w:kern w:val="24"/>
        <w:position w:val="0"/>
        <w:sz w:val="24"/>
      </w:rPr>
    </w:lvl>
    <w:lvl w:ilvl="1" w:tentative="0">
      <w:start w:val="1"/>
      <w:numFmt w:val="decimal"/>
      <w:suff w:val="space"/>
      <w:lvlText w:val="%1.%2  "/>
      <w:lvlJc w:val="left"/>
      <w:pPr>
        <w:ind w:left="0" w:firstLine="0"/>
      </w:pPr>
      <w:rPr>
        <w:rFonts w:hint="default" w:ascii="Times New Roman" w:hAnsi="Times New Roman" w:eastAsia="黑体"/>
        <w:b w:val="0"/>
        <w:i w:val="0"/>
        <w:snapToGrid w:val="0"/>
        <w:spacing w:val="0"/>
        <w:w w:val="100"/>
        <w:kern w:val="24"/>
        <w:position w:val="0"/>
        <w:sz w:val="24"/>
      </w:rPr>
    </w:lvl>
    <w:lvl w:ilvl="2" w:tentative="0">
      <w:start w:val="1"/>
      <w:numFmt w:val="decimal"/>
      <w:pStyle w:val="4"/>
      <w:suff w:val="space"/>
      <w:lvlText w:val="%1.%2.%3  "/>
      <w:lvlJc w:val="left"/>
      <w:pPr>
        <w:ind w:left="0" w:firstLine="0"/>
      </w:pPr>
      <w:rPr>
        <w:rFonts w:hint="default" w:ascii="Times New Roman" w:hAnsi="Times New Roman" w:eastAsia="黑体"/>
        <w:b w:val="0"/>
        <w:i w:val="0"/>
        <w:snapToGrid w:val="0"/>
        <w:spacing w:val="0"/>
        <w:w w:val="100"/>
        <w:kern w:val="24"/>
        <w:position w:val="0"/>
        <w:sz w:val="24"/>
      </w:rPr>
    </w:lvl>
    <w:lvl w:ilvl="3" w:tentative="0">
      <w:start w:val="1"/>
      <w:numFmt w:val="decimal"/>
      <w:suff w:val="space"/>
      <w:lvlText w:val="%1.%2.%3.%4  "/>
      <w:lvlJc w:val="left"/>
      <w:pPr>
        <w:ind w:left="0" w:firstLine="0"/>
      </w:pPr>
      <w:rPr>
        <w:rFonts w:hint="default" w:ascii="Times New Roman" w:hAnsi="Times New Roman" w:eastAsia="黑体"/>
        <w:b w:val="0"/>
        <w:i w:val="0"/>
        <w:snapToGrid w:val="0"/>
        <w:spacing w:val="0"/>
        <w:w w:val="100"/>
        <w:kern w:val="24"/>
        <w:position w:val="0"/>
        <w:sz w:val="24"/>
      </w:rPr>
    </w:lvl>
    <w:lvl w:ilvl="4" w:tentative="0">
      <w:start w:val="1"/>
      <w:numFmt w:val="decimal"/>
      <w:suff w:val="space"/>
      <w:lvlText w:val="%1.%2.%3.%4.%5   "/>
      <w:lvlJc w:val="left"/>
      <w:pPr>
        <w:ind w:left="0" w:firstLine="0"/>
      </w:pPr>
      <w:rPr>
        <w:rFonts w:hint="default" w:ascii="Times New Roman" w:hAnsi="Times New Roman" w:eastAsia="黑体"/>
        <w:b w:val="0"/>
        <w:i w:val="0"/>
        <w:snapToGrid w:val="0"/>
        <w:spacing w:val="0"/>
        <w:w w:val="100"/>
        <w:kern w:val="24"/>
        <w:position w:val="0"/>
        <w:sz w:val="24"/>
      </w:rPr>
    </w:lvl>
    <w:lvl w:ilvl="5" w:tentative="0">
      <w:start w:val="1"/>
      <w:numFmt w:val="decimal"/>
      <w:suff w:val="space"/>
      <w:lvlText w:val="%1.%2.%3.%4.%5.%6  "/>
      <w:lvlJc w:val="left"/>
      <w:pPr>
        <w:ind w:left="0" w:firstLine="0"/>
      </w:pPr>
      <w:rPr>
        <w:rFonts w:hint="default" w:ascii="Times New Roman" w:hAnsi="Times New Roman" w:eastAsia="黑体"/>
        <w:b w:val="0"/>
        <w:i w:val="0"/>
        <w:snapToGrid w:val="0"/>
        <w:spacing w:val="0"/>
        <w:w w:val="100"/>
        <w:kern w:val="24"/>
        <w:position w:val="0"/>
        <w:sz w:val="24"/>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235A28C1"/>
    <w:multiLevelType w:val="singleLevel"/>
    <w:tmpl w:val="235A28C1"/>
    <w:lvl w:ilvl="0" w:tentative="0">
      <w:start w:val="1"/>
      <w:numFmt w:val="decimal"/>
      <w:suff w:val="nothing"/>
      <w:lvlText w:val="%1"/>
      <w:lvlJc w:val="left"/>
      <w:pPr>
        <w:ind w:left="425" w:leftChars="0" w:hanging="425" w:firstLineChars="0"/>
      </w:pPr>
      <w:rPr>
        <w:rFonts w:hint="default" w:ascii="宋体" w:hAnsi="宋体" w:eastAsia="宋体" w:cs="宋体"/>
        <w:b w:val="0"/>
        <w:bCs w:val="0"/>
      </w:rPr>
    </w:lvl>
  </w:abstractNum>
  <w:abstractNum w:abstractNumId="5">
    <w:nsid w:val="3C1474FD"/>
    <w:multiLevelType w:val="singleLevel"/>
    <w:tmpl w:val="3C1474FD"/>
    <w:lvl w:ilvl="0" w:tentative="0">
      <w:start w:val="1"/>
      <w:numFmt w:val="decimal"/>
      <w:lvlText w:val="%1."/>
      <w:lvlJc w:val="left"/>
      <w:pPr>
        <w:tabs>
          <w:tab w:val="left" w:pos="312"/>
        </w:tabs>
      </w:pPr>
    </w:lvl>
  </w:abstractNum>
  <w:abstractNum w:abstractNumId="6">
    <w:nsid w:val="45C0F5D7"/>
    <w:multiLevelType w:val="singleLevel"/>
    <w:tmpl w:val="45C0F5D7"/>
    <w:lvl w:ilvl="0" w:tentative="0">
      <w:start w:val="1"/>
      <w:numFmt w:val="decimal"/>
      <w:lvlText w:val="%1."/>
      <w:lvlJc w:val="left"/>
      <w:pPr>
        <w:tabs>
          <w:tab w:val="left" w:pos="312"/>
        </w:tabs>
      </w:pPr>
    </w:lvl>
  </w:abstractNum>
  <w:num w:numId="1">
    <w:abstractNumId w:val="3"/>
  </w:num>
  <w:num w:numId="2">
    <w:abstractNumId w:val="4"/>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NhM2ExZjU4MmIzNjczMWRhYTY3ZmY3ODEyMWZlZWYifQ=="/>
  </w:docVars>
  <w:rsids>
    <w:rsidRoot w:val="00172A27"/>
    <w:rsid w:val="000039D4"/>
    <w:rsid w:val="000056E0"/>
    <w:rsid w:val="00005705"/>
    <w:rsid w:val="000063B0"/>
    <w:rsid w:val="000063CD"/>
    <w:rsid w:val="000068D5"/>
    <w:rsid w:val="00007B3A"/>
    <w:rsid w:val="00011906"/>
    <w:rsid w:val="00012843"/>
    <w:rsid w:val="00012C92"/>
    <w:rsid w:val="00013770"/>
    <w:rsid w:val="000142FA"/>
    <w:rsid w:val="0001546C"/>
    <w:rsid w:val="00015B28"/>
    <w:rsid w:val="00016026"/>
    <w:rsid w:val="000163C6"/>
    <w:rsid w:val="00020CF5"/>
    <w:rsid w:val="000239B4"/>
    <w:rsid w:val="000247B0"/>
    <w:rsid w:val="00026EF3"/>
    <w:rsid w:val="00027BF4"/>
    <w:rsid w:val="000328EA"/>
    <w:rsid w:val="00034EB1"/>
    <w:rsid w:val="00035754"/>
    <w:rsid w:val="000358A0"/>
    <w:rsid w:val="00036FB3"/>
    <w:rsid w:val="00041491"/>
    <w:rsid w:val="00041CDA"/>
    <w:rsid w:val="000423FC"/>
    <w:rsid w:val="000436EA"/>
    <w:rsid w:val="00046511"/>
    <w:rsid w:val="000506C1"/>
    <w:rsid w:val="00050FC5"/>
    <w:rsid w:val="00051930"/>
    <w:rsid w:val="00051C83"/>
    <w:rsid w:val="00051E3D"/>
    <w:rsid w:val="00052D0D"/>
    <w:rsid w:val="00052E36"/>
    <w:rsid w:val="000541C8"/>
    <w:rsid w:val="00055B61"/>
    <w:rsid w:val="00055CA3"/>
    <w:rsid w:val="0006052C"/>
    <w:rsid w:val="000623C4"/>
    <w:rsid w:val="00062D79"/>
    <w:rsid w:val="00063B14"/>
    <w:rsid w:val="00064A9E"/>
    <w:rsid w:val="00064AF6"/>
    <w:rsid w:val="00065275"/>
    <w:rsid w:val="00065563"/>
    <w:rsid w:val="00066DE6"/>
    <w:rsid w:val="00072164"/>
    <w:rsid w:val="00072805"/>
    <w:rsid w:val="00077463"/>
    <w:rsid w:val="00080D5E"/>
    <w:rsid w:val="000814B2"/>
    <w:rsid w:val="0008311F"/>
    <w:rsid w:val="000833E9"/>
    <w:rsid w:val="00083AF0"/>
    <w:rsid w:val="00091D6A"/>
    <w:rsid w:val="00095F71"/>
    <w:rsid w:val="00097D5A"/>
    <w:rsid w:val="000A1C66"/>
    <w:rsid w:val="000A21F3"/>
    <w:rsid w:val="000A3917"/>
    <w:rsid w:val="000B0620"/>
    <w:rsid w:val="000B1BB5"/>
    <w:rsid w:val="000B2149"/>
    <w:rsid w:val="000B3188"/>
    <w:rsid w:val="000B3637"/>
    <w:rsid w:val="000B39F7"/>
    <w:rsid w:val="000B77C8"/>
    <w:rsid w:val="000C12FA"/>
    <w:rsid w:val="000C474C"/>
    <w:rsid w:val="000C6FF1"/>
    <w:rsid w:val="000D0BA0"/>
    <w:rsid w:val="000D3B55"/>
    <w:rsid w:val="000D7867"/>
    <w:rsid w:val="000D7A8F"/>
    <w:rsid w:val="000E3CE1"/>
    <w:rsid w:val="000E473F"/>
    <w:rsid w:val="000E5C3B"/>
    <w:rsid w:val="000F00A0"/>
    <w:rsid w:val="000F4000"/>
    <w:rsid w:val="000F5DA2"/>
    <w:rsid w:val="000F7CCF"/>
    <w:rsid w:val="0010011F"/>
    <w:rsid w:val="00103A76"/>
    <w:rsid w:val="00105B29"/>
    <w:rsid w:val="00105E4B"/>
    <w:rsid w:val="001064AC"/>
    <w:rsid w:val="00106A87"/>
    <w:rsid w:val="001103D1"/>
    <w:rsid w:val="00110E10"/>
    <w:rsid w:val="00111D99"/>
    <w:rsid w:val="00112C35"/>
    <w:rsid w:val="00121FC2"/>
    <w:rsid w:val="00122E45"/>
    <w:rsid w:val="001254D5"/>
    <w:rsid w:val="00125673"/>
    <w:rsid w:val="00127471"/>
    <w:rsid w:val="00130162"/>
    <w:rsid w:val="001306A5"/>
    <w:rsid w:val="001307CA"/>
    <w:rsid w:val="00130B67"/>
    <w:rsid w:val="001325F6"/>
    <w:rsid w:val="00132BCA"/>
    <w:rsid w:val="001349E0"/>
    <w:rsid w:val="00135C34"/>
    <w:rsid w:val="00136DB6"/>
    <w:rsid w:val="00137903"/>
    <w:rsid w:val="00137C8C"/>
    <w:rsid w:val="00144AEC"/>
    <w:rsid w:val="00146262"/>
    <w:rsid w:val="001475D5"/>
    <w:rsid w:val="001510E9"/>
    <w:rsid w:val="00154339"/>
    <w:rsid w:val="00157A80"/>
    <w:rsid w:val="001644F9"/>
    <w:rsid w:val="00170983"/>
    <w:rsid w:val="001710DB"/>
    <w:rsid w:val="00171CF3"/>
    <w:rsid w:val="00172764"/>
    <w:rsid w:val="00172A27"/>
    <w:rsid w:val="00175074"/>
    <w:rsid w:val="00175D12"/>
    <w:rsid w:val="001766E6"/>
    <w:rsid w:val="00176D8D"/>
    <w:rsid w:val="001844A0"/>
    <w:rsid w:val="00190B80"/>
    <w:rsid w:val="00190DFD"/>
    <w:rsid w:val="00191755"/>
    <w:rsid w:val="00195243"/>
    <w:rsid w:val="001A00F8"/>
    <w:rsid w:val="001A04A6"/>
    <w:rsid w:val="001A0C95"/>
    <w:rsid w:val="001A1264"/>
    <w:rsid w:val="001A16D7"/>
    <w:rsid w:val="001A5C32"/>
    <w:rsid w:val="001A75E3"/>
    <w:rsid w:val="001B085E"/>
    <w:rsid w:val="001B1CB8"/>
    <w:rsid w:val="001B45B6"/>
    <w:rsid w:val="001B4FD0"/>
    <w:rsid w:val="001B61AD"/>
    <w:rsid w:val="001B62DF"/>
    <w:rsid w:val="001D3A61"/>
    <w:rsid w:val="001D5FE1"/>
    <w:rsid w:val="001E2EEF"/>
    <w:rsid w:val="001E4277"/>
    <w:rsid w:val="001E4687"/>
    <w:rsid w:val="001E5C39"/>
    <w:rsid w:val="001E6FEC"/>
    <w:rsid w:val="001F0219"/>
    <w:rsid w:val="001F07BA"/>
    <w:rsid w:val="001F081B"/>
    <w:rsid w:val="001F5792"/>
    <w:rsid w:val="00200032"/>
    <w:rsid w:val="0020055C"/>
    <w:rsid w:val="00201018"/>
    <w:rsid w:val="0021203C"/>
    <w:rsid w:val="002125C0"/>
    <w:rsid w:val="00212F94"/>
    <w:rsid w:val="00213F64"/>
    <w:rsid w:val="0021446A"/>
    <w:rsid w:val="00214709"/>
    <w:rsid w:val="002156E0"/>
    <w:rsid w:val="002162E9"/>
    <w:rsid w:val="00217005"/>
    <w:rsid w:val="00220E8D"/>
    <w:rsid w:val="002218FF"/>
    <w:rsid w:val="002236DF"/>
    <w:rsid w:val="0022463A"/>
    <w:rsid w:val="0022517A"/>
    <w:rsid w:val="00226568"/>
    <w:rsid w:val="0023041C"/>
    <w:rsid w:val="0023216B"/>
    <w:rsid w:val="00235D75"/>
    <w:rsid w:val="0024006F"/>
    <w:rsid w:val="0024033D"/>
    <w:rsid w:val="00242355"/>
    <w:rsid w:val="0024370B"/>
    <w:rsid w:val="00243A4E"/>
    <w:rsid w:val="00246D88"/>
    <w:rsid w:val="0024784A"/>
    <w:rsid w:val="00250C49"/>
    <w:rsid w:val="00257005"/>
    <w:rsid w:val="002659FF"/>
    <w:rsid w:val="00266B7C"/>
    <w:rsid w:val="00267536"/>
    <w:rsid w:val="00275E9F"/>
    <w:rsid w:val="00276603"/>
    <w:rsid w:val="00277AF4"/>
    <w:rsid w:val="0028483A"/>
    <w:rsid w:val="00284903"/>
    <w:rsid w:val="0028562B"/>
    <w:rsid w:val="00287486"/>
    <w:rsid w:val="00290083"/>
    <w:rsid w:val="0029021E"/>
    <w:rsid w:val="002903EA"/>
    <w:rsid w:val="00290C74"/>
    <w:rsid w:val="00291612"/>
    <w:rsid w:val="002926B5"/>
    <w:rsid w:val="00293399"/>
    <w:rsid w:val="00293A88"/>
    <w:rsid w:val="00294CDC"/>
    <w:rsid w:val="00296009"/>
    <w:rsid w:val="00297746"/>
    <w:rsid w:val="002A0CE8"/>
    <w:rsid w:val="002A51AF"/>
    <w:rsid w:val="002A7A12"/>
    <w:rsid w:val="002B199C"/>
    <w:rsid w:val="002B1AEB"/>
    <w:rsid w:val="002B3333"/>
    <w:rsid w:val="002B47F1"/>
    <w:rsid w:val="002B52A9"/>
    <w:rsid w:val="002B6047"/>
    <w:rsid w:val="002B6CC9"/>
    <w:rsid w:val="002C0577"/>
    <w:rsid w:val="002C08E9"/>
    <w:rsid w:val="002C1FF0"/>
    <w:rsid w:val="002C2A3A"/>
    <w:rsid w:val="002C4C75"/>
    <w:rsid w:val="002C56F6"/>
    <w:rsid w:val="002C73CE"/>
    <w:rsid w:val="002D181E"/>
    <w:rsid w:val="002D359F"/>
    <w:rsid w:val="002D7098"/>
    <w:rsid w:val="002E1C7C"/>
    <w:rsid w:val="002E2773"/>
    <w:rsid w:val="002E6115"/>
    <w:rsid w:val="002E7EDB"/>
    <w:rsid w:val="002F30AB"/>
    <w:rsid w:val="002F68B1"/>
    <w:rsid w:val="003006C5"/>
    <w:rsid w:val="00302789"/>
    <w:rsid w:val="00302FEF"/>
    <w:rsid w:val="003034B2"/>
    <w:rsid w:val="00303FE4"/>
    <w:rsid w:val="00304A00"/>
    <w:rsid w:val="00304F34"/>
    <w:rsid w:val="00311983"/>
    <w:rsid w:val="0031243C"/>
    <w:rsid w:val="00312E3F"/>
    <w:rsid w:val="0031354A"/>
    <w:rsid w:val="00313AC7"/>
    <w:rsid w:val="003156EF"/>
    <w:rsid w:val="003236E6"/>
    <w:rsid w:val="0032480D"/>
    <w:rsid w:val="0032561E"/>
    <w:rsid w:val="00327658"/>
    <w:rsid w:val="003279FD"/>
    <w:rsid w:val="0033543F"/>
    <w:rsid w:val="003371A8"/>
    <w:rsid w:val="00337E2C"/>
    <w:rsid w:val="00341274"/>
    <w:rsid w:val="00344A6F"/>
    <w:rsid w:val="00347DBA"/>
    <w:rsid w:val="00350851"/>
    <w:rsid w:val="00350D8C"/>
    <w:rsid w:val="003517B0"/>
    <w:rsid w:val="0035265F"/>
    <w:rsid w:val="00352B32"/>
    <w:rsid w:val="00353316"/>
    <w:rsid w:val="00353CA4"/>
    <w:rsid w:val="00355603"/>
    <w:rsid w:val="003567A1"/>
    <w:rsid w:val="003568CD"/>
    <w:rsid w:val="00356F83"/>
    <w:rsid w:val="003575E7"/>
    <w:rsid w:val="00362F98"/>
    <w:rsid w:val="00363591"/>
    <w:rsid w:val="0036369F"/>
    <w:rsid w:val="003638C8"/>
    <w:rsid w:val="00364170"/>
    <w:rsid w:val="00364321"/>
    <w:rsid w:val="00364361"/>
    <w:rsid w:val="003651FD"/>
    <w:rsid w:val="00365226"/>
    <w:rsid w:val="00366C33"/>
    <w:rsid w:val="00373D44"/>
    <w:rsid w:val="00374FFD"/>
    <w:rsid w:val="00376652"/>
    <w:rsid w:val="0038027D"/>
    <w:rsid w:val="003830D3"/>
    <w:rsid w:val="003844A8"/>
    <w:rsid w:val="00384AFF"/>
    <w:rsid w:val="00385299"/>
    <w:rsid w:val="00385CA0"/>
    <w:rsid w:val="00391257"/>
    <w:rsid w:val="00391EBE"/>
    <w:rsid w:val="003938F4"/>
    <w:rsid w:val="0039415D"/>
    <w:rsid w:val="00394AD9"/>
    <w:rsid w:val="00395B7A"/>
    <w:rsid w:val="00395ED9"/>
    <w:rsid w:val="0039763B"/>
    <w:rsid w:val="003A10D6"/>
    <w:rsid w:val="003A1FE8"/>
    <w:rsid w:val="003A2E88"/>
    <w:rsid w:val="003A5318"/>
    <w:rsid w:val="003A6E17"/>
    <w:rsid w:val="003B0A22"/>
    <w:rsid w:val="003B147D"/>
    <w:rsid w:val="003B5C85"/>
    <w:rsid w:val="003B6252"/>
    <w:rsid w:val="003C1B09"/>
    <w:rsid w:val="003C1ED1"/>
    <w:rsid w:val="003C2CBA"/>
    <w:rsid w:val="003C3817"/>
    <w:rsid w:val="003C447A"/>
    <w:rsid w:val="003C4D32"/>
    <w:rsid w:val="003C63C3"/>
    <w:rsid w:val="003C664B"/>
    <w:rsid w:val="003C6CD8"/>
    <w:rsid w:val="003D1EAB"/>
    <w:rsid w:val="003D2947"/>
    <w:rsid w:val="003D3431"/>
    <w:rsid w:val="003D6E84"/>
    <w:rsid w:val="003E13AB"/>
    <w:rsid w:val="003E1603"/>
    <w:rsid w:val="003E3285"/>
    <w:rsid w:val="003E3ED1"/>
    <w:rsid w:val="003E739A"/>
    <w:rsid w:val="003F2395"/>
    <w:rsid w:val="003F25D9"/>
    <w:rsid w:val="003F30AD"/>
    <w:rsid w:val="003F3896"/>
    <w:rsid w:val="003F4286"/>
    <w:rsid w:val="003F5F50"/>
    <w:rsid w:val="003F7A12"/>
    <w:rsid w:val="00400345"/>
    <w:rsid w:val="00403252"/>
    <w:rsid w:val="00404946"/>
    <w:rsid w:val="00405A4D"/>
    <w:rsid w:val="00406A52"/>
    <w:rsid w:val="00406E32"/>
    <w:rsid w:val="0040755D"/>
    <w:rsid w:val="00411908"/>
    <w:rsid w:val="0041296B"/>
    <w:rsid w:val="00416CC3"/>
    <w:rsid w:val="0042029A"/>
    <w:rsid w:val="00420F84"/>
    <w:rsid w:val="00421314"/>
    <w:rsid w:val="00421987"/>
    <w:rsid w:val="00424A72"/>
    <w:rsid w:val="00424AD3"/>
    <w:rsid w:val="00427D16"/>
    <w:rsid w:val="00430684"/>
    <w:rsid w:val="00431CDD"/>
    <w:rsid w:val="00435B8A"/>
    <w:rsid w:val="00437DEE"/>
    <w:rsid w:val="004416DA"/>
    <w:rsid w:val="00442CEB"/>
    <w:rsid w:val="004441DA"/>
    <w:rsid w:val="004500A5"/>
    <w:rsid w:val="00450446"/>
    <w:rsid w:val="00451A90"/>
    <w:rsid w:val="00451EA0"/>
    <w:rsid w:val="00456987"/>
    <w:rsid w:val="00457701"/>
    <w:rsid w:val="004578D5"/>
    <w:rsid w:val="004619A5"/>
    <w:rsid w:val="00461F01"/>
    <w:rsid w:val="00463A61"/>
    <w:rsid w:val="00467F82"/>
    <w:rsid w:val="00471131"/>
    <w:rsid w:val="00471277"/>
    <w:rsid w:val="00473427"/>
    <w:rsid w:val="00473534"/>
    <w:rsid w:val="00481BDA"/>
    <w:rsid w:val="00481C82"/>
    <w:rsid w:val="004826CA"/>
    <w:rsid w:val="00485A0D"/>
    <w:rsid w:val="00486603"/>
    <w:rsid w:val="00487891"/>
    <w:rsid w:val="004929A4"/>
    <w:rsid w:val="0049491F"/>
    <w:rsid w:val="0049508C"/>
    <w:rsid w:val="004950B3"/>
    <w:rsid w:val="00495EF4"/>
    <w:rsid w:val="00496363"/>
    <w:rsid w:val="00497B8B"/>
    <w:rsid w:val="004A0099"/>
    <w:rsid w:val="004A0854"/>
    <w:rsid w:val="004A20FE"/>
    <w:rsid w:val="004A255C"/>
    <w:rsid w:val="004A3199"/>
    <w:rsid w:val="004A3E08"/>
    <w:rsid w:val="004B0370"/>
    <w:rsid w:val="004B2243"/>
    <w:rsid w:val="004B45CA"/>
    <w:rsid w:val="004B6CA0"/>
    <w:rsid w:val="004B6FFF"/>
    <w:rsid w:val="004B729D"/>
    <w:rsid w:val="004B7519"/>
    <w:rsid w:val="004B7DC2"/>
    <w:rsid w:val="004C0392"/>
    <w:rsid w:val="004C1A2D"/>
    <w:rsid w:val="004C1A5C"/>
    <w:rsid w:val="004C338C"/>
    <w:rsid w:val="004C4D8B"/>
    <w:rsid w:val="004C5C60"/>
    <w:rsid w:val="004C7AD3"/>
    <w:rsid w:val="004D1EF0"/>
    <w:rsid w:val="004D2798"/>
    <w:rsid w:val="004D27C4"/>
    <w:rsid w:val="004D2866"/>
    <w:rsid w:val="004D364A"/>
    <w:rsid w:val="004D36DC"/>
    <w:rsid w:val="004D6AFD"/>
    <w:rsid w:val="004E13D7"/>
    <w:rsid w:val="004E2A89"/>
    <w:rsid w:val="004E57F9"/>
    <w:rsid w:val="004E628B"/>
    <w:rsid w:val="004F1642"/>
    <w:rsid w:val="004F4769"/>
    <w:rsid w:val="00500C19"/>
    <w:rsid w:val="00501AF6"/>
    <w:rsid w:val="00502B7F"/>
    <w:rsid w:val="00503F23"/>
    <w:rsid w:val="00507B16"/>
    <w:rsid w:val="005118A8"/>
    <w:rsid w:val="00516F6C"/>
    <w:rsid w:val="005205A6"/>
    <w:rsid w:val="00521A24"/>
    <w:rsid w:val="00522433"/>
    <w:rsid w:val="00526DB8"/>
    <w:rsid w:val="00530B56"/>
    <w:rsid w:val="00530D0E"/>
    <w:rsid w:val="00532D8A"/>
    <w:rsid w:val="005345D7"/>
    <w:rsid w:val="00534D46"/>
    <w:rsid w:val="00534E7C"/>
    <w:rsid w:val="005364C0"/>
    <w:rsid w:val="00536A3B"/>
    <w:rsid w:val="005409B4"/>
    <w:rsid w:val="00540A11"/>
    <w:rsid w:val="00542C5F"/>
    <w:rsid w:val="0054402A"/>
    <w:rsid w:val="00545345"/>
    <w:rsid w:val="00547DF4"/>
    <w:rsid w:val="005507AB"/>
    <w:rsid w:val="0055249F"/>
    <w:rsid w:val="00553069"/>
    <w:rsid w:val="0055358E"/>
    <w:rsid w:val="0055414B"/>
    <w:rsid w:val="005542A6"/>
    <w:rsid w:val="00554DF5"/>
    <w:rsid w:val="005561FE"/>
    <w:rsid w:val="0056067E"/>
    <w:rsid w:val="0056299C"/>
    <w:rsid w:val="0057142E"/>
    <w:rsid w:val="00572F54"/>
    <w:rsid w:val="005739E1"/>
    <w:rsid w:val="00574353"/>
    <w:rsid w:val="00576B0B"/>
    <w:rsid w:val="00580285"/>
    <w:rsid w:val="005804D0"/>
    <w:rsid w:val="00580B64"/>
    <w:rsid w:val="00581AD0"/>
    <w:rsid w:val="00582725"/>
    <w:rsid w:val="00583A5F"/>
    <w:rsid w:val="00583F89"/>
    <w:rsid w:val="00584D33"/>
    <w:rsid w:val="00586DF5"/>
    <w:rsid w:val="00587218"/>
    <w:rsid w:val="00587307"/>
    <w:rsid w:val="00591434"/>
    <w:rsid w:val="005914DF"/>
    <w:rsid w:val="005919EC"/>
    <w:rsid w:val="0059223B"/>
    <w:rsid w:val="00593BAA"/>
    <w:rsid w:val="00594D6B"/>
    <w:rsid w:val="005A0CB3"/>
    <w:rsid w:val="005A1D7E"/>
    <w:rsid w:val="005A245C"/>
    <w:rsid w:val="005A4215"/>
    <w:rsid w:val="005B107D"/>
    <w:rsid w:val="005B1987"/>
    <w:rsid w:val="005B477A"/>
    <w:rsid w:val="005B5E4B"/>
    <w:rsid w:val="005C21C1"/>
    <w:rsid w:val="005C29DA"/>
    <w:rsid w:val="005C6697"/>
    <w:rsid w:val="005C71BE"/>
    <w:rsid w:val="005D1792"/>
    <w:rsid w:val="005D4A90"/>
    <w:rsid w:val="005D4D43"/>
    <w:rsid w:val="005D5731"/>
    <w:rsid w:val="005E39D9"/>
    <w:rsid w:val="005E3A66"/>
    <w:rsid w:val="005E4E02"/>
    <w:rsid w:val="005E5754"/>
    <w:rsid w:val="005E7B69"/>
    <w:rsid w:val="005F0B7B"/>
    <w:rsid w:val="006019A5"/>
    <w:rsid w:val="006043BF"/>
    <w:rsid w:val="006048A6"/>
    <w:rsid w:val="00605824"/>
    <w:rsid w:val="00606C13"/>
    <w:rsid w:val="0060742B"/>
    <w:rsid w:val="00611248"/>
    <w:rsid w:val="00612C56"/>
    <w:rsid w:val="00613D27"/>
    <w:rsid w:val="00614649"/>
    <w:rsid w:val="00617804"/>
    <w:rsid w:val="0061784D"/>
    <w:rsid w:val="0062309A"/>
    <w:rsid w:val="00626B66"/>
    <w:rsid w:val="00637368"/>
    <w:rsid w:val="00640C98"/>
    <w:rsid w:val="006414C3"/>
    <w:rsid w:val="00641665"/>
    <w:rsid w:val="006469FE"/>
    <w:rsid w:val="00647E4A"/>
    <w:rsid w:val="006504C2"/>
    <w:rsid w:val="006509CE"/>
    <w:rsid w:val="00650F93"/>
    <w:rsid w:val="00651CCD"/>
    <w:rsid w:val="00651FB4"/>
    <w:rsid w:val="00653ECE"/>
    <w:rsid w:val="00654AA2"/>
    <w:rsid w:val="00655436"/>
    <w:rsid w:val="00656B8F"/>
    <w:rsid w:val="00660478"/>
    <w:rsid w:val="00661191"/>
    <w:rsid w:val="00664E95"/>
    <w:rsid w:val="00666864"/>
    <w:rsid w:val="006717A3"/>
    <w:rsid w:val="006809A6"/>
    <w:rsid w:val="0068242A"/>
    <w:rsid w:val="0068546E"/>
    <w:rsid w:val="00685C0B"/>
    <w:rsid w:val="00685E63"/>
    <w:rsid w:val="00690D99"/>
    <w:rsid w:val="006928B9"/>
    <w:rsid w:val="00692FB9"/>
    <w:rsid w:val="006947A0"/>
    <w:rsid w:val="00694F1F"/>
    <w:rsid w:val="00695303"/>
    <w:rsid w:val="006A261D"/>
    <w:rsid w:val="006A2772"/>
    <w:rsid w:val="006A48B7"/>
    <w:rsid w:val="006A7698"/>
    <w:rsid w:val="006B2945"/>
    <w:rsid w:val="006B3F8C"/>
    <w:rsid w:val="006B4051"/>
    <w:rsid w:val="006C2C01"/>
    <w:rsid w:val="006C2C13"/>
    <w:rsid w:val="006C2EC7"/>
    <w:rsid w:val="006C487D"/>
    <w:rsid w:val="006C5650"/>
    <w:rsid w:val="006C73EB"/>
    <w:rsid w:val="006D09D4"/>
    <w:rsid w:val="006D1C33"/>
    <w:rsid w:val="006D2EFD"/>
    <w:rsid w:val="006D30C6"/>
    <w:rsid w:val="006D6243"/>
    <w:rsid w:val="006D6C91"/>
    <w:rsid w:val="006D6D67"/>
    <w:rsid w:val="006D710B"/>
    <w:rsid w:val="006E17A1"/>
    <w:rsid w:val="006E1AA7"/>
    <w:rsid w:val="006E40B5"/>
    <w:rsid w:val="006E57CA"/>
    <w:rsid w:val="006E7137"/>
    <w:rsid w:val="006F0052"/>
    <w:rsid w:val="006F2EDF"/>
    <w:rsid w:val="006F4875"/>
    <w:rsid w:val="006F7666"/>
    <w:rsid w:val="006F7DC0"/>
    <w:rsid w:val="007016B5"/>
    <w:rsid w:val="00704C39"/>
    <w:rsid w:val="00711181"/>
    <w:rsid w:val="00711C42"/>
    <w:rsid w:val="00713153"/>
    <w:rsid w:val="00715666"/>
    <w:rsid w:val="0071636E"/>
    <w:rsid w:val="0071688C"/>
    <w:rsid w:val="00720305"/>
    <w:rsid w:val="0072101F"/>
    <w:rsid w:val="007227AE"/>
    <w:rsid w:val="00724BD0"/>
    <w:rsid w:val="00726F0C"/>
    <w:rsid w:val="00730557"/>
    <w:rsid w:val="00733979"/>
    <w:rsid w:val="00733ADD"/>
    <w:rsid w:val="00734A16"/>
    <w:rsid w:val="007418C9"/>
    <w:rsid w:val="00741B90"/>
    <w:rsid w:val="00741CDF"/>
    <w:rsid w:val="00742F57"/>
    <w:rsid w:val="00744BBA"/>
    <w:rsid w:val="00744DDE"/>
    <w:rsid w:val="0075211B"/>
    <w:rsid w:val="007521F8"/>
    <w:rsid w:val="007550E4"/>
    <w:rsid w:val="007561B1"/>
    <w:rsid w:val="007562D8"/>
    <w:rsid w:val="00756CBA"/>
    <w:rsid w:val="007573C6"/>
    <w:rsid w:val="00757514"/>
    <w:rsid w:val="007579AD"/>
    <w:rsid w:val="00757B9E"/>
    <w:rsid w:val="00761902"/>
    <w:rsid w:val="0076391F"/>
    <w:rsid w:val="00764DAF"/>
    <w:rsid w:val="0076656C"/>
    <w:rsid w:val="00767366"/>
    <w:rsid w:val="00767808"/>
    <w:rsid w:val="00776612"/>
    <w:rsid w:val="00780250"/>
    <w:rsid w:val="0078101B"/>
    <w:rsid w:val="007815AB"/>
    <w:rsid w:val="00782DE2"/>
    <w:rsid w:val="0078613B"/>
    <w:rsid w:val="00787138"/>
    <w:rsid w:val="00787CC8"/>
    <w:rsid w:val="007900EB"/>
    <w:rsid w:val="0079032F"/>
    <w:rsid w:val="00791500"/>
    <w:rsid w:val="0079209F"/>
    <w:rsid w:val="00794804"/>
    <w:rsid w:val="00795484"/>
    <w:rsid w:val="00797122"/>
    <w:rsid w:val="007976DB"/>
    <w:rsid w:val="007A20F7"/>
    <w:rsid w:val="007A503E"/>
    <w:rsid w:val="007A542E"/>
    <w:rsid w:val="007A7660"/>
    <w:rsid w:val="007B34C3"/>
    <w:rsid w:val="007B5AAC"/>
    <w:rsid w:val="007B731E"/>
    <w:rsid w:val="007C13F6"/>
    <w:rsid w:val="007C577A"/>
    <w:rsid w:val="007D0A39"/>
    <w:rsid w:val="007D12DD"/>
    <w:rsid w:val="007D1A47"/>
    <w:rsid w:val="007D1A65"/>
    <w:rsid w:val="007D1E43"/>
    <w:rsid w:val="007D278F"/>
    <w:rsid w:val="007D4618"/>
    <w:rsid w:val="007E226A"/>
    <w:rsid w:val="007E5211"/>
    <w:rsid w:val="007E6975"/>
    <w:rsid w:val="007E7E61"/>
    <w:rsid w:val="007F0236"/>
    <w:rsid w:val="007F04F3"/>
    <w:rsid w:val="007F0C8A"/>
    <w:rsid w:val="007F189D"/>
    <w:rsid w:val="007F2B37"/>
    <w:rsid w:val="007F2C99"/>
    <w:rsid w:val="007F389E"/>
    <w:rsid w:val="00802DC9"/>
    <w:rsid w:val="00803963"/>
    <w:rsid w:val="008045B8"/>
    <w:rsid w:val="00805EF6"/>
    <w:rsid w:val="008063B9"/>
    <w:rsid w:val="008100DA"/>
    <w:rsid w:val="00813E40"/>
    <w:rsid w:val="008148B3"/>
    <w:rsid w:val="0081687D"/>
    <w:rsid w:val="00821151"/>
    <w:rsid w:val="00822969"/>
    <w:rsid w:val="008255AA"/>
    <w:rsid w:val="008264D3"/>
    <w:rsid w:val="008312DD"/>
    <w:rsid w:val="00831503"/>
    <w:rsid w:val="00834E1D"/>
    <w:rsid w:val="00835B9B"/>
    <w:rsid w:val="008377E3"/>
    <w:rsid w:val="00841BC1"/>
    <w:rsid w:val="00847FB5"/>
    <w:rsid w:val="008502FB"/>
    <w:rsid w:val="00852226"/>
    <w:rsid w:val="00854566"/>
    <w:rsid w:val="00854BBD"/>
    <w:rsid w:val="00857C93"/>
    <w:rsid w:val="0086143D"/>
    <w:rsid w:val="00862C64"/>
    <w:rsid w:val="00864617"/>
    <w:rsid w:val="008648F4"/>
    <w:rsid w:val="0086590B"/>
    <w:rsid w:val="00867179"/>
    <w:rsid w:val="0087017F"/>
    <w:rsid w:val="00870420"/>
    <w:rsid w:val="008704DF"/>
    <w:rsid w:val="008708E6"/>
    <w:rsid w:val="0087149B"/>
    <w:rsid w:val="008722B1"/>
    <w:rsid w:val="008754FE"/>
    <w:rsid w:val="00875677"/>
    <w:rsid w:val="00875A02"/>
    <w:rsid w:val="00875D9E"/>
    <w:rsid w:val="00876998"/>
    <w:rsid w:val="008803DD"/>
    <w:rsid w:val="008812DE"/>
    <w:rsid w:val="00881DDB"/>
    <w:rsid w:val="00882023"/>
    <w:rsid w:val="008822F9"/>
    <w:rsid w:val="0088271C"/>
    <w:rsid w:val="00884C18"/>
    <w:rsid w:val="00884DBA"/>
    <w:rsid w:val="00886041"/>
    <w:rsid w:val="0088633A"/>
    <w:rsid w:val="0088685D"/>
    <w:rsid w:val="00886F64"/>
    <w:rsid w:val="008926F1"/>
    <w:rsid w:val="00896B44"/>
    <w:rsid w:val="00897B45"/>
    <w:rsid w:val="008A1016"/>
    <w:rsid w:val="008A262A"/>
    <w:rsid w:val="008A7711"/>
    <w:rsid w:val="008B34C5"/>
    <w:rsid w:val="008B7B50"/>
    <w:rsid w:val="008C0B79"/>
    <w:rsid w:val="008C3DDE"/>
    <w:rsid w:val="008C4EF6"/>
    <w:rsid w:val="008C4FFD"/>
    <w:rsid w:val="008C64A5"/>
    <w:rsid w:val="008D26AD"/>
    <w:rsid w:val="008D34F7"/>
    <w:rsid w:val="008D5C9B"/>
    <w:rsid w:val="008E57FE"/>
    <w:rsid w:val="008F355D"/>
    <w:rsid w:val="008F562B"/>
    <w:rsid w:val="008F66E7"/>
    <w:rsid w:val="00903E85"/>
    <w:rsid w:val="00903EED"/>
    <w:rsid w:val="00911A3F"/>
    <w:rsid w:val="00911D1F"/>
    <w:rsid w:val="009164F7"/>
    <w:rsid w:val="00917E53"/>
    <w:rsid w:val="00920051"/>
    <w:rsid w:val="0092067C"/>
    <w:rsid w:val="0092123A"/>
    <w:rsid w:val="009238DA"/>
    <w:rsid w:val="00925BF0"/>
    <w:rsid w:val="00926606"/>
    <w:rsid w:val="00932762"/>
    <w:rsid w:val="009362A7"/>
    <w:rsid w:val="00941C8F"/>
    <w:rsid w:val="00944370"/>
    <w:rsid w:val="00946746"/>
    <w:rsid w:val="0094733C"/>
    <w:rsid w:val="009528E7"/>
    <w:rsid w:val="00954BCA"/>
    <w:rsid w:val="00956978"/>
    <w:rsid w:val="00961B3C"/>
    <w:rsid w:val="00961FAE"/>
    <w:rsid w:val="00967BA0"/>
    <w:rsid w:val="00967C25"/>
    <w:rsid w:val="0097038F"/>
    <w:rsid w:val="00970637"/>
    <w:rsid w:val="00971371"/>
    <w:rsid w:val="00972244"/>
    <w:rsid w:val="009736D4"/>
    <w:rsid w:val="0097420C"/>
    <w:rsid w:val="00974AFE"/>
    <w:rsid w:val="009758A6"/>
    <w:rsid w:val="00975990"/>
    <w:rsid w:val="0097734B"/>
    <w:rsid w:val="00977B31"/>
    <w:rsid w:val="0098520B"/>
    <w:rsid w:val="009905F1"/>
    <w:rsid w:val="0099089D"/>
    <w:rsid w:val="00990A1F"/>
    <w:rsid w:val="00992F1A"/>
    <w:rsid w:val="00997B17"/>
    <w:rsid w:val="009A3144"/>
    <w:rsid w:val="009A3464"/>
    <w:rsid w:val="009A5DD0"/>
    <w:rsid w:val="009A6594"/>
    <w:rsid w:val="009A7248"/>
    <w:rsid w:val="009B2735"/>
    <w:rsid w:val="009B3D76"/>
    <w:rsid w:val="009B4246"/>
    <w:rsid w:val="009B4833"/>
    <w:rsid w:val="009B5305"/>
    <w:rsid w:val="009B57A7"/>
    <w:rsid w:val="009B5A95"/>
    <w:rsid w:val="009C257E"/>
    <w:rsid w:val="009C27F4"/>
    <w:rsid w:val="009C3FB2"/>
    <w:rsid w:val="009C6F33"/>
    <w:rsid w:val="009D103D"/>
    <w:rsid w:val="009D2720"/>
    <w:rsid w:val="009D7A8E"/>
    <w:rsid w:val="009E089E"/>
    <w:rsid w:val="009E202C"/>
    <w:rsid w:val="009E2177"/>
    <w:rsid w:val="009E43AC"/>
    <w:rsid w:val="009E527B"/>
    <w:rsid w:val="009E60BF"/>
    <w:rsid w:val="009E7410"/>
    <w:rsid w:val="009E7516"/>
    <w:rsid w:val="009F1FF8"/>
    <w:rsid w:val="009F36E0"/>
    <w:rsid w:val="009F4CD6"/>
    <w:rsid w:val="009F6BEA"/>
    <w:rsid w:val="00A00EDC"/>
    <w:rsid w:val="00A014A7"/>
    <w:rsid w:val="00A02A00"/>
    <w:rsid w:val="00A073C4"/>
    <w:rsid w:val="00A075D2"/>
    <w:rsid w:val="00A1135F"/>
    <w:rsid w:val="00A1382C"/>
    <w:rsid w:val="00A205AD"/>
    <w:rsid w:val="00A20F0B"/>
    <w:rsid w:val="00A2106F"/>
    <w:rsid w:val="00A2214A"/>
    <w:rsid w:val="00A23014"/>
    <w:rsid w:val="00A241BA"/>
    <w:rsid w:val="00A25A37"/>
    <w:rsid w:val="00A2751F"/>
    <w:rsid w:val="00A302CB"/>
    <w:rsid w:val="00A310C6"/>
    <w:rsid w:val="00A3280E"/>
    <w:rsid w:val="00A3591F"/>
    <w:rsid w:val="00A36E85"/>
    <w:rsid w:val="00A36EB9"/>
    <w:rsid w:val="00A37BC3"/>
    <w:rsid w:val="00A4062E"/>
    <w:rsid w:val="00A40E4C"/>
    <w:rsid w:val="00A41837"/>
    <w:rsid w:val="00A427A9"/>
    <w:rsid w:val="00A441FC"/>
    <w:rsid w:val="00A46C6B"/>
    <w:rsid w:val="00A474F7"/>
    <w:rsid w:val="00A51A4A"/>
    <w:rsid w:val="00A51A95"/>
    <w:rsid w:val="00A52ABB"/>
    <w:rsid w:val="00A61F40"/>
    <w:rsid w:val="00A66C44"/>
    <w:rsid w:val="00A70879"/>
    <w:rsid w:val="00A70E7F"/>
    <w:rsid w:val="00A714BF"/>
    <w:rsid w:val="00A71A21"/>
    <w:rsid w:val="00A72279"/>
    <w:rsid w:val="00A72A31"/>
    <w:rsid w:val="00A75DEB"/>
    <w:rsid w:val="00A76906"/>
    <w:rsid w:val="00A80CED"/>
    <w:rsid w:val="00A8429C"/>
    <w:rsid w:val="00A85D35"/>
    <w:rsid w:val="00A86104"/>
    <w:rsid w:val="00A903B8"/>
    <w:rsid w:val="00A9073E"/>
    <w:rsid w:val="00A91095"/>
    <w:rsid w:val="00A91970"/>
    <w:rsid w:val="00A91E96"/>
    <w:rsid w:val="00A925E2"/>
    <w:rsid w:val="00A962FF"/>
    <w:rsid w:val="00A963D4"/>
    <w:rsid w:val="00A97CB1"/>
    <w:rsid w:val="00AA01A2"/>
    <w:rsid w:val="00AA0AC8"/>
    <w:rsid w:val="00AA11B8"/>
    <w:rsid w:val="00AA42E4"/>
    <w:rsid w:val="00AA4432"/>
    <w:rsid w:val="00AB0B3C"/>
    <w:rsid w:val="00AB1375"/>
    <w:rsid w:val="00AB32FD"/>
    <w:rsid w:val="00AB3E54"/>
    <w:rsid w:val="00AB5053"/>
    <w:rsid w:val="00AB6877"/>
    <w:rsid w:val="00AB7897"/>
    <w:rsid w:val="00AC62D4"/>
    <w:rsid w:val="00AC6515"/>
    <w:rsid w:val="00AD01A5"/>
    <w:rsid w:val="00AD4377"/>
    <w:rsid w:val="00AD61AA"/>
    <w:rsid w:val="00AD7ED6"/>
    <w:rsid w:val="00AE046C"/>
    <w:rsid w:val="00AE1444"/>
    <w:rsid w:val="00AE3FE1"/>
    <w:rsid w:val="00AE4607"/>
    <w:rsid w:val="00AF08F7"/>
    <w:rsid w:val="00AF1C1F"/>
    <w:rsid w:val="00AF1C24"/>
    <w:rsid w:val="00AF4198"/>
    <w:rsid w:val="00AF46FC"/>
    <w:rsid w:val="00AF7685"/>
    <w:rsid w:val="00B00FC0"/>
    <w:rsid w:val="00B02A46"/>
    <w:rsid w:val="00B05FF7"/>
    <w:rsid w:val="00B0657E"/>
    <w:rsid w:val="00B07850"/>
    <w:rsid w:val="00B136FA"/>
    <w:rsid w:val="00B138EE"/>
    <w:rsid w:val="00B1424C"/>
    <w:rsid w:val="00B17BD4"/>
    <w:rsid w:val="00B17FB2"/>
    <w:rsid w:val="00B23705"/>
    <w:rsid w:val="00B264BD"/>
    <w:rsid w:val="00B27B7C"/>
    <w:rsid w:val="00B27F96"/>
    <w:rsid w:val="00B3114C"/>
    <w:rsid w:val="00B311DA"/>
    <w:rsid w:val="00B315C1"/>
    <w:rsid w:val="00B3317B"/>
    <w:rsid w:val="00B33779"/>
    <w:rsid w:val="00B36820"/>
    <w:rsid w:val="00B374CF"/>
    <w:rsid w:val="00B377D0"/>
    <w:rsid w:val="00B37977"/>
    <w:rsid w:val="00B37FED"/>
    <w:rsid w:val="00B4029B"/>
    <w:rsid w:val="00B405C1"/>
    <w:rsid w:val="00B410B9"/>
    <w:rsid w:val="00B44E5E"/>
    <w:rsid w:val="00B44E63"/>
    <w:rsid w:val="00B471A2"/>
    <w:rsid w:val="00B479C1"/>
    <w:rsid w:val="00B52274"/>
    <w:rsid w:val="00B52CC9"/>
    <w:rsid w:val="00B53FC2"/>
    <w:rsid w:val="00B54534"/>
    <w:rsid w:val="00B56B40"/>
    <w:rsid w:val="00B56FC0"/>
    <w:rsid w:val="00B57FF3"/>
    <w:rsid w:val="00B61F4A"/>
    <w:rsid w:val="00B62789"/>
    <w:rsid w:val="00B62D32"/>
    <w:rsid w:val="00B63C93"/>
    <w:rsid w:val="00B725AE"/>
    <w:rsid w:val="00B757A2"/>
    <w:rsid w:val="00B76C01"/>
    <w:rsid w:val="00B76D8B"/>
    <w:rsid w:val="00B8111D"/>
    <w:rsid w:val="00B86B79"/>
    <w:rsid w:val="00B909E6"/>
    <w:rsid w:val="00B941E3"/>
    <w:rsid w:val="00B944DC"/>
    <w:rsid w:val="00B96134"/>
    <w:rsid w:val="00B97EBC"/>
    <w:rsid w:val="00BA0E53"/>
    <w:rsid w:val="00BA0F05"/>
    <w:rsid w:val="00BA165D"/>
    <w:rsid w:val="00BA4435"/>
    <w:rsid w:val="00BA4D79"/>
    <w:rsid w:val="00BA798E"/>
    <w:rsid w:val="00BA7A28"/>
    <w:rsid w:val="00BB11DD"/>
    <w:rsid w:val="00BB28E6"/>
    <w:rsid w:val="00BB3125"/>
    <w:rsid w:val="00BB505C"/>
    <w:rsid w:val="00BB561B"/>
    <w:rsid w:val="00BB5E0D"/>
    <w:rsid w:val="00BB6C20"/>
    <w:rsid w:val="00BB7A47"/>
    <w:rsid w:val="00BC014F"/>
    <w:rsid w:val="00BC0961"/>
    <w:rsid w:val="00BC1548"/>
    <w:rsid w:val="00BC3AFB"/>
    <w:rsid w:val="00BC3CBC"/>
    <w:rsid w:val="00BC58FF"/>
    <w:rsid w:val="00BC619C"/>
    <w:rsid w:val="00BC6A4C"/>
    <w:rsid w:val="00BC7167"/>
    <w:rsid w:val="00BC75B8"/>
    <w:rsid w:val="00BD17B1"/>
    <w:rsid w:val="00BD246E"/>
    <w:rsid w:val="00BD38C6"/>
    <w:rsid w:val="00BD3EBA"/>
    <w:rsid w:val="00BD416F"/>
    <w:rsid w:val="00BD54DF"/>
    <w:rsid w:val="00BD6C9A"/>
    <w:rsid w:val="00BD792D"/>
    <w:rsid w:val="00BE0132"/>
    <w:rsid w:val="00BE176E"/>
    <w:rsid w:val="00BE37B2"/>
    <w:rsid w:val="00BE45C7"/>
    <w:rsid w:val="00BE5EA5"/>
    <w:rsid w:val="00BE6719"/>
    <w:rsid w:val="00BE7E3A"/>
    <w:rsid w:val="00BF3455"/>
    <w:rsid w:val="00BF4130"/>
    <w:rsid w:val="00BF4EF2"/>
    <w:rsid w:val="00BF617A"/>
    <w:rsid w:val="00BF6FDA"/>
    <w:rsid w:val="00BF7E7B"/>
    <w:rsid w:val="00C03B19"/>
    <w:rsid w:val="00C04B6B"/>
    <w:rsid w:val="00C06EE4"/>
    <w:rsid w:val="00C06EEA"/>
    <w:rsid w:val="00C07621"/>
    <w:rsid w:val="00C11EAE"/>
    <w:rsid w:val="00C1362F"/>
    <w:rsid w:val="00C16B0C"/>
    <w:rsid w:val="00C2362A"/>
    <w:rsid w:val="00C23E4B"/>
    <w:rsid w:val="00C262AC"/>
    <w:rsid w:val="00C339F1"/>
    <w:rsid w:val="00C349F2"/>
    <w:rsid w:val="00C356DD"/>
    <w:rsid w:val="00C36F07"/>
    <w:rsid w:val="00C4069C"/>
    <w:rsid w:val="00C41227"/>
    <w:rsid w:val="00C45272"/>
    <w:rsid w:val="00C4724B"/>
    <w:rsid w:val="00C473CC"/>
    <w:rsid w:val="00C518AC"/>
    <w:rsid w:val="00C53833"/>
    <w:rsid w:val="00C6099A"/>
    <w:rsid w:val="00C63E36"/>
    <w:rsid w:val="00C6487C"/>
    <w:rsid w:val="00C65C8C"/>
    <w:rsid w:val="00C66E94"/>
    <w:rsid w:val="00C67531"/>
    <w:rsid w:val="00C70463"/>
    <w:rsid w:val="00C71953"/>
    <w:rsid w:val="00C72577"/>
    <w:rsid w:val="00C7443E"/>
    <w:rsid w:val="00C7463B"/>
    <w:rsid w:val="00C7481C"/>
    <w:rsid w:val="00C75D62"/>
    <w:rsid w:val="00C75EA9"/>
    <w:rsid w:val="00C76B58"/>
    <w:rsid w:val="00C80618"/>
    <w:rsid w:val="00C81519"/>
    <w:rsid w:val="00C82D3A"/>
    <w:rsid w:val="00C839CD"/>
    <w:rsid w:val="00C853CE"/>
    <w:rsid w:val="00C85F2D"/>
    <w:rsid w:val="00C87D78"/>
    <w:rsid w:val="00C916A7"/>
    <w:rsid w:val="00C92A10"/>
    <w:rsid w:val="00C92C00"/>
    <w:rsid w:val="00C961C7"/>
    <w:rsid w:val="00C969B5"/>
    <w:rsid w:val="00CA010E"/>
    <w:rsid w:val="00CA082C"/>
    <w:rsid w:val="00CA3664"/>
    <w:rsid w:val="00CA3CD3"/>
    <w:rsid w:val="00CA43A0"/>
    <w:rsid w:val="00CA6951"/>
    <w:rsid w:val="00CA7326"/>
    <w:rsid w:val="00CB0C95"/>
    <w:rsid w:val="00CB2BD7"/>
    <w:rsid w:val="00CB3482"/>
    <w:rsid w:val="00CB384A"/>
    <w:rsid w:val="00CB511E"/>
    <w:rsid w:val="00CB6970"/>
    <w:rsid w:val="00CB70DB"/>
    <w:rsid w:val="00CC1C6D"/>
    <w:rsid w:val="00CC2A12"/>
    <w:rsid w:val="00CC2CE7"/>
    <w:rsid w:val="00CC3EB7"/>
    <w:rsid w:val="00CD42F6"/>
    <w:rsid w:val="00CD5992"/>
    <w:rsid w:val="00CD66E0"/>
    <w:rsid w:val="00CD738F"/>
    <w:rsid w:val="00CE0CF1"/>
    <w:rsid w:val="00CE404D"/>
    <w:rsid w:val="00CE5DE5"/>
    <w:rsid w:val="00CF0526"/>
    <w:rsid w:val="00CF1D3E"/>
    <w:rsid w:val="00CF222F"/>
    <w:rsid w:val="00CF3BEB"/>
    <w:rsid w:val="00CF4F1E"/>
    <w:rsid w:val="00CF61AC"/>
    <w:rsid w:val="00CF7EBD"/>
    <w:rsid w:val="00D0054E"/>
    <w:rsid w:val="00D00A0A"/>
    <w:rsid w:val="00D0394D"/>
    <w:rsid w:val="00D0427E"/>
    <w:rsid w:val="00D047D2"/>
    <w:rsid w:val="00D0496A"/>
    <w:rsid w:val="00D04CD6"/>
    <w:rsid w:val="00D116A4"/>
    <w:rsid w:val="00D126A5"/>
    <w:rsid w:val="00D21F04"/>
    <w:rsid w:val="00D23A30"/>
    <w:rsid w:val="00D26EFD"/>
    <w:rsid w:val="00D275F2"/>
    <w:rsid w:val="00D27DC7"/>
    <w:rsid w:val="00D3009C"/>
    <w:rsid w:val="00D31311"/>
    <w:rsid w:val="00D344E6"/>
    <w:rsid w:val="00D36690"/>
    <w:rsid w:val="00D37474"/>
    <w:rsid w:val="00D42FAF"/>
    <w:rsid w:val="00D45F01"/>
    <w:rsid w:val="00D46795"/>
    <w:rsid w:val="00D46A7E"/>
    <w:rsid w:val="00D51B56"/>
    <w:rsid w:val="00D52754"/>
    <w:rsid w:val="00D5401F"/>
    <w:rsid w:val="00D57480"/>
    <w:rsid w:val="00D6004B"/>
    <w:rsid w:val="00D62905"/>
    <w:rsid w:val="00D62A0B"/>
    <w:rsid w:val="00D63BC9"/>
    <w:rsid w:val="00D67BD6"/>
    <w:rsid w:val="00D727AE"/>
    <w:rsid w:val="00D7391D"/>
    <w:rsid w:val="00D747D0"/>
    <w:rsid w:val="00D74822"/>
    <w:rsid w:val="00D8158A"/>
    <w:rsid w:val="00D82A84"/>
    <w:rsid w:val="00D8444A"/>
    <w:rsid w:val="00D86303"/>
    <w:rsid w:val="00D86A25"/>
    <w:rsid w:val="00D87277"/>
    <w:rsid w:val="00D904AC"/>
    <w:rsid w:val="00D92239"/>
    <w:rsid w:val="00D93233"/>
    <w:rsid w:val="00D93999"/>
    <w:rsid w:val="00D94654"/>
    <w:rsid w:val="00D9700F"/>
    <w:rsid w:val="00DA0AEF"/>
    <w:rsid w:val="00DA2D97"/>
    <w:rsid w:val="00DA4F77"/>
    <w:rsid w:val="00DA5A40"/>
    <w:rsid w:val="00DA6761"/>
    <w:rsid w:val="00DB1AFE"/>
    <w:rsid w:val="00DC2AB0"/>
    <w:rsid w:val="00DC3C5F"/>
    <w:rsid w:val="00DC6403"/>
    <w:rsid w:val="00DC7BFB"/>
    <w:rsid w:val="00DD1BA8"/>
    <w:rsid w:val="00DD65D5"/>
    <w:rsid w:val="00DD6C50"/>
    <w:rsid w:val="00DE06A9"/>
    <w:rsid w:val="00DE09FC"/>
    <w:rsid w:val="00DE0A98"/>
    <w:rsid w:val="00DE1677"/>
    <w:rsid w:val="00DE268A"/>
    <w:rsid w:val="00DE2E77"/>
    <w:rsid w:val="00DE3196"/>
    <w:rsid w:val="00DE34DB"/>
    <w:rsid w:val="00DE4843"/>
    <w:rsid w:val="00DE5432"/>
    <w:rsid w:val="00DE5805"/>
    <w:rsid w:val="00DE5B3C"/>
    <w:rsid w:val="00DE7354"/>
    <w:rsid w:val="00DF0570"/>
    <w:rsid w:val="00DF2A63"/>
    <w:rsid w:val="00DF33DE"/>
    <w:rsid w:val="00DF6CB8"/>
    <w:rsid w:val="00DF7163"/>
    <w:rsid w:val="00DF717F"/>
    <w:rsid w:val="00DF7951"/>
    <w:rsid w:val="00DF7F99"/>
    <w:rsid w:val="00E01636"/>
    <w:rsid w:val="00E03925"/>
    <w:rsid w:val="00E04815"/>
    <w:rsid w:val="00E05D4B"/>
    <w:rsid w:val="00E065E9"/>
    <w:rsid w:val="00E1088D"/>
    <w:rsid w:val="00E1142A"/>
    <w:rsid w:val="00E12F48"/>
    <w:rsid w:val="00E159DE"/>
    <w:rsid w:val="00E166DB"/>
    <w:rsid w:val="00E1737F"/>
    <w:rsid w:val="00E2231E"/>
    <w:rsid w:val="00E232D9"/>
    <w:rsid w:val="00E23973"/>
    <w:rsid w:val="00E243A2"/>
    <w:rsid w:val="00E249BA"/>
    <w:rsid w:val="00E25C5D"/>
    <w:rsid w:val="00E26BB5"/>
    <w:rsid w:val="00E31009"/>
    <w:rsid w:val="00E319CE"/>
    <w:rsid w:val="00E32592"/>
    <w:rsid w:val="00E34868"/>
    <w:rsid w:val="00E35309"/>
    <w:rsid w:val="00E3594F"/>
    <w:rsid w:val="00E3723B"/>
    <w:rsid w:val="00E37C19"/>
    <w:rsid w:val="00E40CF9"/>
    <w:rsid w:val="00E44EFD"/>
    <w:rsid w:val="00E4786B"/>
    <w:rsid w:val="00E47DCC"/>
    <w:rsid w:val="00E520C2"/>
    <w:rsid w:val="00E52886"/>
    <w:rsid w:val="00E52E61"/>
    <w:rsid w:val="00E5676E"/>
    <w:rsid w:val="00E56E04"/>
    <w:rsid w:val="00E6140F"/>
    <w:rsid w:val="00E625C2"/>
    <w:rsid w:val="00E6497B"/>
    <w:rsid w:val="00E6734A"/>
    <w:rsid w:val="00E677DB"/>
    <w:rsid w:val="00E70845"/>
    <w:rsid w:val="00E71F4F"/>
    <w:rsid w:val="00E74085"/>
    <w:rsid w:val="00E77984"/>
    <w:rsid w:val="00E80CD5"/>
    <w:rsid w:val="00E81FCF"/>
    <w:rsid w:val="00E82929"/>
    <w:rsid w:val="00E833DD"/>
    <w:rsid w:val="00E847A2"/>
    <w:rsid w:val="00E85961"/>
    <w:rsid w:val="00E86BBA"/>
    <w:rsid w:val="00E87E7E"/>
    <w:rsid w:val="00E90198"/>
    <w:rsid w:val="00E9327A"/>
    <w:rsid w:val="00E964D4"/>
    <w:rsid w:val="00EA3E58"/>
    <w:rsid w:val="00EA446D"/>
    <w:rsid w:val="00EA44E1"/>
    <w:rsid w:val="00EA7D0B"/>
    <w:rsid w:val="00EB454E"/>
    <w:rsid w:val="00EB505C"/>
    <w:rsid w:val="00EC37C0"/>
    <w:rsid w:val="00EC6DFC"/>
    <w:rsid w:val="00ED1264"/>
    <w:rsid w:val="00ED42C4"/>
    <w:rsid w:val="00ED5111"/>
    <w:rsid w:val="00EE5048"/>
    <w:rsid w:val="00EE532F"/>
    <w:rsid w:val="00EF1BCC"/>
    <w:rsid w:val="00EF2454"/>
    <w:rsid w:val="00EF365A"/>
    <w:rsid w:val="00EF5D9B"/>
    <w:rsid w:val="00F01C07"/>
    <w:rsid w:val="00F01C31"/>
    <w:rsid w:val="00F0207C"/>
    <w:rsid w:val="00F03A8D"/>
    <w:rsid w:val="00F03F04"/>
    <w:rsid w:val="00F05D56"/>
    <w:rsid w:val="00F06AD6"/>
    <w:rsid w:val="00F102D5"/>
    <w:rsid w:val="00F11259"/>
    <w:rsid w:val="00F11A5C"/>
    <w:rsid w:val="00F1416B"/>
    <w:rsid w:val="00F16E40"/>
    <w:rsid w:val="00F2015D"/>
    <w:rsid w:val="00F22FC4"/>
    <w:rsid w:val="00F24199"/>
    <w:rsid w:val="00F25D5D"/>
    <w:rsid w:val="00F26221"/>
    <w:rsid w:val="00F26FC2"/>
    <w:rsid w:val="00F311AB"/>
    <w:rsid w:val="00F3122D"/>
    <w:rsid w:val="00F323BA"/>
    <w:rsid w:val="00F32937"/>
    <w:rsid w:val="00F33380"/>
    <w:rsid w:val="00F35ECC"/>
    <w:rsid w:val="00F41881"/>
    <w:rsid w:val="00F4276F"/>
    <w:rsid w:val="00F43BEE"/>
    <w:rsid w:val="00F51C06"/>
    <w:rsid w:val="00F527B5"/>
    <w:rsid w:val="00F53B7A"/>
    <w:rsid w:val="00F53EB0"/>
    <w:rsid w:val="00F60643"/>
    <w:rsid w:val="00F61429"/>
    <w:rsid w:val="00F65DE4"/>
    <w:rsid w:val="00F65EAF"/>
    <w:rsid w:val="00F70A09"/>
    <w:rsid w:val="00F7143D"/>
    <w:rsid w:val="00F72B1E"/>
    <w:rsid w:val="00F741FC"/>
    <w:rsid w:val="00F75EAB"/>
    <w:rsid w:val="00F76B03"/>
    <w:rsid w:val="00F771BE"/>
    <w:rsid w:val="00F81432"/>
    <w:rsid w:val="00F84C16"/>
    <w:rsid w:val="00F85197"/>
    <w:rsid w:val="00F920E0"/>
    <w:rsid w:val="00F943A0"/>
    <w:rsid w:val="00F95BCC"/>
    <w:rsid w:val="00F970E0"/>
    <w:rsid w:val="00FA1665"/>
    <w:rsid w:val="00FA202F"/>
    <w:rsid w:val="00FA3AD4"/>
    <w:rsid w:val="00FA515F"/>
    <w:rsid w:val="00FB0722"/>
    <w:rsid w:val="00FB0976"/>
    <w:rsid w:val="00FB26DF"/>
    <w:rsid w:val="00FB56E4"/>
    <w:rsid w:val="00FB5C54"/>
    <w:rsid w:val="00FC3512"/>
    <w:rsid w:val="00FC3E42"/>
    <w:rsid w:val="00FC6022"/>
    <w:rsid w:val="00FC6A26"/>
    <w:rsid w:val="00FC755E"/>
    <w:rsid w:val="00FD1A1D"/>
    <w:rsid w:val="00FD28FF"/>
    <w:rsid w:val="00FD7F6C"/>
    <w:rsid w:val="00FE0C63"/>
    <w:rsid w:val="00FE12C6"/>
    <w:rsid w:val="00FE286D"/>
    <w:rsid w:val="00FE2C54"/>
    <w:rsid w:val="00FE40CD"/>
    <w:rsid w:val="00FF030A"/>
    <w:rsid w:val="00FF2AFE"/>
    <w:rsid w:val="00FF397C"/>
    <w:rsid w:val="00FF59B6"/>
    <w:rsid w:val="00FF792F"/>
    <w:rsid w:val="01183646"/>
    <w:rsid w:val="0120536C"/>
    <w:rsid w:val="01253372"/>
    <w:rsid w:val="012F4E25"/>
    <w:rsid w:val="01323881"/>
    <w:rsid w:val="013B1C1C"/>
    <w:rsid w:val="014721F5"/>
    <w:rsid w:val="015A3B55"/>
    <w:rsid w:val="01B778BD"/>
    <w:rsid w:val="01BC6619"/>
    <w:rsid w:val="01E47F4C"/>
    <w:rsid w:val="01E763F8"/>
    <w:rsid w:val="01EC3E90"/>
    <w:rsid w:val="02037CFF"/>
    <w:rsid w:val="0209134C"/>
    <w:rsid w:val="021601E0"/>
    <w:rsid w:val="022D4FE8"/>
    <w:rsid w:val="02351335"/>
    <w:rsid w:val="02504B3F"/>
    <w:rsid w:val="02551AC2"/>
    <w:rsid w:val="025B5041"/>
    <w:rsid w:val="02631826"/>
    <w:rsid w:val="02747981"/>
    <w:rsid w:val="0293535A"/>
    <w:rsid w:val="02A85A02"/>
    <w:rsid w:val="02B12EE8"/>
    <w:rsid w:val="02C27347"/>
    <w:rsid w:val="02D13675"/>
    <w:rsid w:val="02F67614"/>
    <w:rsid w:val="02FB500D"/>
    <w:rsid w:val="03000022"/>
    <w:rsid w:val="03134C69"/>
    <w:rsid w:val="032C54E5"/>
    <w:rsid w:val="03573FDD"/>
    <w:rsid w:val="036767F7"/>
    <w:rsid w:val="036B5C21"/>
    <w:rsid w:val="03B01D24"/>
    <w:rsid w:val="03C54999"/>
    <w:rsid w:val="03C721F0"/>
    <w:rsid w:val="03CD122E"/>
    <w:rsid w:val="03D3502E"/>
    <w:rsid w:val="03ED6BAC"/>
    <w:rsid w:val="03EE1094"/>
    <w:rsid w:val="03FB2EAA"/>
    <w:rsid w:val="04323B94"/>
    <w:rsid w:val="043A177E"/>
    <w:rsid w:val="045C1796"/>
    <w:rsid w:val="046C12B8"/>
    <w:rsid w:val="04864C88"/>
    <w:rsid w:val="04B2190F"/>
    <w:rsid w:val="04B7280B"/>
    <w:rsid w:val="04C8511C"/>
    <w:rsid w:val="04E13A54"/>
    <w:rsid w:val="04F70181"/>
    <w:rsid w:val="051A3008"/>
    <w:rsid w:val="05320427"/>
    <w:rsid w:val="05350F80"/>
    <w:rsid w:val="053F642A"/>
    <w:rsid w:val="058C1D27"/>
    <w:rsid w:val="05FC6DEA"/>
    <w:rsid w:val="05FE61C4"/>
    <w:rsid w:val="060C2C24"/>
    <w:rsid w:val="0634147B"/>
    <w:rsid w:val="06505AD9"/>
    <w:rsid w:val="067D0C91"/>
    <w:rsid w:val="06990101"/>
    <w:rsid w:val="06AC2C43"/>
    <w:rsid w:val="06BB419F"/>
    <w:rsid w:val="06C510C8"/>
    <w:rsid w:val="06E27285"/>
    <w:rsid w:val="06F66606"/>
    <w:rsid w:val="06FC0D38"/>
    <w:rsid w:val="07033FDE"/>
    <w:rsid w:val="07121477"/>
    <w:rsid w:val="07133C4B"/>
    <w:rsid w:val="0717553F"/>
    <w:rsid w:val="072125D9"/>
    <w:rsid w:val="074E14F9"/>
    <w:rsid w:val="075851CD"/>
    <w:rsid w:val="076F6596"/>
    <w:rsid w:val="07731B53"/>
    <w:rsid w:val="07873133"/>
    <w:rsid w:val="079B71E6"/>
    <w:rsid w:val="07AB04D1"/>
    <w:rsid w:val="081A221A"/>
    <w:rsid w:val="083B5CD4"/>
    <w:rsid w:val="08665C49"/>
    <w:rsid w:val="08A431BE"/>
    <w:rsid w:val="08AD1795"/>
    <w:rsid w:val="08BE59B3"/>
    <w:rsid w:val="08C60418"/>
    <w:rsid w:val="08E77F1B"/>
    <w:rsid w:val="090E139C"/>
    <w:rsid w:val="09165665"/>
    <w:rsid w:val="09280DA2"/>
    <w:rsid w:val="09887F3A"/>
    <w:rsid w:val="0997408E"/>
    <w:rsid w:val="09A432A2"/>
    <w:rsid w:val="09CF235C"/>
    <w:rsid w:val="09D26D8F"/>
    <w:rsid w:val="09D5091A"/>
    <w:rsid w:val="09EC5274"/>
    <w:rsid w:val="09ED75FA"/>
    <w:rsid w:val="09F475DC"/>
    <w:rsid w:val="0A004910"/>
    <w:rsid w:val="0A131E33"/>
    <w:rsid w:val="0A1D5398"/>
    <w:rsid w:val="0A2D5046"/>
    <w:rsid w:val="0A473759"/>
    <w:rsid w:val="0A4B1877"/>
    <w:rsid w:val="0A5E0F59"/>
    <w:rsid w:val="0A717B62"/>
    <w:rsid w:val="0A7869EB"/>
    <w:rsid w:val="0A8B6D96"/>
    <w:rsid w:val="0A9C413B"/>
    <w:rsid w:val="0AAB7D08"/>
    <w:rsid w:val="0AB57505"/>
    <w:rsid w:val="0AC1792D"/>
    <w:rsid w:val="0AD945C2"/>
    <w:rsid w:val="0AF64B66"/>
    <w:rsid w:val="0AF6531E"/>
    <w:rsid w:val="0B065F1C"/>
    <w:rsid w:val="0B074FB8"/>
    <w:rsid w:val="0B0E044C"/>
    <w:rsid w:val="0B1C0E41"/>
    <w:rsid w:val="0B407B92"/>
    <w:rsid w:val="0B4534E4"/>
    <w:rsid w:val="0B472D11"/>
    <w:rsid w:val="0B6144D6"/>
    <w:rsid w:val="0B65095A"/>
    <w:rsid w:val="0B83731D"/>
    <w:rsid w:val="0B8976CD"/>
    <w:rsid w:val="0B9A64F8"/>
    <w:rsid w:val="0C0B13B7"/>
    <w:rsid w:val="0C1C6534"/>
    <w:rsid w:val="0C4A6383"/>
    <w:rsid w:val="0C504395"/>
    <w:rsid w:val="0C7F44E7"/>
    <w:rsid w:val="0C861A75"/>
    <w:rsid w:val="0C9175DC"/>
    <w:rsid w:val="0C9F4A71"/>
    <w:rsid w:val="0CA313A7"/>
    <w:rsid w:val="0CC848DB"/>
    <w:rsid w:val="0CDA1990"/>
    <w:rsid w:val="0CE06855"/>
    <w:rsid w:val="0CEC5DBF"/>
    <w:rsid w:val="0D0E115E"/>
    <w:rsid w:val="0D437BD7"/>
    <w:rsid w:val="0D5F4D68"/>
    <w:rsid w:val="0DA366C3"/>
    <w:rsid w:val="0DAA53D6"/>
    <w:rsid w:val="0DBF3BED"/>
    <w:rsid w:val="0E341FF9"/>
    <w:rsid w:val="0E4014C2"/>
    <w:rsid w:val="0E5D1D25"/>
    <w:rsid w:val="0EA63509"/>
    <w:rsid w:val="0EB160DE"/>
    <w:rsid w:val="0EC175D5"/>
    <w:rsid w:val="0EE163D8"/>
    <w:rsid w:val="0EFC63E0"/>
    <w:rsid w:val="0F024CF3"/>
    <w:rsid w:val="0F2155DC"/>
    <w:rsid w:val="0F24183D"/>
    <w:rsid w:val="0F320AD5"/>
    <w:rsid w:val="0F343580"/>
    <w:rsid w:val="0F5A3093"/>
    <w:rsid w:val="0FA96587"/>
    <w:rsid w:val="0FB33A92"/>
    <w:rsid w:val="0FDD1C6C"/>
    <w:rsid w:val="0FE011E8"/>
    <w:rsid w:val="1003276D"/>
    <w:rsid w:val="100E2E3F"/>
    <w:rsid w:val="10117C38"/>
    <w:rsid w:val="1012414F"/>
    <w:rsid w:val="101702C9"/>
    <w:rsid w:val="102768B1"/>
    <w:rsid w:val="104B4D53"/>
    <w:rsid w:val="105A6BE5"/>
    <w:rsid w:val="10623697"/>
    <w:rsid w:val="10692007"/>
    <w:rsid w:val="10934EEA"/>
    <w:rsid w:val="10B86F3B"/>
    <w:rsid w:val="10F361B3"/>
    <w:rsid w:val="111B32AC"/>
    <w:rsid w:val="11240BF0"/>
    <w:rsid w:val="113D5A24"/>
    <w:rsid w:val="11570766"/>
    <w:rsid w:val="117139B7"/>
    <w:rsid w:val="11741818"/>
    <w:rsid w:val="11A752CB"/>
    <w:rsid w:val="11B3447B"/>
    <w:rsid w:val="11E3491C"/>
    <w:rsid w:val="11FA033C"/>
    <w:rsid w:val="12067E9E"/>
    <w:rsid w:val="12241424"/>
    <w:rsid w:val="122B3102"/>
    <w:rsid w:val="123E0A77"/>
    <w:rsid w:val="123E361C"/>
    <w:rsid w:val="12405362"/>
    <w:rsid w:val="124A0B2E"/>
    <w:rsid w:val="124F1D88"/>
    <w:rsid w:val="128B1223"/>
    <w:rsid w:val="128F7F0A"/>
    <w:rsid w:val="12C8623A"/>
    <w:rsid w:val="12E86064"/>
    <w:rsid w:val="131503F8"/>
    <w:rsid w:val="13570888"/>
    <w:rsid w:val="13581385"/>
    <w:rsid w:val="137218B0"/>
    <w:rsid w:val="13757AB5"/>
    <w:rsid w:val="138A5FE6"/>
    <w:rsid w:val="13914026"/>
    <w:rsid w:val="13A02527"/>
    <w:rsid w:val="13A34E8D"/>
    <w:rsid w:val="13B3143D"/>
    <w:rsid w:val="13DA51D7"/>
    <w:rsid w:val="13DC2A5A"/>
    <w:rsid w:val="13FB2465"/>
    <w:rsid w:val="13FD55EF"/>
    <w:rsid w:val="14025795"/>
    <w:rsid w:val="14026E46"/>
    <w:rsid w:val="14071DEE"/>
    <w:rsid w:val="14177758"/>
    <w:rsid w:val="143133E6"/>
    <w:rsid w:val="14351CEE"/>
    <w:rsid w:val="146B0DEE"/>
    <w:rsid w:val="147F1F98"/>
    <w:rsid w:val="14804BB0"/>
    <w:rsid w:val="14AD6D45"/>
    <w:rsid w:val="14AF130E"/>
    <w:rsid w:val="14DA4AFF"/>
    <w:rsid w:val="14E839A0"/>
    <w:rsid w:val="151A0182"/>
    <w:rsid w:val="15204C96"/>
    <w:rsid w:val="1538040E"/>
    <w:rsid w:val="156D33AE"/>
    <w:rsid w:val="15985372"/>
    <w:rsid w:val="159E392C"/>
    <w:rsid w:val="15C82583"/>
    <w:rsid w:val="15E66196"/>
    <w:rsid w:val="15F61368"/>
    <w:rsid w:val="161364DF"/>
    <w:rsid w:val="16226C3B"/>
    <w:rsid w:val="164F469C"/>
    <w:rsid w:val="16571DC8"/>
    <w:rsid w:val="165E20EE"/>
    <w:rsid w:val="16804EFD"/>
    <w:rsid w:val="169268B2"/>
    <w:rsid w:val="1695479B"/>
    <w:rsid w:val="169E2CEC"/>
    <w:rsid w:val="16CA65C2"/>
    <w:rsid w:val="16E04C7C"/>
    <w:rsid w:val="17071502"/>
    <w:rsid w:val="17090BB0"/>
    <w:rsid w:val="170F26A3"/>
    <w:rsid w:val="17115314"/>
    <w:rsid w:val="173B31AD"/>
    <w:rsid w:val="174A16E8"/>
    <w:rsid w:val="174F79FC"/>
    <w:rsid w:val="175B2FC5"/>
    <w:rsid w:val="176302F9"/>
    <w:rsid w:val="177D0EFD"/>
    <w:rsid w:val="178F3981"/>
    <w:rsid w:val="1799681E"/>
    <w:rsid w:val="17C90AA4"/>
    <w:rsid w:val="17CF0964"/>
    <w:rsid w:val="17D65518"/>
    <w:rsid w:val="17D76FE5"/>
    <w:rsid w:val="17E14F00"/>
    <w:rsid w:val="17E81255"/>
    <w:rsid w:val="181B7231"/>
    <w:rsid w:val="18221906"/>
    <w:rsid w:val="18301889"/>
    <w:rsid w:val="18374B60"/>
    <w:rsid w:val="185D3CDA"/>
    <w:rsid w:val="188F2DCB"/>
    <w:rsid w:val="18986D05"/>
    <w:rsid w:val="189C4BEB"/>
    <w:rsid w:val="18BE6358"/>
    <w:rsid w:val="18C64F93"/>
    <w:rsid w:val="18CF0AF0"/>
    <w:rsid w:val="18D741FC"/>
    <w:rsid w:val="18E4557D"/>
    <w:rsid w:val="18E54373"/>
    <w:rsid w:val="18ED14A8"/>
    <w:rsid w:val="18ED2570"/>
    <w:rsid w:val="18F27EF9"/>
    <w:rsid w:val="1928798F"/>
    <w:rsid w:val="192A5997"/>
    <w:rsid w:val="194D3138"/>
    <w:rsid w:val="194D6990"/>
    <w:rsid w:val="195C6C7E"/>
    <w:rsid w:val="196255DB"/>
    <w:rsid w:val="197E58BE"/>
    <w:rsid w:val="19A02FBF"/>
    <w:rsid w:val="19A35324"/>
    <w:rsid w:val="19CA0B03"/>
    <w:rsid w:val="19D254FD"/>
    <w:rsid w:val="19D4321C"/>
    <w:rsid w:val="19DF0261"/>
    <w:rsid w:val="19DF509A"/>
    <w:rsid w:val="1A296F75"/>
    <w:rsid w:val="1A334CD1"/>
    <w:rsid w:val="1A454768"/>
    <w:rsid w:val="1A487918"/>
    <w:rsid w:val="1A5C5819"/>
    <w:rsid w:val="1A767624"/>
    <w:rsid w:val="1A852F47"/>
    <w:rsid w:val="1A945B3D"/>
    <w:rsid w:val="1A94728A"/>
    <w:rsid w:val="1A991EB8"/>
    <w:rsid w:val="1AA15211"/>
    <w:rsid w:val="1AC57CD1"/>
    <w:rsid w:val="1AE66180"/>
    <w:rsid w:val="1AEE5641"/>
    <w:rsid w:val="1AF35E0A"/>
    <w:rsid w:val="1B1865B7"/>
    <w:rsid w:val="1B1D05DB"/>
    <w:rsid w:val="1B1E5ABD"/>
    <w:rsid w:val="1B20508D"/>
    <w:rsid w:val="1B391F85"/>
    <w:rsid w:val="1B495FFE"/>
    <w:rsid w:val="1B685B30"/>
    <w:rsid w:val="1B7C5E2D"/>
    <w:rsid w:val="1B826A8E"/>
    <w:rsid w:val="1B856239"/>
    <w:rsid w:val="1B876A10"/>
    <w:rsid w:val="1B9653AA"/>
    <w:rsid w:val="1B9773CF"/>
    <w:rsid w:val="1BA45A25"/>
    <w:rsid w:val="1BBA0851"/>
    <w:rsid w:val="1BC731AF"/>
    <w:rsid w:val="1BCB0C52"/>
    <w:rsid w:val="1C784846"/>
    <w:rsid w:val="1C8B6986"/>
    <w:rsid w:val="1C926909"/>
    <w:rsid w:val="1C9A47BD"/>
    <w:rsid w:val="1CAD5A4A"/>
    <w:rsid w:val="1CC80C7B"/>
    <w:rsid w:val="1CF85A58"/>
    <w:rsid w:val="1D092879"/>
    <w:rsid w:val="1D1A1DA3"/>
    <w:rsid w:val="1D1A2D42"/>
    <w:rsid w:val="1D4003B9"/>
    <w:rsid w:val="1D526B34"/>
    <w:rsid w:val="1D60335A"/>
    <w:rsid w:val="1D8C1CFE"/>
    <w:rsid w:val="1D8E4603"/>
    <w:rsid w:val="1D931251"/>
    <w:rsid w:val="1D9C27B6"/>
    <w:rsid w:val="1DA309BA"/>
    <w:rsid w:val="1DA538EE"/>
    <w:rsid w:val="1DA766E2"/>
    <w:rsid w:val="1DB86BA2"/>
    <w:rsid w:val="1DC86577"/>
    <w:rsid w:val="1DD85973"/>
    <w:rsid w:val="1DF122C0"/>
    <w:rsid w:val="1E0D357B"/>
    <w:rsid w:val="1E170E52"/>
    <w:rsid w:val="1E18229A"/>
    <w:rsid w:val="1E190E05"/>
    <w:rsid w:val="1E21609F"/>
    <w:rsid w:val="1E313FED"/>
    <w:rsid w:val="1E68299E"/>
    <w:rsid w:val="1E701FAE"/>
    <w:rsid w:val="1E914C91"/>
    <w:rsid w:val="1EB65B93"/>
    <w:rsid w:val="1EB9723C"/>
    <w:rsid w:val="1EBA1FBA"/>
    <w:rsid w:val="1EBA3826"/>
    <w:rsid w:val="1EFD4561"/>
    <w:rsid w:val="1F014F72"/>
    <w:rsid w:val="1F1A1BE5"/>
    <w:rsid w:val="1F2918A5"/>
    <w:rsid w:val="1F2A4657"/>
    <w:rsid w:val="1F9A6739"/>
    <w:rsid w:val="1FB430C5"/>
    <w:rsid w:val="1FD96270"/>
    <w:rsid w:val="1FF06E29"/>
    <w:rsid w:val="1FF20786"/>
    <w:rsid w:val="1FF35DEF"/>
    <w:rsid w:val="20083B56"/>
    <w:rsid w:val="200D3DE2"/>
    <w:rsid w:val="20213DFC"/>
    <w:rsid w:val="202A5E57"/>
    <w:rsid w:val="2035726B"/>
    <w:rsid w:val="204623E3"/>
    <w:rsid w:val="20582896"/>
    <w:rsid w:val="20787535"/>
    <w:rsid w:val="207924CC"/>
    <w:rsid w:val="20891227"/>
    <w:rsid w:val="209B6F09"/>
    <w:rsid w:val="209C3AE6"/>
    <w:rsid w:val="209D0D1F"/>
    <w:rsid w:val="20A92915"/>
    <w:rsid w:val="20B263D2"/>
    <w:rsid w:val="20D338F9"/>
    <w:rsid w:val="20FA3635"/>
    <w:rsid w:val="21127CC5"/>
    <w:rsid w:val="21350578"/>
    <w:rsid w:val="213D11C0"/>
    <w:rsid w:val="21434876"/>
    <w:rsid w:val="21567601"/>
    <w:rsid w:val="21A55A64"/>
    <w:rsid w:val="21C6159D"/>
    <w:rsid w:val="21DD5930"/>
    <w:rsid w:val="21E43620"/>
    <w:rsid w:val="22460088"/>
    <w:rsid w:val="22540BE6"/>
    <w:rsid w:val="2256111D"/>
    <w:rsid w:val="225F1E54"/>
    <w:rsid w:val="227B6E3E"/>
    <w:rsid w:val="228F34C0"/>
    <w:rsid w:val="229D070C"/>
    <w:rsid w:val="22B87E1D"/>
    <w:rsid w:val="22BB53A6"/>
    <w:rsid w:val="22CB791E"/>
    <w:rsid w:val="22DA309E"/>
    <w:rsid w:val="23033823"/>
    <w:rsid w:val="23212A0B"/>
    <w:rsid w:val="233F5ED5"/>
    <w:rsid w:val="2349323F"/>
    <w:rsid w:val="23553279"/>
    <w:rsid w:val="23AB0D47"/>
    <w:rsid w:val="23DE58A1"/>
    <w:rsid w:val="23E71C3B"/>
    <w:rsid w:val="2406098A"/>
    <w:rsid w:val="24150AF1"/>
    <w:rsid w:val="242E1C8E"/>
    <w:rsid w:val="24356535"/>
    <w:rsid w:val="24357C0A"/>
    <w:rsid w:val="245B2450"/>
    <w:rsid w:val="245F0F7A"/>
    <w:rsid w:val="246C5081"/>
    <w:rsid w:val="247426A1"/>
    <w:rsid w:val="247D6F52"/>
    <w:rsid w:val="248D2C4B"/>
    <w:rsid w:val="24DA2BF8"/>
    <w:rsid w:val="24DB5972"/>
    <w:rsid w:val="24EA20E1"/>
    <w:rsid w:val="24EB1DD0"/>
    <w:rsid w:val="24F07B69"/>
    <w:rsid w:val="251A1B36"/>
    <w:rsid w:val="251C7F42"/>
    <w:rsid w:val="254241ED"/>
    <w:rsid w:val="25590AAD"/>
    <w:rsid w:val="25590BAD"/>
    <w:rsid w:val="25646FD1"/>
    <w:rsid w:val="25826558"/>
    <w:rsid w:val="258879CA"/>
    <w:rsid w:val="25A16BBC"/>
    <w:rsid w:val="25B20DC9"/>
    <w:rsid w:val="25BF50D7"/>
    <w:rsid w:val="25C110EF"/>
    <w:rsid w:val="25EB38A2"/>
    <w:rsid w:val="25FC696D"/>
    <w:rsid w:val="260B0397"/>
    <w:rsid w:val="260C2C7D"/>
    <w:rsid w:val="2645704A"/>
    <w:rsid w:val="264D014C"/>
    <w:rsid w:val="265C6AD6"/>
    <w:rsid w:val="265E0957"/>
    <w:rsid w:val="267267AA"/>
    <w:rsid w:val="26913870"/>
    <w:rsid w:val="26AA3637"/>
    <w:rsid w:val="26D608D1"/>
    <w:rsid w:val="26EF7951"/>
    <w:rsid w:val="26EF79D8"/>
    <w:rsid w:val="26F75140"/>
    <w:rsid w:val="26F76517"/>
    <w:rsid w:val="27064F5F"/>
    <w:rsid w:val="27082240"/>
    <w:rsid w:val="272D6FA1"/>
    <w:rsid w:val="27574C29"/>
    <w:rsid w:val="275C1B5B"/>
    <w:rsid w:val="276D0F0D"/>
    <w:rsid w:val="277052D8"/>
    <w:rsid w:val="277858FD"/>
    <w:rsid w:val="2783276A"/>
    <w:rsid w:val="279278A0"/>
    <w:rsid w:val="27965B60"/>
    <w:rsid w:val="27A07F01"/>
    <w:rsid w:val="27A65A63"/>
    <w:rsid w:val="27B45090"/>
    <w:rsid w:val="27B51E3A"/>
    <w:rsid w:val="27BD5FEC"/>
    <w:rsid w:val="27C37D05"/>
    <w:rsid w:val="27EC7052"/>
    <w:rsid w:val="27F060A3"/>
    <w:rsid w:val="27FE2AE4"/>
    <w:rsid w:val="280D1FFC"/>
    <w:rsid w:val="280F62DC"/>
    <w:rsid w:val="28100B13"/>
    <w:rsid w:val="285D668B"/>
    <w:rsid w:val="2867652F"/>
    <w:rsid w:val="287560DE"/>
    <w:rsid w:val="28823F48"/>
    <w:rsid w:val="289743EF"/>
    <w:rsid w:val="28C303FA"/>
    <w:rsid w:val="28C860C6"/>
    <w:rsid w:val="28CE2276"/>
    <w:rsid w:val="28D164FE"/>
    <w:rsid w:val="28EF421B"/>
    <w:rsid w:val="29003C4E"/>
    <w:rsid w:val="29105BE2"/>
    <w:rsid w:val="292315E7"/>
    <w:rsid w:val="29366FAC"/>
    <w:rsid w:val="293C0E71"/>
    <w:rsid w:val="295871E4"/>
    <w:rsid w:val="296A5055"/>
    <w:rsid w:val="296A5756"/>
    <w:rsid w:val="2970600B"/>
    <w:rsid w:val="2978034D"/>
    <w:rsid w:val="29792EF0"/>
    <w:rsid w:val="29814CBC"/>
    <w:rsid w:val="299109D5"/>
    <w:rsid w:val="29924855"/>
    <w:rsid w:val="2993121A"/>
    <w:rsid w:val="29AE24D8"/>
    <w:rsid w:val="29C27B95"/>
    <w:rsid w:val="29D8669C"/>
    <w:rsid w:val="2A1003B2"/>
    <w:rsid w:val="2A103089"/>
    <w:rsid w:val="2A105190"/>
    <w:rsid w:val="2A1C6CDE"/>
    <w:rsid w:val="2A2A6B77"/>
    <w:rsid w:val="2A2D4849"/>
    <w:rsid w:val="2A3A37B4"/>
    <w:rsid w:val="2A555A00"/>
    <w:rsid w:val="2A5F726A"/>
    <w:rsid w:val="2A71170A"/>
    <w:rsid w:val="2A75497D"/>
    <w:rsid w:val="2A956BEC"/>
    <w:rsid w:val="2AA0385B"/>
    <w:rsid w:val="2AA059A3"/>
    <w:rsid w:val="2AA228D2"/>
    <w:rsid w:val="2AA73844"/>
    <w:rsid w:val="2ABD455A"/>
    <w:rsid w:val="2AFC3341"/>
    <w:rsid w:val="2B1472C4"/>
    <w:rsid w:val="2B3A598B"/>
    <w:rsid w:val="2B591297"/>
    <w:rsid w:val="2B632A39"/>
    <w:rsid w:val="2B7850E7"/>
    <w:rsid w:val="2B904D81"/>
    <w:rsid w:val="2BAC5FF9"/>
    <w:rsid w:val="2BBD5840"/>
    <w:rsid w:val="2BBE5FB3"/>
    <w:rsid w:val="2BD07985"/>
    <w:rsid w:val="2BD94D83"/>
    <w:rsid w:val="2C0721B4"/>
    <w:rsid w:val="2C1B305B"/>
    <w:rsid w:val="2C2918CC"/>
    <w:rsid w:val="2C2B6F98"/>
    <w:rsid w:val="2C4E0979"/>
    <w:rsid w:val="2C577B7F"/>
    <w:rsid w:val="2C7907D6"/>
    <w:rsid w:val="2C966388"/>
    <w:rsid w:val="2CA1472C"/>
    <w:rsid w:val="2CBD6FE7"/>
    <w:rsid w:val="2CDB1860"/>
    <w:rsid w:val="2CDB4C5C"/>
    <w:rsid w:val="2CEE4B5F"/>
    <w:rsid w:val="2D1E33D4"/>
    <w:rsid w:val="2D510FCA"/>
    <w:rsid w:val="2D6B0926"/>
    <w:rsid w:val="2D6C07C1"/>
    <w:rsid w:val="2D884872"/>
    <w:rsid w:val="2DB45C0E"/>
    <w:rsid w:val="2DBA5728"/>
    <w:rsid w:val="2E08482B"/>
    <w:rsid w:val="2E0C6614"/>
    <w:rsid w:val="2E1A5A15"/>
    <w:rsid w:val="2E1E58E1"/>
    <w:rsid w:val="2E5E4F8E"/>
    <w:rsid w:val="2E6576D0"/>
    <w:rsid w:val="2EAB647B"/>
    <w:rsid w:val="2EBC467D"/>
    <w:rsid w:val="2EC65E03"/>
    <w:rsid w:val="2EF01F47"/>
    <w:rsid w:val="2EF85479"/>
    <w:rsid w:val="2F0962B2"/>
    <w:rsid w:val="2F0C286A"/>
    <w:rsid w:val="2F156100"/>
    <w:rsid w:val="2F2443BA"/>
    <w:rsid w:val="2F2A5C9B"/>
    <w:rsid w:val="2F5E454B"/>
    <w:rsid w:val="2F7D30ED"/>
    <w:rsid w:val="2F897F15"/>
    <w:rsid w:val="2F960133"/>
    <w:rsid w:val="2F9D26E9"/>
    <w:rsid w:val="2F9D7EF4"/>
    <w:rsid w:val="2FA32CFF"/>
    <w:rsid w:val="2FAA227A"/>
    <w:rsid w:val="2FB349C3"/>
    <w:rsid w:val="2FD5785C"/>
    <w:rsid w:val="2FD7219B"/>
    <w:rsid w:val="3009239D"/>
    <w:rsid w:val="300C557A"/>
    <w:rsid w:val="30180DCD"/>
    <w:rsid w:val="301A7C90"/>
    <w:rsid w:val="302D3416"/>
    <w:rsid w:val="30373122"/>
    <w:rsid w:val="30653124"/>
    <w:rsid w:val="306F35F1"/>
    <w:rsid w:val="30A818B8"/>
    <w:rsid w:val="30DD0556"/>
    <w:rsid w:val="30E36CD9"/>
    <w:rsid w:val="30E614C0"/>
    <w:rsid w:val="30E6401D"/>
    <w:rsid w:val="30E64A0D"/>
    <w:rsid w:val="30E95A43"/>
    <w:rsid w:val="30EB45CA"/>
    <w:rsid w:val="30F60105"/>
    <w:rsid w:val="31103567"/>
    <w:rsid w:val="311B4E21"/>
    <w:rsid w:val="311C334E"/>
    <w:rsid w:val="31273342"/>
    <w:rsid w:val="312D7EC1"/>
    <w:rsid w:val="31404096"/>
    <w:rsid w:val="31503AF7"/>
    <w:rsid w:val="316A01AE"/>
    <w:rsid w:val="31844AE7"/>
    <w:rsid w:val="31967270"/>
    <w:rsid w:val="31985062"/>
    <w:rsid w:val="31B35C9F"/>
    <w:rsid w:val="31BB6523"/>
    <w:rsid w:val="31C3443E"/>
    <w:rsid w:val="31CE1649"/>
    <w:rsid w:val="31F4171D"/>
    <w:rsid w:val="31F72113"/>
    <w:rsid w:val="31FF3F23"/>
    <w:rsid w:val="32184D54"/>
    <w:rsid w:val="323D66C4"/>
    <w:rsid w:val="3245101F"/>
    <w:rsid w:val="324718E1"/>
    <w:rsid w:val="324844A7"/>
    <w:rsid w:val="32580D32"/>
    <w:rsid w:val="325B00F2"/>
    <w:rsid w:val="325C3906"/>
    <w:rsid w:val="32667D1B"/>
    <w:rsid w:val="326873A3"/>
    <w:rsid w:val="327F1021"/>
    <w:rsid w:val="327F701D"/>
    <w:rsid w:val="328B21C0"/>
    <w:rsid w:val="32954B4A"/>
    <w:rsid w:val="329B6CC6"/>
    <w:rsid w:val="32A76695"/>
    <w:rsid w:val="32AF5DFB"/>
    <w:rsid w:val="32B36A56"/>
    <w:rsid w:val="32CC3B66"/>
    <w:rsid w:val="32EF38B1"/>
    <w:rsid w:val="32F52BCB"/>
    <w:rsid w:val="32FA0CBC"/>
    <w:rsid w:val="330126E3"/>
    <w:rsid w:val="331A3402"/>
    <w:rsid w:val="333E05FF"/>
    <w:rsid w:val="3341378C"/>
    <w:rsid w:val="334E6E38"/>
    <w:rsid w:val="33654859"/>
    <w:rsid w:val="339267F8"/>
    <w:rsid w:val="339477C8"/>
    <w:rsid w:val="33AA5EC5"/>
    <w:rsid w:val="33C7372E"/>
    <w:rsid w:val="33D158A2"/>
    <w:rsid w:val="33DB0A18"/>
    <w:rsid w:val="33E87167"/>
    <w:rsid w:val="33FF2605"/>
    <w:rsid w:val="34252EC9"/>
    <w:rsid w:val="34275799"/>
    <w:rsid w:val="344104D4"/>
    <w:rsid w:val="3460367F"/>
    <w:rsid w:val="346A63E1"/>
    <w:rsid w:val="346E6E21"/>
    <w:rsid w:val="34841DFA"/>
    <w:rsid w:val="34A23A5E"/>
    <w:rsid w:val="34A35FBD"/>
    <w:rsid w:val="34C91C8B"/>
    <w:rsid w:val="34E649D7"/>
    <w:rsid w:val="34E86ECF"/>
    <w:rsid w:val="350E309D"/>
    <w:rsid w:val="352C7F20"/>
    <w:rsid w:val="355E0D82"/>
    <w:rsid w:val="35654916"/>
    <w:rsid w:val="35694C6E"/>
    <w:rsid w:val="356E7BDC"/>
    <w:rsid w:val="357257A8"/>
    <w:rsid w:val="357F21C9"/>
    <w:rsid w:val="35CA3591"/>
    <w:rsid w:val="360617AC"/>
    <w:rsid w:val="360A1348"/>
    <w:rsid w:val="36237E1D"/>
    <w:rsid w:val="362934FD"/>
    <w:rsid w:val="362E32C5"/>
    <w:rsid w:val="3630192F"/>
    <w:rsid w:val="36405D95"/>
    <w:rsid w:val="364B3BEA"/>
    <w:rsid w:val="365830DE"/>
    <w:rsid w:val="366371A2"/>
    <w:rsid w:val="368F7139"/>
    <w:rsid w:val="36995BF9"/>
    <w:rsid w:val="36AC4496"/>
    <w:rsid w:val="36D84AC3"/>
    <w:rsid w:val="36FC2699"/>
    <w:rsid w:val="371B69BE"/>
    <w:rsid w:val="37225683"/>
    <w:rsid w:val="37247B5B"/>
    <w:rsid w:val="372D27E2"/>
    <w:rsid w:val="373D3B1B"/>
    <w:rsid w:val="37426119"/>
    <w:rsid w:val="374335C0"/>
    <w:rsid w:val="374A50EA"/>
    <w:rsid w:val="37515F68"/>
    <w:rsid w:val="37553308"/>
    <w:rsid w:val="37842C30"/>
    <w:rsid w:val="380A6CE2"/>
    <w:rsid w:val="384D3002"/>
    <w:rsid w:val="38550783"/>
    <w:rsid w:val="386170C8"/>
    <w:rsid w:val="38666ACB"/>
    <w:rsid w:val="38712619"/>
    <w:rsid w:val="38795FFC"/>
    <w:rsid w:val="38820F96"/>
    <w:rsid w:val="388A7E7B"/>
    <w:rsid w:val="3892465F"/>
    <w:rsid w:val="38A75A4E"/>
    <w:rsid w:val="38E0316B"/>
    <w:rsid w:val="38FE702E"/>
    <w:rsid w:val="39093D05"/>
    <w:rsid w:val="391118FF"/>
    <w:rsid w:val="391A2ACC"/>
    <w:rsid w:val="393721D7"/>
    <w:rsid w:val="39416ACC"/>
    <w:rsid w:val="39420DB5"/>
    <w:rsid w:val="39432222"/>
    <w:rsid w:val="394817F7"/>
    <w:rsid w:val="39537DD8"/>
    <w:rsid w:val="39853A93"/>
    <w:rsid w:val="399719B8"/>
    <w:rsid w:val="39AC7EE2"/>
    <w:rsid w:val="39CB0253"/>
    <w:rsid w:val="39E51B49"/>
    <w:rsid w:val="39E56B12"/>
    <w:rsid w:val="3A037EDA"/>
    <w:rsid w:val="3A0848E5"/>
    <w:rsid w:val="3A2D6588"/>
    <w:rsid w:val="3A3361A0"/>
    <w:rsid w:val="3A3E4121"/>
    <w:rsid w:val="3A5D34EA"/>
    <w:rsid w:val="3A6F5E21"/>
    <w:rsid w:val="3A7371E6"/>
    <w:rsid w:val="3A747352"/>
    <w:rsid w:val="3AA35841"/>
    <w:rsid w:val="3AB610E6"/>
    <w:rsid w:val="3ACE74BC"/>
    <w:rsid w:val="3AD07F3C"/>
    <w:rsid w:val="3B0012DC"/>
    <w:rsid w:val="3B0652E4"/>
    <w:rsid w:val="3B1A6EE4"/>
    <w:rsid w:val="3B28558B"/>
    <w:rsid w:val="3B2B3074"/>
    <w:rsid w:val="3B4B4E9A"/>
    <w:rsid w:val="3B576B10"/>
    <w:rsid w:val="3B637893"/>
    <w:rsid w:val="3B6540CC"/>
    <w:rsid w:val="3B765C48"/>
    <w:rsid w:val="3B815AB3"/>
    <w:rsid w:val="3B9F3C52"/>
    <w:rsid w:val="3B9F661E"/>
    <w:rsid w:val="3BC209C6"/>
    <w:rsid w:val="3BF82AC2"/>
    <w:rsid w:val="3BFA0482"/>
    <w:rsid w:val="3C0735EC"/>
    <w:rsid w:val="3C415402"/>
    <w:rsid w:val="3C563712"/>
    <w:rsid w:val="3C604B9C"/>
    <w:rsid w:val="3C6E0346"/>
    <w:rsid w:val="3C9A0E5D"/>
    <w:rsid w:val="3CAD0641"/>
    <w:rsid w:val="3CB01FE9"/>
    <w:rsid w:val="3CBE6757"/>
    <w:rsid w:val="3CC27E1C"/>
    <w:rsid w:val="3CCF65F3"/>
    <w:rsid w:val="3CDB3925"/>
    <w:rsid w:val="3CDB69FF"/>
    <w:rsid w:val="3CE7406A"/>
    <w:rsid w:val="3CFF0C35"/>
    <w:rsid w:val="3D084569"/>
    <w:rsid w:val="3D0C094A"/>
    <w:rsid w:val="3D0E3329"/>
    <w:rsid w:val="3D3433C6"/>
    <w:rsid w:val="3D3A71A6"/>
    <w:rsid w:val="3D3B749E"/>
    <w:rsid w:val="3D4532DA"/>
    <w:rsid w:val="3D5525C7"/>
    <w:rsid w:val="3D5902C0"/>
    <w:rsid w:val="3D7D10C4"/>
    <w:rsid w:val="3D932241"/>
    <w:rsid w:val="3DA60301"/>
    <w:rsid w:val="3DBC55B3"/>
    <w:rsid w:val="3DCE5505"/>
    <w:rsid w:val="3DE84ACC"/>
    <w:rsid w:val="3DFC4C06"/>
    <w:rsid w:val="3E0A00D9"/>
    <w:rsid w:val="3E0C4997"/>
    <w:rsid w:val="3E15155F"/>
    <w:rsid w:val="3E226894"/>
    <w:rsid w:val="3E2F3E54"/>
    <w:rsid w:val="3E325581"/>
    <w:rsid w:val="3E3F4724"/>
    <w:rsid w:val="3E425EC6"/>
    <w:rsid w:val="3E7C2605"/>
    <w:rsid w:val="3E986A90"/>
    <w:rsid w:val="3E9B2F34"/>
    <w:rsid w:val="3EA87F92"/>
    <w:rsid w:val="3EB75FBB"/>
    <w:rsid w:val="3EBD1360"/>
    <w:rsid w:val="3EBF008E"/>
    <w:rsid w:val="3EDA411D"/>
    <w:rsid w:val="3EF56A5D"/>
    <w:rsid w:val="3F252D85"/>
    <w:rsid w:val="3F27773E"/>
    <w:rsid w:val="3F321237"/>
    <w:rsid w:val="3F381EE7"/>
    <w:rsid w:val="3F56625B"/>
    <w:rsid w:val="3F6B02D1"/>
    <w:rsid w:val="3F70204F"/>
    <w:rsid w:val="3F7807FF"/>
    <w:rsid w:val="3F85452B"/>
    <w:rsid w:val="3F8C6B08"/>
    <w:rsid w:val="3FA21ADF"/>
    <w:rsid w:val="3FB04266"/>
    <w:rsid w:val="3FBA192C"/>
    <w:rsid w:val="3FC334F0"/>
    <w:rsid w:val="3FC65922"/>
    <w:rsid w:val="3FC72B00"/>
    <w:rsid w:val="400159AA"/>
    <w:rsid w:val="40170548"/>
    <w:rsid w:val="403F44A8"/>
    <w:rsid w:val="404920BE"/>
    <w:rsid w:val="405857FB"/>
    <w:rsid w:val="40623DF4"/>
    <w:rsid w:val="406D0527"/>
    <w:rsid w:val="40807F7F"/>
    <w:rsid w:val="408E6288"/>
    <w:rsid w:val="40941A7F"/>
    <w:rsid w:val="409B1845"/>
    <w:rsid w:val="40A57BC8"/>
    <w:rsid w:val="40B56CFD"/>
    <w:rsid w:val="40B92E72"/>
    <w:rsid w:val="40C311A8"/>
    <w:rsid w:val="40C47D8F"/>
    <w:rsid w:val="40D25BC3"/>
    <w:rsid w:val="40D60637"/>
    <w:rsid w:val="40D76C46"/>
    <w:rsid w:val="41621254"/>
    <w:rsid w:val="416468BE"/>
    <w:rsid w:val="41892B31"/>
    <w:rsid w:val="41CE52A1"/>
    <w:rsid w:val="41D02448"/>
    <w:rsid w:val="41DD5177"/>
    <w:rsid w:val="42163B06"/>
    <w:rsid w:val="422A41D0"/>
    <w:rsid w:val="42481BD8"/>
    <w:rsid w:val="426538E9"/>
    <w:rsid w:val="426D2D3F"/>
    <w:rsid w:val="428B5880"/>
    <w:rsid w:val="42924A6B"/>
    <w:rsid w:val="42B40DFF"/>
    <w:rsid w:val="42B41BDA"/>
    <w:rsid w:val="42BB6578"/>
    <w:rsid w:val="42C16E5F"/>
    <w:rsid w:val="42C244A1"/>
    <w:rsid w:val="42CA5993"/>
    <w:rsid w:val="42E3554D"/>
    <w:rsid w:val="42F82B30"/>
    <w:rsid w:val="43097D3C"/>
    <w:rsid w:val="430E4F23"/>
    <w:rsid w:val="433C2078"/>
    <w:rsid w:val="435A7091"/>
    <w:rsid w:val="437E6337"/>
    <w:rsid w:val="439C0606"/>
    <w:rsid w:val="43A9447E"/>
    <w:rsid w:val="43B73B62"/>
    <w:rsid w:val="43F82B94"/>
    <w:rsid w:val="43F92EDF"/>
    <w:rsid w:val="444158EC"/>
    <w:rsid w:val="44496945"/>
    <w:rsid w:val="44651894"/>
    <w:rsid w:val="446B3216"/>
    <w:rsid w:val="447E4F49"/>
    <w:rsid w:val="4496418F"/>
    <w:rsid w:val="44A0635F"/>
    <w:rsid w:val="44B25C74"/>
    <w:rsid w:val="44B95E43"/>
    <w:rsid w:val="44CD6E7D"/>
    <w:rsid w:val="44CF14A5"/>
    <w:rsid w:val="4507424E"/>
    <w:rsid w:val="45354E4B"/>
    <w:rsid w:val="4541488B"/>
    <w:rsid w:val="455438B7"/>
    <w:rsid w:val="457437BD"/>
    <w:rsid w:val="45777A4C"/>
    <w:rsid w:val="457F08BF"/>
    <w:rsid w:val="45861112"/>
    <w:rsid w:val="45B61F1B"/>
    <w:rsid w:val="45E2495B"/>
    <w:rsid w:val="45E53C0B"/>
    <w:rsid w:val="45FE32DE"/>
    <w:rsid w:val="460F2D79"/>
    <w:rsid w:val="4652541C"/>
    <w:rsid w:val="46534342"/>
    <w:rsid w:val="468C7240"/>
    <w:rsid w:val="46BD3A13"/>
    <w:rsid w:val="46CD0F0F"/>
    <w:rsid w:val="46D86785"/>
    <w:rsid w:val="46F70057"/>
    <w:rsid w:val="471C0CAC"/>
    <w:rsid w:val="47305B9A"/>
    <w:rsid w:val="47415249"/>
    <w:rsid w:val="4764321D"/>
    <w:rsid w:val="476A0390"/>
    <w:rsid w:val="477E480D"/>
    <w:rsid w:val="477F6E5C"/>
    <w:rsid w:val="4781196C"/>
    <w:rsid w:val="47F40975"/>
    <w:rsid w:val="47FC161C"/>
    <w:rsid w:val="48031777"/>
    <w:rsid w:val="48043B5A"/>
    <w:rsid w:val="481D5F47"/>
    <w:rsid w:val="4827409C"/>
    <w:rsid w:val="48402BCD"/>
    <w:rsid w:val="488B6444"/>
    <w:rsid w:val="489961BF"/>
    <w:rsid w:val="48A07715"/>
    <w:rsid w:val="48A54C9C"/>
    <w:rsid w:val="48AB7FD7"/>
    <w:rsid w:val="48AF6CB0"/>
    <w:rsid w:val="48E235B0"/>
    <w:rsid w:val="48F237C5"/>
    <w:rsid w:val="48F431E5"/>
    <w:rsid w:val="49066BB2"/>
    <w:rsid w:val="490E5A67"/>
    <w:rsid w:val="494C1AB8"/>
    <w:rsid w:val="494E0559"/>
    <w:rsid w:val="49504106"/>
    <w:rsid w:val="4956144E"/>
    <w:rsid w:val="49650458"/>
    <w:rsid w:val="498D72D3"/>
    <w:rsid w:val="49B96A15"/>
    <w:rsid w:val="49C67444"/>
    <w:rsid w:val="4A010CBF"/>
    <w:rsid w:val="4A02381D"/>
    <w:rsid w:val="4A053986"/>
    <w:rsid w:val="4A1B043B"/>
    <w:rsid w:val="4A1E21B6"/>
    <w:rsid w:val="4A3B0A65"/>
    <w:rsid w:val="4A5437F7"/>
    <w:rsid w:val="4A645221"/>
    <w:rsid w:val="4A8F316C"/>
    <w:rsid w:val="4AA7435A"/>
    <w:rsid w:val="4ACF196D"/>
    <w:rsid w:val="4AF44800"/>
    <w:rsid w:val="4B2767AD"/>
    <w:rsid w:val="4B376ED4"/>
    <w:rsid w:val="4B3F363B"/>
    <w:rsid w:val="4B761DCD"/>
    <w:rsid w:val="4BB21600"/>
    <w:rsid w:val="4BC5630A"/>
    <w:rsid w:val="4C191E56"/>
    <w:rsid w:val="4C1B10A5"/>
    <w:rsid w:val="4C3F0C1B"/>
    <w:rsid w:val="4C880997"/>
    <w:rsid w:val="4CA56C4A"/>
    <w:rsid w:val="4CA653F2"/>
    <w:rsid w:val="4CB54211"/>
    <w:rsid w:val="4CB62BEE"/>
    <w:rsid w:val="4CE00349"/>
    <w:rsid w:val="4D0D0A4B"/>
    <w:rsid w:val="4D13313F"/>
    <w:rsid w:val="4D2D151A"/>
    <w:rsid w:val="4D42168F"/>
    <w:rsid w:val="4D4237F4"/>
    <w:rsid w:val="4D5E41A2"/>
    <w:rsid w:val="4D7C1474"/>
    <w:rsid w:val="4D8667E1"/>
    <w:rsid w:val="4DAB0CB4"/>
    <w:rsid w:val="4DB030DE"/>
    <w:rsid w:val="4DC5749E"/>
    <w:rsid w:val="4DC62B16"/>
    <w:rsid w:val="4DD02EC9"/>
    <w:rsid w:val="4DDA4FFF"/>
    <w:rsid w:val="4DF3078E"/>
    <w:rsid w:val="4DFD05B8"/>
    <w:rsid w:val="4E033C62"/>
    <w:rsid w:val="4E1753BE"/>
    <w:rsid w:val="4E197388"/>
    <w:rsid w:val="4E1F3A43"/>
    <w:rsid w:val="4E2C01DA"/>
    <w:rsid w:val="4E5C3B5C"/>
    <w:rsid w:val="4E651A9E"/>
    <w:rsid w:val="4E8125C8"/>
    <w:rsid w:val="4E9E662E"/>
    <w:rsid w:val="4E9F4ED5"/>
    <w:rsid w:val="4EA61E19"/>
    <w:rsid w:val="4EC14759"/>
    <w:rsid w:val="4EC1759A"/>
    <w:rsid w:val="4ED92673"/>
    <w:rsid w:val="4EDA2A14"/>
    <w:rsid w:val="4F080548"/>
    <w:rsid w:val="4F2C7A26"/>
    <w:rsid w:val="4F573974"/>
    <w:rsid w:val="4F5F3903"/>
    <w:rsid w:val="4F5F5100"/>
    <w:rsid w:val="4F917C61"/>
    <w:rsid w:val="4FA346C1"/>
    <w:rsid w:val="4FB93445"/>
    <w:rsid w:val="4FC4224C"/>
    <w:rsid w:val="50171503"/>
    <w:rsid w:val="5026498B"/>
    <w:rsid w:val="504E1F87"/>
    <w:rsid w:val="50700975"/>
    <w:rsid w:val="50920484"/>
    <w:rsid w:val="50A22501"/>
    <w:rsid w:val="51022355"/>
    <w:rsid w:val="51087F19"/>
    <w:rsid w:val="511F1DEF"/>
    <w:rsid w:val="51234D69"/>
    <w:rsid w:val="51235590"/>
    <w:rsid w:val="512C5AA8"/>
    <w:rsid w:val="514364CA"/>
    <w:rsid w:val="517A4997"/>
    <w:rsid w:val="517B1A69"/>
    <w:rsid w:val="517C60EC"/>
    <w:rsid w:val="51A0391C"/>
    <w:rsid w:val="51AD641B"/>
    <w:rsid w:val="51B96FD7"/>
    <w:rsid w:val="51E86485"/>
    <w:rsid w:val="51E9045E"/>
    <w:rsid w:val="51EC0CB2"/>
    <w:rsid w:val="51F84DCE"/>
    <w:rsid w:val="51FF7087"/>
    <w:rsid w:val="520A2A38"/>
    <w:rsid w:val="5248626F"/>
    <w:rsid w:val="525D35DB"/>
    <w:rsid w:val="526D21E8"/>
    <w:rsid w:val="527023C2"/>
    <w:rsid w:val="527834DB"/>
    <w:rsid w:val="52813B2B"/>
    <w:rsid w:val="52A17A54"/>
    <w:rsid w:val="52B50DA1"/>
    <w:rsid w:val="52B575A5"/>
    <w:rsid w:val="52F07BD2"/>
    <w:rsid w:val="52FC67EE"/>
    <w:rsid w:val="52FE1CC2"/>
    <w:rsid w:val="5316209D"/>
    <w:rsid w:val="533B38E9"/>
    <w:rsid w:val="534F7D6C"/>
    <w:rsid w:val="53595C96"/>
    <w:rsid w:val="5383679C"/>
    <w:rsid w:val="53922E72"/>
    <w:rsid w:val="53B30942"/>
    <w:rsid w:val="53B37937"/>
    <w:rsid w:val="53C90F08"/>
    <w:rsid w:val="53CB7566"/>
    <w:rsid w:val="53F07597"/>
    <w:rsid w:val="53F103E9"/>
    <w:rsid w:val="54081A67"/>
    <w:rsid w:val="540F3F7C"/>
    <w:rsid w:val="5411390F"/>
    <w:rsid w:val="542E7A1D"/>
    <w:rsid w:val="54451CCB"/>
    <w:rsid w:val="544638AF"/>
    <w:rsid w:val="547F297C"/>
    <w:rsid w:val="54864B2B"/>
    <w:rsid w:val="54977258"/>
    <w:rsid w:val="54A0435F"/>
    <w:rsid w:val="54BF4BF5"/>
    <w:rsid w:val="54C81FFD"/>
    <w:rsid w:val="54CD7C87"/>
    <w:rsid w:val="54E249EE"/>
    <w:rsid w:val="54EC6865"/>
    <w:rsid w:val="54EE32BA"/>
    <w:rsid w:val="54EF3AFE"/>
    <w:rsid w:val="550456DC"/>
    <w:rsid w:val="552250A9"/>
    <w:rsid w:val="553E1B4F"/>
    <w:rsid w:val="558322BF"/>
    <w:rsid w:val="55864DA4"/>
    <w:rsid w:val="55A52F36"/>
    <w:rsid w:val="55C745C7"/>
    <w:rsid w:val="55DA7D4B"/>
    <w:rsid w:val="55DB25ED"/>
    <w:rsid w:val="55DE13CD"/>
    <w:rsid w:val="55F14B8E"/>
    <w:rsid w:val="55F76E1C"/>
    <w:rsid w:val="560314A4"/>
    <w:rsid w:val="560F10A6"/>
    <w:rsid w:val="561064BA"/>
    <w:rsid w:val="56111E8D"/>
    <w:rsid w:val="561560D4"/>
    <w:rsid w:val="56167296"/>
    <w:rsid w:val="561914FF"/>
    <w:rsid w:val="5624337B"/>
    <w:rsid w:val="563C1ECE"/>
    <w:rsid w:val="56425A30"/>
    <w:rsid w:val="56467970"/>
    <w:rsid w:val="5666731C"/>
    <w:rsid w:val="56693B69"/>
    <w:rsid w:val="56695AB2"/>
    <w:rsid w:val="56931F18"/>
    <w:rsid w:val="569746E7"/>
    <w:rsid w:val="56A21563"/>
    <w:rsid w:val="56B459F2"/>
    <w:rsid w:val="56E326EF"/>
    <w:rsid w:val="56F24B94"/>
    <w:rsid w:val="573A3ECB"/>
    <w:rsid w:val="573B59D7"/>
    <w:rsid w:val="57554A63"/>
    <w:rsid w:val="57674716"/>
    <w:rsid w:val="57885527"/>
    <w:rsid w:val="57B41FD6"/>
    <w:rsid w:val="57C75284"/>
    <w:rsid w:val="57C77A03"/>
    <w:rsid w:val="57D72988"/>
    <w:rsid w:val="57E30473"/>
    <w:rsid w:val="57EA58F1"/>
    <w:rsid w:val="57FE2482"/>
    <w:rsid w:val="583761D6"/>
    <w:rsid w:val="585240FA"/>
    <w:rsid w:val="585651F5"/>
    <w:rsid w:val="586A7790"/>
    <w:rsid w:val="5882682F"/>
    <w:rsid w:val="588A6872"/>
    <w:rsid w:val="589D1CAA"/>
    <w:rsid w:val="58BD157E"/>
    <w:rsid w:val="58BE48B4"/>
    <w:rsid w:val="58DA0012"/>
    <w:rsid w:val="593F58E8"/>
    <w:rsid w:val="59437547"/>
    <w:rsid w:val="595A30D6"/>
    <w:rsid w:val="59771955"/>
    <w:rsid w:val="59935F71"/>
    <w:rsid w:val="59A92F7C"/>
    <w:rsid w:val="59B50D4F"/>
    <w:rsid w:val="59CA0B10"/>
    <w:rsid w:val="59E33FF0"/>
    <w:rsid w:val="59F27ED2"/>
    <w:rsid w:val="5A4F2820"/>
    <w:rsid w:val="5A51230E"/>
    <w:rsid w:val="5A6D405A"/>
    <w:rsid w:val="5A78038E"/>
    <w:rsid w:val="5A7B07B2"/>
    <w:rsid w:val="5A817282"/>
    <w:rsid w:val="5AA03158"/>
    <w:rsid w:val="5ACC6AFC"/>
    <w:rsid w:val="5AF41386"/>
    <w:rsid w:val="5B0551CC"/>
    <w:rsid w:val="5B0F1E2F"/>
    <w:rsid w:val="5B170D80"/>
    <w:rsid w:val="5B3D5674"/>
    <w:rsid w:val="5B6B7C87"/>
    <w:rsid w:val="5B7D4FC3"/>
    <w:rsid w:val="5B853920"/>
    <w:rsid w:val="5B8F056D"/>
    <w:rsid w:val="5BBC6A8F"/>
    <w:rsid w:val="5BC56290"/>
    <w:rsid w:val="5BD42B40"/>
    <w:rsid w:val="5BE61A15"/>
    <w:rsid w:val="5BF07592"/>
    <w:rsid w:val="5C1873CC"/>
    <w:rsid w:val="5C397DD7"/>
    <w:rsid w:val="5C452E21"/>
    <w:rsid w:val="5C5D3014"/>
    <w:rsid w:val="5CB0744C"/>
    <w:rsid w:val="5CB33241"/>
    <w:rsid w:val="5CB337E1"/>
    <w:rsid w:val="5CDB4412"/>
    <w:rsid w:val="5CE16393"/>
    <w:rsid w:val="5CF83335"/>
    <w:rsid w:val="5D060992"/>
    <w:rsid w:val="5D50269A"/>
    <w:rsid w:val="5D764AEC"/>
    <w:rsid w:val="5D886636"/>
    <w:rsid w:val="5DB81A7A"/>
    <w:rsid w:val="5DDF0F9C"/>
    <w:rsid w:val="5DF53407"/>
    <w:rsid w:val="5DFA49FE"/>
    <w:rsid w:val="5E023F3F"/>
    <w:rsid w:val="5E033AD5"/>
    <w:rsid w:val="5E051A40"/>
    <w:rsid w:val="5E0A5F66"/>
    <w:rsid w:val="5E31325D"/>
    <w:rsid w:val="5E3233EB"/>
    <w:rsid w:val="5E4A6AF2"/>
    <w:rsid w:val="5E6C092A"/>
    <w:rsid w:val="5E8C7702"/>
    <w:rsid w:val="5E974FFA"/>
    <w:rsid w:val="5E9915F9"/>
    <w:rsid w:val="5EBF0182"/>
    <w:rsid w:val="5EC2663D"/>
    <w:rsid w:val="5ECA589A"/>
    <w:rsid w:val="5ECC412B"/>
    <w:rsid w:val="5ECE06B8"/>
    <w:rsid w:val="5EF26223"/>
    <w:rsid w:val="5EF65581"/>
    <w:rsid w:val="5EFD6134"/>
    <w:rsid w:val="5F0E2C19"/>
    <w:rsid w:val="5F120A73"/>
    <w:rsid w:val="5F5B45F7"/>
    <w:rsid w:val="5F7406A5"/>
    <w:rsid w:val="5F8D358D"/>
    <w:rsid w:val="5F9C5723"/>
    <w:rsid w:val="5FAA29C2"/>
    <w:rsid w:val="5FBA5097"/>
    <w:rsid w:val="5FBC3252"/>
    <w:rsid w:val="5FC91471"/>
    <w:rsid w:val="602036A1"/>
    <w:rsid w:val="60435FD7"/>
    <w:rsid w:val="6055594A"/>
    <w:rsid w:val="605B25E0"/>
    <w:rsid w:val="607823E0"/>
    <w:rsid w:val="609670F8"/>
    <w:rsid w:val="609C6F84"/>
    <w:rsid w:val="609D0E57"/>
    <w:rsid w:val="60A953B4"/>
    <w:rsid w:val="60BD0916"/>
    <w:rsid w:val="60D2183C"/>
    <w:rsid w:val="60EB2326"/>
    <w:rsid w:val="60F45FBB"/>
    <w:rsid w:val="610E7420"/>
    <w:rsid w:val="611234AC"/>
    <w:rsid w:val="61187474"/>
    <w:rsid w:val="611A7247"/>
    <w:rsid w:val="61480EAA"/>
    <w:rsid w:val="614B2EE6"/>
    <w:rsid w:val="617D3213"/>
    <w:rsid w:val="618A7FDD"/>
    <w:rsid w:val="619F7AF9"/>
    <w:rsid w:val="61AD021C"/>
    <w:rsid w:val="61B1702D"/>
    <w:rsid w:val="61CE5B3B"/>
    <w:rsid w:val="61ED39C6"/>
    <w:rsid w:val="61F27D37"/>
    <w:rsid w:val="61FB4EE4"/>
    <w:rsid w:val="62012017"/>
    <w:rsid w:val="62044CB4"/>
    <w:rsid w:val="620B1CBC"/>
    <w:rsid w:val="620E2F29"/>
    <w:rsid w:val="62501276"/>
    <w:rsid w:val="625769F8"/>
    <w:rsid w:val="62714E23"/>
    <w:rsid w:val="62892327"/>
    <w:rsid w:val="62A00C69"/>
    <w:rsid w:val="62A7155C"/>
    <w:rsid w:val="62C36843"/>
    <w:rsid w:val="62DE299C"/>
    <w:rsid w:val="62E602C1"/>
    <w:rsid w:val="62E6736E"/>
    <w:rsid w:val="62F31AF8"/>
    <w:rsid w:val="62F835B8"/>
    <w:rsid w:val="6304644D"/>
    <w:rsid w:val="630662B3"/>
    <w:rsid w:val="631C7B17"/>
    <w:rsid w:val="63260B93"/>
    <w:rsid w:val="632F2125"/>
    <w:rsid w:val="633E0853"/>
    <w:rsid w:val="634C3DE9"/>
    <w:rsid w:val="634D5B2E"/>
    <w:rsid w:val="634F6E90"/>
    <w:rsid w:val="635F2350"/>
    <w:rsid w:val="63782210"/>
    <w:rsid w:val="6396460D"/>
    <w:rsid w:val="63A4104A"/>
    <w:rsid w:val="63AD0575"/>
    <w:rsid w:val="63CF6399"/>
    <w:rsid w:val="63EA5111"/>
    <w:rsid w:val="63EB0A27"/>
    <w:rsid w:val="641856AC"/>
    <w:rsid w:val="64222163"/>
    <w:rsid w:val="64276F7E"/>
    <w:rsid w:val="64334368"/>
    <w:rsid w:val="644845F9"/>
    <w:rsid w:val="644C3BBB"/>
    <w:rsid w:val="64661951"/>
    <w:rsid w:val="64780DB4"/>
    <w:rsid w:val="64917074"/>
    <w:rsid w:val="64AE3682"/>
    <w:rsid w:val="64AF74E1"/>
    <w:rsid w:val="64B5450F"/>
    <w:rsid w:val="64C07407"/>
    <w:rsid w:val="64DA0C33"/>
    <w:rsid w:val="65054116"/>
    <w:rsid w:val="65173801"/>
    <w:rsid w:val="65616077"/>
    <w:rsid w:val="65681EE2"/>
    <w:rsid w:val="65A17F37"/>
    <w:rsid w:val="65AC45B0"/>
    <w:rsid w:val="65B86808"/>
    <w:rsid w:val="65C6083C"/>
    <w:rsid w:val="660810B7"/>
    <w:rsid w:val="662521E4"/>
    <w:rsid w:val="665A6519"/>
    <w:rsid w:val="667E51BF"/>
    <w:rsid w:val="669B2FA8"/>
    <w:rsid w:val="66A55BB4"/>
    <w:rsid w:val="66BC5F59"/>
    <w:rsid w:val="66C74D64"/>
    <w:rsid w:val="66F22CBB"/>
    <w:rsid w:val="66F83DA1"/>
    <w:rsid w:val="670C68E0"/>
    <w:rsid w:val="67162CAA"/>
    <w:rsid w:val="671D1395"/>
    <w:rsid w:val="67200265"/>
    <w:rsid w:val="672B56C9"/>
    <w:rsid w:val="67340281"/>
    <w:rsid w:val="673C1B50"/>
    <w:rsid w:val="6759446A"/>
    <w:rsid w:val="676F6F35"/>
    <w:rsid w:val="67785772"/>
    <w:rsid w:val="677E46E4"/>
    <w:rsid w:val="67B144D6"/>
    <w:rsid w:val="67C11F2A"/>
    <w:rsid w:val="67FC76A6"/>
    <w:rsid w:val="68103D6F"/>
    <w:rsid w:val="68355837"/>
    <w:rsid w:val="6837605E"/>
    <w:rsid w:val="68797643"/>
    <w:rsid w:val="688A29C7"/>
    <w:rsid w:val="68982EBD"/>
    <w:rsid w:val="68A93C98"/>
    <w:rsid w:val="68AB177D"/>
    <w:rsid w:val="69447EA1"/>
    <w:rsid w:val="69687FA0"/>
    <w:rsid w:val="697D78D5"/>
    <w:rsid w:val="6999141B"/>
    <w:rsid w:val="69A9606A"/>
    <w:rsid w:val="69D43FE5"/>
    <w:rsid w:val="69E8614D"/>
    <w:rsid w:val="69F951FB"/>
    <w:rsid w:val="6A0A7504"/>
    <w:rsid w:val="6A204AF1"/>
    <w:rsid w:val="6A251022"/>
    <w:rsid w:val="6A2B6113"/>
    <w:rsid w:val="6A397D97"/>
    <w:rsid w:val="6A45564A"/>
    <w:rsid w:val="6A696B49"/>
    <w:rsid w:val="6A6A0138"/>
    <w:rsid w:val="6A865C52"/>
    <w:rsid w:val="6ABB778D"/>
    <w:rsid w:val="6ACC0085"/>
    <w:rsid w:val="6ACF2E06"/>
    <w:rsid w:val="6AF31937"/>
    <w:rsid w:val="6B0A4E27"/>
    <w:rsid w:val="6B2049ED"/>
    <w:rsid w:val="6B26735A"/>
    <w:rsid w:val="6B33657D"/>
    <w:rsid w:val="6B5D3C62"/>
    <w:rsid w:val="6B947695"/>
    <w:rsid w:val="6BAB493D"/>
    <w:rsid w:val="6BAC248B"/>
    <w:rsid w:val="6BAF4853"/>
    <w:rsid w:val="6BC1221C"/>
    <w:rsid w:val="6BCA29A2"/>
    <w:rsid w:val="6BD04E11"/>
    <w:rsid w:val="6BD30585"/>
    <w:rsid w:val="6BD62994"/>
    <w:rsid w:val="6BF94DE1"/>
    <w:rsid w:val="6C1F6445"/>
    <w:rsid w:val="6C25561C"/>
    <w:rsid w:val="6C32425D"/>
    <w:rsid w:val="6C340BCC"/>
    <w:rsid w:val="6C365149"/>
    <w:rsid w:val="6C3E4E75"/>
    <w:rsid w:val="6C68355C"/>
    <w:rsid w:val="6C7B133A"/>
    <w:rsid w:val="6C7B3454"/>
    <w:rsid w:val="6C842BBE"/>
    <w:rsid w:val="6CBF6EF4"/>
    <w:rsid w:val="6CC844F1"/>
    <w:rsid w:val="6CE2109D"/>
    <w:rsid w:val="6CE25B48"/>
    <w:rsid w:val="6CE8139A"/>
    <w:rsid w:val="6CEE4DA1"/>
    <w:rsid w:val="6CF17665"/>
    <w:rsid w:val="6D057250"/>
    <w:rsid w:val="6D1F0CD0"/>
    <w:rsid w:val="6D2B5012"/>
    <w:rsid w:val="6D377E08"/>
    <w:rsid w:val="6D3876E4"/>
    <w:rsid w:val="6D4D71AC"/>
    <w:rsid w:val="6D55447D"/>
    <w:rsid w:val="6D70608B"/>
    <w:rsid w:val="6DA13B37"/>
    <w:rsid w:val="6DC04EA2"/>
    <w:rsid w:val="6DC45C3C"/>
    <w:rsid w:val="6DD777D6"/>
    <w:rsid w:val="6DDE65FF"/>
    <w:rsid w:val="6DEF3809"/>
    <w:rsid w:val="6E104562"/>
    <w:rsid w:val="6E14670A"/>
    <w:rsid w:val="6E511DCE"/>
    <w:rsid w:val="6E5C1180"/>
    <w:rsid w:val="6E613C69"/>
    <w:rsid w:val="6E8F3001"/>
    <w:rsid w:val="6EB82E9A"/>
    <w:rsid w:val="6EBE337C"/>
    <w:rsid w:val="6EED0AFC"/>
    <w:rsid w:val="6EEE2824"/>
    <w:rsid w:val="6EFC719C"/>
    <w:rsid w:val="6F0737B2"/>
    <w:rsid w:val="6F143527"/>
    <w:rsid w:val="6F190504"/>
    <w:rsid w:val="6F233115"/>
    <w:rsid w:val="6F363011"/>
    <w:rsid w:val="6F3C73CB"/>
    <w:rsid w:val="6F415F0F"/>
    <w:rsid w:val="6F5D0EFF"/>
    <w:rsid w:val="6F655F3A"/>
    <w:rsid w:val="6F6C4899"/>
    <w:rsid w:val="6F6D24CE"/>
    <w:rsid w:val="6F6D6EDE"/>
    <w:rsid w:val="6F76025D"/>
    <w:rsid w:val="6F836E91"/>
    <w:rsid w:val="6F850787"/>
    <w:rsid w:val="6F897A47"/>
    <w:rsid w:val="6F9F4D1F"/>
    <w:rsid w:val="6FA66C8F"/>
    <w:rsid w:val="6FA82B53"/>
    <w:rsid w:val="6FC901E6"/>
    <w:rsid w:val="70174EC9"/>
    <w:rsid w:val="70182C29"/>
    <w:rsid w:val="701F6C2C"/>
    <w:rsid w:val="702A5519"/>
    <w:rsid w:val="702E7040"/>
    <w:rsid w:val="70370356"/>
    <w:rsid w:val="70690614"/>
    <w:rsid w:val="70810440"/>
    <w:rsid w:val="709964AF"/>
    <w:rsid w:val="70CA2E6B"/>
    <w:rsid w:val="70EC1FD3"/>
    <w:rsid w:val="70F421F8"/>
    <w:rsid w:val="7125146A"/>
    <w:rsid w:val="712C6799"/>
    <w:rsid w:val="71593422"/>
    <w:rsid w:val="71783113"/>
    <w:rsid w:val="71C1426B"/>
    <w:rsid w:val="71D648CD"/>
    <w:rsid w:val="71DF1F81"/>
    <w:rsid w:val="720B4C3E"/>
    <w:rsid w:val="72417D9D"/>
    <w:rsid w:val="725C743B"/>
    <w:rsid w:val="7261654F"/>
    <w:rsid w:val="727A735B"/>
    <w:rsid w:val="72A16523"/>
    <w:rsid w:val="72C17F9A"/>
    <w:rsid w:val="72D553DA"/>
    <w:rsid w:val="72DC15E5"/>
    <w:rsid w:val="72E46202"/>
    <w:rsid w:val="72FE4EF9"/>
    <w:rsid w:val="73200B88"/>
    <w:rsid w:val="73351CBE"/>
    <w:rsid w:val="735A17EF"/>
    <w:rsid w:val="73631CF0"/>
    <w:rsid w:val="736B5A3F"/>
    <w:rsid w:val="737B2A26"/>
    <w:rsid w:val="7390151A"/>
    <w:rsid w:val="73A203E4"/>
    <w:rsid w:val="73A875BA"/>
    <w:rsid w:val="73B22409"/>
    <w:rsid w:val="73E45C29"/>
    <w:rsid w:val="73E55492"/>
    <w:rsid w:val="73E67BF0"/>
    <w:rsid w:val="73EF4D7B"/>
    <w:rsid w:val="7400407A"/>
    <w:rsid w:val="74220495"/>
    <w:rsid w:val="7446387A"/>
    <w:rsid w:val="74490C17"/>
    <w:rsid w:val="74695F57"/>
    <w:rsid w:val="746E045A"/>
    <w:rsid w:val="748D0908"/>
    <w:rsid w:val="74F94F3B"/>
    <w:rsid w:val="750A4C07"/>
    <w:rsid w:val="75120CD4"/>
    <w:rsid w:val="75157715"/>
    <w:rsid w:val="75296253"/>
    <w:rsid w:val="753C2194"/>
    <w:rsid w:val="754726FD"/>
    <w:rsid w:val="754C134E"/>
    <w:rsid w:val="754F341A"/>
    <w:rsid w:val="75526482"/>
    <w:rsid w:val="75584288"/>
    <w:rsid w:val="75BB3316"/>
    <w:rsid w:val="75BF5EF9"/>
    <w:rsid w:val="75C06C3E"/>
    <w:rsid w:val="75D47DFB"/>
    <w:rsid w:val="75F3101B"/>
    <w:rsid w:val="76084E0F"/>
    <w:rsid w:val="761F3D78"/>
    <w:rsid w:val="76270644"/>
    <w:rsid w:val="764664B0"/>
    <w:rsid w:val="76496602"/>
    <w:rsid w:val="764C7C0C"/>
    <w:rsid w:val="76993BF2"/>
    <w:rsid w:val="76A531F0"/>
    <w:rsid w:val="76A80BE2"/>
    <w:rsid w:val="76E47139"/>
    <w:rsid w:val="77133067"/>
    <w:rsid w:val="771D4F43"/>
    <w:rsid w:val="77295A86"/>
    <w:rsid w:val="777475F0"/>
    <w:rsid w:val="777D3505"/>
    <w:rsid w:val="778278E4"/>
    <w:rsid w:val="77B22694"/>
    <w:rsid w:val="77B712F5"/>
    <w:rsid w:val="77B91DAD"/>
    <w:rsid w:val="77C20025"/>
    <w:rsid w:val="77DE7103"/>
    <w:rsid w:val="77F644B4"/>
    <w:rsid w:val="780A531A"/>
    <w:rsid w:val="780D4352"/>
    <w:rsid w:val="780E562C"/>
    <w:rsid w:val="78234D0A"/>
    <w:rsid w:val="782C5DB5"/>
    <w:rsid w:val="78443A38"/>
    <w:rsid w:val="78577F3B"/>
    <w:rsid w:val="78664526"/>
    <w:rsid w:val="787E72F4"/>
    <w:rsid w:val="78811502"/>
    <w:rsid w:val="78884CDA"/>
    <w:rsid w:val="78887F29"/>
    <w:rsid w:val="788953EB"/>
    <w:rsid w:val="7894230F"/>
    <w:rsid w:val="78AF5019"/>
    <w:rsid w:val="78BF1758"/>
    <w:rsid w:val="78C22034"/>
    <w:rsid w:val="78C9666C"/>
    <w:rsid w:val="78D67AA0"/>
    <w:rsid w:val="79170338"/>
    <w:rsid w:val="797E0D08"/>
    <w:rsid w:val="79842F71"/>
    <w:rsid w:val="79887545"/>
    <w:rsid w:val="798A37D4"/>
    <w:rsid w:val="799558B4"/>
    <w:rsid w:val="799F60E4"/>
    <w:rsid w:val="79E65C0E"/>
    <w:rsid w:val="79E827CE"/>
    <w:rsid w:val="79F17D8D"/>
    <w:rsid w:val="7A4E38E1"/>
    <w:rsid w:val="7A5E0A2A"/>
    <w:rsid w:val="7A5E12F7"/>
    <w:rsid w:val="7A82273F"/>
    <w:rsid w:val="7A9D5A6E"/>
    <w:rsid w:val="7ABE45D8"/>
    <w:rsid w:val="7ABE7023"/>
    <w:rsid w:val="7AC5601E"/>
    <w:rsid w:val="7AD02CCB"/>
    <w:rsid w:val="7AD5666F"/>
    <w:rsid w:val="7AF8559A"/>
    <w:rsid w:val="7AFC3285"/>
    <w:rsid w:val="7B0A1E90"/>
    <w:rsid w:val="7B727C5E"/>
    <w:rsid w:val="7BA96F23"/>
    <w:rsid w:val="7BB56247"/>
    <w:rsid w:val="7BD227A0"/>
    <w:rsid w:val="7BD25B81"/>
    <w:rsid w:val="7C01581E"/>
    <w:rsid w:val="7C0F4716"/>
    <w:rsid w:val="7C146AB5"/>
    <w:rsid w:val="7C264CF7"/>
    <w:rsid w:val="7C2F2E91"/>
    <w:rsid w:val="7C3B21F6"/>
    <w:rsid w:val="7C3B426B"/>
    <w:rsid w:val="7C41607D"/>
    <w:rsid w:val="7C6347BD"/>
    <w:rsid w:val="7C654FC3"/>
    <w:rsid w:val="7C671506"/>
    <w:rsid w:val="7C79094E"/>
    <w:rsid w:val="7C9423C5"/>
    <w:rsid w:val="7CA61344"/>
    <w:rsid w:val="7CAF4890"/>
    <w:rsid w:val="7CC5747B"/>
    <w:rsid w:val="7CC90647"/>
    <w:rsid w:val="7CE03652"/>
    <w:rsid w:val="7CE44C75"/>
    <w:rsid w:val="7CFF59A1"/>
    <w:rsid w:val="7D011E9B"/>
    <w:rsid w:val="7D04761F"/>
    <w:rsid w:val="7D28226E"/>
    <w:rsid w:val="7D405DC2"/>
    <w:rsid w:val="7D873CBE"/>
    <w:rsid w:val="7D8828ED"/>
    <w:rsid w:val="7D8E6302"/>
    <w:rsid w:val="7D9D5F9D"/>
    <w:rsid w:val="7DA2692C"/>
    <w:rsid w:val="7DB147AE"/>
    <w:rsid w:val="7DDC156D"/>
    <w:rsid w:val="7DE62533"/>
    <w:rsid w:val="7E261999"/>
    <w:rsid w:val="7E2745E3"/>
    <w:rsid w:val="7E446934"/>
    <w:rsid w:val="7E447259"/>
    <w:rsid w:val="7E630591"/>
    <w:rsid w:val="7E641649"/>
    <w:rsid w:val="7E6544DF"/>
    <w:rsid w:val="7E774605"/>
    <w:rsid w:val="7E7979D1"/>
    <w:rsid w:val="7EAB6704"/>
    <w:rsid w:val="7EAE1AD3"/>
    <w:rsid w:val="7EB218A0"/>
    <w:rsid w:val="7ECE16D3"/>
    <w:rsid w:val="7EE94186"/>
    <w:rsid w:val="7EF210C0"/>
    <w:rsid w:val="7EF82E56"/>
    <w:rsid w:val="7EFD35EE"/>
    <w:rsid w:val="7F0E05A5"/>
    <w:rsid w:val="7F0E1B8F"/>
    <w:rsid w:val="7F27194F"/>
    <w:rsid w:val="7F412327"/>
    <w:rsid w:val="7F48286D"/>
    <w:rsid w:val="7F4B1F41"/>
    <w:rsid w:val="7F4D46EA"/>
    <w:rsid w:val="7F8D2F59"/>
    <w:rsid w:val="7F9A1827"/>
    <w:rsid w:val="7FA26119"/>
    <w:rsid w:val="7FDA3D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624"/>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7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0"/>
    <w:qFormat/>
    <w:uiPriority w:val="0"/>
    <w:pPr>
      <w:keepNext/>
      <w:keepLines/>
      <w:spacing w:before="260" w:after="260" w:line="416" w:lineRule="auto"/>
      <w:outlineLvl w:val="1"/>
    </w:pPr>
    <w:rPr>
      <w:rFonts w:ascii="Arial" w:hAnsi="Arial" w:eastAsia="黑体"/>
      <w:b/>
      <w:bCs/>
      <w:szCs w:val="32"/>
    </w:rPr>
  </w:style>
  <w:style w:type="paragraph" w:styleId="4">
    <w:name w:val="heading 3"/>
    <w:basedOn w:val="1"/>
    <w:next w:val="5"/>
    <w:qFormat/>
    <w:uiPriority w:val="0"/>
    <w:pPr>
      <w:numPr>
        <w:ilvl w:val="2"/>
        <w:numId w:val="1"/>
      </w:numPr>
      <w:textAlignment w:val="baseline"/>
      <w:outlineLvl w:val="2"/>
    </w:pPr>
    <w:rPr>
      <w:rFonts w:eastAsia="黑体"/>
      <w:snapToGrid w:val="0"/>
    </w:rPr>
  </w:style>
  <w:style w:type="paragraph" w:styleId="6">
    <w:name w:val="heading 5"/>
    <w:basedOn w:val="1"/>
    <w:next w:val="1"/>
    <w:qFormat/>
    <w:uiPriority w:val="0"/>
    <w:pPr>
      <w:spacing w:before="240" w:after="60"/>
      <w:outlineLvl w:val="4"/>
    </w:pPr>
    <w:rPr>
      <w:bCs/>
      <w:iCs/>
    </w:rPr>
  </w:style>
  <w:style w:type="paragraph" w:styleId="7">
    <w:name w:val="heading 6"/>
    <w:basedOn w:val="1"/>
    <w:next w:val="1"/>
    <w:link w:val="72"/>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semiHidden/>
    <w:qFormat/>
    <w:uiPriority w:val="99"/>
    <w:pPr>
      <w:ind w:firstLine="680"/>
    </w:pPr>
  </w:style>
  <w:style w:type="paragraph" w:styleId="8">
    <w:name w:val="index 5"/>
    <w:basedOn w:val="1"/>
    <w:next w:val="1"/>
    <w:qFormat/>
    <w:uiPriority w:val="0"/>
    <w:pPr>
      <w:ind w:left="1680"/>
    </w:pPr>
  </w:style>
  <w:style w:type="paragraph" w:styleId="9">
    <w:name w:val="Salutation"/>
    <w:basedOn w:val="1"/>
    <w:next w:val="1"/>
    <w:qFormat/>
    <w:uiPriority w:val="0"/>
    <w:pPr>
      <w:spacing w:line="240" w:lineRule="auto"/>
      <w:ind w:firstLine="0"/>
    </w:pPr>
    <w:rPr>
      <w:rFonts w:eastAsia="宋体"/>
      <w:sz w:val="21"/>
    </w:rPr>
  </w:style>
  <w:style w:type="paragraph" w:styleId="10">
    <w:name w:val="Body Text"/>
    <w:basedOn w:val="1"/>
    <w:qFormat/>
    <w:uiPriority w:val="0"/>
    <w:pPr>
      <w:spacing w:after="120"/>
    </w:pPr>
    <w:rPr>
      <w:kern w:val="0"/>
      <w:sz w:val="20"/>
    </w:rPr>
  </w:style>
  <w:style w:type="paragraph" w:styleId="11">
    <w:name w:val="Body Text Indent"/>
    <w:basedOn w:val="1"/>
    <w:qFormat/>
    <w:uiPriority w:val="0"/>
    <w:pPr>
      <w:autoSpaceDE w:val="0"/>
      <w:autoSpaceDN w:val="0"/>
      <w:adjustRightInd w:val="0"/>
      <w:ind w:firstLine="640"/>
      <w:jc w:val="left"/>
    </w:pPr>
    <w:rPr>
      <w:rFonts w:ascii="宋体"/>
      <w:color w:val="000000"/>
      <w:kern w:val="0"/>
      <w:sz w:val="28"/>
    </w:rPr>
  </w:style>
  <w:style w:type="paragraph" w:styleId="12">
    <w:name w:val="toc 3"/>
    <w:basedOn w:val="1"/>
    <w:next w:val="1"/>
    <w:unhideWhenUsed/>
    <w:qFormat/>
    <w:uiPriority w:val="39"/>
    <w:pPr>
      <w:widowControl/>
      <w:spacing w:after="100" w:line="259" w:lineRule="auto"/>
      <w:ind w:left="440" w:firstLine="0"/>
      <w:jc w:val="left"/>
    </w:pPr>
    <w:rPr>
      <w:rFonts w:asciiTheme="minorHAnsi" w:hAnsiTheme="minorHAnsi" w:eastAsiaTheme="minorEastAsia"/>
      <w:kern w:val="0"/>
      <w:sz w:val="22"/>
      <w:szCs w:val="22"/>
    </w:rPr>
  </w:style>
  <w:style w:type="paragraph" w:styleId="13">
    <w:name w:val="Plain Text"/>
    <w:basedOn w:val="1"/>
    <w:qFormat/>
    <w:uiPriority w:val="0"/>
    <w:pPr>
      <w:spacing w:line="240" w:lineRule="auto"/>
      <w:ind w:firstLine="0"/>
    </w:pPr>
    <w:rPr>
      <w:rFonts w:ascii="宋体" w:hAnsi="Courier New" w:eastAsia="宋体" w:cs="Courier New"/>
      <w:sz w:val="21"/>
      <w:szCs w:val="21"/>
    </w:rPr>
  </w:style>
  <w:style w:type="paragraph" w:styleId="14">
    <w:name w:val="Body Text Indent 2"/>
    <w:basedOn w:val="1"/>
    <w:unhideWhenUsed/>
    <w:qFormat/>
    <w:uiPriority w:val="99"/>
    <w:pPr>
      <w:spacing w:after="120" w:line="480" w:lineRule="auto"/>
      <w:ind w:left="420" w:leftChars="200"/>
    </w:pPr>
    <w:rPr>
      <w:kern w:val="0"/>
      <w:sz w:val="20"/>
    </w:rPr>
  </w:style>
  <w:style w:type="paragraph" w:styleId="15">
    <w:name w:val="Balloon Text"/>
    <w:basedOn w:val="1"/>
    <w:link w:val="54"/>
    <w:qFormat/>
    <w:uiPriority w:val="0"/>
    <w:pPr>
      <w:spacing w:line="240" w:lineRule="auto"/>
    </w:pPr>
    <w:rPr>
      <w:sz w:val="18"/>
      <w:szCs w:val="18"/>
    </w:rPr>
  </w:style>
  <w:style w:type="paragraph" w:styleId="16">
    <w:name w:val="footer"/>
    <w:basedOn w:val="1"/>
    <w:next w:val="1"/>
    <w:link w:val="51"/>
    <w:qFormat/>
    <w:uiPriority w:val="99"/>
    <w:pPr>
      <w:tabs>
        <w:tab w:val="center" w:pos="4153"/>
        <w:tab w:val="right" w:pos="8306"/>
      </w:tabs>
      <w:snapToGrid w:val="0"/>
      <w:spacing w:line="240" w:lineRule="atLeast"/>
      <w:jc w:val="left"/>
    </w:pPr>
    <w:rPr>
      <w:sz w:val="18"/>
    </w:rPr>
  </w:style>
  <w:style w:type="paragraph" w:styleId="17">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8">
    <w:name w:val="toc 1"/>
    <w:basedOn w:val="1"/>
    <w:next w:val="1"/>
    <w:unhideWhenUsed/>
    <w:qFormat/>
    <w:uiPriority w:val="39"/>
    <w:pPr>
      <w:widowControl/>
      <w:spacing w:after="100" w:line="259" w:lineRule="auto"/>
      <w:ind w:firstLine="0"/>
      <w:jc w:val="left"/>
    </w:pPr>
    <w:rPr>
      <w:rFonts w:asciiTheme="minorHAnsi" w:hAnsiTheme="minorHAnsi" w:eastAsiaTheme="minorEastAsia"/>
      <w:kern w:val="0"/>
      <w:sz w:val="22"/>
      <w:szCs w:val="22"/>
    </w:rPr>
  </w:style>
  <w:style w:type="paragraph" w:styleId="19">
    <w:name w:val="Subtitle"/>
    <w:basedOn w:val="1"/>
    <w:next w:val="1"/>
    <w:qFormat/>
    <w:uiPriority w:val="0"/>
    <w:pPr>
      <w:jc w:val="center"/>
    </w:pPr>
    <w:rPr>
      <w:rFonts w:eastAsia="黑体"/>
    </w:rPr>
  </w:style>
  <w:style w:type="paragraph" w:styleId="20">
    <w:name w:val="toc 2"/>
    <w:basedOn w:val="1"/>
    <w:next w:val="1"/>
    <w:unhideWhenUsed/>
    <w:qFormat/>
    <w:uiPriority w:val="39"/>
    <w:pPr>
      <w:widowControl/>
      <w:spacing w:after="100" w:line="259" w:lineRule="auto"/>
      <w:ind w:left="220" w:firstLine="0"/>
      <w:jc w:val="left"/>
    </w:pPr>
    <w:rPr>
      <w:rFonts w:asciiTheme="minorHAnsi" w:hAnsiTheme="minorHAnsi" w:eastAsiaTheme="minorEastAsia"/>
      <w:kern w:val="0"/>
      <w:sz w:val="22"/>
      <w:szCs w:val="22"/>
    </w:rPr>
  </w:style>
  <w:style w:type="paragraph" w:styleId="21">
    <w:name w:val="Normal (Web)"/>
    <w:basedOn w:val="1"/>
    <w:qFormat/>
    <w:uiPriority w:val="0"/>
    <w:pPr>
      <w:widowControl/>
      <w:spacing w:before="100" w:beforeAutospacing="1" w:after="100" w:afterAutospacing="1" w:line="240" w:lineRule="auto"/>
      <w:ind w:firstLine="0"/>
      <w:jc w:val="left"/>
    </w:pPr>
    <w:rPr>
      <w:rFonts w:ascii="宋体" w:hAnsi="宋体" w:eastAsia="宋体" w:cs="宋体"/>
      <w:color w:val="000000"/>
      <w:kern w:val="0"/>
      <w:sz w:val="24"/>
      <w:szCs w:val="24"/>
    </w:rPr>
  </w:style>
  <w:style w:type="paragraph" w:styleId="22">
    <w:name w:val="Title"/>
    <w:basedOn w:val="1"/>
    <w:next w:val="1"/>
    <w:qFormat/>
    <w:uiPriority w:val="10"/>
    <w:pPr>
      <w:widowControl/>
      <w:spacing w:before="240" w:after="60"/>
      <w:jc w:val="center"/>
      <w:outlineLvl w:val="0"/>
    </w:pPr>
    <w:rPr>
      <w:rFonts w:ascii="Cambria" w:hAnsi="Cambria"/>
      <w:b/>
      <w:bCs/>
      <w:kern w:val="0"/>
      <w:szCs w:val="32"/>
      <w:lang w:eastAsia="en-US"/>
    </w:rPr>
  </w:style>
  <w:style w:type="paragraph" w:styleId="23">
    <w:name w:val="Body Text First Indent"/>
    <w:basedOn w:val="10"/>
    <w:next w:val="24"/>
    <w:qFormat/>
    <w:uiPriority w:val="0"/>
    <w:pPr>
      <w:ind w:firstLine="420" w:firstLineChars="100"/>
    </w:pPr>
  </w:style>
  <w:style w:type="paragraph" w:styleId="24">
    <w:name w:val="Body Text First Indent 2"/>
    <w:basedOn w:val="11"/>
    <w:qFormat/>
    <w:uiPriority w:val="0"/>
    <w:pPr>
      <w:ind w:firstLine="420" w:firstLineChars="200"/>
    </w:pPr>
    <w:rPr>
      <w:rFonts w:eastAsia="宋体"/>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Emphasis"/>
    <w:qFormat/>
    <w:uiPriority w:val="20"/>
    <w:rPr>
      <w:i/>
      <w:iCs/>
    </w:rPr>
  </w:style>
  <w:style w:type="character" w:styleId="31">
    <w:name w:val="Hyperlink"/>
    <w:basedOn w:val="27"/>
    <w:unhideWhenUsed/>
    <w:qFormat/>
    <w:uiPriority w:val="99"/>
    <w:rPr>
      <w:color w:val="0000FF"/>
      <w:u w:val="single"/>
    </w:rPr>
  </w:style>
  <w:style w:type="paragraph" w:customStyle="1" w:styleId="32">
    <w:name w:val="图表目录1"/>
    <w:basedOn w:val="1"/>
    <w:next w:val="1"/>
    <w:qFormat/>
    <w:uiPriority w:val="0"/>
    <w:pPr>
      <w:ind w:left="200" w:leftChars="200" w:hanging="200" w:hangingChars="200"/>
    </w:pPr>
  </w:style>
  <w:style w:type="paragraph" w:customStyle="1" w:styleId="33">
    <w:name w:val="正文2"/>
    <w:basedOn w:val="1"/>
    <w:next w:val="1"/>
    <w:qFormat/>
    <w:uiPriority w:val="99"/>
    <w:rPr>
      <w:rFonts w:ascii="Calibri" w:hAnsi="Calibri"/>
    </w:rPr>
  </w:style>
  <w:style w:type="character" w:customStyle="1" w:styleId="34">
    <w:name w:val="font01"/>
    <w:basedOn w:val="27"/>
    <w:qFormat/>
    <w:uiPriority w:val="0"/>
    <w:rPr>
      <w:rFonts w:hint="eastAsia" w:ascii="仿宋" w:hAnsi="仿宋" w:eastAsia="仿宋" w:cs="仿宋"/>
      <w:color w:val="000000"/>
      <w:sz w:val="22"/>
      <w:szCs w:val="22"/>
      <w:u w:val="none"/>
    </w:rPr>
  </w:style>
  <w:style w:type="character" w:customStyle="1" w:styleId="35">
    <w:name w:val="font11"/>
    <w:basedOn w:val="27"/>
    <w:qFormat/>
    <w:uiPriority w:val="0"/>
    <w:rPr>
      <w:rFonts w:hint="eastAsia" w:ascii="仿宋" w:hAnsi="仿宋" w:eastAsia="仿宋" w:cs="仿宋"/>
      <w:color w:val="000000"/>
      <w:sz w:val="24"/>
      <w:szCs w:val="24"/>
      <w:u w:val="none"/>
    </w:rPr>
  </w:style>
  <w:style w:type="character" w:customStyle="1" w:styleId="36">
    <w:name w:val="infovalue"/>
    <w:basedOn w:val="27"/>
    <w:qFormat/>
    <w:uiPriority w:val="0"/>
  </w:style>
  <w:style w:type="paragraph" w:styleId="37">
    <w:name w:val="List Paragraph"/>
    <w:basedOn w:val="1"/>
    <w:qFormat/>
    <w:uiPriority w:val="99"/>
    <w:pPr>
      <w:ind w:firstLine="420" w:firstLineChars="200"/>
    </w:pPr>
  </w:style>
  <w:style w:type="paragraph" w:customStyle="1" w:styleId="38">
    <w:name w:val="正文文本 (3)"/>
    <w:basedOn w:val="1"/>
    <w:qFormat/>
    <w:uiPriority w:val="0"/>
    <w:pPr>
      <w:shd w:val="clear" w:color="auto" w:fill="FFFFFF"/>
      <w:spacing w:after="60" w:line="494" w:lineRule="exact"/>
      <w:jc w:val="distribute"/>
    </w:pPr>
    <w:rPr>
      <w:rFonts w:ascii="MingLiU" w:hAnsi="MingLiU" w:eastAsia="MingLiU" w:cs="MingLiU"/>
      <w:spacing w:val="10"/>
      <w:sz w:val="26"/>
      <w:szCs w:val="26"/>
    </w:rPr>
  </w:style>
  <w:style w:type="character" w:customStyle="1" w:styleId="39">
    <w:name w:val="apple-converted-space"/>
    <w:qFormat/>
    <w:uiPriority w:val="0"/>
  </w:style>
  <w:style w:type="paragraph" w:customStyle="1" w:styleId="40">
    <w:name w:val="博士后段落"/>
    <w:basedOn w:val="1"/>
    <w:qFormat/>
    <w:uiPriority w:val="0"/>
    <w:pPr>
      <w:ind w:firstLine="200" w:firstLineChars="200"/>
    </w:pPr>
    <w:rPr>
      <w:sz w:val="28"/>
      <w:szCs w:val="28"/>
    </w:rPr>
  </w:style>
  <w:style w:type="character" w:customStyle="1" w:styleId="41">
    <w:name w:val="font21"/>
    <w:basedOn w:val="27"/>
    <w:qFormat/>
    <w:uiPriority w:val="0"/>
    <w:rPr>
      <w:rFonts w:hint="default" w:ascii="等线" w:hAnsi="等线" w:eastAsia="等线" w:cs="等线"/>
      <w:color w:val="000000"/>
      <w:sz w:val="20"/>
      <w:szCs w:val="20"/>
      <w:u w:val="none"/>
    </w:rPr>
  </w:style>
  <w:style w:type="character" w:customStyle="1" w:styleId="42">
    <w:name w:val="font31"/>
    <w:basedOn w:val="27"/>
    <w:qFormat/>
    <w:uiPriority w:val="0"/>
    <w:rPr>
      <w:rFonts w:hint="default" w:ascii="Times New Roman" w:hAnsi="Times New Roman" w:cs="Times New Roman"/>
      <w:color w:val="000000"/>
      <w:sz w:val="20"/>
      <w:szCs w:val="20"/>
      <w:u w:val="none"/>
    </w:rPr>
  </w:style>
  <w:style w:type="paragraph" w:customStyle="1" w:styleId="43">
    <w:name w:val="Other|1"/>
    <w:basedOn w:val="1"/>
    <w:qFormat/>
    <w:uiPriority w:val="0"/>
    <w:pPr>
      <w:spacing w:line="274" w:lineRule="exact"/>
    </w:pPr>
    <w:rPr>
      <w:rFonts w:ascii="宋体" w:hAnsi="宋体" w:eastAsia="宋体" w:cs="宋体"/>
      <w:sz w:val="19"/>
      <w:szCs w:val="19"/>
      <w:lang w:val="zh-TW" w:eastAsia="zh-TW" w:bidi="zh-TW"/>
    </w:rPr>
  </w:style>
  <w:style w:type="character" w:customStyle="1" w:styleId="44">
    <w:name w:val="页眉 字符"/>
    <w:basedOn w:val="27"/>
    <w:link w:val="17"/>
    <w:qFormat/>
    <w:uiPriority w:val="99"/>
    <w:rPr>
      <w:rFonts w:ascii="Times New Roman" w:hAnsi="Times New Roman" w:eastAsia="仿宋_GB2312" w:cs="Times New Roman"/>
      <w:kern w:val="2"/>
      <w:sz w:val="18"/>
      <w:szCs w:val="18"/>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主题标"/>
    <w:basedOn w:val="1"/>
    <w:next w:val="9"/>
    <w:qFormat/>
    <w:uiPriority w:val="0"/>
    <w:pPr>
      <w:ind w:firstLine="0"/>
      <w:jc w:val="center"/>
    </w:pPr>
    <w:rPr>
      <w:rFonts w:eastAsia="方正小标宋简体"/>
      <w:sz w:val="44"/>
    </w:rPr>
  </w:style>
  <w:style w:type="table" w:customStyle="1" w:styleId="47">
    <w:name w:val="无格式表格 21"/>
    <w:basedOn w:val="2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8">
    <w:name w:val="font161"/>
    <w:basedOn w:val="27"/>
    <w:qFormat/>
    <w:uiPriority w:val="0"/>
    <w:rPr>
      <w:rFonts w:hint="default" w:ascii="Times New Roman" w:hAnsi="Times New Roman" w:cs="Times New Roman"/>
      <w:color w:val="000000"/>
      <w:sz w:val="20"/>
      <w:szCs w:val="20"/>
      <w:u w:val="none"/>
    </w:rPr>
  </w:style>
  <w:style w:type="character" w:customStyle="1" w:styleId="49">
    <w:name w:val="font101"/>
    <w:basedOn w:val="27"/>
    <w:qFormat/>
    <w:uiPriority w:val="0"/>
    <w:rPr>
      <w:rFonts w:hint="eastAsia" w:ascii="仿宋" w:hAnsi="仿宋" w:eastAsia="仿宋" w:cs="仿宋"/>
      <w:color w:val="000000"/>
      <w:sz w:val="20"/>
      <w:szCs w:val="20"/>
      <w:u w:val="none"/>
    </w:rPr>
  </w:style>
  <w:style w:type="paragraph" w:customStyle="1" w:styleId="50">
    <w:name w:val="Table Paragraph"/>
    <w:basedOn w:val="1"/>
    <w:unhideWhenUsed/>
    <w:qFormat/>
    <w:uiPriority w:val="1"/>
    <w:rPr>
      <w:sz w:val="24"/>
    </w:rPr>
  </w:style>
  <w:style w:type="character" w:customStyle="1" w:styleId="51">
    <w:name w:val="页脚 字符"/>
    <w:basedOn w:val="27"/>
    <w:link w:val="16"/>
    <w:qFormat/>
    <w:uiPriority w:val="99"/>
    <w:rPr>
      <w:rFonts w:eastAsia="仿宋_GB2312"/>
      <w:kern w:val="2"/>
      <w:sz w:val="18"/>
    </w:rPr>
  </w:style>
  <w:style w:type="character" w:customStyle="1" w:styleId="52">
    <w:name w:val="NormalCharacter"/>
    <w:semiHidden/>
    <w:qFormat/>
    <w:uiPriority w:val="0"/>
  </w:style>
  <w:style w:type="paragraph" w:customStyle="1" w:styleId="53">
    <w:name w:val="Table caption|1"/>
    <w:basedOn w:val="1"/>
    <w:qFormat/>
    <w:uiPriority w:val="0"/>
    <w:pPr>
      <w:spacing w:line="236" w:lineRule="exact"/>
      <w:jc w:val="center"/>
    </w:pPr>
    <w:rPr>
      <w:rFonts w:ascii="宋体" w:hAnsi="宋体" w:eastAsia="宋体" w:cs="宋体"/>
      <w:sz w:val="16"/>
      <w:szCs w:val="16"/>
      <w:lang w:val="zh-TW" w:eastAsia="zh-TW" w:bidi="zh-TW"/>
    </w:rPr>
  </w:style>
  <w:style w:type="character" w:customStyle="1" w:styleId="54">
    <w:name w:val="批注框文本 字符"/>
    <w:basedOn w:val="27"/>
    <w:link w:val="15"/>
    <w:qFormat/>
    <w:uiPriority w:val="0"/>
    <w:rPr>
      <w:rFonts w:eastAsia="仿宋_GB2312"/>
      <w:kern w:val="2"/>
      <w:sz w:val="18"/>
      <w:szCs w:val="18"/>
    </w:rPr>
  </w:style>
  <w:style w:type="paragraph" w:customStyle="1" w:styleId="55">
    <w:name w:val="Header or footer|2"/>
    <w:basedOn w:val="1"/>
    <w:qFormat/>
    <w:uiPriority w:val="0"/>
    <w:rPr>
      <w:sz w:val="20"/>
      <w:lang w:val="zh-CN" w:bidi="zh-CN"/>
    </w:rPr>
  </w:style>
  <w:style w:type="paragraph" w:customStyle="1" w:styleId="56">
    <w:name w:val="TOC 标题1"/>
    <w:basedOn w:val="2"/>
    <w:next w:val="1"/>
    <w:unhideWhenUsed/>
    <w:qFormat/>
    <w:uiPriority w:val="39"/>
    <w:pPr>
      <w:widowControl/>
      <w:spacing w:before="240" w:after="0" w:line="259" w:lineRule="auto"/>
      <w:ind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7">
    <w:name w:val="修订1"/>
    <w:hidden/>
    <w:semiHidden/>
    <w:qFormat/>
    <w:uiPriority w:val="99"/>
    <w:rPr>
      <w:rFonts w:ascii="Times New Roman" w:hAnsi="Times New Roman" w:eastAsia="仿宋_GB2312" w:cs="Times New Roman"/>
      <w:kern w:val="2"/>
      <w:sz w:val="32"/>
      <w:lang w:val="en-US" w:eastAsia="zh-CN" w:bidi="ar-SA"/>
    </w:rPr>
  </w:style>
  <w:style w:type="table" w:customStyle="1" w:styleId="58">
    <w:name w:val="Table Normal"/>
    <w:semiHidden/>
    <w:unhideWhenUsed/>
    <w:qFormat/>
    <w:uiPriority w:val="0"/>
    <w:tblPr>
      <w:tblCellMar>
        <w:top w:w="0" w:type="dxa"/>
        <w:left w:w="0" w:type="dxa"/>
        <w:bottom w:w="0" w:type="dxa"/>
        <w:right w:w="0" w:type="dxa"/>
      </w:tblCellMar>
    </w:tblPr>
  </w:style>
  <w:style w:type="table" w:customStyle="1" w:styleId="59">
    <w:name w:val="TableGrid"/>
    <w:qFormat/>
    <w:uiPriority w:val="0"/>
    <w:tblPr>
      <w:tblCellMar>
        <w:top w:w="0" w:type="dxa"/>
        <w:left w:w="0" w:type="dxa"/>
        <w:bottom w:w="0" w:type="dxa"/>
        <w:right w:w="0" w:type="dxa"/>
      </w:tblCellMar>
    </w:tblPr>
  </w:style>
  <w:style w:type="paragraph" w:customStyle="1" w:styleId="60">
    <w:name w:val="浅色列表1"/>
    <w:next w:val="8"/>
    <w:qFormat/>
    <w:uiPriority w:val="0"/>
    <w:pPr>
      <w:widowControl w:val="0"/>
      <w:ind w:firstLine="200" w:firstLineChars="200"/>
      <w:jc w:val="both"/>
    </w:pPr>
    <w:rPr>
      <w:rFonts w:ascii="Calibri" w:hAnsi="宋体" w:eastAsia="宋体" w:cs="Times New Roman"/>
      <w:kern w:val="2"/>
      <w:sz w:val="21"/>
      <w:szCs w:val="22"/>
      <w:lang w:val="en-US" w:eastAsia="zh-CN" w:bidi="ar-SA"/>
    </w:rPr>
  </w:style>
  <w:style w:type="character" w:customStyle="1" w:styleId="61">
    <w:name w:val="19"/>
    <w:basedOn w:val="27"/>
    <w:qFormat/>
    <w:uiPriority w:val="0"/>
    <w:rPr>
      <w:rFonts w:hint="default" w:ascii="Times New Roman" w:hAnsi="Times New Roman" w:cs="Times New Roman"/>
      <w:b/>
      <w:bCs/>
    </w:rPr>
  </w:style>
  <w:style w:type="character" w:customStyle="1" w:styleId="62">
    <w:name w:val="font41"/>
    <w:basedOn w:val="27"/>
    <w:qFormat/>
    <w:uiPriority w:val="0"/>
    <w:rPr>
      <w:rFonts w:hint="default" w:ascii="Times New Roman" w:hAnsi="Times New Roman" w:cs="Times New Roman"/>
      <w:color w:val="000000"/>
      <w:sz w:val="24"/>
      <w:szCs w:val="24"/>
      <w:u w:val="none"/>
    </w:rPr>
  </w:style>
  <w:style w:type="paragraph" w:customStyle="1" w:styleId="63">
    <w:name w:val="常用样式（方正仿宋简）"/>
    <w:basedOn w:val="1"/>
    <w:qFormat/>
    <w:uiPriority w:val="0"/>
    <w:pPr>
      <w:spacing w:line="560" w:lineRule="exact"/>
      <w:ind w:firstLine="640" w:firstLineChars="200"/>
    </w:pPr>
    <w:rPr>
      <w:rFonts w:eastAsia="方正仿宋简体"/>
      <w:sz w:val="32"/>
    </w:rPr>
  </w:style>
  <w:style w:type="paragraph" w:customStyle="1" w:styleId="64">
    <w:name w:val="章标题"/>
    <w:basedOn w:val="1"/>
    <w:next w:val="65"/>
    <w:qFormat/>
    <w:uiPriority w:val="0"/>
    <w:pPr>
      <w:widowControl/>
      <w:spacing w:before="158" w:after="153" w:line="323" w:lineRule="atLeast"/>
      <w:ind w:right="-120"/>
      <w:jc w:val="center"/>
      <w:textAlignment w:val="baseline"/>
    </w:pPr>
    <w:rPr>
      <w:rFonts w:ascii="Times New Roman" w:hAnsi="Times New Roman"/>
      <w:color w:val="FF0000"/>
      <w:sz w:val="18"/>
    </w:rPr>
  </w:style>
  <w:style w:type="paragraph" w:customStyle="1" w:styleId="65">
    <w:name w:val="节标题"/>
    <w:basedOn w:val="1"/>
    <w:next w:val="1"/>
    <w:qFormat/>
    <w:uiPriority w:val="0"/>
    <w:pPr>
      <w:widowControl/>
      <w:spacing w:line="289" w:lineRule="atLeast"/>
      <w:jc w:val="center"/>
      <w:textAlignment w:val="baseline"/>
    </w:pPr>
    <w:rPr>
      <w:rFonts w:ascii="Times New Roman" w:hAnsi="Times New Roman"/>
      <w:color w:val="000000"/>
      <w:sz w:val="28"/>
    </w:rPr>
  </w:style>
  <w:style w:type="paragraph" w:customStyle="1" w:styleId="66">
    <w:name w:val="标4"/>
    <w:basedOn w:val="1"/>
    <w:qFormat/>
    <w:uiPriority w:val="99"/>
    <w:pPr>
      <w:adjustRightInd w:val="0"/>
      <w:spacing w:before="240" w:after="360" w:line="240" w:lineRule="exact"/>
      <w:outlineLvl w:val="3"/>
    </w:pPr>
    <w:rPr>
      <w:rFonts w:ascii="Arial" w:hAnsi="Arial" w:cs="Arial"/>
      <w:kern w:val="24"/>
    </w:rPr>
  </w:style>
  <w:style w:type="paragraph" w:customStyle="1" w:styleId="67">
    <w:name w:val="Table Text"/>
    <w:basedOn w:val="1"/>
    <w:semiHidden/>
    <w:qFormat/>
    <w:uiPriority w:val="0"/>
    <w:rPr>
      <w:rFonts w:ascii="宋体" w:hAnsi="宋体" w:eastAsia="宋体" w:cs="宋体"/>
      <w:sz w:val="23"/>
      <w:szCs w:val="23"/>
    </w:rPr>
  </w:style>
  <w:style w:type="paragraph" w:customStyle="1" w:styleId="68">
    <w:name w:val="公文正文"/>
    <w:basedOn w:val="1"/>
    <w:qFormat/>
    <w:uiPriority w:val="0"/>
  </w:style>
  <w:style w:type="paragraph" w:customStyle="1" w:styleId="69">
    <w:name w:val="文本"/>
    <w:basedOn w:val="1"/>
    <w:next w:val="5"/>
    <w:qFormat/>
    <w:uiPriority w:val="0"/>
    <w:pPr>
      <w:spacing w:line="360" w:lineRule="auto"/>
      <w:ind w:firstLine="480"/>
    </w:pPr>
    <w:rPr>
      <w:rFonts w:ascii="Times New Roman" w:hAnsi="Times New Roman" w:eastAsia="方正仿宋简体"/>
      <w:sz w:val="24"/>
      <w:szCs w:val="22"/>
    </w:rPr>
  </w:style>
  <w:style w:type="character" w:customStyle="1" w:styleId="70">
    <w:name w:val="标题 2 Char"/>
    <w:link w:val="3"/>
    <w:qFormat/>
    <w:uiPriority w:val="0"/>
    <w:rPr>
      <w:rFonts w:ascii="Arial" w:hAnsi="Arial" w:eastAsia="黑体"/>
      <w:b/>
      <w:bCs/>
      <w:szCs w:val="32"/>
    </w:rPr>
  </w:style>
  <w:style w:type="character" w:customStyle="1" w:styleId="71">
    <w:name w:val="标题 1 Char"/>
    <w:link w:val="2"/>
    <w:qFormat/>
    <w:uiPriority w:val="9"/>
    <w:rPr>
      <w:b/>
      <w:bCs/>
      <w:kern w:val="44"/>
      <w:sz w:val="44"/>
      <w:szCs w:val="44"/>
    </w:rPr>
  </w:style>
  <w:style w:type="character" w:customStyle="1" w:styleId="72">
    <w:name w:val="标题 6 Char"/>
    <w:link w:val="7"/>
    <w:qFormat/>
    <w:uiPriority w:val="0"/>
    <w:rPr>
      <w:rFonts w:ascii="Arial" w:hAnsi="Arial" w:eastAsia="黑体"/>
      <w:b/>
      <w:sz w:val="24"/>
    </w:rPr>
  </w:style>
  <w:style w:type="paragraph" w:customStyle="1" w:styleId="73">
    <w:name w:val="样式1"/>
    <w:basedOn w:val="1"/>
    <w:qFormat/>
    <w:uiPriority w:val="0"/>
    <w:pPr>
      <w:tabs>
        <w:tab w:val="right" w:leader="dot" w:pos="8730"/>
      </w:tabs>
    </w:pPr>
    <w:rPr>
      <w:rFonts w:hint="default" w:asciiTheme="majorAscii" w:hAnsiTheme="majorAscii" w:eastAsiaTheme="majorEastAsia" w:cstheme="majorEastAsia"/>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西云科技</Company>
  <Pages>351</Pages>
  <Words>4487</Words>
  <Characters>4897</Characters>
  <Lines>1017</Lines>
  <Paragraphs>286</Paragraphs>
  <TotalTime>172</TotalTime>
  <ScaleCrop>false</ScaleCrop>
  <LinksUpToDate>false</LinksUpToDate>
  <CharactersWithSpaces>5098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2023-08-31T11:56:00Z</dcterms:created>
  <dc:creator>LMJ</dc:creator>
  <cp:lastModifiedBy>何雨谦</cp:lastModifiedBy>
  <cp:lastPrinted>2023-08-30T14:06:00Z</cp:lastPrinted>
  <dcterms:modified xsi:type="dcterms:W3CDTF">2024-12-10T09:58:55Z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SaveFontToCloudKey">
    <vt:lpwstr>0_embed</vt:lpwstr>
  </property>
  <property fmtid="{D5CDD505-2E9C-101B-9397-08002B2CF9AE}" pid="4" name="ICV">
    <vt:lpwstr>313CA177146245D09B169B6B36594509_13</vt:lpwstr>
  </property>
</Properties>
</file>