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sz w:val="72"/>
          <w:szCs w:val="72"/>
        </w:rPr>
      </w:pPr>
      <w:bookmarkStart w:id="0" w:name="_Toc15306267"/>
    </w:p>
    <w:p>
      <w:pPr>
        <w:spacing w:line="600" w:lineRule="exact"/>
        <w:jc w:val="center"/>
        <w:rPr>
          <w:rFonts w:eastAsia="方正小标宋简体"/>
          <w:sz w:val="72"/>
          <w:szCs w:val="72"/>
        </w:rPr>
      </w:pPr>
    </w:p>
    <w:p>
      <w:pPr>
        <w:spacing w:line="600" w:lineRule="exact"/>
        <w:jc w:val="center"/>
        <w:rPr>
          <w:rFonts w:eastAsia="方正小标宋简体"/>
          <w:sz w:val="72"/>
          <w:szCs w:val="72"/>
        </w:rPr>
      </w:pPr>
    </w:p>
    <w:p>
      <w:pPr>
        <w:spacing w:line="600" w:lineRule="exact"/>
        <w:jc w:val="center"/>
        <w:rPr>
          <w:rFonts w:eastAsia="方正小标宋简体"/>
          <w:sz w:val="72"/>
          <w:szCs w:val="72"/>
        </w:rPr>
      </w:pPr>
    </w:p>
    <w:p>
      <w:pPr>
        <w:adjustRightInd w:val="0"/>
        <w:snapToGrid w:val="0"/>
        <w:spacing w:line="360" w:lineRule="auto"/>
        <w:jc w:val="center"/>
        <w:outlineLvl w:val="0"/>
        <w:rPr>
          <w:rFonts w:eastAsia="方正小标宋_GBK"/>
          <w:sz w:val="72"/>
          <w:szCs w:val="72"/>
        </w:rPr>
      </w:pPr>
      <w:bookmarkStart w:id="1" w:name="_Toc114149012"/>
      <w:bookmarkStart w:id="2" w:name="_Toc114149114"/>
      <w:bookmarkStart w:id="3" w:name="_Toc15377425"/>
      <w:bookmarkStart w:id="4" w:name="_Toc15396597"/>
      <w:bookmarkStart w:id="5" w:name="_Toc20482"/>
      <w:bookmarkStart w:id="6" w:name="_Toc15377193"/>
      <w:bookmarkStart w:id="7" w:name="_Toc15396475"/>
      <w:bookmarkStart w:id="8" w:name="_Toc15378441"/>
      <w:r>
        <w:rPr>
          <w:rFonts w:eastAsia="方正小标宋_GBK"/>
          <w:sz w:val="72"/>
          <w:szCs w:val="72"/>
        </w:rPr>
        <w:t>2021年度</w:t>
      </w:r>
      <w:bookmarkEnd w:id="1"/>
      <w:bookmarkEnd w:id="2"/>
      <w:bookmarkEnd w:id="3"/>
      <w:bookmarkEnd w:id="4"/>
      <w:bookmarkEnd w:id="5"/>
      <w:bookmarkEnd w:id="6"/>
      <w:bookmarkEnd w:id="7"/>
      <w:bookmarkEnd w:id="8"/>
    </w:p>
    <w:p>
      <w:pPr>
        <w:adjustRightInd w:val="0"/>
        <w:snapToGrid w:val="0"/>
        <w:spacing w:line="360" w:lineRule="auto"/>
        <w:jc w:val="center"/>
        <w:outlineLvl w:val="0"/>
        <w:rPr>
          <w:rFonts w:eastAsia="方正小标宋_GBK"/>
          <w:spacing w:val="-20"/>
          <w:sz w:val="72"/>
          <w:szCs w:val="72"/>
        </w:rPr>
      </w:pPr>
      <w:bookmarkStart w:id="9" w:name="_Toc114149115"/>
      <w:bookmarkStart w:id="10" w:name="_Toc114149013"/>
      <w:bookmarkStart w:id="11" w:name="_Toc5310"/>
      <w:bookmarkStart w:id="12" w:name="_Toc15378442"/>
      <w:bookmarkStart w:id="13" w:name="_Toc15396476"/>
      <w:bookmarkStart w:id="14" w:name="_Toc15377194"/>
      <w:bookmarkStart w:id="15" w:name="_Toc15396598"/>
      <w:bookmarkStart w:id="16" w:name="_Toc15377426"/>
      <w:r>
        <w:rPr>
          <w:rFonts w:eastAsia="方正小标宋_GBK"/>
          <w:spacing w:val="-20"/>
          <w:sz w:val="72"/>
          <w:szCs w:val="72"/>
        </w:rPr>
        <w:t>四川</w:t>
      </w:r>
      <w:bookmarkEnd w:id="0"/>
      <w:bookmarkStart w:id="17" w:name="_Toc15306268"/>
      <w:r>
        <w:rPr>
          <w:rFonts w:eastAsia="方正小标宋_GBK"/>
          <w:spacing w:val="-20"/>
          <w:sz w:val="72"/>
          <w:szCs w:val="72"/>
        </w:rPr>
        <w:t>省专家服务中心</w:t>
      </w:r>
      <w:bookmarkEnd w:id="9"/>
      <w:bookmarkEnd w:id="10"/>
      <w:bookmarkEnd w:id="11"/>
    </w:p>
    <w:p>
      <w:pPr>
        <w:adjustRightInd w:val="0"/>
        <w:snapToGrid w:val="0"/>
        <w:spacing w:line="360" w:lineRule="auto"/>
        <w:jc w:val="center"/>
        <w:outlineLvl w:val="0"/>
        <w:rPr>
          <w:rFonts w:eastAsia="方正小标宋_GBK"/>
          <w:spacing w:val="-20"/>
          <w:sz w:val="72"/>
          <w:szCs w:val="72"/>
        </w:rPr>
      </w:pPr>
      <w:bookmarkStart w:id="18" w:name="_Toc114149014"/>
      <w:bookmarkStart w:id="19" w:name="_Toc28439"/>
      <w:bookmarkStart w:id="20" w:name="_Toc114149116"/>
      <w:r>
        <w:rPr>
          <w:rFonts w:eastAsia="方正小标宋_GBK"/>
          <w:spacing w:val="-20"/>
          <w:sz w:val="72"/>
          <w:szCs w:val="72"/>
        </w:rPr>
        <w:t>单位决算</w:t>
      </w:r>
      <w:bookmarkEnd w:id="12"/>
      <w:bookmarkEnd w:id="13"/>
      <w:bookmarkEnd w:id="14"/>
      <w:bookmarkEnd w:id="15"/>
      <w:bookmarkEnd w:id="16"/>
      <w:bookmarkEnd w:id="17"/>
      <w:bookmarkEnd w:id="18"/>
      <w:bookmarkEnd w:id="19"/>
      <w:bookmarkEnd w:id="20"/>
    </w:p>
    <w:p>
      <w:pPr>
        <w:widowControl/>
        <w:jc w:val="center"/>
        <w:rPr>
          <w:rFonts w:eastAsia="方正小标宋简体"/>
          <w:sz w:val="36"/>
          <w:szCs w:val="36"/>
        </w:rPr>
        <w:sectPr>
          <w:headerReference r:id="rId3" w:type="default"/>
          <w:footerReference r:id="rId4" w:type="default"/>
          <w:pgSz w:w="11906" w:h="16838"/>
          <w:pgMar w:top="2098" w:right="1474" w:bottom="1985" w:left="1588" w:header="851" w:footer="1418" w:gutter="0"/>
          <w:pgNumType w:start="1"/>
          <w:cols w:space="425" w:num="1"/>
          <w:titlePg/>
          <w:docGrid w:type="lines" w:linePitch="312" w:charSpace="0"/>
        </w:sectPr>
      </w:pPr>
    </w:p>
    <w:p>
      <w:pPr>
        <w:widowControl/>
        <w:jc w:val="center"/>
        <w:rPr>
          <w:rFonts w:eastAsia="黑体"/>
          <w:sz w:val="48"/>
          <w:szCs w:val="48"/>
        </w:rPr>
      </w:pPr>
      <w:r>
        <w:rPr>
          <w:rFonts w:eastAsia="黑体"/>
          <w:sz w:val="48"/>
          <w:szCs w:val="48"/>
        </w:rPr>
        <w:t>目录</w:t>
      </w:r>
    </w:p>
    <w:p>
      <w:pPr>
        <w:widowControl/>
        <w:jc w:val="center"/>
        <w:rPr>
          <w:rFonts w:eastAsia="黑体"/>
          <w:sz w:val="28"/>
          <w:szCs w:val="28"/>
        </w:rPr>
      </w:pPr>
    </w:p>
    <w:p>
      <w:pPr>
        <w:pStyle w:val="11"/>
        <w:rPr>
          <w:rFonts w:ascii="Times New Roman" w:hAnsi="Times New Roman" w:eastAsia="仿宋_GB2312"/>
        </w:rPr>
      </w:pPr>
      <w:r>
        <w:rPr>
          <w:rFonts w:ascii="Times New Roman" w:hAnsi="Times New Roman" w:eastAsia="仿宋_GB2312"/>
        </w:rPr>
        <w:t>公开时间：2022年9月</w:t>
      </w:r>
      <w:r>
        <w:rPr>
          <w:rFonts w:hint="eastAsia" w:ascii="Times New Roman" w:hAnsi="Times New Roman" w:eastAsia="仿宋_GB2312"/>
          <w:lang w:val="en-US" w:eastAsia="zh-CN"/>
        </w:rPr>
        <w:t>16</w:t>
      </w:r>
      <w:r>
        <w:rPr>
          <w:rFonts w:ascii="Times New Roman" w:hAnsi="Times New Roman" w:eastAsia="仿宋_GB2312"/>
        </w:rPr>
        <w:t>日</w:t>
      </w:r>
    </w:p>
    <w:p/>
    <w:p>
      <w:bookmarkStart w:id="21" w:name="_Toc15377196"/>
      <w:bookmarkStart w:id="22" w:name="_Toc15396599"/>
    </w:p>
    <w:sdt>
      <w:sdtPr>
        <w:rPr>
          <w:rFonts w:ascii="Times New Roman" w:hAnsi="Times New Roman"/>
        </w:rPr>
        <w:id w:val="147457367"/>
        <w15:color w:val="DBDBDB"/>
        <w:docPartObj>
          <w:docPartGallery w:val="Table of Contents"/>
          <w:docPartUnique/>
        </w:docPartObj>
      </w:sdtPr>
      <w:sdtEndPr>
        <w:rPr>
          <w:rFonts w:ascii="Times New Roman" w:hAnsi="Times New Roman" w:eastAsia="仿宋_GB2312"/>
          <w:sz w:val="21"/>
          <w:szCs w:val="24"/>
        </w:rPr>
      </w:sdtEndPr>
      <w:sdtContent>
        <w:p>
          <w:pPr>
            <w:pStyle w:val="11"/>
            <w:pageBreakBefore w:val="0"/>
            <w:widowControl w:val="0"/>
            <w:kinsoku/>
            <w:wordWrap/>
            <w:overflowPunct/>
            <w:topLinePunct w:val="0"/>
            <w:autoSpaceDE/>
            <w:autoSpaceDN/>
            <w:bidi w:val="0"/>
            <w:adjustRightInd/>
            <w:snapToGrid/>
            <w:spacing w:line="440" w:lineRule="exact"/>
            <w:textAlignment w:val="auto"/>
            <w:rPr>
              <w:rFonts w:hint="eastAsia" w:asciiTheme="minorHAnsi" w:hAnsiTheme="minorHAnsi" w:eastAsiaTheme="minorEastAsia" w:cstheme="minorBidi"/>
              <w:sz w:val="32"/>
              <w:szCs w:val="32"/>
            </w:rPr>
          </w:pPr>
          <w:r>
            <w:rPr>
              <w:rFonts w:ascii="Times New Roman" w:hAnsi="Times New Roman" w:eastAsia="仿宋_GB2312"/>
              <w:kern w:val="0"/>
              <w:sz w:val="32"/>
              <w:szCs w:val="32"/>
            </w:rPr>
            <w:fldChar w:fldCharType="begin"/>
          </w:r>
          <w:r>
            <w:rPr>
              <w:rFonts w:ascii="Times New Roman" w:hAnsi="Times New Roman" w:eastAsia="仿宋_GB2312"/>
              <w:sz w:val="32"/>
              <w:szCs w:val="32"/>
            </w:rPr>
            <w:instrText xml:space="preserve">TOC \o "1-3" \h \u </w:instrText>
          </w:r>
          <w:r>
            <w:rPr>
              <w:rFonts w:ascii="Times New Roman" w:hAnsi="Times New Roman" w:eastAsia="仿宋_GB2312"/>
              <w:kern w:val="0"/>
              <w:sz w:val="32"/>
              <w:szCs w:val="32"/>
            </w:rPr>
            <w:fldChar w:fldCharType="separate"/>
          </w:r>
        </w:p>
        <w:p>
          <w:pPr>
            <w:pStyle w:val="11"/>
            <w:keepNext w:val="0"/>
            <w:keepLines w:val="0"/>
            <w:pageBreakBefore w:val="0"/>
            <w:widowControl w:val="0"/>
            <w:kinsoku/>
            <w:wordWrap/>
            <w:overflowPunct/>
            <w:topLinePunct w:val="0"/>
            <w:autoSpaceDE/>
            <w:autoSpaceDN/>
            <w:bidi w:val="0"/>
            <w:adjustRightInd/>
            <w:snapToGrid/>
            <w:spacing w:line="240" w:lineRule="auto"/>
            <w:textAlignment w:val="auto"/>
            <w:rPr>
              <w:rFonts w:asciiTheme="minorHAnsi" w:hAnsiTheme="minorHAnsi" w:eastAsiaTheme="minorEastAsia" w:cstheme="minorBidi"/>
              <w:sz w:val="32"/>
              <w:szCs w:val="32"/>
            </w:rPr>
          </w:pPr>
          <w:r>
            <w:fldChar w:fldCharType="begin"/>
          </w:r>
          <w:r>
            <w:instrText xml:space="preserve"> HYPERLINK \l "_Toc114149117" </w:instrText>
          </w:r>
          <w:r>
            <w:fldChar w:fldCharType="separate"/>
          </w:r>
          <w:r>
            <w:rPr>
              <w:rStyle w:val="16"/>
              <w:rFonts w:eastAsia="黑体"/>
              <w:sz w:val="32"/>
              <w:szCs w:val="32"/>
            </w:rPr>
            <w:t>第一部分 单位概况</w:t>
          </w:r>
          <w:r>
            <w:rPr>
              <w:sz w:val="32"/>
              <w:szCs w:val="32"/>
            </w:rPr>
            <w:tab/>
          </w:r>
          <w:r>
            <w:rPr>
              <w:sz w:val="32"/>
              <w:szCs w:val="32"/>
            </w:rPr>
            <w:fldChar w:fldCharType="begin"/>
          </w:r>
          <w:r>
            <w:rPr>
              <w:sz w:val="32"/>
              <w:szCs w:val="32"/>
            </w:rPr>
            <w:instrText xml:space="preserve"> PAGEREF _Toc114149117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eastAsia="仿宋_GB2312"/>
              <w:sz w:val="32"/>
              <w:szCs w:val="32"/>
            </w:rPr>
          </w:pPr>
          <w:r>
            <w:rPr>
              <w:rFonts w:eastAsia="仿宋_GB2312"/>
              <w:sz w:val="32"/>
              <w:szCs w:val="32"/>
            </w:rPr>
            <w:fldChar w:fldCharType="begin"/>
          </w:r>
          <w:r>
            <w:rPr>
              <w:rFonts w:eastAsia="仿宋_GB2312"/>
              <w:sz w:val="32"/>
              <w:szCs w:val="32"/>
            </w:rPr>
            <w:instrText xml:space="preserve"> HYPERLINK \l "_Toc114149118" </w:instrText>
          </w:r>
          <w:r>
            <w:rPr>
              <w:rFonts w:eastAsia="仿宋_GB2312"/>
              <w:sz w:val="32"/>
              <w:szCs w:val="32"/>
            </w:rPr>
            <w:fldChar w:fldCharType="separate"/>
          </w:r>
          <w:r>
            <w:rPr>
              <w:rFonts w:eastAsia="仿宋_GB2312"/>
              <w:sz w:val="32"/>
              <w:szCs w:val="32"/>
            </w:rPr>
            <w:t>一、职能简介</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_Toc114149118 \h </w:instrText>
          </w:r>
          <w:r>
            <w:rPr>
              <w:rFonts w:eastAsia="仿宋_GB2312"/>
              <w:sz w:val="32"/>
              <w:szCs w:val="32"/>
            </w:rPr>
            <w:fldChar w:fldCharType="separate"/>
          </w:r>
          <w:r>
            <w:rPr>
              <w:rFonts w:eastAsia="仿宋_GB2312"/>
              <w:sz w:val="32"/>
              <w:szCs w:val="32"/>
            </w:rPr>
            <w:t>1</w:t>
          </w:r>
          <w:r>
            <w:rPr>
              <w:rFonts w:eastAsia="仿宋_GB2312"/>
              <w:sz w:val="32"/>
              <w:szCs w:val="32"/>
            </w:rPr>
            <w:fldChar w:fldCharType="end"/>
          </w:r>
          <w:r>
            <w:rPr>
              <w:rFonts w:eastAsia="仿宋_GB2312"/>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eastAsia="仿宋_GB2312"/>
              <w:sz w:val="32"/>
              <w:szCs w:val="32"/>
            </w:rPr>
          </w:pPr>
          <w:r>
            <w:rPr>
              <w:rFonts w:eastAsia="仿宋_GB2312"/>
              <w:sz w:val="32"/>
              <w:szCs w:val="32"/>
            </w:rPr>
            <w:fldChar w:fldCharType="begin"/>
          </w:r>
          <w:r>
            <w:rPr>
              <w:rFonts w:eastAsia="仿宋_GB2312"/>
              <w:sz w:val="32"/>
              <w:szCs w:val="32"/>
            </w:rPr>
            <w:instrText xml:space="preserve"> HYPERLINK \l "_Toc114149119" </w:instrText>
          </w:r>
          <w:r>
            <w:rPr>
              <w:rFonts w:eastAsia="仿宋_GB2312"/>
              <w:sz w:val="32"/>
              <w:szCs w:val="32"/>
            </w:rPr>
            <w:fldChar w:fldCharType="separate"/>
          </w:r>
          <w:r>
            <w:rPr>
              <w:rFonts w:eastAsia="仿宋_GB2312"/>
              <w:sz w:val="32"/>
              <w:szCs w:val="32"/>
            </w:rPr>
            <w:t>二、2021年重点工作完成情况</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_Toc114149119 \h </w:instrText>
          </w:r>
          <w:r>
            <w:rPr>
              <w:rFonts w:eastAsia="仿宋_GB2312"/>
              <w:sz w:val="32"/>
              <w:szCs w:val="32"/>
            </w:rPr>
            <w:fldChar w:fldCharType="separate"/>
          </w:r>
          <w:r>
            <w:rPr>
              <w:rFonts w:eastAsia="仿宋_GB2312"/>
              <w:sz w:val="32"/>
              <w:szCs w:val="32"/>
            </w:rPr>
            <w:t>2</w:t>
          </w:r>
          <w:r>
            <w:rPr>
              <w:rFonts w:eastAsia="仿宋_GB2312"/>
              <w:sz w:val="32"/>
              <w:szCs w:val="32"/>
            </w:rPr>
            <w:fldChar w:fldCharType="end"/>
          </w:r>
          <w:r>
            <w:rPr>
              <w:rFonts w:eastAsia="仿宋_GB2312"/>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eastAsia="仿宋_GB2312"/>
              <w:sz w:val="32"/>
              <w:szCs w:val="32"/>
            </w:rPr>
          </w:pPr>
          <w:r>
            <w:rPr>
              <w:rFonts w:eastAsia="仿宋_GB2312"/>
              <w:sz w:val="32"/>
              <w:szCs w:val="32"/>
            </w:rPr>
            <w:fldChar w:fldCharType="begin"/>
          </w:r>
          <w:r>
            <w:rPr>
              <w:rFonts w:eastAsia="仿宋_GB2312"/>
              <w:sz w:val="32"/>
              <w:szCs w:val="32"/>
            </w:rPr>
            <w:instrText xml:space="preserve"> HYPERLINK \l "_Toc114149119" </w:instrText>
          </w:r>
          <w:r>
            <w:rPr>
              <w:rFonts w:eastAsia="仿宋_GB2312"/>
              <w:sz w:val="32"/>
              <w:szCs w:val="32"/>
            </w:rPr>
            <w:fldChar w:fldCharType="separate"/>
          </w:r>
          <w:r>
            <w:rPr>
              <w:rFonts w:hint="eastAsia" w:eastAsia="仿宋_GB2312"/>
              <w:sz w:val="32"/>
              <w:szCs w:val="32"/>
              <w:lang w:eastAsia="zh-CN"/>
            </w:rPr>
            <w:t>三</w:t>
          </w:r>
          <w:r>
            <w:rPr>
              <w:rFonts w:eastAsia="仿宋_GB2312"/>
              <w:sz w:val="32"/>
              <w:szCs w:val="32"/>
            </w:rPr>
            <w:t>、</w:t>
          </w:r>
          <w:r>
            <w:rPr>
              <w:rFonts w:hint="eastAsia" w:eastAsia="仿宋_GB2312"/>
              <w:sz w:val="32"/>
              <w:szCs w:val="32"/>
              <w:lang w:eastAsia="zh-CN"/>
            </w:rPr>
            <w:t>机构设置</w:t>
          </w:r>
          <w:r>
            <w:rPr>
              <w:rFonts w:eastAsia="仿宋_GB2312"/>
              <w:sz w:val="32"/>
              <w:szCs w:val="32"/>
            </w:rPr>
            <w:t>情况</w:t>
          </w:r>
          <w:r>
            <w:rPr>
              <w:rFonts w:eastAsia="仿宋_GB2312"/>
              <w:sz w:val="32"/>
              <w:szCs w:val="32"/>
            </w:rPr>
            <w:tab/>
          </w:r>
          <w:r>
            <w:rPr>
              <w:rFonts w:hint="eastAsia" w:eastAsia="仿宋_GB2312"/>
              <w:sz w:val="32"/>
              <w:szCs w:val="32"/>
              <w:lang w:val="en-US" w:eastAsia="zh-CN"/>
            </w:rPr>
            <w:t>4</w:t>
          </w:r>
          <w:r>
            <w:rPr>
              <w:rFonts w:eastAsia="仿宋_GB2312"/>
              <w:sz w:val="32"/>
              <w:szCs w:val="32"/>
            </w:rPr>
            <w:fldChar w:fldCharType="end"/>
          </w:r>
        </w:p>
        <w:p>
          <w:pPr>
            <w:pStyle w:val="11"/>
            <w:keepNext w:val="0"/>
            <w:keepLines w:val="0"/>
            <w:pageBreakBefore w:val="0"/>
            <w:widowControl w:val="0"/>
            <w:kinsoku/>
            <w:wordWrap/>
            <w:overflowPunct/>
            <w:topLinePunct w:val="0"/>
            <w:autoSpaceDE/>
            <w:autoSpaceDN/>
            <w:bidi w:val="0"/>
            <w:adjustRightInd/>
            <w:snapToGrid/>
            <w:spacing w:line="240" w:lineRule="auto"/>
            <w:textAlignment w:val="auto"/>
            <w:rPr>
              <w:rFonts w:asciiTheme="minorHAnsi" w:hAnsiTheme="minorHAnsi" w:eastAsiaTheme="minorEastAsia" w:cstheme="minorBidi"/>
              <w:sz w:val="32"/>
              <w:szCs w:val="32"/>
            </w:rPr>
          </w:pPr>
          <w:r>
            <w:fldChar w:fldCharType="begin"/>
          </w:r>
          <w:r>
            <w:instrText xml:space="preserve"> HYPERLINK \l "_Toc114149120" </w:instrText>
          </w:r>
          <w:r>
            <w:fldChar w:fldCharType="separate"/>
          </w:r>
          <w:r>
            <w:rPr>
              <w:rStyle w:val="16"/>
              <w:rFonts w:eastAsia="黑体"/>
              <w:sz w:val="32"/>
              <w:szCs w:val="32"/>
            </w:rPr>
            <w:t>第二部分 2021年度单位决算情况说明</w:t>
          </w:r>
          <w:r>
            <w:rPr>
              <w:sz w:val="32"/>
              <w:szCs w:val="32"/>
            </w:rPr>
            <w:tab/>
          </w:r>
          <w:r>
            <w:rPr>
              <w:sz w:val="32"/>
              <w:szCs w:val="32"/>
            </w:rPr>
            <w:fldChar w:fldCharType="begin"/>
          </w:r>
          <w:r>
            <w:rPr>
              <w:sz w:val="32"/>
              <w:szCs w:val="32"/>
            </w:rPr>
            <w:instrText xml:space="preserve"> PAGEREF _Toc114149120 \h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eastAsia="仿宋_GB2312"/>
              <w:sz w:val="32"/>
              <w:szCs w:val="32"/>
            </w:rPr>
          </w:pPr>
          <w:r>
            <w:rPr>
              <w:rFonts w:eastAsia="仿宋_GB2312"/>
              <w:sz w:val="32"/>
              <w:szCs w:val="32"/>
            </w:rPr>
            <w:fldChar w:fldCharType="begin"/>
          </w:r>
          <w:r>
            <w:rPr>
              <w:rFonts w:eastAsia="仿宋_GB2312"/>
              <w:sz w:val="32"/>
              <w:szCs w:val="32"/>
            </w:rPr>
            <w:instrText xml:space="preserve"> HYPERLINK \l "_Toc114149121" </w:instrText>
          </w:r>
          <w:r>
            <w:rPr>
              <w:rFonts w:eastAsia="仿宋_GB2312"/>
              <w:sz w:val="32"/>
              <w:szCs w:val="32"/>
            </w:rPr>
            <w:fldChar w:fldCharType="separate"/>
          </w:r>
          <w:r>
            <w:rPr>
              <w:rFonts w:eastAsia="仿宋_GB2312"/>
              <w:sz w:val="32"/>
              <w:szCs w:val="32"/>
            </w:rPr>
            <w:t>一、收入支出决算总体情况说明</w:t>
          </w:r>
          <w:bookmarkStart w:id="137" w:name="_GoBack"/>
          <w:bookmarkEnd w:id="137"/>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_Toc114149121 \h </w:instrText>
          </w:r>
          <w:r>
            <w:rPr>
              <w:rFonts w:eastAsia="仿宋_GB2312"/>
              <w:sz w:val="32"/>
              <w:szCs w:val="32"/>
            </w:rPr>
            <w:fldChar w:fldCharType="separate"/>
          </w:r>
          <w:r>
            <w:rPr>
              <w:rFonts w:eastAsia="仿宋_GB2312"/>
              <w:sz w:val="32"/>
              <w:szCs w:val="32"/>
            </w:rPr>
            <w:t>5</w:t>
          </w:r>
          <w:r>
            <w:rPr>
              <w:rFonts w:eastAsia="仿宋_GB2312"/>
              <w:sz w:val="32"/>
              <w:szCs w:val="32"/>
            </w:rPr>
            <w:fldChar w:fldCharType="end"/>
          </w:r>
          <w:r>
            <w:rPr>
              <w:rFonts w:eastAsia="仿宋_GB2312"/>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eastAsia="仿宋_GB2312"/>
              <w:sz w:val="32"/>
              <w:szCs w:val="32"/>
            </w:rPr>
          </w:pPr>
          <w:r>
            <w:rPr>
              <w:rFonts w:eastAsia="仿宋_GB2312"/>
              <w:sz w:val="32"/>
              <w:szCs w:val="32"/>
            </w:rPr>
            <w:fldChar w:fldCharType="begin"/>
          </w:r>
          <w:r>
            <w:rPr>
              <w:rFonts w:eastAsia="仿宋_GB2312"/>
              <w:sz w:val="32"/>
              <w:szCs w:val="32"/>
            </w:rPr>
            <w:instrText xml:space="preserve"> HYPERLINK \l "_Toc114149122" </w:instrText>
          </w:r>
          <w:r>
            <w:rPr>
              <w:rFonts w:eastAsia="仿宋_GB2312"/>
              <w:sz w:val="32"/>
              <w:szCs w:val="32"/>
            </w:rPr>
            <w:fldChar w:fldCharType="separate"/>
          </w:r>
          <w:r>
            <w:rPr>
              <w:rFonts w:eastAsia="仿宋_GB2312"/>
              <w:sz w:val="32"/>
              <w:szCs w:val="32"/>
            </w:rPr>
            <w:t>二、收入决算情况说明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_Toc114149122 \h </w:instrText>
          </w:r>
          <w:r>
            <w:rPr>
              <w:rFonts w:eastAsia="仿宋_GB2312"/>
              <w:sz w:val="32"/>
              <w:szCs w:val="32"/>
            </w:rPr>
            <w:fldChar w:fldCharType="separate"/>
          </w:r>
          <w:r>
            <w:rPr>
              <w:rFonts w:eastAsia="仿宋_GB2312"/>
              <w:sz w:val="32"/>
              <w:szCs w:val="32"/>
            </w:rPr>
            <w:t>5</w:t>
          </w:r>
          <w:r>
            <w:rPr>
              <w:rFonts w:eastAsia="仿宋_GB2312"/>
              <w:sz w:val="32"/>
              <w:szCs w:val="32"/>
            </w:rPr>
            <w:fldChar w:fldCharType="end"/>
          </w:r>
          <w:r>
            <w:rPr>
              <w:rFonts w:eastAsia="仿宋_GB2312"/>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eastAsia="仿宋_GB2312"/>
              <w:sz w:val="32"/>
              <w:szCs w:val="32"/>
            </w:rPr>
          </w:pPr>
          <w:r>
            <w:rPr>
              <w:rFonts w:eastAsia="仿宋_GB2312"/>
              <w:sz w:val="32"/>
              <w:szCs w:val="32"/>
            </w:rPr>
            <w:fldChar w:fldCharType="begin"/>
          </w:r>
          <w:r>
            <w:rPr>
              <w:rFonts w:eastAsia="仿宋_GB2312"/>
              <w:sz w:val="32"/>
              <w:szCs w:val="32"/>
            </w:rPr>
            <w:instrText xml:space="preserve"> HYPERLINK \l "_Toc114149123" </w:instrText>
          </w:r>
          <w:r>
            <w:rPr>
              <w:rFonts w:eastAsia="仿宋_GB2312"/>
              <w:sz w:val="32"/>
              <w:szCs w:val="32"/>
            </w:rPr>
            <w:fldChar w:fldCharType="separate"/>
          </w:r>
          <w:r>
            <w:rPr>
              <w:rFonts w:eastAsia="仿宋_GB2312"/>
              <w:sz w:val="32"/>
              <w:szCs w:val="32"/>
            </w:rPr>
            <w:t>三、支出决算情况说明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_Toc114149123 \h </w:instrText>
          </w:r>
          <w:r>
            <w:rPr>
              <w:rFonts w:eastAsia="仿宋_GB2312"/>
              <w:sz w:val="32"/>
              <w:szCs w:val="32"/>
            </w:rPr>
            <w:fldChar w:fldCharType="separate"/>
          </w:r>
          <w:r>
            <w:rPr>
              <w:rFonts w:eastAsia="仿宋_GB2312"/>
              <w:sz w:val="32"/>
              <w:szCs w:val="32"/>
            </w:rPr>
            <w:t>6</w:t>
          </w:r>
          <w:r>
            <w:rPr>
              <w:rFonts w:eastAsia="仿宋_GB2312"/>
              <w:sz w:val="32"/>
              <w:szCs w:val="32"/>
            </w:rPr>
            <w:fldChar w:fldCharType="end"/>
          </w:r>
          <w:r>
            <w:rPr>
              <w:rFonts w:eastAsia="仿宋_GB2312"/>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eastAsia="仿宋_GB2312"/>
              <w:sz w:val="32"/>
              <w:szCs w:val="32"/>
            </w:rPr>
          </w:pPr>
          <w:r>
            <w:rPr>
              <w:rFonts w:eastAsia="仿宋_GB2312"/>
              <w:sz w:val="32"/>
              <w:szCs w:val="32"/>
            </w:rPr>
            <w:fldChar w:fldCharType="begin"/>
          </w:r>
          <w:r>
            <w:rPr>
              <w:rFonts w:eastAsia="仿宋_GB2312"/>
              <w:sz w:val="32"/>
              <w:szCs w:val="32"/>
            </w:rPr>
            <w:instrText xml:space="preserve"> HYPERLINK \l "_Toc114149124" </w:instrText>
          </w:r>
          <w:r>
            <w:rPr>
              <w:rFonts w:eastAsia="仿宋_GB2312"/>
              <w:sz w:val="32"/>
              <w:szCs w:val="32"/>
            </w:rPr>
            <w:fldChar w:fldCharType="separate"/>
          </w:r>
          <w:r>
            <w:rPr>
              <w:rFonts w:eastAsia="仿宋_GB2312"/>
              <w:sz w:val="32"/>
              <w:szCs w:val="32"/>
            </w:rPr>
            <w:t>四、财政拨款收入支出决算总体情况说明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_Toc114149124 \h </w:instrText>
          </w:r>
          <w:r>
            <w:rPr>
              <w:rFonts w:eastAsia="仿宋_GB2312"/>
              <w:sz w:val="32"/>
              <w:szCs w:val="32"/>
            </w:rPr>
            <w:fldChar w:fldCharType="separate"/>
          </w:r>
          <w:r>
            <w:rPr>
              <w:rFonts w:eastAsia="仿宋_GB2312"/>
              <w:sz w:val="32"/>
              <w:szCs w:val="32"/>
            </w:rPr>
            <w:t>7</w:t>
          </w:r>
          <w:r>
            <w:rPr>
              <w:rFonts w:eastAsia="仿宋_GB2312"/>
              <w:sz w:val="32"/>
              <w:szCs w:val="32"/>
            </w:rPr>
            <w:fldChar w:fldCharType="end"/>
          </w:r>
          <w:r>
            <w:rPr>
              <w:rFonts w:eastAsia="仿宋_GB2312"/>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eastAsia="仿宋_GB2312"/>
              <w:sz w:val="32"/>
              <w:szCs w:val="32"/>
            </w:rPr>
          </w:pPr>
          <w:r>
            <w:rPr>
              <w:rFonts w:eastAsia="仿宋_GB2312"/>
              <w:sz w:val="32"/>
              <w:szCs w:val="32"/>
            </w:rPr>
            <w:fldChar w:fldCharType="begin"/>
          </w:r>
          <w:r>
            <w:rPr>
              <w:rFonts w:eastAsia="仿宋_GB2312"/>
              <w:sz w:val="32"/>
              <w:szCs w:val="32"/>
            </w:rPr>
            <w:instrText xml:space="preserve"> HYPERLINK \l "_Toc114149125" </w:instrText>
          </w:r>
          <w:r>
            <w:rPr>
              <w:rFonts w:eastAsia="仿宋_GB2312"/>
              <w:sz w:val="32"/>
              <w:szCs w:val="32"/>
            </w:rPr>
            <w:fldChar w:fldCharType="separate"/>
          </w:r>
          <w:r>
            <w:rPr>
              <w:rFonts w:eastAsia="仿宋_GB2312"/>
              <w:sz w:val="32"/>
              <w:szCs w:val="32"/>
            </w:rPr>
            <w:t>五、一般公共预算财政拨款支出决算情况说明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_Toc114149125 \h </w:instrText>
          </w:r>
          <w:r>
            <w:rPr>
              <w:rFonts w:eastAsia="仿宋_GB2312"/>
              <w:sz w:val="32"/>
              <w:szCs w:val="32"/>
            </w:rPr>
            <w:fldChar w:fldCharType="separate"/>
          </w:r>
          <w:r>
            <w:rPr>
              <w:rFonts w:eastAsia="仿宋_GB2312"/>
              <w:sz w:val="32"/>
              <w:szCs w:val="32"/>
            </w:rPr>
            <w:t>7</w:t>
          </w:r>
          <w:r>
            <w:rPr>
              <w:rFonts w:eastAsia="仿宋_GB2312"/>
              <w:sz w:val="32"/>
              <w:szCs w:val="32"/>
            </w:rPr>
            <w:fldChar w:fldCharType="end"/>
          </w:r>
          <w:r>
            <w:rPr>
              <w:rFonts w:eastAsia="仿宋_GB2312"/>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eastAsia="仿宋_GB2312"/>
              <w:sz w:val="32"/>
              <w:szCs w:val="32"/>
            </w:rPr>
          </w:pPr>
          <w:r>
            <w:rPr>
              <w:rFonts w:eastAsia="仿宋_GB2312"/>
              <w:sz w:val="32"/>
              <w:szCs w:val="32"/>
            </w:rPr>
            <w:fldChar w:fldCharType="begin"/>
          </w:r>
          <w:r>
            <w:rPr>
              <w:rFonts w:eastAsia="仿宋_GB2312"/>
              <w:sz w:val="32"/>
              <w:szCs w:val="32"/>
            </w:rPr>
            <w:instrText xml:space="preserve"> HYPERLINK \l "_Toc114149129" </w:instrText>
          </w:r>
          <w:r>
            <w:rPr>
              <w:rFonts w:eastAsia="仿宋_GB2312"/>
              <w:sz w:val="32"/>
              <w:szCs w:val="32"/>
            </w:rPr>
            <w:fldChar w:fldCharType="separate"/>
          </w:r>
          <w:r>
            <w:rPr>
              <w:rFonts w:eastAsia="仿宋_GB2312"/>
              <w:sz w:val="32"/>
              <w:szCs w:val="32"/>
            </w:rPr>
            <w:t>六、一般公共预算财政拨款基本支出决算情况说明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_Toc114149129 \h </w:instrText>
          </w:r>
          <w:r>
            <w:rPr>
              <w:rFonts w:eastAsia="仿宋_GB2312"/>
              <w:sz w:val="32"/>
              <w:szCs w:val="32"/>
            </w:rPr>
            <w:fldChar w:fldCharType="separate"/>
          </w:r>
          <w:r>
            <w:rPr>
              <w:rFonts w:eastAsia="仿宋_GB2312"/>
              <w:sz w:val="32"/>
              <w:szCs w:val="32"/>
            </w:rPr>
            <w:t>10</w:t>
          </w:r>
          <w:r>
            <w:rPr>
              <w:rFonts w:eastAsia="仿宋_GB2312"/>
              <w:sz w:val="32"/>
              <w:szCs w:val="32"/>
            </w:rPr>
            <w:fldChar w:fldCharType="end"/>
          </w:r>
          <w:r>
            <w:rPr>
              <w:rFonts w:eastAsia="仿宋_GB2312"/>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eastAsia="仿宋_GB2312"/>
              <w:sz w:val="32"/>
              <w:szCs w:val="32"/>
            </w:rPr>
          </w:pPr>
          <w:r>
            <w:rPr>
              <w:rFonts w:eastAsia="仿宋_GB2312"/>
              <w:sz w:val="32"/>
              <w:szCs w:val="32"/>
            </w:rPr>
            <w:fldChar w:fldCharType="begin"/>
          </w:r>
          <w:r>
            <w:rPr>
              <w:rFonts w:eastAsia="仿宋_GB2312"/>
              <w:sz w:val="32"/>
              <w:szCs w:val="32"/>
            </w:rPr>
            <w:instrText xml:space="preserve"> HYPERLINK \l "_Toc114149130" </w:instrText>
          </w:r>
          <w:r>
            <w:rPr>
              <w:rFonts w:eastAsia="仿宋_GB2312"/>
              <w:sz w:val="32"/>
              <w:szCs w:val="32"/>
            </w:rPr>
            <w:fldChar w:fldCharType="separate"/>
          </w:r>
          <w:r>
            <w:rPr>
              <w:rFonts w:eastAsia="仿宋_GB2312"/>
              <w:sz w:val="32"/>
              <w:szCs w:val="32"/>
            </w:rPr>
            <w:t>七、“三公”经费财政拨款支出决算情况说明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_Toc114149130 \h </w:instrText>
          </w:r>
          <w:r>
            <w:rPr>
              <w:rFonts w:eastAsia="仿宋_GB2312"/>
              <w:sz w:val="32"/>
              <w:szCs w:val="32"/>
            </w:rPr>
            <w:fldChar w:fldCharType="separate"/>
          </w:r>
          <w:r>
            <w:rPr>
              <w:rFonts w:eastAsia="仿宋_GB2312"/>
              <w:sz w:val="32"/>
              <w:szCs w:val="32"/>
            </w:rPr>
            <w:t>11</w:t>
          </w:r>
          <w:r>
            <w:rPr>
              <w:rFonts w:eastAsia="仿宋_GB2312"/>
              <w:sz w:val="32"/>
              <w:szCs w:val="32"/>
            </w:rPr>
            <w:fldChar w:fldCharType="end"/>
          </w:r>
          <w:r>
            <w:rPr>
              <w:rFonts w:eastAsia="仿宋_GB2312"/>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eastAsia="仿宋_GB2312"/>
              <w:sz w:val="32"/>
              <w:szCs w:val="32"/>
            </w:rPr>
          </w:pPr>
          <w:r>
            <w:rPr>
              <w:rFonts w:eastAsia="仿宋_GB2312"/>
              <w:sz w:val="32"/>
              <w:szCs w:val="32"/>
            </w:rPr>
            <w:fldChar w:fldCharType="begin"/>
          </w:r>
          <w:r>
            <w:rPr>
              <w:rFonts w:eastAsia="仿宋_GB2312"/>
              <w:sz w:val="32"/>
              <w:szCs w:val="32"/>
            </w:rPr>
            <w:instrText xml:space="preserve"> HYPERLINK \l "_Toc114149133" </w:instrText>
          </w:r>
          <w:r>
            <w:rPr>
              <w:rFonts w:eastAsia="仿宋_GB2312"/>
              <w:sz w:val="32"/>
              <w:szCs w:val="32"/>
            </w:rPr>
            <w:fldChar w:fldCharType="separate"/>
          </w:r>
          <w:r>
            <w:rPr>
              <w:rFonts w:eastAsia="仿宋_GB2312"/>
              <w:sz w:val="32"/>
              <w:szCs w:val="32"/>
            </w:rPr>
            <w:t>八、政府性基金预算支出决算情况说明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_Toc114149133 \h </w:instrText>
          </w:r>
          <w:r>
            <w:rPr>
              <w:rFonts w:eastAsia="仿宋_GB2312"/>
              <w:sz w:val="32"/>
              <w:szCs w:val="32"/>
            </w:rPr>
            <w:fldChar w:fldCharType="separate"/>
          </w:r>
          <w:r>
            <w:rPr>
              <w:rFonts w:eastAsia="仿宋_GB2312"/>
              <w:sz w:val="32"/>
              <w:szCs w:val="32"/>
            </w:rPr>
            <w:t>13</w:t>
          </w:r>
          <w:r>
            <w:rPr>
              <w:rFonts w:eastAsia="仿宋_GB2312"/>
              <w:sz w:val="32"/>
              <w:szCs w:val="32"/>
            </w:rPr>
            <w:fldChar w:fldCharType="end"/>
          </w:r>
          <w:r>
            <w:rPr>
              <w:rFonts w:eastAsia="仿宋_GB2312"/>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eastAsia="仿宋_GB2312"/>
              <w:sz w:val="32"/>
              <w:szCs w:val="32"/>
            </w:rPr>
          </w:pPr>
          <w:r>
            <w:rPr>
              <w:rFonts w:eastAsia="仿宋_GB2312"/>
              <w:sz w:val="32"/>
              <w:szCs w:val="32"/>
            </w:rPr>
            <w:fldChar w:fldCharType="begin"/>
          </w:r>
          <w:r>
            <w:rPr>
              <w:rFonts w:eastAsia="仿宋_GB2312"/>
              <w:sz w:val="32"/>
              <w:szCs w:val="32"/>
            </w:rPr>
            <w:instrText xml:space="preserve"> HYPERLINK \l "_Toc114149134" </w:instrText>
          </w:r>
          <w:r>
            <w:rPr>
              <w:rFonts w:eastAsia="仿宋_GB2312"/>
              <w:sz w:val="32"/>
              <w:szCs w:val="32"/>
            </w:rPr>
            <w:fldChar w:fldCharType="separate"/>
          </w:r>
          <w:r>
            <w:rPr>
              <w:rFonts w:eastAsia="仿宋_GB2312"/>
              <w:sz w:val="32"/>
              <w:szCs w:val="32"/>
            </w:rPr>
            <w:t>九、国有资本经营预算支出决算情况说明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_Toc114149134 \h </w:instrText>
          </w:r>
          <w:r>
            <w:rPr>
              <w:rFonts w:eastAsia="仿宋_GB2312"/>
              <w:sz w:val="32"/>
              <w:szCs w:val="32"/>
            </w:rPr>
            <w:fldChar w:fldCharType="separate"/>
          </w:r>
          <w:r>
            <w:rPr>
              <w:rFonts w:eastAsia="仿宋_GB2312"/>
              <w:sz w:val="32"/>
              <w:szCs w:val="32"/>
            </w:rPr>
            <w:t>13</w:t>
          </w:r>
          <w:r>
            <w:rPr>
              <w:rFonts w:eastAsia="仿宋_GB2312"/>
              <w:sz w:val="32"/>
              <w:szCs w:val="32"/>
            </w:rPr>
            <w:fldChar w:fldCharType="end"/>
          </w:r>
          <w:r>
            <w:rPr>
              <w:rFonts w:eastAsia="仿宋_GB2312"/>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asciiTheme="minorHAnsi" w:hAnsiTheme="minorHAnsi" w:eastAsiaTheme="minorEastAsia" w:cstheme="minorBidi"/>
              <w:sz w:val="32"/>
              <w:szCs w:val="32"/>
            </w:rPr>
          </w:pPr>
          <w:r>
            <w:rPr>
              <w:rFonts w:eastAsia="仿宋_GB2312"/>
              <w:sz w:val="32"/>
              <w:szCs w:val="32"/>
            </w:rPr>
            <w:fldChar w:fldCharType="begin"/>
          </w:r>
          <w:r>
            <w:rPr>
              <w:rFonts w:eastAsia="仿宋_GB2312"/>
              <w:sz w:val="32"/>
              <w:szCs w:val="32"/>
            </w:rPr>
            <w:instrText xml:space="preserve"> HYPERLINK \l "_Toc114149135" </w:instrText>
          </w:r>
          <w:r>
            <w:rPr>
              <w:rFonts w:eastAsia="仿宋_GB2312"/>
              <w:sz w:val="32"/>
              <w:szCs w:val="32"/>
            </w:rPr>
            <w:fldChar w:fldCharType="separate"/>
          </w:r>
          <w:r>
            <w:rPr>
              <w:rFonts w:eastAsia="仿宋_GB2312"/>
              <w:sz w:val="32"/>
              <w:szCs w:val="32"/>
            </w:rPr>
            <w:t>十、其他重要事项的情况说明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_Toc114149135 \h </w:instrText>
          </w:r>
          <w:r>
            <w:rPr>
              <w:rFonts w:eastAsia="仿宋_GB2312"/>
              <w:sz w:val="32"/>
              <w:szCs w:val="32"/>
            </w:rPr>
            <w:fldChar w:fldCharType="separate"/>
          </w:r>
          <w:r>
            <w:rPr>
              <w:rFonts w:eastAsia="仿宋_GB2312"/>
              <w:sz w:val="32"/>
              <w:szCs w:val="32"/>
            </w:rPr>
            <w:t>13</w:t>
          </w:r>
          <w:r>
            <w:rPr>
              <w:rFonts w:eastAsia="仿宋_GB2312"/>
              <w:sz w:val="32"/>
              <w:szCs w:val="32"/>
            </w:rPr>
            <w:fldChar w:fldCharType="end"/>
          </w:r>
          <w:r>
            <w:rPr>
              <w:rFonts w:eastAsia="仿宋_GB2312"/>
              <w:sz w:val="32"/>
              <w:szCs w:val="32"/>
            </w:rPr>
            <w:fldChar w:fldCharType="end"/>
          </w:r>
        </w:p>
        <w:p>
          <w:pPr>
            <w:pStyle w:val="11"/>
            <w:keepNext w:val="0"/>
            <w:keepLines w:val="0"/>
            <w:pageBreakBefore w:val="0"/>
            <w:widowControl w:val="0"/>
            <w:kinsoku/>
            <w:wordWrap/>
            <w:overflowPunct/>
            <w:topLinePunct w:val="0"/>
            <w:autoSpaceDE/>
            <w:autoSpaceDN/>
            <w:bidi w:val="0"/>
            <w:adjustRightInd/>
            <w:snapToGrid/>
            <w:spacing w:line="240" w:lineRule="auto"/>
            <w:textAlignment w:val="auto"/>
            <w:rPr>
              <w:rFonts w:asciiTheme="minorHAnsi" w:hAnsiTheme="minorHAnsi" w:eastAsiaTheme="minorEastAsia" w:cstheme="minorBidi"/>
              <w:sz w:val="32"/>
              <w:szCs w:val="32"/>
            </w:rPr>
          </w:pPr>
          <w:r>
            <w:fldChar w:fldCharType="begin"/>
          </w:r>
          <w:r>
            <w:instrText xml:space="preserve"> HYPERLINK \l "_Toc114149140" </w:instrText>
          </w:r>
          <w:r>
            <w:fldChar w:fldCharType="separate"/>
          </w:r>
          <w:r>
            <w:rPr>
              <w:rStyle w:val="16"/>
              <w:rFonts w:ascii="黑体" w:hAnsi="黑体" w:eastAsia="黑体" w:cs="黑体"/>
              <w:bCs/>
              <w:kern w:val="44"/>
              <w:sz w:val="32"/>
              <w:szCs w:val="32"/>
            </w:rPr>
            <w:t>第三部分</w:t>
          </w:r>
          <w:r>
            <w:rPr>
              <w:rStyle w:val="16"/>
              <w:rFonts w:eastAsia="黑体"/>
              <w:sz w:val="32"/>
              <w:szCs w:val="32"/>
            </w:rPr>
            <w:t xml:space="preserve"> 名</w:t>
          </w:r>
          <w:r>
            <w:rPr>
              <w:rStyle w:val="16"/>
              <w:rFonts w:eastAsia="黑体"/>
              <w:bCs/>
              <w:kern w:val="44"/>
              <w:sz w:val="32"/>
              <w:szCs w:val="32"/>
            </w:rPr>
            <w:t>词解释</w:t>
          </w:r>
          <w:r>
            <w:rPr>
              <w:sz w:val="32"/>
              <w:szCs w:val="32"/>
            </w:rPr>
            <w:tab/>
          </w:r>
          <w:r>
            <w:rPr>
              <w:sz w:val="32"/>
              <w:szCs w:val="32"/>
            </w:rPr>
            <w:fldChar w:fldCharType="begin"/>
          </w:r>
          <w:r>
            <w:rPr>
              <w:sz w:val="32"/>
              <w:szCs w:val="32"/>
            </w:rPr>
            <w:instrText xml:space="preserve"> PAGEREF _Toc114149140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11"/>
            <w:keepNext w:val="0"/>
            <w:keepLines w:val="0"/>
            <w:pageBreakBefore w:val="0"/>
            <w:widowControl w:val="0"/>
            <w:kinsoku/>
            <w:wordWrap/>
            <w:overflowPunct/>
            <w:topLinePunct w:val="0"/>
            <w:autoSpaceDE/>
            <w:autoSpaceDN/>
            <w:bidi w:val="0"/>
            <w:adjustRightInd/>
            <w:snapToGrid/>
            <w:spacing w:line="240" w:lineRule="auto"/>
            <w:textAlignment w:val="auto"/>
            <w:rPr>
              <w:rFonts w:asciiTheme="minorHAnsi" w:hAnsiTheme="minorHAnsi" w:eastAsiaTheme="minorEastAsia" w:cstheme="minorBidi"/>
              <w:sz w:val="32"/>
              <w:szCs w:val="32"/>
            </w:rPr>
          </w:pPr>
          <w:r>
            <w:fldChar w:fldCharType="begin"/>
          </w:r>
          <w:r>
            <w:instrText xml:space="preserve"> HYPERLINK \l "_Toc114149141" </w:instrText>
          </w:r>
          <w:r>
            <w:fldChar w:fldCharType="separate"/>
          </w:r>
          <w:r>
            <w:rPr>
              <w:rStyle w:val="16"/>
              <w:rFonts w:eastAsia="黑体"/>
              <w:sz w:val="32"/>
              <w:szCs w:val="32"/>
            </w:rPr>
            <w:t>第四部分 附件</w:t>
          </w:r>
          <w:r>
            <w:rPr>
              <w:sz w:val="32"/>
              <w:szCs w:val="32"/>
            </w:rPr>
            <w:tab/>
          </w:r>
          <w:r>
            <w:rPr>
              <w:sz w:val="32"/>
              <w:szCs w:val="32"/>
            </w:rPr>
            <w:fldChar w:fldCharType="begin"/>
          </w:r>
          <w:r>
            <w:rPr>
              <w:sz w:val="32"/>
              <w:szCs w:val="32"/>
            </w:rPr>
            <w:instrText xml:space="preserve"> PAGEREF _Toc114149141 \h </w:instrText>
          </w:r>
          <w:r>
            <w:rPr>
              <w:sz w:val="32"/>
              <w:szCs w:val="32"/>
            </w:rPr>
            <w:fldChar w:fldCharType="separate"/>
          </w:r>
          <w:r>
            <w:rPr>
              <w:sz w:val="32"/>
              <w:szCs w:val="32"/>
            </w:rPr>
            <w:t>18</w:t>
          </w:r>
          <w:r>
            <w:rPr>
              <w:sz w:val="32"/>
              <w:szCs w:val="32"/>
            </w:rPr>
            <w:fldChar w:fldCharType="end"/>
          </w:r>
          <w:r>
            <w:rPr>
              <w:sz w:val="32"/>
              <w:szCs w:val="32"/>
            </w:rPr>
            <w:fldChar w:fldCharType="end"/>
          </w:r>
        </w:p>
        <w:p>
          <w:pPr>
            <w:pStyle w:val="11"/>
            <w:keepNext w:val="0"/>
            <w:keepLines w:val="0"/>
            <w:pageBreakBefore w:val="0"/>
            <w:widowControl w:val="0"/>
            <w:kinsoku/>
            <w:wordWrap/>
            <w:overflowPunct/>
            <w:topLinePunct w:val="0"/>
            <w:autoSpaceDE/>
            <w:autoSpaceDN/>
            <w:bidi w:val="0"/>
            <w:adjustRightInd/>
            <w:snapToGrid/>
            <w:spacing w:line="240" w:lineRule="auto"/>
            <w:textAlignment w:val="auto"/>
            <w:rPr>
              <w:rFonts w:asciiTheme="minorHAnsi" w:hAnsiTheme="minorHAnsi" w:eastAsiaTheme="minorEastAsia" w:cstheme="minorBidi"/>
              <w:sz w:val="32"/>
              <w:szCs w:val="32"/>
            </w:rPr>
          </w:pPr>
          <w:r>
            <w:fldChar w:fldCharType="begin"/>
          </w:r>
          <w:r>
            <w:instrText xml:space="preserve"> HYPERLINK \l "_Toc114149142" </w:instrText>
          </w:r>
          <w:r>
            <w:fldChar w:fldCharType="separate"/>
          </w:r>
          <w:r>
            <w:rPr>
              <w:rStyle w:val="16"/>
              <w:rFonts w:eastAsia="黑体"/>
              <w:sz w:val="32"/>
              <w:szCs w:val="32"/>
            </w:rPr>
            <w:t>第</w:t>
          </w:r>
          <w:r>
            <w:rPr>
              <w:rStyle w:val="16"/>
              <w:rFonts w:eastAsia="黑体"/>
              <w:bCs/>
              <w:kern w:val="44"/>
              <w:sz w:val="32"/>
              <w:szCs w:val="32"/>
            </w:rPr>
            <w:t>五部分 附表</w:t>
          </w:r>
          <w:r>
            <w:rPr>
              <w:sz w:val="32"/>
              <w:szCs w:val="32"/>
            </w:rPr>
            <w:tab/>
          </w:r>
          <w:r>
            <w:rPr>
              <w:sz w:val="32"/>
              <w:szCs w:val="32"/>
            </w:rPr>
            <w:fldChar w:fldCharType="begin"/>
          </w:r>
          <w:r>
            <w:rPr>
              <w:sz w:val="32"/>
              <w:szCs w:val="32"/>
            </w:rPr>
            <w:instrText xml:space="preserve"> PAGEREF _Toc114149142 \h </w:instrText>
          </w:r>
          <w:r>
            <w:rPr>
              <w:sz w:val="32"/>
              <w:szCs w:val="32"/>
            </w:rPr>
            <w:fldChar w:fldCharType="separate"/>
          </w:r>
          <w:r>
            <w:rPr>
              <w:sz w:val="32"/>
              <w:szCs w:val="32"/>
            </w:rPr>
            <w:t>21</w:t>
          </w:r>
          <w:r>
            <w:rPr>
              <w:sz w:val="32"/>
              <w:szCs w:val="32"/>
            </w:rPr>
            <w:fldChar w:fldCharType="end"/>
          </w:r>
          <w:r>
            <w:rPr>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eastAsia="仿宋_GB2312"/>
              <w:sz w:val="32"/>
              <w:szCs w:val="32"/>
            </w:rPr>
          </w:pPr>
          <w:r>
            <w:rPr>
              <w:rFonts w:eastAsia="仿宋_GB2312"/>
              <w:sz w:val="32"/>
              <w:szCs w:val="32"/>
            </w:rPr>
            <w:fldChar w:fldCharType="begin"/>
          </w:r>
          <w:r>
            <w:rPr>
              <w:rFonts w:eastAsia="仿宋_GB2312"/>
              <w:sz w:val="32"/>
              <w:szCs w:val="32"/>
            </w:rPr>
            <w:instrText xml:space="preserve"> HYPERLINK \l "_Toc114149143" </w:instrText>
          </w:r>
          <w:r>
            <w:rPr>
              <w:rFonts w:eastAsia="仿宋_GB2312"/>
              <w:sz w:val="32"/>
              <w:szCs w:val="32"/>
            </w:rPr>
            <w:fldChar w:fldCharType="separate"/>
          </w:r>
          <w:r>
            <w:rPr>
              <w:rFonts w:eastAsia="仿宋_GB2312"/>
              <w:sz w:val="32"/>
              <w:szCs w:val="32"/>
            </w:rPr>
            <w:t>一、收入支出决算总表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_Toc114149143 \h </w:instrText>
          </w:r>
          <w:r>
            <w:rPr>
              <w:rFonts w:eastAsia="仿宋_GB2312"/>
              <w:sz w:val="32"/>
              <w:szCs w:val="32"/>
            </w:rPr>
            <w:fldChar w:fldCharType="separate"/>
          </w:r>
          <w:r>
            <w:rPr>
              <w:rFonts w:eastAsia="仿宋_GB2312"/>
              <w:sz w:val="32"/>
              <w:szCs w:val="32"/>
            </w:rPr>
            <w:t>21</w:t>
          </w:r>
          <w:r>
            <w:rPr>
              <w:rFonts w:eastAsia="仿宋_GB2312"/>
              <w:sz w:val="32"/>
              <w:szCs w:val="32"/>
            </w:rPr>
            <w:fldChar w:fldCharType="end"/>
          </w:r>
          <w:r>
            <w:rPr>
              <w:rFonts w:eastAsia="仿宋_GB2312"/>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eastAsia="仿宋_GB2312"/>
              <w:sz w:val="32"/>
              <w:szCs w:val="32"/>
            </w:rPr>
          </w:pPr>
          <w:r>
            <w:rPr>
              <w:rFonts w:eastAsia="仿宋_GB2312"/>
              <w:sz w:val="32"/>
              <w:szCs w:val="32"/>
            </w:rPr>
            <w:fldChar w:fldCharType="begin"/>
          </w:r>
          <w:r>
            <w:rPr>
              <w:rFonts w:eastAsia="仿宋_GB2312"/>
              <w:sz w:val="32"/>
              <w:szCs w:val="32"/>
            </w:rPr>
            <w:instrText xml:space="preserve"> HYPERLINK \l "_Toc114149144" </w:instrText>
          </w:r>
          <w:r>
            <w:rPr>
              <w:rFonts w:eastAsia="仿宋_GB2312"/>
              <w:sz w:val="32"/>
              <w:szCs w:val="32"/>
            </w:rPr>
            <w:fldChar w:fldCharType="separate"/>
          </w:r>
          <w:r>
            <w:rPr>
              <w:rFonts w:eastAsia="仿宋_GB2312"/>
              <w:sz w:val="32"/>
              <w:szCs w:val="32"/>
            </w:rPr>
            <w:t>二、收入决算表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_Toc114149144 \h </w:instrText>
          </w:r>
          <w:r>
            <w:rPr>
              <w:rFonts w:eastAsia="仿宋_GB2312"/>
              <w:sz w:val="32"/>
              <w:szCs w:val="32"/>
            </w:rPr>
            <w:fldChar w:fldCharType="separate"/>
          </w:r>
          <w:r>
            <w:rPr>
              <w:rFonts w:eastAsia="仿宋_GB2312"/>
              <w:sz w:val="32"/>
              <w:szCs w:val="32"/>
            </w:rPr>
            <w:t>21</w:t>
          </w:r>
          <w:r>
            <w:rPr>
              <w:rFonts w:eastAsia="仿宋_GB2312"/>
              <w:sz w:val="32"/>
              <w:szCs w:val="32"/>
            </w:rPr>
            <w:fldChar w:fldCharType="end"/>
          </w:r>
          <w:r>
            <w:rPr>
              <w:rFonts w:eastAsia="仿宋_GB2312"/>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eastAsia="仿宋_GB2312"/>
              <w:sz w:val="32"/>
              <w:szCs w:val="32"/>
            </w:rPr>
          </w:pPr>
          <w:r>
            <w:rPr>
              <w:rFonts w:eastAsia="仿宋_GB2312"/>
              <w:sz w:val="32"/>
              <w:szCs w:val="32"/>
            </w:rPr>
            <w:fldChar w:fldCharType="begin"/>
          </w:r>
          <w:r>
            <w:rPr>
              <w:rFonts w:eastAsia="仿宋_GB2312"/>
              <w:sz w:val="32"/>
              <w:szCs w:val="32"/>
            </w:rPr>
            <w:instrText xml:space="preserve"> HYPERLINK \l "_Toc114149145" </w:instrText>
          </w:r>
          <w:r>
            <w:rPr>
              <w:rFonts w:eastAsia="仿宋_GB2312"/>
              <w:sz w:val="32"/>
              <w:szCs w:val="32"/>
            </w:rPr>
            <w:fldChar w:fldCharType="separate"/>
          </w:r>
          <w:r>
            <w:rPr>
              <w:rFonts w:eastAsia="仿宋_GB2312"/>
              <w:sz w:val="32"/>
              <w:szCs w:val="32"/>
            </w:rPr>
            <w:t>三、支出决算表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_Toc114149145 \h </w:instrText>
          </w:r>
          <w:r>
            <w:rPr>
              <w:rFonts w:eastAsia="仿宋_GB2312"/>
              <w:sz w:val="32"/>
              <w:szCs w:val="32"/>
            </w:rPr>
            <w:fldChar w:fldCharType="separate"/>
          </w:r>
          <w:r>
            <w:rPr>
              <w:rFonts w:eastAsia="仿宋_GB2312"/>
              <w:sz w:val="32"/>
              <w:szCs w:val="32"/>
            </w:rPr>
            <w:t>21</w:t>
          </w:r>
          <w:r>
            <w:rPr>
              <w:rFonts w:eastAsia="仿宋_GB2312"/>
              <w:sz w:val="32"/>
              <w:szCs w:val="32"/>
            </w:rPr>
            <w:fldChar w:fldCharType="end"/>
          </w:r>
          <w:r>
            <w:rPr>
              <w:rFonts w:eastAsia="仿宋_GB2312"/>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eastAsia="仿宋_GB2312"/>
              <w:sz w:val="32"/>
              <w:szCs w:val="32"/>
            </w:rPr>
          </w:pPr>
          <w:r>
            <w:rPr>
              <w:rFonts w:eastAsia="仿宋_GB2312"/>
              <w:sz w:val="32"/>
              <w:szCs w:val="32"/>
            </w:rPr>
            <w:fldChar w:fldCharType="begin"/>
          </w:r>
          <w:r>
            <w:rPr>
              <w:rFonts w:eastAsia="仿宋_GB2312"/>
              <w:sz w:val="32"/>
              <w:szCs w:val="32"/>
            </w:rPr>
            <w:instrText xml:space="preserve"> HYPERLINK \l "_Toc114149146" </w:instrText>
          </w:r>
          <w:r>
            <w:rPr>
              <w:rFonts w:eastAsia="仿宋_GB2312"/>
              <w:sz w:val="32"/>
              <w:szCs w:val="32"/>
            </w:rPr>
            <w:fldChar w:fldCharType="separate"/>
          </w:r>
          <w:r>
            <w:rPr>
              <w:rFonts w:eastAsia="仿宋_GB2312"/>
              <w:sz w:val="32"/>
              <w:szCs w:val="32"/>
            </w:rPr>
            <w:t>四、财政拨款收入支出决算总表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_Toc114149146 \h </w:instrText>
          </w:r>
          <w:r>
            <w:rPr>
              <w:rFonts w:eastAsia="仿宋_GB2312"/>
              <w:sz w:val="32"/>
              <w:szCs w:val="32"/>
            </w:rPr>
            <w:fldChar w:fldCharType="separate"/>
          </w:r>
          <w:r>
            <w:rPr>
              <w:rFonts w:eastAsia="仿宋_GB2312"/>
              <w:sz w:val="32"/>
              <w:szCs w:val="32"/>
            </w:rPr>
            <w:t>21</w:t>
          </w:r>
          <w:r>
            <w:rPr>
              <w:rFonts w:eastAsia="仿宋_GB2312"/>
              <w:sz w:val="32"/>
              <w:szCs w:val="32"/>
            </w:rPr>
            <w:fldChar w:fldCharType="end"/>
          </w:r>
          <w:r>
            <w:rPr>
              <w:rFonts w:eastAsia="仿宋_GB2312"/>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eastAsia="仿宋_GB2312"/>
              <w:sz w:val="32"/>
              <w:szCs w:val="32"/>
            </w:rPr>
          </w:pPr>
          <w:r>
            <w:rPr>
              <w:rFonts w:eastAsia="仿宋_GB2312"/>
              <w:sz w:val="32"/>
              <w:szCs w:val="32"/>
            </w:rPr>
            <w:fldChar w:fldCharType="begin"/>
          </w:r>
          <w:r>
            <w:rPr>
              <w:rFonts w:eastAsia="仿宋_GB2312"/>
              <w:sz w:val="32"/>
              <w:szCs w:val="32"/>
            </w:rPr>
            <w:instrText xml:space="preserve"> HYPERLINK \l "_Toc114149147" </w:instrText>
          </w:r>
          <w:r>
            <w:rPr>
              <w:rFonts w:eastAsia="仿宋_GB2312"/>
              <w:sz w:val="32"/>
              <w:szCs w:val="32"/>
            </w:rPr>
            <w:fldChar w:fldCharType="separate"/>
          </w:r>
          <w:r>
            <w:rPr>
              <w:rFonts w:eastAsia="仿宋_GB2312"/>
              <w:sz w:val="32"/>
              <w:szCs w:val="32"/>
            </w:rPr>
            <w:t>五、财政拨款支出决算明细表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_Toc114149147 \h </w:instrText>
          </w:r>
          <w:r>
            <w:rPr>
              <w:rFonts w:eastAsia="仿宋_GB2312"/>
              <w:sz w:val="32"/>
              <w:szCs w:val="32"/>
            </w:rPr>
            <w:fldChar w:fldCharType="separate"/>
          </w:r>
          <w:r>
            <w:rPr>
              <w:rFonts w:eastAsia="仿宋_GB2312"/>
              <w:sz w:val="32"/>
              <w:szCs w:val="32"/>
            </w:rPr>
            <w:t>21</w:t>
          </w:r>
          <w:r>
            <w:rPr>
              <w:rFonts w:eastAsia="仿宋_GB2312"/>
              <w:sz w:val="32"/>
              <w:szCs w:val="32"/>
            </w:rPr>
            <w:fldChar w:fldCharType="end"/>
          </w:r>
          <w:r>
            <w:rPr>
              <w:rFonts w:eastAsia="仿宋_GB2312"/>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eastAsia="仿宋_GB2312"/>
              <w:sz w:val="32"/>
              <w:szCs w:val="32"/>
            </w:rPr>
          </w:pPr>
          <w:r>
            <w:rPr>
              <w:rFonts w:eastAsia="仿宋_GB2312"/>
              <w:sz w:val="32"/>
              <w:szCs w:val="32"/>
            </w:rPr>
            <w:fldChar w:fldCharType="begin"/>
          </w:r>
          <w:r>
            <w:rPr>
              <w:rFonts w:eastAsia="仿宋_GB2312"/>
              <w:sz w:val="32"/>
              <w:szCs w:val="32"/>
            </w:rPr>
            <w:instrText xml:space="preserve"> HYPERLINK \l "_Toc114149148" </w:instrText>
          </w:r>
          <w:r>
            <w:rPr>
              <w:rFonts w:eastAsia="仿宋_GB2312"/>
              <w:sz w:val="32"/>
              <w:szCs w:val="32"/>
            </w:rPr>
            <w:fldChar w:fldCharType="separate"/>
          </w:r>
          <w:r>
            <w:rPr>
              <w:rFonts w:eastAsia="仿宋_GB2312"/>
              <w:sz w:val="32"/>
              <w:szCs w:val="32"/>
            </w:rPr>
            <w:t>六、一般公共预算财政拨款支出决算表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_Toc114149148 \h </w:instrText>
          </w:r>
          <w:r>
            <w:rPr>
              <w:rFonts w:eastAsia="仿宋_GB2312"/>
              <w:sz w:val="32"/>
              <w:szCs w:val="32"/>
            </w:rPr>
            <w:fldChar w:fldCharType="separate"/>
          </w:r>
          <w:r>
            <w:rPr>
              <w:rFonts w:eastAsia="仿宋_GB2312"/>
              <w:sz w:val="32"/>
              <w:szCs w:val="32"/>
            </w:rPr>
            <w:t>21</w:t>
          </w:r>
          <w:r>
            <w:rPr>
              <w:rFonts w:eastAsia="仿宋_GB2312"/>
              <w:sz w:val="32"/>
              <w:szCs w:val="32"/>
            </w:rPr>
            <w:fldChar w:fldCharType="end"/>
          </w:r>
          <w:r>
            <w:rPr>
              <w:rFonts w:eastAsia="仿宋_GB2312"/>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eastAsia="仿宋_GB2312"/>
              <w:sz w:val="32"/>
              <w:szCs w:val="32"/>
            </w:rPr>
          </w:pPr>
          <w:r>
            <w:rPr>
              <w:rFonts w:eastAsia="仿宋_GB2312"/>
              <w:sz w:val="32"/>
              <w:szCs w:val="32"/>
            </w:rPr>
            <w:fldChar w:fldCharType="begin"/>
          </w:r>
          <w:r>
            <w:rPr>
              <w:rFonts w:eastAsia="仿宋_GB2312"/>
              <w:sz w:val="32"/>
              <w:szCs w:val="32"/>
            </w:rPr>
            <w:instrText xml:space="preserve"> HYPERLINK \l "_Toc114149149" </w:instrText>
          </w:r>
          <w:r>
            <w:rPr>
              <w:rFonts w:eastAsia="仿宋_GB2312"/>
              <w:sz w:val="32"/>
              <w:szCs w:val="32"/>
            </w:rPr>
            <w:fldChar w:fldCharType="separate"/>
          </w:r>
          <w:r>
            <w:rPr>
              <w:rFonts w:eastAsia="仿宋_GB2312"/>
              <w:sz w:val="32"/>
              <w:szCs w:val="32"/>
            </w:rPr>
            <w:t>七、一般公共预算财政拨款支出决算明细表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_Toc114149149 \h </w:instrText>
          </w:r>
          <w:r>
            <w:rPr>
              <w:rFonts w:eastAsia="仿宋_GB2312"/>
              <w:sz w:val="32"/>
              <w:szCs w:val="32"/>
            </w:rPr>
            <w:fldChar w:fldCharType="separate"/>
          </w:r>
          <w:r>
            <w:rPr>
              <w:rFonts w:eastAsia="仿宋_GB2312"/>
              <w:sz w:val="32"/>
              <w:szCs w:val="32"/>
            </w:rPr>
            <w:t>21</w:t>
          </w:r>
          <w:r>
            <w:rPr>
              <w:rFonts w:eastAsia="仿宋_GB2312"/>
              <w:sz w:val="32"/>
              <w:szCs w:val="32"/>
            </w:rPr>
            <w:fldChar w:fldCharType="end"/>
          </w:r>
          <w:r>
            <w:rPr>
              <w:rFonts w:eastAsia="仿宋_GB2312"/>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eastAsia="仿宋_GB2312"/>
              <w:sz w:val="32"/>
              <w:szCs w:val="32"/>
            </w:rPr>
          </w:pPr>
          <w:r>
            <w:rPr>
              <w:rFonts w:eastAsia="仿宋_GB2312"/>
              <w:sz w:val="32"/>
              <w:szCs w:val="32"/>
            </w:rPr>
            <w:fldChar w:fldCharType="begin"/>
          </w:r>
          <w:r>
            <w:rPr>
              <w:rFonts w:eastAsia="仿宋_GB2312"/>
              <w:sz w:val="32"/>
              <w:szCs w:val="32"/>
            </w:rPr>
            <w:instrText xml:space="preserve"> HYPERLINK \l "_Toc114149150" </w:instrText>
          </w:r>
          <w:r>
            <w:rPr>
              <w:rFonts w:eastAsia="仿宋_GB2312"/>
              <w:sz w:val="32"/>
              <w:szCs w:val="32"/>
            </w:rPr>
            <w:fldChar w:fldCharType="separate"/>
          </w:r>
          <w:r>
            <w:rPr>
              <w:rFonts w:eastAsia="仿宋_GB2312"/>
              <w:sz w:val="32"/>
              <w:szCs w:val="32"/>
            </w:rPr>
            <w:t>八、一般公共预算财政拨款基本支出决算表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_Toc114149150 \h </w:instrText>
          </w:r>
          <w:r>
            <w:rPr>
              <w:rFonts w:eastAsia="仿宋_GB2312"/>
              <w:sz w:val="32"/>
              <w:szCs w:val="32"/>
            </w:rPr>
            <w:fldChar w:fldCharType="separate"/>
          </w:r>
          <w:r>
            <w:rPr>
              <w:rFonts w:eastAsia="仿宋_GB2312"/>
              <w:sz w:val="32"/>
              <w:szCs w:val="32"/>
            </w:rPr>
            <w:t>21</w:t>
          </w:r>
          <w:r>
            <w:rPr>
              <w:rFonts w:eastAsia="仿宋_GB2312"/>
              <w:sz w:val="32"/>
              <w:szCs w:val="32"/>
            </w:rPr>
            <w:fldChar w:fldCharType="end"/>
          </w:r>
          <w:r>
            <w:rPr>
              <w:rFonts w:eastAsia="仿宋_GB2312"/>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eastAsia="仿宋_GB2312"/>
              <w:sz w:val="32"/>
              <w:szCs w:val="32"/>
            </w:rPr>
          </w:pPr>
          <w:r>
            <w:rPr>
              <w:rFonts w:eastAsia="仿宋_GB2312"/>
              <w:sz w:val="32"/>
              <w:szCs w:val="32"/>
            </w:rPr>
            <w:fldChar w:fldCharType="begin"/>
          </w:r>
          <w:r>
            <w:rPr>
              <w:rFonts w:eastAsia="仿宋_GB2312"/>
              <w:sz w:val="32"/>
              <w:szCs w:val="32"/>
            </w:rPr>
            <w:instrText xml:space="preserve"> HYPERLINK \l "_Toc114149151" </w:instrText>
          </w:r>
          <w:r>
            <w:rPr>
              <w:rFonts w:eastAsia="仿宋_GB2312"/>
              <w:sz w:val="32"/>
              <w:szCs w:val="32"/>
            </w:rPr>
            <w:fldChar w:fldCharType="separate"/>
          </w:r>
          <w:r>
            <w:rPr>
              <w:rFonts w:eastAsia="仿宋_GB2312"/>
              <w:sz w:val="32"/>
              <w:szCs w:val="32"/>
            </w:rPr>
            <w:t>九、一般公共预算财政拨款项目支出决算表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_Toc114149151 \h </w:instrText>
          </w:r>
          <w:r>
            <w:rPr>
              <w:rFonts w:eastAsia="仿宋_GB2312"/>
              <w:sz w:val="32"/>
              <w:szCs w:val="32"/>
            </w:rPr>
            <w:fldChar w:fldCharType="separate"/>
          </w:r>
          <w:r>
            <w:rPr>
              <w:rFonts w:eastAsia="仿宋_GB2312"/>
              <w:sz w:val="32"/>
              <w:szCs w:val="32"/>
            </w:rPr>
            <w:t>21</w:t>
          </w:r>
          <w:r>
            <w:rPr>
              <w:rFonts w:eastAsia="仿宋_GB2312"/>
              <w:sz w:val="32"/>
              <w:szCs w:val="32"/>
            </w:rPr>
            <w:fldChar w:fldCharType="end"/>
          </w:r>
          <w:r>
            <w:rPr>
              <w:rFonts w:eastAsia="仿宋_GB2312"/>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eastAsia="仿宋_GB2312"/>
              <w:sz w:val="32"/>
              <w:szCs w:val="32"/>
            </w:rPr>
          </w:pPr>
          <w:r>
            <w:rPr>
              <w:rFonts w:eastAsia="仿宋_GB2312"/>
              <w:sz w:val="32"/>
              <w:szCs w:val="32"/>
            </w:rPr>
            <w:fldChar w:fldCharType="begin"/>
          </w:r>
          <w:r>
            <w:rPr>
              <w:rFonts w:eastAsia="仿宋_GB2312"/>
              <w:sz w:val="32"/>
              <w:szCs w:val="32"/>
            </w:rPr>
            <w:instrText xml:space="preserve"> HYPERLINK \l "_Toc114149152" </w:instrText>
          </w:r>
          <w:r>
            <w:rPr>
              <w:rFonts w:eastAsia="仿宋_GB2312"/>
              <w:sz w:val="32"/>
              <w:szCs w:val="32"/>
            </w:rPr>
            <w:fldChar w:fldCharType="separate"/>
          </w:r>
          <w:r>
            <w:rPr>
              <w:rFonts w:eastAsia="仿宋_GB2312"/>
              <w:sz w:val="32"/>
              <w:szCs w:val="32"/>
            </w:rPr>
            <w:t>十、一般公共预算财政拨款“三公”经费支出决算表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_Toc114149152 \h </w:instrText>
          </w:r>
          <w:r>
            <w:rPr>
              <w:rFonts w:eastAsia="仿宋_GB2312"/>
              <w:sz w:val="32"/>
              <w:szCs w:val="32"/>
            </w:rPr>
            <w:fldChar w:fldCharType="separate"/>
          </w:r>
          <w:r>
            <w:rPr>
              <w:rFonts w:eastAsia="仿宋_GB2312"/>
              <w:sz w:val="32"/>
              <w:szCs w:val="32"/>
            </w:rPr>
            <w:t>21</w:t>
          </w:r>
          <w:r>
            <w:rPr>
              <w:rFonts w:eastAsia="仿宋_GB2312"/>
              <w:sz w:val="32"/>
              <w:szCs w:val="32"/>
            </w:rPr>
            <w:fldChar w:fldCharType="end"/>
          </w:r>
          <w:r>
            <w:rPr>
              <w:rFonts w:eastAsia="仿宋_GB2312"/>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eastAsia="仿宋_GB2312"/>
              <w:sz w:val="32"/>
              <w:szCs w:val="32"/>
            </w:rPr>
          </w:pPr>
          <w:r>
            <w:rPr>
              <w:rFonts w:eastAsia="仿宋_GB2312"/>
              <w:sz w:val="32"/>
              <w:szCs w:val="32"/>
            </w:rPr>
            <w:fldChar w:fldCharType="begin"/>
          </w:r>
          <w:r>
            <w:rPr>
              <w:rFonts w:eastAsia="仿宋_GB2312"/>
              <w:sz w:val="32"/>
              <w:szCs w:val="32"/>
            </w:rPr>
            <w:instrText xml:space="preserve"> HYPERLINK \l "_Toc114149153" </w:instrText>
          </w:r>
          <w:r>
            <w:rPr>
              <w:rFonts w:eastAsia="仿宋_GB2312"/>
              <w:sz w:val="32"/>
              <w:szCs w:val="32"/>
            </w:rPr>
            <w:fldChar w:fldCharType="separate"/>
          </w:r>
          <w:r>
            <w:rPr>
              <w:rFonts w:eastAsia="仿宋_GB2312"/>
              <w:sz w:val="32"/>
              <w:szCs w:val="32"/>
            </w:rPr>
            <w:t>十一、政府性基金预算财政拨款收入支出决算表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_Toc114149153 \h </w:instrText>
          </w:r>
          <w:r>
            <w:rPr>
              <w:rFonts w:eastAsia="仿宋_GB2312"/>
              <w:sz w:val="32"/>
              <w:szCs w:val="32"/>
            </w:rPr>
            <w:fldChar w:fldCharType="separate"/>
          </w:r>
          <w:r>
            <w:rPr>
              <w:rFonts w:eastAsia="仿宋_GB2312"/>
              <w:sz w:val="32"/>
              <w:szCs w:val="32"/>
            </w:rPr>
            <w:t>21</w:t>
          </w:r>
          <w:r>
            <w:rPr>
              <w:rFonts w:eastAsia="仿宋_GB2312"/>
              <w:sz w:val="32"/>
              <w:szCs w:val="32"/>
            </w:rPr>
            <w:fldChar w:fldCharType="end"/>
          </w:r>
          <w:r>
            <w:rPr>
              <w:rFonts w:eastAsia="仿宋_GB2312"/>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eastAsia="仿宋_GB2312"/>
              <w:sz w:val="32"/>
              <w:szCs w:val="32"/>
            </w:rPr>
          </w:pPr>
          <w:r>
            <w:rPr>
              <w:rFonts w:eastAsia="仿宋_GB2312"/>
              <w:sz w:val="32"/>
              <w:szCs w:val="32"/>
            </w:rPr>
            <w:fldChar w:fldCharType="begin"/>
          </w:r>
          <w:r>
            <w:rPr>
              <w:rFonts w:eastAsia="仿宋_GB2312"/>
              <w:sz w:val="32"/>
              <w:szCs w:val="32"/>
            </w:rPr>
            <w:instrText xml:space="preserve"> HYPERLINK \l "_Toc114149154" </w:instrText>
          </w:r>
          <w:r>
            <w:rPr>
              <w:rFonts w:eastAsia="仿宋_GB2312"/>
              <w:sz w:val="32"/>
              <w:szCs w:val="32"/>
            </w:rPr>
            <w:fldChar w:fldCharType="separate"/>
          </w:r>
          <w:r>
            <w:rPr>
              <w:rFonts w:eastAsia="仿宋_GB2312"/>
              <w:sz w:val="32"/>
              <w:szCs w:val="32"/>
            </w:rPr>
            <w:t>十二、政府性基金预算财政拨款“三公”经费支出决算表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_Toc114149154 \h </w:instrText>
          </w:r>
          <w:r>
            <w:rPr>
              <w:rFonts w:eastAsia="仿宋_GB2312"/>
              <w:sz w:val="32"/>
              <w:szCs w:val="32"/>
            </w:rPr>
            <w:fldChar w:fldCharType="separate"/>
          </w:r>
          <w:r>
            <w:rPr>
              <w:rFonts w:eastAsia="仿宋_GB2312"/>
              <w:sz w:val="32"/>
              <w:szCs w:val="32"/>
            </w:rPr>
            <w:t>21</w:t>
          </w:r>
          <w:r>
            <w:rPr>
              <w:rFonts w:eastAsia="仿宋_GB2312"/>
              <w:sz w:val="32"/>
              <w:szCs w:val="32"/>
            </w:rPr>
            <w:fldChar w:fldCharType="end"/>
          </w:r>
          <w:r>
            <w:rPr>
              <w:rFonts w:eastAsia="仿宋_GB2312"/>
              <w:sz w:val="32"/>
              <w:szCs w:val="32"/>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asciiTheme="minorHAnsi" w:hAnsiTheme="minorHAnsi" w:eastAsiaTheme="minorEastAsia" w:cstheme="minorBidi"/>
              <w:sz w:val="32"/>
              <w:szCs w:val="32"/>
            </w:rPr>
          </w:pPr>
          <w:r>
            <w:rPr>
              <w:rFonts w:eastAsia="仿宋_GB2312"/>
              <w:sz w:val="32"/>
              <w:szCs w:val="32"/>
            </w:rPr>
            <w:fldChar w:fldCharType="begin"/>
          </w:r>
          <w:r>
            <w:rPr>
              <w:rFonts w:eastAsia="仿宋_GB2312"/>
              <w:sz w:val="32"/>
              <w:szCs w:val="32"/>
            </w:rPr>
            <w:instrText xml:space="preserve"> HYPERLINK \l "_Toc114149155" </w:instrText>
          </w:r>
          <w:r>
            <w:rPr>
              <w:rFonts w:eastAsia="仿宋_GB2312"/>
              <w:sz w:val="32"/>
              <w:szCs w:val="32"/>
            </w:rPr>
            <w:fldChar w:fldCharType="separate"/>
          </w:r>
          <w:r>
            <w:rPr>
              <w:rFonts w:eastAsia="仿宋_GB2312"/>
              <w:sz w:val="32"/>
              <w:szCs w:val="32"/>
            </w:rPr>
            <w:t>十三、国有资本经营预算财政拨款收入支出决算表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_Toc114149155 \h </w:instrText>
          </w:r>
          <w:r>
            <w:rPr>
              <w:rFonts w:eastAsia="仿宋_GB2312"/>
              <w:sz w:val="32"/>
              <w:szCs w:val="32"/>
            </w:rPr>
            <w:fldChar w:fldCharType="separate"/>
          </w:r>
          <w:r>
            <w:rPr>
              <w:rFonts w:eastAsia="仿宋_GB2312"/>
              <w:sz w:val="32"/>
              <w:szCs w:val="32"/>
            </w:rPr>
            <w:t>21</w:t>
          </w:r>
          <w:r>
            <w:rPr>
              <w:rFonts w:eastAsia="仿宋_GB2312"/>
              <w:sz w:val="32"/>
              <w:szCs w:val="32"/>
            </w:rPr>
            <w:fldChar w:fldCharType="end"/>
          </w:r>
          <w:r>
            <w:rPr>
              <w:rFonts w:eastAsia="仿宋_GB2312"/>
              <w:sz w:val="32"/>
              <w:szCs w:val="32"/>
            </w:rPr>
            <w:fldChar w:fldCharType="end"/>
          </w:r>
        </w:p>
        <w:p>
          <w:pPr>
            <w:pageBreakBefore w:val="0"/>
            <w:widowControl w:val="0"/>
            <w:kinsoku/>
            <w:wordWrap/>
            <w:overflowPunct/>
            <w:topLinePunct w:val="0"/>
            <w:autoSpaceDE/>
            <w:autoSpaceDN/>
            <w:bidi w:val="0"/>
            <w:adjustRightInd/>
            <w:snapToGrid/>
            <w:spacing w:line="440" w:lineRule="exact"/>
            <w:textAlignment w:val="auto"/>
            <w:rPr>
              <w:rFonts w:eastAsia="仿宋_GB2312"/>
            </w:rPr>
          </w:pPr>
          <w:r>
            <w:rPr>
              <w:rFonts w:eastAsia="仿宋_GB2312"/>
              <w:sz w:val="32"/>
              <w:szCs w:val="32"/>
            </w:rPr>
            <w:fldChar w:fldCharType="end"/>
          </w:r>
        </w:p>
      </w:sdtContent>
    </w:sdt>
    <w:p>
      <w:pPr>
        <w:pStyle w:val="3"/>
        <w:pageBreakBefore w:val="0"/>
        <w:widowControl w:val="0"/>
        <w:kinsoku/>
        <w:wordWrap/>
        <w:overflowPunct/>
        <w:topLinePunct w:val="0"/>
        <w:autoSpaceDE/>
        <w:autoSpaceDN/>
        <w:bidi w:val="0"/>
        <w:adjustRightInd/>
        <w:snapToGrid/>
        <w:jc w:val="center"/>
        <w:textAlignment w:val="auto"/>
        <w:rPr>
          <w:rFonts w:eastAsia="黑体"/>
          <w:b w:val="0"/>
        </w:rPr>
        <w:sectPr>
          <w:footerReference r:id="rId6" w:type="first"/>
          <w:footerReference r:id="rId5" w:type="default"/>
          <w:pgSz w:w="11906" w:h="16838"/>
          <w:pgMar w:top="1440" w:right="1800" w:bottom="1440" w:left="1800" w:header="851" w:footer="992" w:gutter="0"/>
          <w:pgNumType w:start="1"/>
          <w:cols w:space="425" w:num="1"/>
          <w:titlePg/>
          <w:docGrid w:type="lines" w:linePitch="312" w:charSpace="0"/>
        </w:sectPr>
      </w:pPr>
    </w:p>
    <w:p>
      <w:pPr>
        <w:pStyle w:val="3"/>
        <w:spacing w:line="580" w:lineRule="exact"/>
        <w:jc w:val="center"/>
        <w:rPr>
          <w:rFonts w:eastAsia="黑体"/>
          <w:sz w:val="32"/>
          <w:szCs w:val="32"/>
        </w:rPr>
      </w:pPr>
      <w:bookmarkStart w:id="23" w:name="_Toc114149117"/>
      <w:r>
        <w:rPr>
          <w:rFonts w:eastAsia="黑体"/>
          <w:b w:val="0"/>
        </w:rPr>
        <w:t>第一部分 单位</w:t>
      </w:r>
      <w:r>
        <w:rPr>
          <w:rStyle w:val="25"/>
          <w:rFonts w:eastAsia="黑体"/>
          <w:b w:val="0"/>
          <w:bCs w:val="0"/>
        </w:rPr>
        <w:t>概况</w:t>
      </w:r>
      <w:bookmarkEnd w:id="21"/>
      <w:bookmarkEnd w:id="22"/>
      <w:bookmarkEnd w:id="23"/>
    </w:p>
    <w:p>
      <w:pPr>
        <w:pStyle w:val="4"/>
        <w:spacing w:before="0" w:after="0" w:line="415" w:lineRule="auto"/>
        <w:ind w:firstLine="640" w:firstLineChars="200"/>
        <w:rPr>
          <w:rStyle w:val="34"/>
          <w:rFonts w:ascii="Times New Roman" w:hAnsi="Times New Roman" w:eastAsia="黑体" w:cs="Times New Roman"/>
          <w:b w:val="0"/>
          <w:bCs w:val="0"/>
        </w:rPr>
      </w:pPr>
      <w:bookmarkStart w:id="24" w:name="_Toc112341443"/>
      <w:bookmarkStart w:id="25" w:name="_Toc114149118"/>
      <w:bookmarkStart w:id="26" w:name="_Toc112248206"/>
      <w:bookmarkStart w:id="27" w:name="_Toc112248384"/>
      <w:bookmarkStart w:id="28" w:name="_Toc112237377"/>
      <w:bookmarkStart w:id="29" w:name="_Toc112248293"/>
      <w:bookmarkStart w:id="30" w:name="_Toc15377197"/>
      <w:bookmarkStart w:id="31" w:name="_Toc15396600"/>
      <w:r>
        <w:rPr>
          <w:rStyle w:val="34"/>
          <w:rFonts w:ascii="Times New Roman" w:hAnsi="Times New Roman" w:eastAsia="黑体" w:cs="Times New Roman"/>
          <w:b w:val="0"/>
          <w:bCs w:val="0"/>
        </w:rPr>
        <w:t>一、职能简介</w:t>
      </w:r>
      <w:bookmarkEnd w:id="24"/>
      <w:bookmarkEnd w:id="25"/>
      <w:r>
        <w:rPr>
          <w:rStyle w:val="34"/>
          <w:rFonts w:ascii="Times New Roman" w:hAnsi="Times New Roman" w:eastAsia="黑体" w:cs="Times New Roman"/>
          <w:b w:val="0"/>
          <w:bCs w:val="0"/>
        </w:rPr>
        <w:t xml:space="preserve"> </w:t>
      </w:r>
    </w:p>
    <w:bookmarkEnd w:id="26"/>
    <w:bookmarkEnd w:id="27"/>
    <w:bookmarkEnd w:id="28"/>
    <w:bookmarkEnd w:id="29"/>
    <w:p>
      <w:pPr>
        <w:spacing w:line="580" w:lineRule="exact"/>
        <w:ind w:firstLine="642" w:firstLineChars="200"/>
        <w:rPr>
          <w:rFonts w:eastAsia="仿宋_GB2312"/>
          <w:sz w:val="32"/>
          <w:szCs w:val="32"/>
        </w:rPr>
      </w:pPr>
      <w:r>
        <w:rPr>
          <w:rFonts w:eastAsia="仿宋_GB2312"/>
          <w:b/>
          <w:color w:val="000000"/>
          <w:sz w:val="32"/>
          <w:szCs w:val="32"/>
        </w:rPr>
        <w:t>一是</w:t>
      </w:r>
      <w:r>
        <w:rPr>
          <w:rFonts w:eastAsia="仿宋_GB2312"/>
          <w:color w:val="000000"/>
          <w:sz w:val="32"/>
          <w:szCs w:val="32"/>
        </w:rPr>
        <w:t>负责全省事业单位专业技术二级岗位申报信息录入，组织开展拟聘人选资格审核工作。</w:t>
      </w:r>
    </w:p>
    <w:p>
      <w:pPr>
        <w:spacing w:line="580" w:lineRule="exact"/>
        <w:ind w:firstLine="642" w:firstLineChars="200"/>
        <w:rPr>
          <w:rFonts w:eastAsia="仿宋_GB2312"/>
          <w:sz w:val="32"/>
          <w:szCs w:val="32"/>
        </w:rPr>
      </w:pPr>
      <w:r>
        <w:rPr>
          <w:rFonts w:eastAsia="仿宋_GB2312"/>
          <w:b/>
          <w:color w:val="000000"/>
          <w:sz w:val="32"/>
          <w:szCs w:val="32"/>
        </w:rPr>
        <w:t>二是</w:t>
      </w:r>
      <w:r>
        <w:rPr>
          <w:rFonts w:eastAsia="仿宋_GB2312"/>
          <w:color w:val="000000"/>
          <w:sz w:val="32"/>
          <w:szCs w:val="32"/>
        </w:rPr>
        <w:t>开展专家成果和技术的宣传，组织专家进行</w:t>
      </w:r>
      <w:r>
        <w:rPr>
          <w:rFonts w:hint="eastAsia" w:eastAsia="仿宋_GB2312"/>
          <w:color w:val="000000"/>
          <w:sz w:val="32"/>
          <w:szCs w:val="32"/>
          <w:lang w:eastAsia="zh-CN"/>
        </w:rPr>
        <w:t>科技咨询、</w:t>
      </w:r>
      <w:r>
        <w:rPr>
          <w:rFonts w:eastAsia="仿宋_GB2312"/>
          <w:color w:val="000000"/>
          <w:sz w:val="32"/>
          <w:szCs w:val="32"/>
        </w:rPr>
        <w:t>人才评价、成果鉴定，负责专家技术交流、</w:t>
      </w:r>
      <w:r>
        <w:rPr>
          <w:rFonts w:hint="eastAsia" w:eastAsia="仿宋_GB2312"/>
          <w:color w:val="000000"/>
          <w:sz w:val="32"/>
          <w:szCs w:val="32"/>
          <w:lang w:eastAsia="zh-CN"/>
        </w:rPr>
        <w:t>联谊</w:t>
      </w:r>
      <w:r>
        <w:rPr>
          <w:rFonts w:eastAsia="仿宋_GB2312"/>
          <w:color w:val="000000"/>
          <w:sz w:val="32"/>
          <w:szCs w:val="32"/>
        </w:rPr>
        <w:t>考察、疗养和休假工作，负责在川两院院士、国务院政府特殊津贴专家、国家有突出贡献的中青年专家、四川省学术和技术带头人等专家津贴的管理和发放工作。</w:t>
      </w:r>
    </w:p>
    <w:p>
      <w:pPr>
        <w:spacing w:line="580" w:lineRule="exact"/>
        <w:ind w:firstLine="642" w:firstLineChars="200"/>
        <w:rPr>
          <w:rFonts w:eastAsia="仿宋_GB2312"/>
          <w:sz w:val="32"/>
          <w:szCs w:val="32"/>
        </w:rPr>
      </w:pPr>
      <w:r>
        <w:rPr>
          <w:rFonts w:eastAsia="仿宋_GB2312"/>
          <w:b/>
          <w:color w:val="000000"/>
          <w:sz w:val="32"/>
          <w:szCs w:val="32"/>
        </w:rPr>
        <w:t>三是</w:t>
      </w:r>
      <w:r>
        <w:rPr>
          <w:rFonts w:eastAsia="仿宋_GB2312"/>
          <w:color w:val="000000"/>
          <w:sz w:val="32"/>
          <w:szCs w:val="32"/>
        </w:rPr>
        <w:t>负责四川省专家服务团组织和专家下基层、“天府青城计划”窗口服务、各类专家推荐选拔培养事务、开展专家慰问、高层次人才子女择校身份认证以及参与省级专家服务基地评审及建设事务等</w:t>
      </w:r>
      <w:r>
        <w:rPr>
          <w:rFonts w:hint="eastAsia" w:eastAsia="仿宋_GB2312"/>
          <w:color w:val="000000"/>
          <w:sz w:val="32"/>
          <w:szCs w:val="32"/>
          <w:lang w:eastAsia="zh-CN"/>
        </w:rPr>
        <w:t>各</w:t>
      </w:r>
      <w:r>
        <w:rPr>
          <w:rFonts w:eastAsia="仿宋_GB2312"/>
          <w:color w:val="000000"/>
          <w:sz w:val="32"/>
          <w:szCs w:val="32"/>
        </w:rPr>
        <w:t>项工作。</w:t>
      </w:r>
    </w:p>
    <w:p>
      <w:pPr>
        <w:spacing w:line="580" w:lineRule="exact"/>
        <w:ind w:left="159" w:leftChars="76" w:firstLine="481" w:firstLineChars="150"/>
        <w:rPr>
          <w:rFonts w:eastAsia="仿宋_GB2312"/>
          <w:sz w:val="32"/>
          <w:szCs w:val="32"/>
        </w:rPr>
      </w:pPr>
      <w:r>
        <w:rPr>
          <w:rFonts w:eastAsia="仿宋_GB2312"/>
          <w:b/>
          <w:color w:val="000000"/>
          <w:sz w:val="32"/>
          <w:szCs w:val="32"/>
        </w:rPr>
        <w:t>四是</w:t>
      </w:r>
      <w:r>
        <w:rPr>
          <w:rFonts w:eastAsia="仿宋_GB2312"/>
          <w:color w:val="000000"/>
          <w:sz w:val="32"/>
          <w:szCs w:val="32"/>
        </w:rPr>
        <w:t>负责省海外高层次人才窗口工作。为留学回国来川工作、创业、发挥作用提供政策信息咨询、就业推荐；创办留学人员创业园区。负责留学回国人员、海外高层次人才身份认定和引进海外人才工作；负责留学回国人员科技活动择优资助计划、回国创业启动支持计划、海外赤子为国服务行动计划等项目的申报、实施工作。</w:t>
      </w:r>
    </w:p>
    <w:p>
      <w:pPr>
        <w:spacing w:line="580" w:lineRule="exact"/>
        <w:ind w:firstLine="642" w:firstLineChars="200"/>
        <w:rPr>
          <w:rFonts w:eastAsia="仿宋_GB2312"/>
          <w:sz w:val="32"/>
          <w:szCs w:val="32"/>
        </w:rPr>
      </w:pPr>
      <w:r>
        <w:rPr>
          <w:rFonts w:eastAsia="仿宋_GB2312"/>
          <w:b/>
          <w:color w:val="000000"/>
          <w:sz w:val="32"/>
          <w:szCs w:val="32"/>
        </w:rPr>
        <w:t>五是</w:t>
      </w:r>
      <w:r>
        <w:rPr>
          <w:rFonts w:eastAsia="仿宋_GB2312"/>
          <w:color w:val="000000"/>
          <w:sz w:val="32"/>
          <w:szCs w:val="32"/>
        </w:rPr>
        <w:t>负责博士后进出站人员管理。</w:t>
      </w:r>
      <w:r>
        <w:rPr>
          <w:rFonts w:hint="eastAsia" w:eastAsia="仿宋_GB2312"/>
          <w:color w:val="000000"/>
          <w:sz w:val="32"/>
          <w:szCs w:val="32"/>
          <w:lang w:eastAsia="zh-CN"/>
        </w:rPr>
        <w:t>负责</w:t>
      </w:r>
      <w:r>
        <w:rPr>
          <w:rFonts w:eastAsia="仿宋_GB2312"/>
          <w:color w:val="000000"/>
          <w:sz w:val="32"/>
          <w:szCs w:val="32"/>
        </w:rPr>
        <w:t>高层次人才暨合作项目需求目录收集、汇总、发布</w:t>
      </w:r>
      <w:r>
        <w:rPr>
          <w:rFonts w:hint="eastAsia" w:eastAsia="仿宋_GB2312"/>
          <w:color w:val="000000"/>
          <w:sz w:val="32"/>
          <w:szCs w:val="32"/>
          <w:lang w:eastAsia="zh-CN"/>
        </w:rPr>
        <w:t>，</w:t>
      </w:r>
      <w:r>
        <w:rPr>
          <w:rFonts w:eastAsia="仿宋_GB2312"/>
          <w:color w:val="000000"/>
          <w:sz w:val="32"/>
          <w:szCs w:val="32"/>
        </w:rPr>
        <w:t>负责海科会、科博会有关工作；博士后招引有关工作。负责博士后基金、香江学者计划、国际交流计划、中韩中德计划等计划的申报和组织实施；自筹招收博士后日常经费筹集、资助和监管；参与博士后科研流动（工作）</w:t>
      </w:r>
      <w:r>
        <w:rPr>
          <w:rFonts w:hint="eastAsia" w:eastAsia="仿宋_GB2312"/>
          <w:color w:val="000000"/>
          <w:sz w:val="32"/>
          <w:szCs w:val="32"/>
          <w:lang w:eastAsia="zh-CN"/>
        </w:rPr>
        <w:t>站</w:t>
      </w:r>
      <w:r>
        <w:rPr>
          <w:rFonts w:eastAsia="仿宋_GB2312"/>
          <w:color w:val="000000"/>
          <w:sz w:val="32"/>
          <w:szCs w:val="32"/>
        </w:rPr>
        <w:t>、博士后创新实践基地设站评审和评估工作。</w:t>
      </w:r>
    </w:p>
    <w:p>
      <w:pPr>
        <w:spacing w:line="580" w:lineRule="exact"/>
        <w:ind w:firstLine="642" w:firstLineChars="200"/>
      </w:pPr>
      <w:r>
        <w:rPr>
          <w:rFonts w:eastAsia="仿宋_GB2312"/>
          <w:b/>
          <w:color w:val="000000"/>
          <w:sz w:val="32"/>
          <w:szCs w:val="32"/>
        </w:rPr>
        <w:t>六是</w:t>
      </w:r>
      <w:r>
        <w:rPr>
          <w:rFonts w:eastAsia="仿宋_GB2312"/>
          <w:color w:val="000000"/>
          <w:sz w:val="32"/>
          <w:szCs w:val="32"/>
        </w:rPr>
        <w:t>组织开展全省高级职称评审结果复核、备案工作。开展高级职称确认工作。组织开展优秀青年人才职称评审绿色通道工作；高级职称证书核发办理、遗失补办工作；专家、专业技术人才和留学人员信息化建设工作以及专业技术人员资格考试结果公布和上报统计工作。</w:t>
      </w:r>
    </w:p>
    <w:p>
      <w:pPr>
        <w:pStyle w:val="4"/>
        <w:spacing w:before="0" w:after="0" w:line="415" w:lineRule="auto"/>
        <w:ind w:firstLine="640" w:firstLineChars="200"/>
        <w:rPr>
          <w:rFonts w:ascii="Times New Roman" w:hAnsi="Times New Roman" w:eastAsia="黑体" w:cs="Times New Roman"/>
          <w:b w:val="0"/>
        </w:rPr>
      </w:pPr>
      <w:bookmarkStart w:id="32" w:name="_Toc114149119"/>
      <w:bookmarkStart w:id="33" w:name="_Toc112341444"/>
      <w:bookmarkStart w:id="34" w:name="_Toc15378446"/>
      <w:bookmarkStart w:id="35" w:name="_Toc15377199"/>
      <w:bookmarkStart w:id="36" w:name="_Toc112237379"/>
      <w:bookmarkStart w:id="37" w:name="_Toc112248208"/>
      <w:r>
        <w:rPr>
          <w:rFonts w:ascii="Times New Roman" w:hAnsi="Times New Roman" w:eastAsia="黑体" w:cs="Times New Roman"/>
          <w:b w:val="0"/>
        </w:rPr>
        <w:t>二、2021年重点工作完成情况</w:t>
      </w:r>
      <w:bookmarkEnd w:id="32"/>
      <w:bookmarkEnd w:id="33"/>
    </w:p>
    <w:bookmarkEnd w:id="30"/>
    <w:bookmarkEnd w:id="31"/>
    <w:bookmarkEnd w:id="34"/>
    <w:bookmarkEnd w:id="35"/>
    <w:bookmarkEnd w:id="36"/>
    <w:bookmarkEnd w:id="37"/>
    <w:p>
      <w:pPr>
        <w:pStyle w:val="7"/>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（一）专家服务工作有新作为。</w:t>
      </w:r>
      <w:r>
        <w:rPr>
          <w:rFonts w:ascii="Times New Roman" w:hAnsi="Times New Roman" w:eastAsia="仿宋_GB2312" w:cs="Times New Roman"/>
          <w:b/>
          <w:sz w:val="32"/>
          <w:szCs w:val="32"/>
        </w:rPr>
        <w:t>一是</w:t>
      </w:r>
      <w:r>
        <w:rPr>
          <w:rFonts w:ascii="Times New Roman" w:hAnsi="Times New Roman" w:eastAsia="仿宋_GB2312" w:cs="Times New Roman"/>
          <w:sz w:val="32"/>
          <w:szCs w:val="32"/>
        </w:rPr>
        <w:t>扎实开展专家智力服务工作。全年组织500余名专家人才，深入全省41个县（市、区），开展23期专家智力服务示范活动。</w:t>
      </w:r>
      <w:r>
        <w:rPr>
          <w:rFonts w:ascii="Times New Roman" w:hAnsi="Times New Roman" w:eastAsia="仿宋_GB2312" w:cs="Times New Roman"/>
          <w:b/>
          <w:sz w:val="32"/>
          <w:szCs w:val="32"/>
        </w:rPr>
        <w:t>二是</w:t>
      </w:r>
      <w:r>
        <w:rPr>
          <w:rFonts w:ascii="Times New Roman" w:hAnsi="Times New Roman" w:eastAsia="仿宋_GB2312" w:cs="Times New Roman"/>
          <w:sz w:val="32"/>
          <w:szCs w:val="32"/>
        </w:rPr>
        <w:t>加强专家联系慰问工作。认真开展新春专家慰问工作，为专家送去省委省政府的关心关怀。在重大节假日，发送慰问信、短信祝福，营造尊才重才的良好氛围。利用厅官网等平台，展示我省专家为民服务风采，激励专家积极投身创新驱动引领高质量发展主战场。</w:t>
      </w:r>
      <w:r>
        <w:rPr>
          <w:rFonts w:ascii="Times New Roman" w:hAnsi="Times New Roman" w:eastAsia="仿宋_GB2312" w:cs="Times New Roman"/>
          <w:b/>
          <w:sz w:val="32"/>
          <w:szCs w:val="32"/>
        </w:rPr>
        <w:t>三是</w:t>
      </w:r>
      <w:r>
        <w:rPr>
          <w:rFonts w:ascii="Times New Roman" w:hAnsi="Times New Roman" w:eastAsia="仿宋_GB2312" w:cs="Times New Roman"/>
          <w:sz w:val="32"/>
          <w:szCs w:val="32"/>
        </w:rPr>
        <w:t>搭建专家联谊交流平台。组织专家分赴正定县、旺苍县等地开展联谊和学术交流活动，进一步加强对专家人才的政治引领和政治吸纳。为在川院士、享受国务院政府特殊津贴专家、国家有突出贡献的中青年专家和在管理期间内的四川省学术和技术带头人津贴管理核发。</w:t>
      </w:r>
    </w:p>
    <w:p>
      <w:pPr>
        <w:pStyle w:val="7"/>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（二）留学人员服务工作有新成效。</w:t>
      </w:r>
      <w:r>
        <w:rPr>
          <w:rFonts w:ascii="Times New Roman" w:hAnsi="Times New Roman" w:eastAsia="仿宋_GB2312" w:cs="Times New Roman"/>
          <w:b/>
          <w:sz w:val="32"/>
          <w:szCs w:val="32"/>
        </w:rPr>
        <w:t>一是</w:t>
      </w:r>
      <w:r>
        <w:rPr>
          <w:rFonts w:ascii="Times New Roman" w:hAnsi="Times New Roman" w:eastAsia="仿宋_GB2312" w:cs="Times New Roman"/>
          <w:sz w:val="32"/>
          <w:szCs w:val="32"/>
        </w:rPr>
        <w:t>有力推动留学回国人员创新创业工作。成功举办“创业西部 留在双城”第二届成渝地区双城经济圈留学生创新创业大赛，发放留学回国创业启动支持计划资助经费70万元，留学回国人员科技活动择优资助项目资助经费135万元，我省3家企业获得中国留学人员回国创业启动支持计划资助，1位留学回国人员获得国家海外高层次人才试点资助。</w:t>
      </w:r>
      <w:r>
        <w:rPr>
          <w:rFonts w:ascii="Times New Roman" w:hAnsi="Times New Roman" w:eastAsia="仿宋_GB2312" w:cs="Times New Roman"/>
          <w:b/>
          <w:sz w:val="32"/>
          <w:szCs w:val="32"/>
        </w:rPr>
        <w:t>二是</w:t>
      </w:r>
      <w:r>
        <w:rPr>
          <w:rFonts w:ascii="Times New Roman" w:hAnsi="Times New Roman" w:eastAsia="仿宋_GB2312" w:cs="Times New Roman"/>
          <w:sz w:val="32"/>
          <w:szCs w:val="32"/>
        </w:rPr>
        <w:t>加强海外留学回国人员政治引领。组织71名留学回国人员，分两批赴井冈山和大湾区等地开展国情省情研修活动，进一步激发留学回国人员爱党爱国的热情和干事创业的激情。组织具有海外背景的优秀专家人才深入遂宁、自贡开展四川省海内外高层次人才服务团创新创业示范活动，为基层送技术，解难题。组织开展海外赤子为国服务行动计划“双城荟”活动。</w:t>
      </w:r>
    </w:p>
    <w:p>
      <w:pPr>
        <w:pStyle w:val="7"/>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（三）博士后服务工作有新突破。</w:t>
      </w:r>
      <w:r>
        <w:rPr>
          <w:rFonts w:ascii="Times New Roman" w:hAnsi="Times New Roman" w:eastAsia="仿宋_GB2312" w:cs="Times New Roman"/>
          <w:b/>
          <w:sz w:val="32"/>
          <w:szCs w:val="32"/>
        </w:rPr>
        <w:t>一是</w:t>
      </w:r>
      <w:r>
        <w:rPr>
          <w:rFonts w:ascii="Times New Roman" w:hAnsi="Times New Roman" w:eastAsia="仿宋_GB2312" w:cs="Times New Roman"/>
          <w:sz w:val="32"/>
          <w:szCs w:val="32"/>
        </w:rPr>
        <w:t>大力开展博士后招引工作。首次组织设站单位参加“美丽四川·创业天府”四川人才活动周，赴京津地区知名高校招引优秀博士</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今年我省博士后招收1050名，取得历史性突破，在站人数和累计招收人数位居西部前列。</w:t>
      </w:r>
      <w:r>
        <w:rPr>
          <w:rFonts w:ascii="Times New Roman" w:hAnsi="Times New Roman" w:eastAsia="仿宋_GB2312" w:cs="Times New Roman"/>
          <w:b/>
          <w:sz w:val="32"/>
          <w:szCs w:val="32"/>
        </w:rPr>
        <w:t>二是</w:t>
      </w:r>
      <w:r>
        <w:rPr>
          <w:rFonts w:ascii="Times New Roman" w:hAnsi="Times New Roman" w:eastAsia="仿宋_GB2312" w:cs="Times New Roman"/>
          <w:sz w:val="32"/>
          <w:szCs w:val="32"/>
        </w:rPr>
        <w:t>高质量做好参赛参展工作。我省在首届全国博士后创新创业大赛中取得6枚金奖、2枚银奖和优秀组织奖，奖牌数量和质量位列全国前列。</w:t>
      </w:r>
      <w:r>
        <w:rPr>
          <w:rFonts w:ascii="Times New Roman" w:hAnsi="Times New Roman" w:eastAsia="仿宋_GB2312" w:cs="Times New Roman"/>
          <w:b/>
          <w:sz w:val="32"/>
          <w:szCs w:val="32"/>
        </w:rPr>
        <w:t>三是</w:t>
      </w:r>
      <w:r>
        <w:rPr>
          <w:rFonts w:ascii="Times New Roman" w:hAnsi="Times New Roman" w:eastAsia="仿宋_GB2312" w:cs="Times New Roman"/>
          <w:sz w:val="32"/>
          <w:szCs w:val="32"/>
        </w:rPr>
        <w:t>创新开展博士/博士后智力服务+招才引智活动。组织清华大学、中山大学等双一流高校优秀博士/博士后赴德阳和泸州开展智力服务和人才对接活动。</w:t>
      </w:r>
      <w:r>
        <w:rPr>
          <w:rFonts w:ascii="Times New Roman" w:hAnsi="Times New Roman" w:eastAsia="仿宋_GB2312" w:cs="Times New Roman"/>
          <w:b/>
          <w:sz w:val="32"/>
          <w:szCs w:val="32"/>
        </w:rPr>
        <w:t>四是</w:t>
      </w:r>
      <w:r>
        <w:rPr>
          <w:rFonts w:ascii="Times New Roman" w:hAnsi="Times New Roman" w:eastAsia="仿宋_GB2312" w:cs="Times New Roman"/>
          <w:sz w:val="32"/>
          <w:szCs w:val="32"/>
        </w:rPr>
        <w:t>加强博士后青年人才政治引领。通过四川省博士后交流群和四川博士后联谊交流活动，促进博士后跨界交流、智慧碰撞。</w:t>
      </w:r>
      <w:r>
        <w:rPr>
          <w:rFonts w:ascii="Times New Roman" w:hAnsi="Times New Roman" w:eastAsia="仿宋_GB2312" w:cs="Times New Roman"/>
          <w:b/>
          <w:sz w:val="32"/>
          <w:szCs w:val="32"/>
        </w:rPr>
        <w:t>五是</w:t>
      </w:r>
      <w:r>
        <w:rPr>
          <w:rFonts w:ascii="Times New Roman" w:hAnsi="Times New Roman" w:eastAsia="仿宋_GB2312" w:cs="Times New Roman"/>
          <w:sz w:val="32"/>
          <w:szCs w:val="32"/>
        </w:rPr>
        <w:t>积极解决博士后后顾之忧，落实来川博士后入户、子女就学等高层次人才待遇，发放省博士后日常经费，帮助我省博士后获得国家各类资助数千万元。</w:t>
      </w:r>
    </w:p>
    <w:p>
      <w:pPr>
        <w:spacing w:line="580" w:lineRule="exact"/>
        <w:ind w:firstLine="640" w:firstLineChars="200"/>
        <w:rPr>
          <w:rFonts w:eastAsia="仿宋_GB2312"/>
          <w:sz w:val="32"/>
          <w:szCs w:val="32"/>
        </w:rPr>
      </w:pPr>
      <w:r>
        <w:rPr>
          <w:rFonts w:eastAsia="楷体_GB2312"/>
          <w:sz w:val="32"/>
          <w:szCs w:val="32"/>
        </w:rPr>
        <w:t>（四）专技人才评价服务有新举措。</w:t>
      </w:r>
      <w:r>
        <w:rPr>
          <w:rFonts w:eastAsia="仿宋_GB2312"/>
          <w:sz w:val="32"/>
          <w:szCs w:val="32"/>
        </w:rPr>
        <w:t>牵头制定《四川省优秀青年人才（高级）职称评审绿色通道办法（暂行）》，破四唯、立新标，进一步激发我省优秀青年人才创新创业创造活力</w:t>
      </w:r>
      <w:r>
        <w:rPr>
          <w:rFonts w:hint="eastAsia" w:eastAsia="仿宋_GB2312"/>
          <w:sz w:val="32"/>
          <w:szCs w:val="32"/>
          <w:lang w:eastAsia="zh-CN"/>
        </w:rPr>
        <w:t>。</w:t>
      </w:r>
      <w:r>
        <w:rPr>
          <w:rFonts w:eastAsia="仿宋_GB2312"/>
          <w:sz w:val="32"/>
          <w:szCs w:val="32"/>
        </w:rPr>
        <w:t>稳妥做好事业单位专业技术二级岗位核准工作。大力推进职称历史数据归集和职称电子证书上线工作。高标准做好职称评审服务工作。</w:t>
      </w:r>
    </w:p>
    <w:p>
      <w:pPr>
        <w:pStyle w:val="4"/>
        <w:spacing w:before="0" w:after="0" w:line="415" w:lineRule="auto"/>
        <w:ind w:firstLine="640" w:firstLineChars="200"/>
        <w:rPr>
          <w:rFonts w:hint="eastAsia" w:ascii="Times New Roman" w:hAnsi="Times New Roman" w:eastAsia="黑体" w:cs="Times New Roman"/>
          <w:b w:val="0"/>
          <w:lang w:val="en-US" w:eastAsia="zh-CN"/>
        </w:rPr>
      </w:pPr>
      <w:r>
        <w:rPr>
          <w:rFonts w:hint="eastAsia" w:ascii="Times New Roman" w:hAnsi="Times New Roman" w:eastAsia="黑体" w:cs="Times New Roman"/>
          <w:b w:val="0"/>
          <w:lang w:val="en-US" w:eastAsia="zh-CN"/>
        </w:rPr>
        <w:t>三、机构设置情况</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四川省专家服务中心由6个内设部门组成，分别是：</w:t>
      </w:r>
      <w:r>
        <w:rPr>
          <w:rFonts w:hint="eastAsia" w:ascii="仿宋_GB2312" w:hAnsi="仿宋_GB2312" w:eastAsia="仿宋_GB2312" w:cs="仿宋_GB2312"/>
          <w:sz w:val="32"/>
          <w:szCs w:val="32"/>
        </w:rPr>
        <w:t>综合部、专家服务部、留学人员部、博士后部、财务部和专技人才评价服务部</w:t>
      </w:r>
      <w:r>
        <w:rPr>
          <w:rFonts w:hint="eastAsia" w:ascii="仿宋_GB2312" w:hAnsi="仿宋_GB2312" w:eastAsia="仿宋_GB2312" w:cs="仿宋_GB2312"/>
          <w:sz w:val="32"/>
          <w:szCs w:val="32"/>
          <w:lang w:eastAsia="zh-CN"/>
        </w:rPr>
        <w:t>。</w:t>
      </w:r>
    </w:p>
    <w:p>
      <w:pPr>
        <w:pStyle w:val="2"/>
      </w:pPr>
    </w:p>
    <w:p>
      <w:pPr>
        <w:widowControl/>
        <w:spacing w:line="580" w:lineRule="exact"/>
        <w:jc w:val="left"/>
        <w:rPr>
          <w:rFonts w:eastAsia="仿宋_GB2312"/>
          <w:kern w:val="0"/>
          <w:sz w:val="32"/>
          <w:szCs w:val="32"/>
        </w:rPr>
      </w:pPr>
      <w:r>
        <w:rPr>
          <w:rFonts w:eastAsia="仿宋_GB2312"/>
          <w:sz w:val="32"/>
          <w:szCs w:val="32"/>
        </w:rPr>
        <w:br w:type="page"/>
      </w:r>
    </w:p>
    <w:p>
      <w:pPr>
        <w:pStyle w:val="3"/>
        <w:spacing w:before="0" w:after="0"/>
        <w:jc w:val="center"/>
        <w:rPr>
          <w:rStyle w:val="25"/>
          <w:rFonts w:eastAsia="黑体"/>
          <w:b w:val="0"/>
          <w:bCs/>
        </w:rPr>
      </w:pPr>
      <w:bookmarkStart w:id="38" w:name="_Toc15377204"/>
      <w:bookmarkStart w:id="39" w:name="_Toc15396602"/>
      <w:bookmarkStart w:id="40" w:name="_Toc114149120"/>
      <w:r>
        <w:rPr>
          <w:rFonts w:eastAsia="黑体"/>
          <w:b w:val="0"/>
        </w:rPr>
        <w:t>第二部分 2021年度</w:t>
      </w:r>
      <w:r>
        <w:rPr>
          <w:rStyle w:val="25"/>
          <w:rFonts w:eastAsia="黑体"/>
          <w:b w:val="0"/>
          <w:bCs/>
        </w:rPr>
        <w:t>单位决算情况说明</w:t>
      </w:r>
      <w:bookmarkEnd w:id="38"/>
      <w:bookmarkEnd w:id="39"/>
      <w:bookmarkEnd w:id="40"/>
    </w:p>
    <w:p/>
    <w:p>
      <w:pPr>
        <w:pStyle w:val="24"/>
        <w:numPr>
          <w:ilvl w:val="0"/>
          <w:numId w:val="1"/>
        </w:numPr>
        <w:spacing w:line="600" w:lineRule="exact"/>
        <w:ind w:firstLineChars="0"/>
        <w:outlineLvl w:val="1"/>
        <w:rPr>
          <w:rStyle w:val="26"/>
          <w:rFonts w:ascii="Times New Roman" w:hAnsi="Times New Roman" w:eastAsia="黑体" w:cs="Times New Roman"/>
          <w:b w:val="0"/>
        </w:rPr>
      </w:pPr>
      <w:bookmarkStart w:id="41" w:name="_Toc15377205"/>
      <w:bookmarkStart w:id="42" w:name="_Toc15396603"/>
      <w:bookmarkStart w:id="43" w:name="_Toc114149121"/>
      <w:r>
        <w:rPr>
          <w:rFonts w:eastAsia="黑体"/>
          <w:sz w:val="32"/>
          <w:szCs w:val="32"/>
        </w:rPr>
        <w:t>收</w:t>
      </w:r>
      <w:r>
        <w:rPr>
          <w:rStyle w:val="26"/>
          <w:rFonts w:ascii="Times New Roman" w:hAnsi="Times New Roman" w:eastAsia="黑体" w:cs="Times New Roman"/>
          <w:b w:val="0"/>
        </w:rPr>
        <w:t>入支出决算总体情况说明</w:t>
      </w:r>
      <w:bookmarkEnd w:id="41"/>
      <w:bookmarkEnd w:id="42"/>
      <w:bookmarkEnd w:id="43"/>
    </w:p>
    <w:p>
      <w:pPr>
        <w:spacing w:line="600" w:lineRule="exact"/>
        <w:ind w:firstLine="640" w:firstLineChars="200"/>
        <w:rPr>
          <w:rFonts w:eastAsia="仿宋_GB2312"/>
          <w:sz w:val="32"/>
          <w:szCs w:val="32"/>
        </w:rPr>
      </w:pPr>
      <w:r>
        <w:rPr>
          <w:rFonts w:eastAsia="仿宋_GB2312"/>
          <w:sz w:val="32"/>
          <w:szCs w:val="32"/>
        </w:rPr>
        <w:t>2021年度收、支总计3482.85万元。与2020年相比，收、支总计各增加43.46万元，增长1.26%。主要变动原因是部拨国务院政府特殊津贴、高层次专家联系服务慰问费增加。</w:t>
      </w:r>
    </w:p>
    <w:p>
      <w:pPr>
        <w:spacing w:line="600" w:lineRule="exact"/>
        <w:ind w:firstLine="320" w:firstLineChars="100"/>
        <w:rPr>
          <w:rFonts w:eastAsia="仿宋_GB2312"/>
          <w:sz w:val="32"/>
          <w:szCs w:val="32"/>
        </w:rPr>
      </w:pPr>
      <w:r>
        <w:rPr>
          <w:rFonts w:eastAsia="仿宋_GB2312"/>
          <w:sz w:val="32"/>
          <w:szCs w:val="32"/>
        </w:rPr>
        <w:t>（图1：收、支决算总计变动情况图）（单位：万元）</w:t>
      </w:r>
    </w:p>
    <w:p>
      <w:pPr>
        <w:pStyle w:val="2"/>
        <w:spacing w:before="93"/>
        <w:rPr>
          <w:rFonts w:ascii="Times New Roman"/>
          <w:sz w:val="32"/>
          <w:szCs w:val="32"/>
        </w:rPr>
      </w:pPr>
      <w:r>
        <w:rPr>
          <w:rFonts w:ascii="Times New Roman"/>
        </w:rPr>
        <w:drawing>
          <wp:inline distT="0" distB="0" distL="114300" distR="114300">
            <wp:extent cx="5080000" cy="3810000"/>
            <wp:effectExtent l="4445" t="4445" r="2095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4"/>
        <w:numPr>
          <w:ilvl w:val="0"/>
          <w:numId w:val="1"/>
        </w:numPr>
        <w:spacing w:line="600" w:lineRule="exact"/>
        <w:ind w:firstLineChars="0"/>
        <w:outlineLvl w:val="1"/>
        <w:rPr>
          <w:rStyle w:val="26"/>
          <w:rFonts w:ascii="Times New Roman" w:hAnsi="Times New Roman" w:eastAsia="黑体" w:cs="Times New Roman"/>
          <w:b w:val="0"/>
        </w:rPr>
      </w:pPr>
      <w:bookmarkStart w:id="44" w:name="_Toc114149122"/>
      <w:bookmarkStart w:id="45" w:name="_Toc15396604"/>
      <w:bookmarkStart w:id="46" w:name="_Toc15377206"/>
      <w:r>
        <w:rPr>
          <w:rFonts w:eastAsia="黑体"/>
          <w:sz w:val="32"/>
          <w:szCs w:val="32"/>
        </w:rPr>
        <w:t>收</w:t>
      </w:r>
      <w:r>
        <w:rPr>
          <w:rStyle w:val="26"/>
          <w:rFonts w:ascii="Times New Roman" w:hAnsi="Times New Roman" w:eastAsia="黑体" w:cs="Times New Roman"/>
          <w:b w:val="0"/>
        </w:rPr>
        <w:t>入决算情况说明</w:t>
      </w:r>
      <w:bookmarkEnd w:id="44"/>
      <w:bookmarkEnd w:id="45"/>
      <w:bookmarkEnd w:id="46"/>
    </w:p>
    <w:p>
      <w:pPr>
        <w:spacing w:line="600" w:lineRule="exact"/>
        <w:ind w:firstLine="640" w:firstLineChars="200"/>
        <w:rPr>
          <w:rFonts w:eastAsia="仿宋_GB2312"/>
          <w:sz w:val="32"/>
          <w:szCs w:val="32"/>
        </w:rPr>
      </w:pPr>
      <w:bookmarkStart w:id="47" w:name="_Toc12716"/>
      <w:r>
        <w:rPr>
          <w:rFonts w:eastAsia="仿宋_GB2312"/>
          <w:sz w:val="32"/>
          <w:szCs w:val="32"/>
        </w:rPr>
        <w:t>2021年本年收入合计3468.14万元，其中：一般公共预算财政拨款收入2508.76万元，占72.34%；其他收入959.38万元，占27.66%。</w:t>
      </w:r>
      <w:bookmarkEnd w:id="47"/>
    </w:p>
    <w:p>
      <w:pPr>
        <w:spacing w:line="600" w:lineRule="exact"/>
        <w:ind w:firstLine="630" w:firstLineChars="300"/>
      </w:pPr>
      <w:r>
        <w:rPr>
          <w:rFonts w:eastAsia="仿宋_GB2312"/>
        </w:rPr>
        <w:drawing>
          <wp:anchor distT="0" distB="0" distL="114300" distR="114300" simplePos="0" relativeHeight="251659264" behindDoc="0" locked="0" layoutInCell="1" allowOverlap="1">
            <wp:simplePos x="0" y="0"/>
            <wp:positionH relativeFrom="column">
              <wp:posOffset>356235</wp:posOffset>
            </wp:positionH>
            <wp:positionV relativeFrom="paragraph">
              <wp:posOffset>511810</wp:posOffset>
            </wp:positionV>
            <wp:extent cx="4458335" cy="2531745"/>
            <wp:effectExtent l="0" t="0" r="0"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eastAsia="仿宋_GB2312"/>
          <w:sz w:val="32"/>
          <w:szCs w:val="32"/>
        </w:rPr>
        <w:t>（图2：收入决算结构图）</w:t>
      </w:r>
    </w:p>
    <w:p>
      <w:pPr>
        <w:pStyle w:val="24"/>
        <w:numPr>
          <w:ilvl w:val="0"/>
          <w:numId w:val="1"/>
        </w:numPr>
        <w:spacing w:line="600" w:lineRule="exact"/>
        <w:ind w:firstLineChars="0"/>
        <w:outlineLvl w:val="1"/>
        <w:rPr>
          <w:rStyle w:val="26"/>
          <w:rFonts w:ascii="Times New Roman" w:hAnsi="Times New Roman" w:eastAsia="黑体" w:cs="Times New Roman"/>
          <w:b w:val="0"/>
        </w:rPr>
      </w:pPr>
      <w:bookmarkStart w:id="48" w:name="_Toc15396605"/>
      <w:bookmarkStart w:id="49" w:name="_Toc15377207"/>
      <w:bookmarkStart w:id="50" w:name="_Toc114149123"/>
      <w:r>
        <w:rPr>
          <w:rFonts w:eastAsia="黑体"/>
          <w:sz w:val="32"/>
          <w:szCs w:val="32"/>
        </w:rPr>
        <w:t>支</w:t>
      </w:r>
      <w:r>
        <w:rPr>
          <w:rStyle w:val="26"/>
          <w:rFonts w:ascii="Times New Roman" w:hAnsi="Times New Roman" w:eastAsia="黑体" w:cs="Times New Roman"/>
          <w:b w:val="0"/>
        </w:rPr>
        <w:t>出决算情况说明</w:t>
      </w:r>
      <w:bookmarkEnd w:id="48"/>
      <w:bookmarkEnd w:id="49"/>
      <w:bookmarkEnd w:id="50"/>
    </w:p>
    <w:p>
      <w:pPr>
        <w:spacing w:line="600" w:lineRule="exact"/>
        <w:ind w:firstLine="640" w:firstLineChars="200"/>
        <w:rPr>
          <w:rFonts w:eastAsia="仿宋_GB2312"/>
          <w:sz w:val="32"/>
          <w:szCs w:val="32"/>
        </w:rPr>
      </w:pPr>
      <w:bookmarkStart w:id="51" w:name="_Toc27589"/>
      <w:r>
        <w:rPr>
          <w:rFonts w:eastAsia="仿宋_GB2312"/>
          <w:sz w:val="32"/>
          <w:szCs w:val="32"/>
        </w:rPr>
        <w:t>2021年本年支出合计3471.56万元，其中：基本支出260.58万元，占7.51%；项目支出3210.98万元，占92.49%。</w:t>
      </w:r>
      <w:bookmarkEnd w:id="51"/>
    </w:p>
    <w:p>
      <w:pPr>
        <w:spacing w:line="600" w:lineRule="exact"/>
        <w:ind w:firstLine="420" w:firstLineChars="200"/>
      </w:pPr>
      <w:r>
        <w:rPr>
          <w:rFonts w:eastAsia="仿宋"/>
        </w:rPr>
        <w:drawing>
          <wp:anchor distT="0" distB="0" distL="114300" distR="114300" simplePos="0" relativeHeight="251660288" behindDoc="0" locked="0" layoutInCell="1" allowOverlap="1">
            <wp:simplePos x="0" y="0"/>
            <wp:positionH relativeFrom="column">
              <wp:posOffset>574040</wp:posOffset>
            </wp:positionH>
            <wp:positionV relativeFrom="paragraph">
              <wp:posOffset>646430</wp:posOffset>
            </wp:positionV>
            <wp:extent cx="4011930" cy="2542540"/>
            <wp:effectExtent l="0" t="0" r="0" b="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eastAsia="仿宋_GB2312"/>
          <w:sz w:val="32"/>
          <w:szCs w:val="32"/>
        </w:rPr>
        <w:t>（图3：支出决算结构图）</w:t>
      </w:r>
    </w:p>
    <w:p>
      <w:pPr>
        <w:spacing w:line="600" w:lineRule="exact"/>
        <w:ind w:firstLine="640" w:firstLineChars="200"/>
        <w:outlineLvl w:val="1"/>
        <w:rPr>
          <w:rStyle w:val="26"/>
          <w:rFonts w:ascii="Times New Roman" w:hAnsi="Times New Roman" w:eastAsia="黑体" w:cs="Times New Roman"/>
          <w:b w:val="0"/>
        </w:rPr>
      </w:pPr>
      <w:bookmarkStart w:id="52" w:name="_Toc114149124"/>
      <w:bookmarkStart w:id="53" w:name="_Toc15396606"/>
      <w:bookmarkStart w:id="54" w:name="_Toc15377208"/>
      <w:r>
        <w:rPr>
          <w:rFonts w:eastAsia="黑体"/>
          <w:sz w:val="32"/>
          <w:szCs w:val="32"/>
        </w:rPr>
        <w:t>四、财</w:t>
      </w:r>
      <w:r>
        <w:rPr>
          <w:rStyle w:val="26"/>
          <w:rFonts w:ascii="Times New Roman" w:hAnsi="Times New Roman" w:eastAsia="黑体" w:cs="Times New Roman"/>
          <w:b w:val="0"/>
        </w:rPr>
        <w:t>政拨款收入支出决算总体情况说明</w:t>
      </w:r>
      <w:bookmarkEnd w:id="52"/>
      <w:bookmarkEnd w:id="53"/>
      <w:bookmarkEnd w:id="54"/>
    </w:p>
    <w:p>
      <w:pPr>
        <w:spacing w:line="600" w:lineRule="exact"/>
        <w:ind w:firstLine="640"/>
        <w:rPr>
          <w:rFonts w:eastAsia="仿宋_GB2312"/>
          <w:sz w:val="32"/>
          <w:szCs w:val="32"/>
        </w:rPr>
      </w:pPr>
      <w:r>
        <w:rPr>
          <w:rFonts w:eastAsia="仿宋_GB2312"/>
          <w:sz w:val="32"/>
          <w:szCs w:val="32"/>
        </w:rPr>
        <w:t>2021年财政拨款收、支总计2508.76万元。与2020年相比，财政拨款收、支总计各减少41.5万元，下降1.63%。主要变动原因是专家变动等原因导致的在川院士及省学术和技术带头人津贴补助减少。</w:t>
      </w:r>
    </w:p>
    <w:p>
      <w:pPr>
        <w:spacing w:line="600" w:lineRule="exact"/>
        <w:ind w:firstLine="320" w:firstLineChars="100"/>
        <w:rPr>
          <w:rFonts w:eastAsia="仿宋_GB2312"/>
          <w:sz w:val="32"/>
          <w:szCs w:val="32"/>
        </w:rPr>
      </w:pPr>
      <w:r>
        <w:rPr>
          <w:rFonts w:eastAsia="仿宋_GB2312"/>
          <w:sz w:val="32"/>
          <w:szCs w:val="32"/>
        </w:rPr>
        <w:t>（图4：财政拨款收、支决算总计变动情况）（单位：万元）</w:t>
      </w:r>
    </w:p>
    <w:p>
      <w:pPr>
        <w:pStyle w:val="2"/>
        <w:spacing w:before="93"/>
        <w:rPr>
          <w:rFonts w:ascii="Times New Roman"/>
        </w:rPr>
      </w:pPr>
      <w:r>
        <w:rPr>
          <w:rFonts w:ascii="Times New Roman"/>
        </w:rPr>
        <w:drawing>
          <wp:inline distT="0" distB="0" distL="114300" distR="114300">
            <wp:extent cx="5080000" cy="3810000"/>
            <wp:effectExtent l="4445" t="4445" r="20955" b="146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rPr>
          <w:rFonts w:eastAsia="仿宋_GB2312"/>
          <w:b/>
          <w:sz w:val="32"/>
          <w:szCs w:val="32"/>
        </w:rPr>
      </w:pPr>
    </w:p>
    <w:p>
      <w:pPr>
        <w:spacing w:line="600" w:lineRule="exact"/>
        <w:ind w:firstLine="640" w:firstLineChars="200"/>
        <w:outlineLvl w:val="1"/>
        <w:rPr>
          <w:rStyle w:val="26"/>
          <w:rFonts w:ascii="Times New Roman" w:hAnsi="Times New Roman" w:eastAsia="黑体" w:cs="Times New Roman"/>
          <w:b w:val="0"/>
        </w:rPr>
      </w:pPr>
      <w:bookmarkStart w:id="55" w:name="_Toc114149125"/>
      <w:bookmarkStart w:id="56" w:name="_Toc15396607"/>
      <w:bookmarkStart w:id="57" w:name="_Toc15377209"/>
      <w:r>
        <w:rPr>
          <w:rFonts w:eastAsia="黑体"/>
          <w:sz w:val="32"/>
          <w:szCs w:val="32"/>
        </w:rPr>
        <w:t>五、</w:t>
      </w:r>
      <w:r>
        <w:rPr>
          <w:rFonts w:eastAsia="黑体"/>
          <w:b/>
          <w:sz w:val="32"/>
          <w:szCs w:val="32"/>
        </w:rPr>
        <w:t>一</w:t>
      </w:r>
      <w:r>
        <w:rPr>
          <w:rStyle w:val="26"/>
          <w:rFonts w:ascii="Times New Roman" w:hAnsi="Times New Roman" w:eastAsia="黑体" w:cs="Times New Roman"/>
          <w:b w:val="0"/>
        </w:rPr>
        <w:t>般公共预算财政拨款支出决算情况说明</w:t>
      </w:r>
      <w:bookmarkEnd w:id="55"/>
      <w:bookmarkEnd w:id="56"/>
      <w:bookmarkEnd w:id="57"/>
    </w:p>
    <w:p>
      <w:pPr>
        <w:spacing w:line="600" w:lineRule="exact"/>
        <w:ind w:firstLine="640" w:firstLineChars="200"/>
        <w:outlineLvl w:val="2"/>
        <w:rPr>
          <w:rFonts w:eastAsia="楷体"/>
          <w:bCs/>
          <w:sz w:val="32"/>
          <w:szCs w:val="32"/>
        </w:rPr>
      </w:pPr>
      <w:bookmarkStart w:id="58" w:name="_Toc16953"/>
      <w:bookmarkStart w:id="59" w:name="_Toc114149126"/>
      <w:bookmarkStart w:id="60" w:name="_Toc15377210"/>
      <w:r>
        <w:rPr>
          <w:rFonts w:eastAsia="楷体"/>
          <w:bCs/>
          <w:sz w:val="32"/>
          <w:szCs w:val="32"/>
        </w:rPr>
        <w:t>（一）一般公共预算财政拨款支出决算总体情况</w:t>
      </w:r>
      <w:bookmarkEnd w:id="58"/>
      <w:bookmarkEnd w:id="59"/>
      <w:bookmarkEnd w:id="60"/>
    </w:p>
    <w:p>
      <w:pPr>
        <w:spacing w:line="600" w:lineRule="exact"/>
        <w:ind w:firstLine="640"/>
        <w:rPr>
          <w:rFonts w:eastAsia="仿宋_GB2312"/>
          <w:sz w:val="32"/>
          <w:szCs w:val="32"/>
        </w:rPr>
      </w:pPr>
      <w:r>
        <w:rPr>
          <w:rFonts w:eastAsia="仿宋_GB2312"/>
          <w:sz w:val="32"/>
          <w:szCs w:val="32"/>
        </w:rPr>
        <w:t>2021年一般公共预算财政拨款支出2508.76万元，占本年支出合计的72.27%。与2020年相比，一般公共预算财政拨款支出减少41.5万元，下降1.63%。主要变动原因是专家人数变动等原因导致的在川院士及省学术和技术带头人津贴补助减少。</w:t>
      </w:r>
    </w:p>
    <w:p>
      <w:pPr>
        <w:spacing w:line="600" w:lineRule="exact"/>
        <w:ind w:firstLine="320" w:firstLineChars="100"/>
        <w:rPr>
          <w:rFonts w:eastAsia="仿宋_GB2312"/>
          <w:sz w:val="32"/>
          <w:szCs w:val="32"/>
        </w:rPr>
      </w:pPr>
      <w:r>
        <w:rPr>
          <w:rFonts w:eastAsia="仿宋_GB2312"/>
          <w:sz w:val="32"/>
          <w:szCs w:val="32"/>
        </w:rPr>
        <w:t>（图5：一般公共预算财政拨款支出决算变动情况）（单位：万元）</w:t>
      </w:r>
    </w:p>
    <w:p>
      <w:pPr>
        <w:pStyle w:val="2"/>
        <w:spacing w:before="93"/>
        <w:rPr>
          <w:rFonts w:ascii="Times New Roman"/>
        </w:rPr>
      </w:pPr>
      <w:r>
        <w:rPr>
          <w:rFonts w:ascii="Times New Roman"/>
        </w:rPr>
        <w:drawing>
          <wp:inline distT="0" distB="0" distL="114300" distR="114300">
            <wp:extent cx="5080000" cy="3810000"/>
            <wp:effectExtent l="4445" t="4445" r="20955" b="1460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firstLineChars="200"/>
        <w:outlineLvl w:val="2"/>
        <w:rPr>
          <w:rFonts w:eastAsia="楷体"/>
          <w:bCs/>
          <w:sz w:val="32"/>
          <w:szCs w:val="32"/>
        </w:rPr>
      </w:pPr>
      <w:bookmarkStart w:id="61" w:name="_Toc15377211"/>
      <w:bookmarkStart w:id="62" w:name="_Toc11946"/>
      <w:bookmarkStart w:id="63" w:name="_Toc114149127"/>
      <w:r>
        <w:rPr>
          <w:rFonts w:eastAsia="楷体"/>
          <w:bCs/>
          <w:sz w:val="32"/>
          <w:szCs w:val="32"/>
        </w:rPr>
        <w:t>（二）一般公共预算财政拨款支出决算结构情况</w:t>
      </w:r>
      <w:bookmarkEnd w:id="61"/>
      <w:bookmarkEnd w:id="62"/>
      <w:bookmarkEnd w:id="63"/>
    </w:p>
    <w:p>
      <w:pPr>
        <w:spacing w:line="600" w:lineRule="exact"/>
        <w:ind w:firstLine="640"/>
        <w:rPr>
          <w:rFonts w:hint="eastAsia" w:ascii="楷体_GB2312" w:eastAsia="楷体_GB2312"/>
          <w:bCs/>
          <w:sz w:val="32"/>
          <w:szCs w:val="32"/>
        </w:rPr>
      </w:pPr>
      <w:r>
        <w:rPr>
          <w:rFonts w:eastAsia="仿宋_GB2312"/>
          <w:sz w:val="32"/>
          <w:szCs w:val="32"/>
        </w:rPr>
        <w:t>2021年一般公共预算财政拨款支出2508.76万元，主要用于以下方面:</w:t>
      </w:r>
      <w:r>
        <w:rPr>
          <w:rFonts w:hint="eastAsia" w:ascii="Times New Roman" w:hAnsi="Times New Roman" w:eastAsia="仿宋_GB2312" w:cs="Times New Roman"/>
          <w:b/>
          <w:kern w:val="2"/>
          <w:sz w:val="32"/>
          <w:szCs w:val="32"/>
          <w:lang w:val="en-US" w:eastAsia="zh-CN" w:bidi="ar-SA"/>
        </w:rPr>
        <w:t>社会保障和就业（类）</w:t>
      </w:r>
      <w:r>
        <w:rPr>
          <w:rFonts w:eastAsia="仿宋_GB2312"/>
          <w:sz w:val="32"/>
          <w:szCs w:val="32"/>
        </w:rPr>
        <w:t>支出2472.95万元，占98.57%；</w:t>
      </w:r>
      <w:r>
        <w:rPr>
          <w:rFonts w:hint="eastAsia" w:eastAsia="仿宋_GB2312"/>
          <w:b/>
          <w:bCs/>
          <w:sz w:val="32"/>
          <w:szCs w:val="32"/>
        </w:rPr>
        <w:t>卫生健康（类）</w:t>
      </w:r>
      <w:r>
        <w:rPr>
          <w:rFonts w:eastAsia="仿宋_GB2312"/>
          <w:sz w:val="32"/>
          <w:szCs w:val="32"/>
        </w:rPr>
        <w:t>支出12.71万元，占0.51%；</w:t>
      </w:r>
      <w:r>
        <w:rPr>
          <w:rFonts w:hint="eastAsia" w:eastAsia="仿宋_GB2312"/>
          <w:b/>
          <w:bCs/>
          <w:sz w:val="32"/>
          <w:szCs w:val="32"/>
        </w:rPr>
        <w:t>住房保障（类）</w:t>
      </w:r>
      <w:r>
        <w:rPr>
          <w:rFonts w:eastAsia="仿宋_GB2312"/>
          <w:sz w:val="32"/>
          <w:szCs w:val="32"/>
        </w:rPr>
        <w:t>支出23.1万元，占0.92%。</w:t>
      </w:r>
    </w:p>
    <w:p>
      <w:pPr>
        <w:spacing w:line="600" w:lineRule="exact"/>
        <w:ind w:firstLine="320" w:firstLineChars="100"/>
        <w:rPr>
          <w:rFonts w:eastAsia="仿宋_GB2312"/>
          <w:sz w:val="32"/>
          <w:szCs w:val="32"/>
        </w:rPr>
      </w:pPr>
      <w:r>
        <w:rPr>
          <w:rFonts w:eastAsia="仿宋_GB2312"/>
          <w:sz w:val="32"/>
          <w:szCs w:val="32"/>
        </w:rPr>
        <w:t>（图6：一般公共预算财政拨款支出决算结构）</w:t>
      </w:r>
    </w:p>
    <w:p>
      <w:pPr>
        <w:pStyle w:val="2"/>
        <w:spacing w:before="93"/>
        <w:rPr>
          <w:rFonts w:ascii="Times New Roman"/>
        </w:rPr>
      </w:pPr>
      <w:r>
        <w:rPr>
          <w:rFonts w:ascii="Times New Roman"/>
        </w:rPr>
        <w:drawing>
          <wp:inline distT="0" distB="0" distL="114300" distR="114300">
            <wp:extent cx="4498340" cy="3069590"/>
            <wp:effectExtent l="4445" t="4445" r="12065" b="1206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firstLineChars="200"/>
        <w:rPr>
          <w:rFonts w:eastAsia="仿宋_GB2312"/>
          <w:sz w:val="32"/>
          <w:szCs w:val="32"/>
        </w:rPr>
      </w:pPr>
    </w:p>
    <w:p>
      <w:pPr>
        <w:spacing w:line="600" w:lineRule="exact"/>
        <w:ind w:firstLine="640" w:firstLineChars="200"/>
        <w:outlineLvl w:val="2"/>
        <w:rPr>
          <w:rFonts w:eastAsia="楷体"/>
          <w:bCs/>
          <w:sz w:val="32"/>
          <w:szCs w:val="32"/>
        </w:rPr>
      </w:pPr>
      <w:bookmarkStart w:id="64" w:name="_Toc28808"/>
      <w:bookmarkStart w:id="65" w:name="_Toc114149128"/>
      <w:bookmarkStart w:id="66" w:name="_Toc15377212"/>
      <w:r>
        <w:rPr>
          <w:rFonts w:eastAsia="楷体"/>
          <w:bCs/>
          <w:sz w:val="32"/>
          <w:szCs w:val="32"/>
        </w:rPr>
        <w:t>（三）一般公共预算财政拨款支出决算具体情况</w:t>
      </w:r>
      <w:bookmarkEnd w:id="64"/>
      <w:bookmarkEnd w:id="65"/>
      <w:bookmarkEnd w:id="66"/>
    </w:p>
    <w:p>
      <w:pPr>
        <w:spacing w:line="600" w:lineRule="exact"/>
        <w:ind w:firstLine="642" w:firstLineChars="200"/>
        <w:rPr>
          <w:rFonts w:eastAsia="仿宋_GB2312"/>
          <w:sz w:val="32"/>
          <w:szCs w:val="32"/>
        </w:rPr>
      </w:pPr>
      <w:bookmarkStart w:id="67" w:name="_Toc15377444"/>
      <w:bookmarkStart w:id="68" w:name="_Toc15377213"/>
      <w:bookmarkStart w:id="69" w:name="_Toc2449"/>
      <w:bookmarkStart w:id="70" w:name="_Toc15378460"/>
      <w:r>
        <w:rPr>
          <w:rFonts w:hint="eastAsia" w:ascii="楷体_GB2312" w:eastAsia="楷体_GB2312"/>
          <w:b/>
          <w:bCs w:val="0"/>
          <w:sz w:val="32"/>
          <w:szCs w:val="32"/>
        </w:rPr>
        <w:t>2021年一般公共预算支出决算数为2508.76万元</w:t>
      </w:r>
      <w:r>
        <w:rPr>
          <w:rFonts w:eastAsia="仿宋_GB2312"/>
          <w:b/>
          <w:bCs w:val="0"/>
          <w:sz w:val="32"/>
          <w:szCs w:val="32"/>
        </w:rPr>
        <w:t>，</w:t>
      </w:r>
      <w:r>
        <w:rPr>
          <w:rStyle w:val="15"/>
          <w:rFonts w:eastAsia="仿宋_GB2312"/>
          <w:bCs/>
          <w:sz w:val="32"/>
          <w:szCs w:val="32"/>
        </w:rPr>
        <w:t>完成预算98.64%。其中：</w:t>
      </w:r>
      <w:bookmarkEnd w:id="67"/>
      <w:bookmarkEnd w:id="68"/>
      <w:bookmarkEnd w:id="69"/>
      <w:bookmarkEnd w:id="70"/>
    </w:p>
    <w:p>
      <w:pPr>
        <w:spacing w:line="600" w:lineRule="exact"/>
        <w:ind w:firstLine="643"/>
        <w:rPr>
          <w:rStyle w:val="15"/>
          <w:rFonts w:eastAsia="仿宋_GB2312"/>
          <w:b w:val="0"/>
          <w:bCs/>
          <w:sz w:val="32"/>
          <w:szCs w:val="32"/>
        </w:rPr>
      </w:pPr>
      <w:r>
        <w:rPr>
          <w:rStyle w:val="15"/>
          <w:rFonts w:eastAsia="仿宋_GB2312"/>
          <w:sz w:val="32"/>
          <w:szCs w:val="32"/>
        </w:rPr>
        <w:t>1.社会保障和就业（类）人力资源和社会保障管理事务（款）事业运行（项）:</w:t>
      </w:r>
      <w:r>
        <w:rPr>
          <w:rStyle w:val="15"/>
          <w:rFonts w:eastAsia="仿宋_GB2312"/>
          <w:b w:val="0"/>
          <w:bCs/>
          <w:sz w:val="32"/>
          <w:szCs w:val="32"/>
        </w:rPr>
        <w:t>支出决算为143.16万元，完成预算100%。</w:t>
      </w:r>
    </w:p>
    <w:p>
      <w:pPr>
        <w:ind w:firstLine="643"/>
      </w:pPr>
      <w:r>
        <w:rPr>
          <w:rStyle w:val="15"/>
          <w:rFonts w:eastAsia="仿宋_GB2312"/>
          <w:sz w:val="32"/>
          <w:szCs w:val="32"/>
        </w:rPr>
        <w:t>社会保障和就业（类）人力资源和社会保障管理事务（款）其他人力资源事务支出（项）:</w:t>
      </w:r>
      <w:r>
        <w:rPr>
          <w:rStyle w:val="15"/>
          <w:rFonts w:eastAsia="仿宋_GB2312"/>
          <w:b w:val="0"/>
          <w:sz w:val="32"/>
          <w:szCs w:val="32"/>
        </w:rPr>
        <w:t>支出决算为2312.35万元，完成预算99.03%，决算数与预算数基本持平。</w:t>
      </w:r>
    </w:p>
    <w:p>
      <w:pPr>
        <w:spacing w:line="600" w:lineRule="exact"/>
        <w:ind w:firstLine="642" w:firstLineChars="200"/>
        <w:rPr>
          <w:rStyle w:val="15"/>
          <w:rFonts w:eastAsia="仿宋_GB2312"/>
          <w:b w:val="0"/>
          <w:bCs/>
          <w:sz w:val="32"/>
          <w:szCs w:val="32"/>
        </w:rPr>
      </w:pPr>
      <w:r>
        <w:rPr>
          <w:rStyle w:val="15"/>
          <w:rFonts w:eastAsia="仿宋_GB2312"/>
          <w:sz w:val="32"/>
          <w:szCs w:val="32"/>
        </w:rPr>
        <w:t>社会保障和就业（类）行政事业单位养老支出（款）事业单位离退休（项）:</w:t>
      </w:r>
      <w:r>
        <w:rPr>
          <w:rStyle w:val="15"/>
          <w:rFonts w:eastAsia="仿宋_GB2312"/>
          <w:b w:val="0"/>
          <w:sz w:val="32"/>
          <w:szCs w:val="32"/>
        </w:rPr>
        <w:t>支出决算为5.59万元，完成预算100%。</w:t>
      </w:r>
    </w:p>
    <w:p>
      <w:pPr>
        <w:pStyle w:val="2"/>
        <w:spacing w:before="93"/>
        <w:ind w:firstLine="642" w:firstLineChars="200"/>
        <w:rPr>
          <w:rStyle w:val="15"/>
          <w:rFonts w:ascii="Times New Roman"/>
          <w:b w:val="0"/>
          <w:bCs/>
          <w:sz w:val="32"/>
          <w:szCs w:val="32"/>
        </w:rPr>
      </w:pPr>
      <w:r>
        <w:rPr>
          <w:rStyle w:val="15"/>
          <w:rFonts w:ascii="Times New Roman"/>
          <w:sz w:val="32"/>
          <w:szCs w:val="32"/>
        </w:rPr>
        <w:t>社会保障和就业（类）行政事业单位养老支出（款）机关事业单位基本养老保险缴费支出（项）:</w:t>
      </w:r>
      <w:r>
        <w:rPr>
          <w:rStyle w:val="15"/>
          <w:rFonts w:ascii="Times New Roman"/>
          <w:b w:val="0"/>
          <w:sz w:val="32"/>
          <w:szCs w:val="32"/>
        </w:rPr>
        <w:t>支出决算为6.23万元，完成预算100%。</w:t>
      </w:r>
    </w:p>
    <w:p>
      <w:pPr>
        <w:pStyle w:val="2"/>
        <w:spacing w:before="93"/>
        <w:ind w:firstLine="642" w:firstLineChars="200"/>
        <w:rPr>
          <w:rFonts w:ascii="Times New Roman"/>
          <w:bCs/>
          <w:sz w:val="32"/>
          <w:szCs w:val="32"/>
        </w:rPr>
      </w:pPr>
      <w:r>
        <w:rPr>
          <w:rStyle w:val="15"/>
          <w:rFonts w:ascii="Times New Roman"/>
          <w:sz w:val="32"/>
          <w:szCs w:val="32"/>
        </w:rPr>
        <w:t>社会保障和就业（类）行政事业单位养老支出（款）机关事业单位职业年金缴费支出（项）:</w:t>
      </w:r>
      <w:r>
        <w:rPr>
          <w:rStyle w:val="15"/>
          <w:rFonts w:ascii="Times New Roman"/>
          <w:b w:val="0"/>
          <w:sz w:val="32"/>
          <w:szCs w:val="32"/>
        </w:rPr>
        <w:t>支出决算为5.62万元，完成预算100%。</w:t>
      </w:r>
    </w:p>
    <w:p>
      <w:pPr>
        <w:spacing w:line="600" w:lineRule="exact"/>
        <w:ind w:firstLine="642" w:firstLineChars="200"/>
        <w:rPr>
          <w:rStyle w:val="15"/>
          <w:rFonts w:eastAsia="仿宋_GB2312"/>
          <w:b w:val="0"/>
          <w:bCs/>
          <w:sz w:val="32"/>
          <w:szCs w:val="32"/>
        </w:rPr>
      </w:pPr>
      <w:r>
        <w:rPr>
          <w:rStyle w:val="15"/>
          <w:rFonts w:eastAsia="仿宋_GB2312"/>
          <w:bCs/>
          <w:sz w:val="32"/>
          <w:szCs w:val="32"/>
        </w:rPr>
        <w:t>2.</w:t>
      </w:r>
      <w:r>
        <w:rPr>
          <w:rStyle w:val="15"/>
          <w:rFonts w:hint="eastAsia" w:eastAsia="仿宋_GB2312" w:asciiTheme="minorHAnsi" w:hAnsiTheme="minorHAnsi" w:cstheme="minorBidi"/>
          <w:sz w:val="32"/>
          <w:szCs w:val="32"/>
        </w:rPr>
        <w:t>卫生健康</w:t>
      </w:r>
      <w:r>
        <w:rPr>
          <w:rStyle w:val="15"/>
          <w:rFonts w:eastAsia="仿宋_GB2312" w:asciiTheme="minorHAnsi" w:hAnsiTheme="minorHAnsi" w:cstheme="minorBidi"/>
          <w:sz w:val="32"/>
          <w:szCs w:val="32"/>
        </w:rPr>
        <w:t>（类）</w:t>
      </w:r>
      <w:r>
        <w:rPr>
          <w:rStyle w:val="15"/>
          <w:rFonts w:eastAsia="仿宋_GB2312"/>
          <w:sz w:val="32"/>
          <w:szCs w:val="32"/>
        </w:rPr>
        <w:t>行政事业单位医疗（款）事业单位医疗（项）:</w:t>
      </w:r>
      <w:r>
        <w:rPr>
          <w:rStyle w:val="15"/>
          <w:rFonts w:eastAsia="仿宋_GB2312"/>
          <w:b w:val="0"/>
          <w:sz w:val="32"/>
          <w:szCs w:val="32"/>
        </w:rPr>
        <w:t>支出决算为12.71万元，完成预算100%。</w:t>
      </w:r>
    </w:p>
    <w:p>
      <w:pPr>
        <w:spacing w:line="600" w:lineRule="exact"/>
        <w:ind w:firstLine="642" w:firstLineChars="200"/>
        <w:rPr>
          <w:rStyle w:val="15"/>
          <w:rFonts w:eastAsia="仿宋_GB2312"/>
          <w:b w:val="0"/>
          <w:bCs/>
          <w:sz w:val="32"/>
          <w:szCs w:val="32"/>
        </w:rPr>
      </w:pPr>
      <w:r>
        <w:rPr>
          <w:rStyle w:val="15"/>
          <w:rFonts w:eastAsia="仿宋_GB2312"/>
          <w:sz w:val="32"/>
          <w:szCs w:val="32"/>
        </w:rPr>
        <w:t>3.</w:t>
      </w:r>
      <w:r>
        <w:rPr>
          <w:rStyle w:val="15"/>
          <w:rFonts w:hint="eastAsia" w:eastAsia="仿宋_GB2312" w:asciiTheme="minorHAnsi" w:hAnsiTheme="minorHAnsi" w:cstheme="minorBidi"/>
          <w:sz w:val="32"/>
          <w:szCs w:val="32"/>
        </w:rPr>
        <w:t>住房保障</w:t>
      </w:r>
      <w:r>
        <w:rPr>
          <w:rStyle w:val="15"/>
          <w:rFonts w:eastAsia="仿宋_GB2312" w:asciiTheme="minorHAnsi" w:hAnsiTheme="minorHAnsi" w:cstheme="minorBidi"/>
          <w:sz w:val="32"/>
          <w:szCs w:val="32"/>
        </w:rPr>
        <w:t>（类）</w:t>
      </w:r>
      <w:r>
        <w:rPr>
          <w:rStyle w:val="15"/>
          <w:rFonts w:eastAsia="仿宋_GB2312"/>
          <w:sz w:val="32"/>
          <w:szCs w:val="32"/>
        </w:rPr>
        <w:t>住房改革支出（款）住房公积金（项）:</w:t>
      </w:r>
      <w:r>
        <w:rPr>
          <w:rStyle w:val="15"/>
          <w:rFonts w:eastAsia="仿宋_GB2312"/>
          <w:b w:val="0"/>
          <w:sz w:val="32"/>
          <w:szCs w:val="32"/>
        </w:rPr>
        <w:t>支出决算为15.92万元，完成预算100%。</w:t>
      </w:r>
    </w:p>
    <w:p>
      <w:pPr>
        <w:spacing w:line="600" w:lineRule="exact"/>
        <w:ind w:firstLine="642" w:firstLineChars="200"/>
        <w:rPr>
          <w:rStyle w:val="15"/>
          <w:rFonts w:eastAsia="仿宋_GB2312"/>
        </w:rPr>
      </w:pPr>
      <w:r>
        <w:rPr>
          <w:rStyle w:val="15"/>
          <w:rFonts w:hint="eastAsia" w:eastAsia="仿宋_GB2312" w:asciiTheme="minorHAnsi" w:hAnsiTheme="minorHAnsi" w:cstheme="minorBidi"/>
          <w:sz w:val="32"/>
          <w:szCs w:val="32"/>
        </w:rPr>
        <w:t>住房保障（类</w:t>
      </w:r>
      <w:r>
        <w:rPr>
          <w:rStyle w:val="15"/>
          <w:rFonts w:eastAsia="仿宋_GB2312"/>
          <w:bCs/>
          <w:sz w:val="32"/>
          <w:szCs w:val="32"/>
        </w:rPr>
        <w:t>）住房改革支出（款）购房补贴（项）</w:t>
      </w:r>
      <w:r>
        <w:rPr>
          <w:rStyle w:val="15"/>
          <w:rFonts w:eastAsia="仿宋_GB2312"/>
          <w:sz w:val="32"/>
          <w:szCs w:val="32"/>
        </w:rPr>
        <w:t>:</w:t>
      </w:r>
      <w:r>
        <w:rPr>
          <w:rStyle w:val="15"/>
          <w:rFonts w:eastAsia="仿宋_GB2312"/>
          <w:b w:val="0"/>
          <w:sz w:val="32"/>
          <w:szCs w:val="32"/>
        </w:rPr>
        <w:t>支出决算为7.18万元，完成预算100%。</w:t>
      </w:r>
    </w:p>
    <w:p>
      <w:pPr>
        <w:tabs>
          <w:tab w:val="right" w:pos="8306"/>
        </w:tabs>
        <w:spacing w:line="600" w:lineRule="exact"/>
        <w:ind w:firstLine="640"/>
        <w:outlineLvl w:val="1"/>
        <w:rPr>
          <w:rStyle w:val="26"/>
          <w:rFonts w:ascii="Times New Roman" w:hAnsi="Times New Roman" w:cs="Times New Roman"/>
        </w:rPr>
      </w:pPr>
      <w:bookmarkStart w:id="71" w:name="_Toc15396608"/>
      <w:bookmarkStart w:id="72" w:name="_Toc15377214"/>
      <w:bookmarkStart w:id="73" w:name="_Toc114149129"/>
      <w:r>
        <w:rPr>
          <w:rFonts w:eastAsia="黑体"/>
          <w:sz w:val="32"/>
          <w:szCs w:val="32"/>
        </w:rPr>
        <w:t>六</w:t>
      </w:r>
      <w:r>
        <w:rPr>
          <w:rFonts w:eastAsia="黑体"/>
          <w:b/>
          <w:sz w:val="32"/>
          <w:szCs w:val="32"/>
        </w:rPr>
        <w:t>、一</w:t>
      </w:r>
      <w:r>
        <w:rPr>
          <w:rStyle w:val="26"/>
          <w:rFonts w:ascii="Times New Roman" w:hAnsi="Times New Roman" w:eastAsia="黑体" w:cs="Times New Roman"/>
          <w:b w:val="0"/>
        </w:rPr>
        <w:t>般公共预算财政拨款基本支出决算情况说明</w:t>
      </w:r>
      <w:bookmarkEnd w:id="71"/>
      <w:bookmarkEnd w:id="72"/>
      <w:bookmarkEnd w:id="73"/>
      <w:r>
        <w:rPr>
          <w:rStyle w:val="26"/>
          <w:rFonts w:ascii="Times New Roman" w:hAnsi="Times New Roman" w:eastAsia="黑体" w:cs="Times New Roman"/>
          <w:b w:val="0"/>
        </w:rPr>
        <w:tab/>
      </w:r>
    </w:p>
    <w:p>
      <w:pPr>
        <w:spacing w:line="600" w:lineRule="exact"/>
        <w:ind w:firstLine="645"/>
        <w:rPr>
          <w:rFonts w:eastAsia="仿宋_GB2312"/>
          <w:sz w:val="32"/>
          <w:szCs w:val="32"/>
        </w:rPr>
      </w:pPr>
      <w:r>
        <w:rPr>
          <w:rFonts w:eastAsia="仿宋_GB2312"/>
          <w:sz w:val="32"/>
          <w:szCs w:val="32"/>
        </w:rPr>
        <w:t>2021年一般公共预算财政拨款基本支出260.58万元，其中：</w:t>
      </w:r>
    </w:p>
    <w:p>
      <w:pPr>
        <w:spacing w:line="600" w:lineRule="exact"/>
        <w:ind w:firstLine="645"/>
        <w:rPr>
          <w:rFonts w:eastAsia="仿宋_GB2312"/>
          <w:sz w:val="32"/>
          <w:szCs w:val="32"/>
        </w:rPr>
      </w:pPr>
      <w:r>
        <w:rPr>
          <w:rFonts w:eastAsia="仿宋_GB2312"/>
          <w:sz w:val="32"/>
          <w:szCs w:val="32"/>
        </w:rPr>
        <w:t>人员经费194.66万元，主要包括：基本工资、津贴补贴、绩效工资、机关事业单位基本养老保险缴费、职业年金缴费、职工基本医疗保险缴费、其他社会保障缴费、其他工资福利支出、退休费、奖励金、住房公积金、其他对个人和家庭的补助支出等。</w:t>
      </w:r>
      <w:r>
        <w:rPr>
          <w:rFonts w:eastAsia="仿宋_GB2312"/>
          <w:sz w:val="32"/>
          <w:szCs w:val="32"/>
        </w:rPr>
        <w:br w:type="textWrapping"/>
      </w:r>
      <w:r>
        <w:rPr>
          <w:rFonts w:eastAsia="仿宋_GB2312"/>
          <w:sz w:val="32"/>
          <w:szCs w:val="32"/>
        </w:rPr>
        <w:t>　　公用经费65.92万元，主要包括：办公费、物业管理费、差旅费、公务接待费、工会经费、福利费、公务用车运行维护费等。</w:t>
      </w:r>
    </w:p>
    <w:p>
      <w:pPr>
        <w:spacing w:line="600" w:lineRule="exact"/>
        <w:ind w:firstLine="645"/>
        <w:outlineLvl w:val="1"/>
        <w:rPr>
          <w:rStyle w:val="26"/>
          <w:rFonts w:ascii="Times New Roman" w:hAnsi="Times New Roman" w:eastAsia="黑体" w:cs="Times New Roman"/>
          <w:b w:val="0"/>
        </w:rPr>
      </w:pPr>
      <w:bookmarkStart w:id="74" w:name="_Toc15377215"/>
      <w:bookmarkStart w:id="75" w:name="_Toc114149130"/>
      <w:bookmarkStart w:id="76" w:name="_Toc15396609"/>
      <w:r>
        <w:rPr>
          <w:rFonts w:eastAsia="黑体"/>
          <w:sz w:val="32"/>
          <w:szCs w:val="32"/>
        </w:rPr>
        <w:t>七、</w:t>
      </w:r>
      <w:r>
        <w:rPr>
          <w:rStyle w:val="26"/>
          <w:rFonts w:ascii="Times New Roman" w:hAnsi="Times New Roman" w:eastAsia="黑体" w:cs="Times New Roman"/>
          <w:b w:val="0"/>
          <w:bCs w:val="0"/>
        </w:rPr>
        <w:t>“</w:t>
      </w:r>
      <w:r>
        <w:rPr>
          <w:rStyle w:val="26"/>
          <w:rFonts w:ascii="Times New Roman" w:hAnsi="Times New Roman" w:eastAsia="黑体" w:cs="Times New Roman"/>
          <w:b w:val="0"/>
        </w:rPr>
        <w:t>三公”经费财政拨款支出决算情况说明</w:t>
      </w:r>
      <w:bookmarkEnd w:id="74"/>
      <w:bookmarkEnd w:id="75"/>
      <w:bookmarkEnd w:id="76"/>
    </w:p>
    <w:p>
      <w:pPr>
        <w:spacing w:line="600" w:lineRule="exact"/>
        <w:ind w:firstLine="640"/>
        <w:outlineLvl w:val="2"/>
        <w:rPr>
          <w:rFonts w:hint="eastAsia" w:ascii="楷体_GB2312" w:eastAsia="楷体_GB2312"/>
          <w:bCs/>
          <w:sz w:val="32"/>
          <w:szCs w:val="32"/>
        </w:rPr>
      </w:pPr>
      <w:bookmarkStart w:id="77" w:name="_Toc1300"/>
      <w:bookmarkStart w:id="78" w:name="_Toc114149131"/>
      <w:bookmarkStart w:id="79" w:name="_Toc15377216"/>
      <w:r>
        <w:rPr>
          <w:rFonts w:hint="eastAsia" w:ascii="楷体_GB2312" w:eastAsia="楷体_GB2312"/>
          <w:bCs/>
          <w:sz w:val="32"/>
          <w:szCs w:val="32"/>
        </w:rPr>
        <w:t>（一）“三公”经费财政拨款支出决算总体情况说明</w:t>
      </w:r>
      <w:bookmarkEnd w:id="77"/>
      <w:bookmarkEnd w:id="78"/>
      <w:bookmarkEnd w:id="79"/>
    </w:p>
    <w:p>
      <w:pPr>
        <w:spacing w:line="600" w:lineRule="exact"/>
        <w:ind w:firstLine="640"/>
        <w:rPr>
          <w:rFonts w:eastAsia="仿宋_GB2312"/>
          <w:sz w:val="32"/>
          <w:szCs w:val="32"/>
        </w:rPr>
      </w:pPr>
      <w:r>
        <w:rPr>
          <w:rFonts w:eastAsia="仿宋_GB2312"/>
          <w:sz w:val="32"/>
          <w:szCs w:val="32"/>
        </w:rPr>
        <w:t>2021年“三公”经费财政拨款支出决算为2.44万元，完成预算61%，决算数小于预算数的主要原因是严格执行省委省政府“厉行节约”要求，大力压缩“三公经费”开支。</w:t>
      </w:r>
    </w:p>
    <w:p>
      <w:pPr>
        <w:spacing w:line="600" w:lineRule="exact"/>
        <w:ind w:firstLine="640" w:firstLineChars="200"/>
        <w:outlineLvl w:val="2"/>
        <w:rPr>
          <w:rFonts w:hint="eastAsia" w:ascii="楷体_GB2312" w:eastAsia="楷体_GB2312"/>
          <w:bCs/>
          <w:sz w:val="32"/>
          <w:szCs w:val="32"/>
        </w:rPr>
      </w:pPr>
      <w:bookmarkStart w:id="80" w:name="_Toc114149132"/>
      <w:bookmarkStart w:id="81" w:name="_Toc22987"/>
      <w:bookmarkStart w:id="82" w:name="_Toc15377217"/>
      <w:r>
        <w:rPr>
          <w:rFonts w:hint="eastAsia" w:ascii="楷体_GB2312" w:eastAsia="楷体_GB2312"/>
          <w:bCs/>
          <w:sz w:val="32"/>
          <w:szCs w:val="32"/>
        </w:rPr>
        <w:t>（二）“三公”经费财政拨款支出决算具体情况说明</w:t>
      </w:r>
      <w:bookmarkEnd w:id="80"/>
      <w:bookmarkEnd w:id="81"/>
      <w:bookmarkEnd w:id="82"/>
    </w:p>
    <w:p>
      <w:pPr>
        <w:spacing w:line="600" w:lineRule="exact"/>
        <w:ind w:firstLine="640"/>
        <w:rPr>
          <w:rFonts w:eastAsia="仿宋_GB2312"/>
          <w:sz w:val="32"/>
          <w:szCs w:val="32"/>
        </w:rPr>
      </w:pPr>
      <w:r>
        <w:rPr>
          <w:rFonts w:eastAsia="仿宋_GB2312"/>
          <w:sz w:val="32"/>
          <w:szCs w:val="32"/>
        </w:rPr>
        <w:t>2021年“三公”经费财政拨款支出决算中，因公出国（境）经费支出决算0万元，占0%；公务用车购置及运行维护费支出决算2.32万元，占95.08%；公务接待费支出决算0.12万元，占4.92%。具体情况如下：</w:t>
      </w:r>
    </w:p>
    <w:p>
      <w:pPr>
        <w:spacing w:line="600" w:lineRule="exact"/>
        <w:ind w:firstLine="320" w:firstLineChars="100"/>
        <w:rPr>
          <w:rFonts w:eastAsia="仿宋_GB2312"/>
          <w:sz w:val="32"/>
          <w:szCs w:val="32"/>
        </w:rPr>
      </w:pPr>
      <w:r>
        <w:rPr>
          <w:rFonts w:eastAsia="仿宋_GB2312"/>
          <w:sz w:val="32"/>
          <w:szCs w:val="32"/>
        </w:rPr>
        <w:t>（图7：“三公”经费财政拨款支出结构）</w:t>
      </w:r>
    </w:p>
    <w:p>
      <w:pPr>
        <w:pStyle w:val="2"/>
        <w:spacing w:before="93"/>
        <w:rPr>
          <w:rFonts w:ascii="Times New Roman"/>
        </w:rPr>
      </w:pPr>
      <w:r>
        <w:rPr>
          <w:rFonts w:ascii="Times New Roman"/>
        </w:rPr>
        <w:drawing>
          <wp:inline distT="0" distB="0" distL="114300" distR="114300">
            <wp:extent cx="5322570" cy="3048000"/>
            <wp:effectExtent l="0" t="0" r="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0"/>
        <w:rPr>
          <w:rFonts w:eastAsia="仿宋_GB2312"/>
          <w:sz w:val="32"/>
          <w:szCs w:val="32"/>
        </w:rPr>
      </w:pPr>
      <w:r>
        <w:rPr>
          <w:rFonts w:hint="eastAsia" w:ascii="楷体_GB2312" w:eastAsia="楷体_GB2312"/>
          <w:bCs/>
          <w:sz w:val="32"/>
          <w:szCs w:val="32"/>
        </w:rPr>
        <w:t>1.</w:t>
      </w:r>
      <w:r>
        <w:rPr>
          <w:rFonts w:hint="eastAsia" w:ascii="楷体_GB2312" w:eastAsia="楷体_GB2312"/>
          <w:b/>
          <w:bCs w:val="0"/>
          <w:sz w:val="32"/>
          <w:szCs w:val="32"/>
        </w:rPr>
        <w:t>因公出国（境）经费支出</w:t>
      </w:r>
      <w:r>
        <w:rPr>
          <w:rFonts w:eastAsia="仿宋_GB2312"/>
          <w:sz w:val="32"/>
          <w:szCs w:val="32"/>
        </w:rPr>
        <w:t>0万元，</w:t>
      </w:r>
      <w:r>
        <w:rPr>
          <w:rStyle w:val="15"/>
          <w:rFonts w:eastAsia="仿宋_GB2312"/>
          <w:b w:val="0"/>
          <w:bCs/>
          <w:sz w:val="32"/>
          <w:szCs w:val="32"/>
        </w:rPr>
        <w:t>完成预算100%。</w:t>
      </w:r>
      <w:r>
        <w:rPr>
          <w:rFonts w:eastAsia="仿宋_GB2312"/>
          <w:sz w:val="32"/>
          <w:szCs w:val="32"/>
        </w:rPr>
        <w:t>全年安排因公出国（境）团组0次，出国（境）0人。因公出国（境）支出决算与2020年持平。</w:t>
      </w:r>
    </w:p>
    <w:p>
      <w:pPr>
        <w:spacing w:line="600" w:lineRule="exact"/>
        <w:ind w:firstLine="640"/>
        <w:rPr>
          <w:rFonts w:hint="eastAsia" w:ascii="楷体_GB2312" w:eastAsia="楷体_GB2312"/>
          <w:bCs/>
          <w:sz w:val="32"/>
          <w:szCs w:val="32"/>
        </w:rPr>
      </w:pPr>
      <w:r>
        <w:rPr>
          <w:rFonts w:hint="eastAsia" w:ascii="楷体_GB2312" w:eastAsia="楷体_GB2312"/>
          <w:bCs/>
          <w:sz w:val="32"/>
          <w:szCs w:val="32"/>
        </w:rPr>
        <w:t>2.</w:t>
      </w:r>
      <w:r>
        <w:rPr>
          <w:rFonts w:hint="eastAsia" w:ascii="楷体_GB2312" w:eastAsia="楷体_GB2312"/>
          <w:b/>
          <w:bCs w:val="0"/>
          <w:sz w:val="32"/>
          <w:szCs w:val="32"/>
        </w:rPr>
        <w:t>公务用车购置及运行维护费支出</w:t>
      </w:r>
      <w:r>
        <w:rPr>
          <w:rFonts w:eastAsia="仿宋_GB2312"/>
          <w:sz w:val="32"/>
          <w:szCs w:val="32"/>
        </w:rPr>
        <w:t>2.32万元，</w:t>
      </w:r>
      <w:r>
        <w:rPr>
          <w:rStyle w:val="15"/>
          <w:rFonts w:eastAsia="仿宋_GB2312"/>
          <w:b w:val="0"/>
          <w:bCs/>
          <w:sz w:val="32"/>
          <w:szCs w:val="32"/>
        </w:rPr>
        <w:t>完成预算77.33%。</w:t>
      </w:r>
      <w:r>
        <w:rPr>
          <w:rFonts w:eastAsia="仿宋_GB2312"/>
          <w:sz w:val="32"/>
          <w:szCs w:val="32"/>
        </w:rPr>
        <w:t>公务用车购置及运行维护费支出决算比2020年增加0.59万元，增长34.1%。主要原因是2021年我省疫情缓解，中心开展专家服务基层、留学人员研修等工作较2020年增多，相应公务用车运行经费增加。</w:t>
      </w:r>
    </w:p>
    <w:p>
      <w:pPr>
        <w:spacing w:line="600" w:lineRule="exact"/>
        <w:ind w:firstLine="640" w:firstLineChars="200"/>
        <w:rPr>
          <w:rFonts w:hint="eastAsia" w:ascii="楷体_GB2312" w:eastAsia="楷体_GB2312"/>
          <w:bCs/>
          <w:sz w:val="32"/>
          <w:szCs w:val="32"/>
        </w:rPr>
      </w:pPr>
      <w:r>
        <w:rPr>
          <w:rFonts w:eastAsia="仿宋_GB2312"/>
          <w:sz w:val="32"/>
          <w:szCs w:val="32"/>
        </w:rPr>
        <w:t>其中：</w:t>
      </w:r>
      <w:r>
        <w:rPr>
          <w:rFonts w:hint="eastAsia" w:ascii="楷体_GB2312" w:eastAsia="楷体_GB2312"/>
          <w:b/>
          <w:bCs w:val="0"/>
          <w:sz w:val="32"/>
          <w:szCs w:val="32"/>
        </w:rPr>
        <w:t>公务用车购置支出</w:t>
      </w:r>
      <w:r>
        <w:rPr>
          <w:rFonts w:eastAsia="仿宋_GB2312"/>
          <w:sz w:val="32"/>
          <w:szCs w:val="32"/>
        </w:rPr>
        <w:t>0万元。全年按规定更新购置公务用车0辆。截至2021年12月底，单位共有公务用车1辆，其中：轿车1辆。</w:t>
      </w:r>
    </w:p>
    <w:p>
      <w:pPr>
        <w:spacing w:line="600" w:lineRule="exact"/>
        <w:ind w:firstLine="640"/>
        <w:rPr>
          <w:rFonts w:eastAsia="仿宋_GB2312"/>
          <w:sz w:val="32"/>
          <w:szCs w:val="32"/>
        </w:rPr>
      </w:pPr>
      <w:r>
        <w:rPr>
          <w:rFonts w:hint="eastAsia" w:ascii="楷体_GB2312" w:eastAsia="楷体_GB2312"/>
          <w:b/>
          <w:bCs w:val="0"/>
          <w:sz w:val="32"/>
          <w:szCs w:val="32"/>
        </w:rPr>
        <w:t>公务用车运行维护费支出</w:t>
      </w:r>
      <w:r>
        <w:rPr>
          <w:rFonts w:eastAsia="仿宋_GB2312"/>
          <w:sz w:val="32"/>
          <w:szCs w:val="32"/>
        </w:rPr>
        <w:t>2.32万元。主要用于专家智力服务基层、海外高层次人才、博士后服务团以及博士后联谊活动等所需的公务用车燃料费、维修费、过路过桥费、保险费等支出。</w:t>
      </w:r>
    </w:p>
    <w:p>
      <w:pPr>
        <w:spacing w:line="600" w:lineRule="exact"/>
        <w:ind w:firstLine="640"/>
        <w:rPr>
          <w:rFonts w:eastAsia="仿宋_GB2312"/>
          <w:sz w:val="32"/>
          <w:szCs w:val="32"/>
        </w:rPr>
      </w:pPr>
      <w:r>
        <w:rPr>
          <w:rFonts w:hint="eastAsia" w:ascii="楷体_GB2312" w:eastAsia="楷体_GB2312"/>
          <w:bCs/>
          <w:sz w:val="32"/>
          <w:szCs w:val="32"/>
        </w:rPr>
        <w:t>3.</w:t>
      </w:r>
      <w:r>
        <w:rPr>
          <w:rFonts w:hint="eastAsia" w:ascii="楷体_GB2312" w:eastAsia="楷体_GB2312"/>
          <w:b/>
          <w:bCs w:val="0"/>
          <w:sz w:val="32"/>
          <w:szCs w:val="32"/>
        </w:rPr>
        <w:t>公务接待费支出</w:t>
      </w:r>
      <w:r>
        <w:rPr>
          <w:rFonts w:eastAsia="仿宋_GB2312"/>
          <w:sz w:val="32"/>
          <w:szCs w:val="32"/>
        </w:rPr>
        <w:t>0.12万元，</w:t>
      </w:r>
      <w:r>
        <w:rPr>
          <w:rStyle w:val="15"/>
          <w:rFonts w:eastAsia="仿宋_GB2312"/>
          <w:b w:val="0"/>
          <w:bCs/>
          <w:sz w:val="32"/>
          <w:szCs w:val="32"/>
        </w:rPr>
        <w:t>完成预算12%。</w:t>
      </w:r>
      <w:r>
        <w:rPr>
          <w:rFonts w:eastAsia="仿宋_GB2312"/>
          <w:sz w:val="32"/>
          <w:szCs w:val="32"/>
        </w:rPr>
        <w:t>公务接待费支出决算比2020年减少0.28万元，下降70%。主要原因是受疫情影响，国内公务接待人次比上年减少。其中：</w:t>
      </w:r>
    </w:p>
    <w:p>
      <w:pPr>
        <w:spacing w:line="600" w:lineRule="exact"/>
        <w:ind w:firstLine="640"/>
        <w:rPr>
          <w:rFonts w:eastAsia="仿宋_GB2312"/>
          <w:sz w:val="32"/>
          <w:szCs w:val="32"/>
        </w:rPr>
      </w:pPr>
      <w:r>
        <w:rPr>
          <w:rFonts w:hint="eastAsia" w:ascii="楷体_GB2312" w:eastAsia="楷体_GB2312"/>
          <w:b/>
          <w:bCs w:val="0"/>
          <w:sz w:val="32"/>
          <w:szCs w:val="32"/>
        </w:rPr>
        <w:t>国内公务接待支出</w:t>
      </w:r>
      <w:r>
        <w:rPr>
          <w:rFonts w:eastAsia="仿宋_GB2312"/>
          <w:sz w:val="32"/>
          <w:szCs w:val="32"/>
        </w:rPr>
        <w:t>0.12万元，主要用于上级部门及兄弟省市对口部门来川开展政策调研、工作检查、交流学习、专题研讨等接待支出。国内公务接待1批次，5人次（不包括陪同人员），共计支出0.12万元，具体内容包括：重庆市人社局来蓉参加“创业西部 留在双城”第二届成渝地区双城经济圈留学生创新创业大赛决赛接待费0.12万元。</w:t>
      </w:r>
    </w:p>
    <w:p>
      <w:pPr>
        <w:spacing w:line="600" w:lineRule="exact"/>
        <w:ind w:firstLine="642" w:firstLineChars="200"/>
        <w:rPr>
          <w:rFonts w:eastAsia="仿宋_GB2312"/>
          <w:sz w:val="32"/>
          <w:szCs w:val="32"/>
        </w:rPr>
      </w:pPr>
      <w:r>
        <w:rPr>
          <w:rFonts w:hint="eastAsia" w:ascii="楷体_GB2312" w:eastAsia="楷体_GB2312"/>
          <w:b/>
          <w:bCs w:val="0"/>
          <w:sz w:val="32"/>
          <w:szCs w:val="32"/>
        </w:rPr>
        <w:t>外事接待支出</w:t>
      </w:r>
      <w:r>
        <w:rPr>
          <w:rFonts w:eastAsia="仿宋_GB2312"/>
          <w:sz w:val="32"/>
          <w:szCs w:val="32"/>
        </w:rPr>
        <w:t>0万元，外事接待0批次，0人，共计支出0万元。</w:t>
      </w:r>
    </w:p>
    <w:p>
      <w:pPr>
        <w:spacing w:line="600" w:lineRule="exact"/>
        <w:ind w:firstLine="640"/>
        <w:outlineLvl w:val="1"/>
        <w:rPr>
          <w:rStyle w:val="26"/>
          <w:rFonts w:ascii="Times New Roman" w:hAnsi="Times New Roman" w:eastAsia="黑体" w:cs="Times New Roman"/>
        </w:rPr>
      </w:pPr>
      <w:bookmarkStart w:id="83" w:name="_Toc114149133"/>
      <w:bookmarkStart w:id="84" w:name="_Toc15377218"/>
      <w:bookmarkStart w:id="85" w:name="_Toc15396610"/>
      <w:r>
        <w:rPr>
          <w:rFonts w:eastAsia="黑体"/>
          <w:sz w:val="32"/>
          <w:szCs w:val="32"/>
        </w:rPr>
        <w:t>八、</w:t>
      </w:r>
      <w:r>
        <w:rPr>
          <w:rStyle w:val="26"/>
          <w:rFonts w:ascii="Times New Roman" w:hAnsi="Times New Roman" w:eastAsia="黑体" w:cs="Times New Roman"/>
          <w:b w:val="0"/>
        </w:rPr>
        <w:t>政府性基金预算支出决算情况说明</w:t>
      </w:r>
      <w:bookmarkEnd w:id="83"/>
      <w:bookmarkEnd w:id="84"/>
      <w:bookmarkEnd w:id="85"/>
    </w:p>
    <w:p>
      <w:pPr>
        <w:spacing w:line="600" w:lineRule="exact"/>
        <w:ind w:firstLine="640"/>
        <w:rPr>
          <w:rFonts w:eastAsia="仿宋_GB2312"/>
          <w:sz w:val="32"/>
          <w:szCs w:val="32"/>
        </w:rPr>
      </w:pPr>
      <w:r>
        <w:rPr>
          <w:rFonts w:eastAsia="仿宋_GB2312"/>
          <w:sz w:val="32"/>
          <w:szCs w:val="32"/>
        </w:rPr>
        <w:t>2021年政府性基金预算财政拨款支出0万元。</w:t>
      </w:r>
    </w:p>
    <w:p>
      <w:pPr>
        <w:numPr>
          <w:ilvl w:val="0"/>
          <w:numId w:val="2"/>
        </w:numPr>
        <w:spacing w:line="600" w:lineRule="exact"/>
        <w:ind w:firstLine="640"/>
        <w:outlineLvl w:val="1"/>
        <w:rPr>
          <w:rStyle w:val="26"/>
          <w:rFonts w:ascii="Times New Roman" w:hAnsi="Times New Roman" w:eastAsia="黑体" w:cs="Times New Roman"/>
          <w:b w:val="0"/>
        </w:rPr>
      </w:pPr>
      <w:bookmarkStart w:id="86" w:name="_Toc15396611"/>
      <w:bookmarkStart w:id="87" w:name="_Toc114149134"/>
      <w:bookmarkStart w:id="88" w:name="_Toc15377219"/>
      <w:r>
        <w:rPr>
          <w:rStyle w:val="26"/>
          <w:rFonts w:ascii="Times New Roman" w:hAnsi="Times New Roman" w:eastAsia="黑体" w:cs="Times New Roman"/>
          <w:b w:val="0"/>
        </w:rPr>
        <w:t>国有资本经营预算支出决算情况说明</w:t>
      </w:r>
      <w:bookmarkEnd w:id="86"/>
      <w:bookmarkEnd w:id="87"/>
      <w:bookmarkEnd w:id="88"/>
    </w:p>
    <w:p>
      <w:pPr>
        <w:spacing w:line="600" w:lineRule="exact"/>
        <w:ind w:firstLine="640"/>
        <w:rPr>
          <w:rFonts w:eastAsia="仿宋_GB2312"/>
          <w:sz w:val="32"/>
          <w:szCs w:val="32"/>
        </w:rPr>
      </w:pPr>
      <w:r>
        <w:rPr>
          <w:rFonts w:eastAsia="仿宋_GB2312"/>
          <w:sz w:val="32"/>
          <w:szCs w:val="32"/>
        </w:rPr>
        <w:t>2021年国有资本经营预算财政拨款支出0万元。</w:t>
      </w:r>
    </w:p>
    <w:p>
      <w:pPr>
        <w:numPr>
          <w:ilvl w:val="0"/>
          <w:numId w:val="2"/>
        </w:numPr>
        <w:spacing w:line="600" w:lineRule="exact"/>
        <w:ind w:firstLine="640"/>
        <w:outlineLvl w:val="1"/>
        <w:rPr>
          <w:rStyle w:val="26"/>
          <w:rFonts w:ascii="Times New Roman" w:hAnsi="Times New Roman" w:eastAsia="黑体" w:cs="Times New Roman"/>
          <w:b w:val="0"/>
        </w:rPr>
      </w:pPr>
      <w:bookmarkStart w:id="89" w:name="_Toc15377221"/>
      <w:bookmarkStart w:id="90" w:name="_Toc15396612"/>
      <w:bookmarkStart w:id="91" w:name="_Toc114149135"/>
      <w:r>
        <w:rPr>
          <w:rStyle w:val="26"/>
          <w:rFonts w:ascii="Times New Roman" w:hAnsi="Times New Roman" w:eastAsia="黑体" w:cs="Times New Roman"/>
          <w:b w:val="0"/>
        </w:rPr>
        <w:t>其他重要事项的情况说明</w:t>
      </w:r>
      <w:bookmarkEnd w:id="89"/>
      <w:bookmarkEnd w:id="90"/>
      <w:bookmarkEnd w:id="91"/>
    </w:p>
    <w:p>
      <w:pPr>
        <w:spacing w:line="600" w:lineRule="exact"/>
        <w:ind w:firstLine="640" w:firstLineChars="200"/>
        <w:outlineLvl w:val="2"/>
        <w:rPr>
          <w:rFonts w:hint="eastAsia" w:ascii="楷体_GB2312" w:eastAsia="楷体_GB2312"/>
          <w:bCs/>
          <w:sz w:val="32"/>
          <w:szCs w:val="32"/>
        </w:rPr>
      </w:pPr>
      <w:bookmarkStart w:id="92" w:name="_Toc6351"/>
      <w:bookmarkStart w:id="93" w:name="_Toc114149136"/>
      <w:bookmarkStart w:id="94" w:name="_Toc15377222"/>
      <w:r>
        <w:rPr>
          <w:rFonts w:hint="eastAsia" w:ascii="楷体_GB2312" w:eastAsia="楷体_GB2312"/>
          <w:bCs/>
          <w:sz w:val="32"/>
          <w:szCs w:val="32"/>
        </w:rPr>
        <w:t>（一）机关运行经费支出情况</w:t>
      </w:r>
      <w:bookmarkEnd w:id="92"/>
      <w:bookmarkEnd w:id="93"/>
      <w:bookmarkEnd w:id="94"/>
    </w:p>
    <w:p>
      <w:pPr>
        <w:spacing w:line="600" w:lineRule="exact"/>
        <w:ind w:firstLine="640" w:firstLineChars="200"/>
        <w:rPr>
          <w:rFonts w:eastAsia="仿宋_GB2312"/>
          <w:sz w:val="32"/>
          <w:szCs w:val="32"/>
        </w:rPr>
      </w:pPr>
      <w:r>
        <w:rPr>
          <w:rFonts w:eastAsia="仿宋_GB2312"/>
          <w:sz w:val="32"/>
          <w:szCs w:val="32"/>
        </w:rPr>
        <w:t>省专家服务中心为事业单位，未开支机关运行经费。</w:t>
      </w:r>
    </w:p>
    <w:p>
      <w:pPr>
        <w:spacing w:line="600" w:lineRule="exact"/>
        <w:ind w:firstLine="640" w:firstLineChars="200"/>
        <w:outlineLvl w:val="2"/>
        <w:rPr>
          <w:rFonts w:eastAsia="仿宋_GB2312"/>
          <w:b/>
          <w:sz w:val="32"/>
          <w:szCs w:val="32"/>
        </w:rPr>
      </w:pPr>
      <w:bookmarkStart w:id="95" w:name="_Toc114149137"/>
      <w:bookmarkStart w:id="96" w:name="_Toc15377223"/>
      <w:bookmarkStart w:id="97" w:name="_Toc1221"/>
      <w:r>
        <w:rPr>
          <w:rFonts w:ascii="楷体_GB2312" w:eastAsia="楷体_GB2312"/>
          <w:bCs/>
          <w:sz w:val="32"/>
          <w:szCs w:val="32"/>
        </w:rPr>
        <w:t>（二）政府采购支出情况</w:t>
      </w:r>
      <w:bookmarkEnd w:id="95"/>
      <w:bookmarkEnd w:id="96"/>
      <w:bookmarkEnd w:id="97"/>
    </w:p>
    <w:p>
      <w:pPr>
        <w:spacing w:line="600" w:lineRule="exact"/>
        <w:ind w:firstLine="640" w:firstLineChars="200"/>
        <w:rPr>
          <w:rFonts w:eastAsia="仿宋_GB2312"/>
          <w:sz w:val="32"/>
          <w:szCs w:val="32"/>
        </w:rPr>
      </w:pPr>
      <w:r>
        <w:rPr>
          <w:rFonts w:eastAsia="仿宋_GB2312"/>
          <w:sz w:val="32"/>
          <w:szCs w:val="32"/>
        </w:rPr>
        <w:t>2021年，省专家服务中心政府采购支出总额7.85万元，其中：政府采购货物支出6.05万元、政府采购工程支出0万元、政府采购服务支出1.8万元。主要用于省专家服务中心办公设备采购以及专家、留学人员以及博士后服务工作。授予中小企业合同金额0万元，占政府采购支出总额的0%，其中：授予小微企业合同金额0万元，占政府采购支出总额的0%。</w:t>
      </w:r>
    </w:p>
    <w:p>
      <w:pPr>
        <w:spacing w:line="600" w:lineRule="exact"/>
        <w:ind w:firstLine="640" w:firstLineChars="200"/>
        <w:outlineLvl w:val="2"/>
        <w:rPr>
          <w:rFonts w:ascii="楷体_GB2312" w:eastAsia="楷体_GB2312"/>
          <w:bCs/>
          <w:sz w:val="32"/>
          <w:szCs w:val="32"/>
        </w:rPr>
      </w:pPr>
      <w:bookmarkStart w:id="98" w:name="_Toc4785"/>
      <w:bookmarkStart w:id="99" w:name="_Toc114149138"/>
      <w:bookmarkStart w:id="100" w:name="_Toc15377224"/>
      <w:r>
        <w:rPr>
          <w:rFonts w:ascii="楷体_GB2312" w:eastAsia="楷体_GB2312"/>
          <w:bCs/>
          <w:sz w:val="32"/>
          <w:szCs w:val="32"/>
        </w:rPr>
        <w:t>（三）国有资产占有使用情况</w:t>
      </w:r>
      <w:bookmarkEnd w:id="98"/>
      <w:bookmarkEnd w:id="99"/>
      <w:bookmarkEnd w:id="100"/>
    </w:p>
    <w:p>
      <w:pPr>
        <w:autoSpaceDE w:val="0"/>
        <w:autoSpaceDN w:val="0"/>
        <w:adjustRightInd w:val="0"/>
        <w:spacing w:line="600" w:lineRule="exact"/>
        <w:ind w:firstLine="640" w:firstLineChars="200"/>
        <w:jc w:val="left"/>
        <w:rPr>
          <w:rFonts w:eastAsia="仿宋_GB2312"/>
          <w:sz w:val="32"/>
          <w:szCs w:val="32"/>
        </w:rPr>
      </w:pPr>
      <w:r>
        <w:rPr>
          <w:rFonts w:eastAsia="仿宋_GB2312"/>
          <w:sz w:val="32"/>
          <w:szCs w:val="32"/>
        </w:rPr>
        <w:t>截至2021年12月31日，省专家服务中心共有车辆1辆，其中：其他用车1辆，其他用车主要是用于海外高层次人才服务团以及博士后联谊活动以及省专家服务中心日常工作运转。单价50万元以上通用设备0台（套），单价100万元以上专用设备0台（套）。</w:t>
      </w:r>
    </w:p>
    <w:p>
      <w:pPr>
        <w:spacing w:line="600" w:lineRule="exact"/>
        <w:ind w:firstLine="640" w:firstLineChars="200"/>
        <w:outlineLvl w:val="2"/>
        <w:rPr>
          <w:rFonts w:eastAsia="仿宋_GB2312"/>
          <w:b/>
          <w:sz w:val="32"/>
          <w:szCs w:val="32"/>
        </w:rPr>
      </w:pPr>
      <w:bookmarkStart w:id="101" w:name="_Toc114149139"/>
      <w:bookmarkStart w:id="102" w:name="_Toc25821"/>
      <w:r>
        <w:rPr>
          <w:rFonts w:ascii="楷体_GB2312" w:eastAsia="楷体_GB2312"/>
          <w:bCs/>
          <w:sz w:val="32"/>
          <w:szCs w:val="32"/>
        </w:rPr>
        <w:t>（四）预算绩效管理情况</w:t>
      </w:r>
      <w:bookmarkEnd w:id="101"/>
      <w:bookmarkEnd w:id="102"/>
    </w:p>
    <w:p>
      <w:pPr>
        <w:spacing w:line="580" w:lineRule="exact"/>
        <w:ind w:firstLine="640" w:firstLineChars="200"/>
        <w:rPr>
          <w:rFonts w:eastAsia="仿宋_GB2312"/>
          <w:sz w:val="32"/>
          <w:szCs w:val="32"/>
        </w:rPr>
      </w:pPr>
      <w:r>
        <w:rPr>
          <w:rFonts w:eastAsia="仿宋_GB2312"/>
          <w:sz w:val="32"/>
          <w:szCs w:val="32"/>
        </w:rPr>
        <w:t>根据预算绩效管理要求，本单位在2021年度预算编制阶段，未组织开展预算事前绩效评估，对3个项目编制了绩效目标，预算执行过程中，选取3个项目开展绩效监控，年终执行完毕后，对3个项目开展了绩效自评，2021年特定目标类部门预算项目绩效目标自评表见附件（第四部分）。</w:t>
      </w:r>
    </w:p>
    <w:p>
      <w:pPr>
        <w:pStyle w:val="2"/>
        <w:spacing w:before="93"/>
        <w:rPr>
          <w:rFonts w:ascii="Times New Roman"/>
          <w:highlight w:val="yellow"/>
        </w:rPr>
      </w:pPr>
    </w:p>
    <w:p>
      <w:pPr>
        <w:widowControl/>
        <w:jc w:val="left"/>
        <w:rPr>
          <w:rFonts w:eastAsia="仿宋_GB2312"/>
          <w:b/>
          <w:sz w:val="32"/>
          <w:szCs w:val="32"/>
        </w:rPr>
      </w:pPr>
      <w:r>
        <w:rPr>
          <w:rFonts w:eastAsia="仿宋_GB2312"/>
          <w:b/>
          <w:sz w:val="32"/>
          <w:szCs w:val="32"/>
        </w:rPr>
        <w:br w:type="page"/>
      </w:r>
    </w:p>
    <w:p>
      <w:pPr>
        <w:numPr>
          <w:ilvl w:val="0"/>
          <w:numId w:val="3"/>
        </w:numPr>
        <w:spacing w:line="600" w:lineRule="exact"/>
        <w:ind w:firstLine="660" w:firstLineChars="150"/>
        <w:jc w:val="center"/>
        <w:outlineLvl w:val="0"/>
        <w:rPr>
          <w:rStyle w:val="25"/>
          <w:rFonts w:eastAsia="黑体"/>
          <w:b w:val="0"/>
        </w:rPr>
      </w:pPr>
      <w:bookmarkStart w:id="103" w:name="_Toc15396613"/>
      <w:bookmarkStart w:id="104" w:name="_Toc114149140"/>
      <w:bookmarkStart w:id="105" w:name="_Toc15377225"/>
      <w:r>
        <w:rPr>
          <w:rFonts w:eastAsia="黑体"/>
          <w:sz w:val="44"/>
          <w:szCs w:val="44"/>
        </w:rPr>
        <w:t>名</w:t>
      </w:r>
      <w:r>
        <w:rPr>
          <w:rStyle w:val="25"/>
          <w:rFonts w:eastAsia="黑体"/>
          <w:b w:val="0"/>
        </w:rPr>
        <w:t>词解释</w:t>
      </w:r>
      <w:bookmarkEnd w:id="103"/>
      <w:bookmarkEnd w:id="104"/>
      <w:bookmarkEnd w:id="105"/>
    </w:p>
    <w:p>
      <w:pPr>
        <w:spacing w:line="600" w:lineRule="exact"/>
        <w:jc w:val="left"/>
        <w:rPr>
          <w:b/>
          <w:sz w:val="44"/>
          <w:szCs w:val="44"/>
        </w:rPr>
      </w:pPr>
    </w:p>
    <w:p>
      <w:pPr>
        <w:pStyle w:val="23"/>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1.财政拨款收入：指单位从同级财政部门取得的财政预算资金。</w:t>
      </w:r>
    </w:p>
    <w:p>
      <w:pPr>
        <w:pStyle w:val="23"/>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2.事业收入：指事业单位开展专业业务活动及辅助活动取得的收入。</w:t>
      </w:r>
    </w:p>
    <w:p>
      <w:pPr>
        <w:pStyle w:val="23"/>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3.经营收入：指事业单位在专业业务活动及其辅助活动之外开展非独立核算经营活动取得的收入。</w:t>
      </w:r>
    </w:p>
    <w:p>
      <w:pPr>
        <w:pStyle w:val="23"/>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4.其他收入：指单位取得的除上述收入以外的各项收入。主要是部拨国务院政府特殊津贴等。</w:t>
      </w:r>
    </w:p>
    <w:p>
      <w:pPr>
        <w:pStyle w:val="23"/>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5.使用非财政拨款结余：指事业单位使用以前年度积累的非财政拨款结余弥补当年收支差额的金额。</w:t>
      </w:r>
    </w:p>
    <w:p>
      <w:pPr>
        <w:pStyle w:val="23"/>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6.年初结转和结余：指以前年度尚未完成、结转到本年按有关规定继续使用的资金。</w:t>
      </w:r>
    </w:p>
    <w:p>
      <w:pPr>
        <w:pStyle w:val="23"/>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7.结余分配：指事业单位按照会计制度规定缴纳的所得税、提取的专用结余以及转入非财政拨款结余的金额等。</w:t>
      </w:r>
    </w:p>
    <w:p>
      <w:pPr>
        <w:pStyle w:val="23"/>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8.年末结转和结余：指单位按有关规定结转到下年或以后年度继续使用的资金。</w:t>
      </w:r>
    </w:p>
    <w:p>
      <w:pPr>
        <w:pStyle w:val="23"/>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9.社会保障和就业（类）人力资源和社会保障管理事务（款）政府特殊津贴（项）：指与政府特殊津贴相关的支出。</w:t>
      </w:r>
    </w:p>
    <w:p>
      <w:pPr>
        <w:pStyle w:val="23"/>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社会保障和就业（类）人力资源和社会保障管理事务（款）事业运行（项）：指事业单位的基本支出。</w:t>
      </w:r>
    </w:p>
    <w:p>
      <w:pPr>
        <w:pStyle w:val="23"/>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社会保障和就业（类）人力资源和社会保障管理事务（款）其他人力资源和社会保障管理事务支出（项）：指其他所属事业单位的用于人力资源和社会保障管理事务方面的支出。</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社会保障和就业（类）行政事业单位养老支出（款）事业单位离退休（项）:指反映实行归口管理的事业单位开支的离退休经费。</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社会保障和就业（类）行政事业单位养老支出(款)机关事业单位基本养老保险缴费支出（项）: 指机关事业单位实施养老保险制度由单位缴纳的基本养老保险费支出。</w:t>
      </w:r>
    </w:p>
    <w:p>
      <w:pPr>
        <w:ind w:firstLine="640" w:firstLineChars="200"/>
        <w:rPr>
          <w:rFonts w:eastAsia="仿宋_GB2312"/>
          <w:color w:val="000000"/>
          <w:sz w:val="32"/>
          <w:szCs w:val="32"/>
        </w:rPr>
      </w:pPr>
      <w:r>
        <w:rPr>
          <w:rFonts w:eastAsia="仿宋_GB2312"/>
          <w:color w:val="000000"/>
          <w:sz w:val="32"/>
          <w:szCs w:val="32"/>
        </w:rPr>
        <w:t>社会保障和就业（类）行政事业单位养老支出(款)机关事业单位职业年金缴费支出（项）：指机关事业单位实施养老保险制度由单位实际缴纳的职业年金支出。</w:t>
      </w:r>
    </w:p>
    <w:p>
      <w:pPr>
        <w:ind w:firstLine="640" w:firstLineChars="200"/>
        <w:rPr>
          <w:rFonts w:eastAsia="仿宋_GB2312"/>
          <w:sz w:val="32"/>
          <w:szCs w:val="32"/>
        </w:rPr>
      </w:pPr>
      <w:r>
        <w:rPr>
          <w:rFonts w:eastAsia="仿宋_GB2312"/>
          <w:sz w:val="32"/>
          <w:szCs w:val="32"/>
        </w:rPr>
        <w:t>10.</w:t>
      </w:r>
      <w:r>
        <w:rPr>
          <w:rFonts w:eastAsia="仿宋_GB2312"/>
          <w:color w:val="000000"/>
          <w:sz w:val="32"/>
          <w:szCs w:val="32"/>
        </w:rPr>
        <w:t>卫生健康（类）行政事业单位医疗（款）事业单位医疗（项）:指</w:t>
      </w:r>
      <w:r>
        <w:rPr>
          <w:rFonts w:eastAsia="仿宋_GB2312"/>
          <w:sz w:val="32"/>
          <w:szCs w:val="32"/>
        </w:rPr>
        <w:t>主要用于厅属事业单位按照国家政策规定用于基本医疗缴费支出。</w:t>
      </w:r>
    </w:p>
    <w:p>
      <w:pPr>
        <w:adjustRightInd w:val="0"/>
        <w:snapToGrid w:val="0"/>
        <w:spacing w:line="580" w:lineRule="exact"/>
        <w:ind w:firstLine="640" w:firstLineChars="200"/>
        <w:rPr>
          <w:rFonts w:eastAsia="仿宋_GB2312"/>
          <w:color w:val="000000"/>
          <w:sz w:val="32"/>
          <w:szCs w:val="32"/>
        </w:rPr>
      </w:pPr>
      <w:r>
        <w:rPr>
          <w:rFonts w:eastAsia="仿宋_GB2312"/>
          <w:sz w:val="32"/>
          <w:szCs w:val="32"/>
        </w:rPr>
        <w:t>11.</w:t>
      </w:r>
      <w:r>
        <w:rPr>
          <w:rFonts w:eastAsia="仿宋_GB2312"/>
          <w:color w:val="000000"/>
          <w:sz w:val="32"/>
          <w:szCs w:val="32"/>
        </w:rPr>
        <w:t>住房保障（类）住房改革支出（款）住房公积金（项）:指行政事业单位按人力资源社会保障部、财政部规定的基本工资和津贴补贴以及规定比例为职工缴纳的住房公积金。</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住房保障（类）住房改革支出（款）购房补贴（项）: 指按房改政策规定，行政事业单位向符合条件职工发放的用于购买住房的补贴。</w:t>
      </w:r>
    </w:p>
    <w:p>
      <w:pPr>
        <w:ind w:firstLine="640" w:firstLineChars="200"/>
        <w:rPr>
          <w:rFonts w:eastAsia="仿宋_GB2312"/>
          <w:color w:val="000000"/>
          <w:sz w:val="32"/>
          <w:szCs w:val="32"/>
        </w:rPr>
      </w:pPr>
      <w:r>
        <w:rPr>
          <w:rFonts w:eastAsia="仿宋_GB2312"/>
          <w:color w:val="000000"/>
          <w:sz w:val="32"/>
          <w:szCs w:val="32"/>
        </w:rPr>
        <w:t>12.基本支出：指为保障机构正常运转、完成日常工作任务而发生的人员支出和公用支出。</w:t>
      </w:r>
    </w:p>
    <w:p>
      <w:pPr>
        <w:ind w:firstLine="640" w:firstLineChars="200"/>
        <w:rPr>
          <w:rFonts w:eastAsia="仿宋_GB2312"/>
          <w:color w:val="000000"/>
          <w:sz w:val="32"/>
          <w:szCs w:val="32"/>
        </w:rPr>
      </w:pPr>
      <w:r>
        <w:rPr>
          <w:rFonts w:eastAsia="仿宋_GB2312"/>
          <w:color w:val="000000"/>
          <w:sz w:val="32"/>
          <w:szCs w:val="32"/>
        </w:rPr>
        <w:t>13.项目支出：指在基本支出之外为完成特定行政任务和事业发展目标所发生的支出。</w:t>
      </w:r>
    </w:p>
    <w:p>
      <w:pPr>
        <w:pStyle w:val="2"/>
        <w:spacing w:before="93"/>
        <w:ind w:firstLine="640" w:firstLineChars="200"/>
        <w:rPr>
          <w:rFonts w:ascii="Times New Roman"/>
        </w:rPr>
      </w:pPr>
      <w:r>
        <w:rPr>
          <w:rFonts w:ascii="Times New Roman"/>
          <w:color w:val="000000"/>
          <w:sz w:val="32"/>
          <w:szCs w:val="32"/>
        </w:rPr>
        <w:t>14.经营支出：指事业单位在专业业务活动及其辅助活动之外开展非独立核算经营活动发生的支出。</w:t>
      </w:r>
    </w:p>
    <w:p>
      <w:pPr>
        <w:spacing w:line="560" w:lineRule="exact"/>
        <w:ind w:firstLine="640" w:firstLineChars="200"/>
        <w:rPr>
          <w:rFonts w:eastAsia="仿宋_GB2312"/>
          <w:sz w:val="32"/>
          <w:szCs w:val="32"/>
        </w:rPr>
      </w:pPr>
      <w:r>
        <w:rPr>
          <w:rFonts w:eastAsia="仿宋_GB2312"/>
          <w:color w:val="000000"/>
          <w:sz w:val="32"/>
          <w:szCs w:val="32"/>
        </w:rPr>
        <w:t>15</w:t>
      </w:r>
      <w:r>
        <w:rPr>
          <w:rFonts w:eastAsia="仿宋_GB2312"/>
          <w:sz w:val="32"/>
          <w:szCs w:val="32"/>
        </w:rPr>
        <w:t>.“三公”经费：指单位用财政拨款安排的因公出国（境）经费、公务用车购置及运行费和公务接待费。其中，因公出国（境）经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0"/>
        <w:rPr>
          <w:rFonts w:eastAsia="仿宋_GB2312"/>
          <w:b/>
          <w:sz w:val="32"/>
          <w:szCs w:val="32"/>
        </w:rPr>
      </w:pPr>
    </w:p>
    <w:p>
      <w:pPr>
        <w:ind w:firstLine="642" w:firstLineChars="200"/>
        <w:rPr>
          <w:rFonts w:eastAsia="仿宋_GB2312"/>
          <w:b/>
          <w:sz w:val="32"/>
          <w:szCs w:val="32"/>
        </w:rPr>
      </w:pPr>
    </w:p>
    <w:p>
      <w:pPr>
        <w:spacing w:line="600" w:lineRule="exact"/>
        <w:jc w:val="center"/>
        <w:outlineLvl w:val="0"/>
        <w:rPr>
          <w:rStyle w:val="25"/>
          <w:rFonts w:eastAsia="黑体"/>
          <w:b w:val="0"/>
        </w:rPr>
      </w:pPr>
      <w:bookmarkStart w:id="106" w:name="_Toc15377226"/>
      <w:r>
        <w:rPr>
          <w:b/>
          <w:sz w:val="44"/>
          <w:szCs w:val="44"/>
        </w:rPr>
        <w:br w:type="page"/>
      </w:r>
    </w:p>
    <w:p>
      <w:pPr>
        <w:pStyle w:val="3"/>
        <w:jc w:val="center"/>
        <w:rPr>
          <w:rStyle w:val="25"/>
          <w:rFonts w:eastAsia="黑体"/>
          <w:b w:val="0"/>
          <w:bCs/>
        </w:rPr>
      </w:pPr>
      <w:bookmarkStart w:id="107" w:name="_Toc114149141"/>
      <w:bookmarkStart w:id="108" w:name="_Toc22660"/>
      <w:r>
        <w:rPr>
          <w:rFonts w:eastAsia="黑体"/>
          <w:b w:val="0"/>
          <w:bCs w:val="0"/>
        </w:rPr>
        <w:t>第</w:t>
      </w:r>
      <w:r>
        <w:rPr>
          <w:rStyle w:val="25"/>
          <w:rFonts w:eastAsia="黑体"/>
          <w:b w:val="0"/>
          <w:bCs/>
        </w:rPr>
        <w:t>四部分 附 件</w:t>
      </w:r>
      <w:bookmarkEnd w:id="107"/>
    </w:p>
    <w:p>
      <w:pPr>
        <w:pStyle w:val="2"/>
        <w:spacing w:before="93"/>
        <w:rPr>
          <w:rFonts w:ascii="Times New Roman"/>
        </w:rPr>
      </w:pPr>
      <w:r>
        <w:rPr>
          <w:rFonts w:ascii="Times New Roman"/>
        </w:rPr>
        <w:drawing>
          <wp:anchor distT="0" distB="0" distL="114300" distR="114300" simplePos="0" relativeHeight="251661312" behindDoc="1" locked="0" layoutInCell="1" allowOverlap="1">
            <wp:simplePos x="0" y="0"/>
            <wp:positionH relativeFrom="column">
              <wp:posOffset>-322580</wp:posOffset>
            </wp:positionH>
            <wp:positionV relativeFrom="page">
              <wp:posOffset>1861185</wp:posOffset>
            </wp:positionV>
            <wp:extent cx="6341745" cy="6544945"/>
            <wp:effectExtent l="0" t="0" r="0" b="0"/>
            <wp:wrapNone/>
            <wp:docPr id="5"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true"/>
                    </pic:cNvPicPr>
                  </pic:nvPicPr>
                  <pic:blipFill>
                    <a:blip r:embed="rId17"/>
                    <a:stretch>
                      <a:fillRect/>
                    </a:stretch>
                  </pic:blipFill>
                  <pic:spPr>
                    <a:xfrm>
                      <a:off x="0" y="0"/>
                      <a:ext cx="6341745" cy="6544945"/>
                    </a:xfrm>
                    <a:prstGeom prst="rect">
                      <a:avLst/>
                    </a:prstGeom>
                    <a:noFill/>
                    <a:ln>
                      <a:noFill/>
                    </a:ln>
                  </pic:spPr>
                </pic:pic>
              </a:graphicData>
            </a:graphic>
          </wp:anchor>
        </w:drawing>
      </w:r>
    </w:p>
    <w:bookmarkEnd w:id="108"/>
    <w:p>
      <w:pPr>
        <w:spacing w:line="572" w:lineRule="exact"/>
        <w:jc w:val="left"/>
        <w:outlineLvl w:val="0"/>
        <w:rPr>
          <w:rFonts w:eastAsia="仿宋_GB2312"/>
          <w:sz w:val="32"/>
          <w:szCs w:val="32"/>
        </w:rPr>
      </w:pPr>
    </w:p>
    <w:p>
      <w:pPr>
        <w:spacing w:line="600" w:lineRule="exact"/>
        <w:jc w:val="center"/>
        <w:rPr>
          <w:rFonts w:eastAsia="黑体"/>
          <w:sz w:val="44"/>
          <w:szCs w:val="44"/>
        </w:rPr>
      </w:pPr>
      <w:bookmarkStart w:id="109" w:name="_Toc15396618"/>
    </w:p>
    <w:p>
      <w:pPr>
        <w:pStyle w:val="2"/>
        <w:spacing w:before="93"/>
        <w:rPr>
          <w:rFonts w:ascii="Times New Roman"/>
        </w:rPr>
      </w:pPr>
    </w:p>
    <w:p>
      <w:pPr>
        <w:widowControl/>
        <w:adjustRightInd w:val="0"/>
        <w:snapToGrid w:val="0"/>
        <w:spacing w:line="580" w:lineRule="exact"/>
        <w:contextualSpacing/>
        <w:jc w:val="left"/>
        <w:rPr>
          <w:rFonts w:eastAsia="仿宋_GB2312"/>
          <w:color w:val="000000"/>
          <w:kern w:val="0"/>
          <w:sz w:val="32"/>
          <w:szCs w:val="32"/>
          <w:shd w:val="clear" w:color="auto" w:fill="FFFFFF"/>
        </w:rPr>
      </w:pPr>
      <w:r>
        <w:drawing>
          <wp:anchor distT="0" distB="0" distL="114300" distR="114300" simplePos="0" relativeHeight="251662336" behindDoc="0" locked="0" layoutInCell="1" allowOverlap="1">
            <wp:simplePos x="0" y="0"/>
            <wp:positionH relativeFrom="column">
              <wp:posOffset>-428625</wp:posOffset>
            </wp:positionH>
            <wp:positionV relativeFrom="page">
              <wp:posOffset>1531620</wp:posOffset>
            </wp:positionV>
            <wp:extent cx="6376670" cy="7640320"/>
            <wp:effectExtent l="0" t="0" r="5080" b="17780"/>
            <wp:wrapTopAndBottom/>
            <wp:docPr id="9"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true"/>
                    </pic:cNvPicPr>
                  </pic:nvPicPr>
                  <pic:blipFill>
                    <a:blip r:embed="rId18"/>
                    <a:stretch>
                      <a:fillRect/>
                    </a:stretch>
                  </pic:blipFill>
                  <pic:spPr>
                    <a:xfrm>
                      <a:off x="0" y="0"/>
                      <a:ext cx="6376670" cy="7640320"/>
                    </a:xfrm>
                    <a:prstGeom prst="rect">
                      <a:avLst/>
                    </a:prstGeom>
                    <a:noFill/>
                    <a:ln>
                      <a:noFill/>
                    </a:ln>
                  </pic:spPr>
                </pic:pic>
              </a:graphicData>
            </a:graphic>
          </wp:anchor>
        </w:drawing>
      </w:r>
    </w:p>
    <w:p>
      <w:pPr>
        <w:widowControl/>
        <w:adjustRightInd w:val="0"/>
        <w:snapToGrid w:val="0"/>
        <w:spacing w:line="580" w:lineRule="exact"/>
        <w:contextualSpacing/>
        <w:jc w:val="left"/>
        <w:rPr>
          <w:rFonts w:eastAsia="仿宋_GB2312"/>
          <w:color w:val="000000"/>
          <w:kern w:val="0"/>
          <w:sz w:val="32"/>
          <w:szCs w:val="32"/>
          <w:shd w:val="clear" w:color="auto" w:fill="FFFFFF"/>
        </w:rPr>
      </w:pPr>
      <w:r>
        <w:drawing>
          <wp:anchor distT="0" distB="0" distL="114300" distR="114300" simplePos="0" relativeHeight="251663360" behindDoc="0" locked="0" layoutInCell="1" allowOverlap="1">
            <wp:simplePos x="0" y="0"/>
            <wp:positionH relativeFrom="margin">
              <wp:align>center</wp:align>
            </wp:positionH>
            <wp:positionV relativeFrom="page">
              <wp:posOffset>707390</wp:posOffset>
            </wp:positionV>
            <wp:extent cx="5562600" cy="8805545"/>
            <wp:effectExtent l="0" t="0" r="0" b="0"/>
            <wp:wrapTopAndBottom/>
            <wp:docPr id="11"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true"/>
                    </pic:cNvPicPr>
                  </pic:nvPicPr>
                  <pic:blipFill>
                    <a:blip r:embed="rId19"/>
                    <a:stretch>
                      <a:fillRect/>
                    </a:stretch>
                  </pic:blipFill>
                  <pic:spPr>
                    <a:xfrm>
                      <a:off x="0" y="0"/>
                      <a:ext cx="5562600" cy="8805545"/>
                    </a:xfrm>
                    <a:prstGeom prst="rect">
                      <a:avLst/>
                    </a:prstGeom>
                    <a:noFill/>
                    <a:ln>
                      <a:noFill/>
                    </a:ln>
                  </pic:spPr>
                </pic:pic>
              </a:graphicData>
            </a:graphic>
          </wp:anchor>
        </w:drawing>
      </w:r>
    </w:p>
    <w:p>
      <w:pPr>
        <w:adjustRightInd w:val="0"/>
        <w:snapToGrid w:val="0"/>
        <w:spacing w:line="600" w:lineRule="exact"/>
        <w:jc w:val="center"/>
        <w:outlineLvl w:val="0"/>
        <w:rPr>
          <w:rStyle w:val="25"/>
          <w:rFonts w:eastAsia="黑体"/>
          <w:b w:val="0"/>
        </w:rPr>
      </w:pPr>
      <w:bookmarkStart w:id="110" w:name="_Toc114149142"/>
      <w:r>
        <w:rPr>
          <w:rFonts w:eastAsia="黑体"/>
          <w:sz w:val="44"/>
          <w:szCs w:val="44"/>
        </w:rPr>
        <w:t>第</w:t>
      </w:r>
      <w:r>
        <w:rPr>
          <w:rStyle w:val="25"/>
          <w:rFonts w:eastAsia="黑体"/>
          <w:b w:val="0"/>
        </w:rPr>
        <w:t>五部分 附表</w:t>
      </w:r>
      <w:bookmarkEnd w:id="106"/>
      <w:bookmarkEnd w:id="109"/>
      <w:bookmarkEnd w:id="110"/>
      <w:bookmarkStart w:id="111" w:name="_Toc15396619"/>
    </w:p>
    <w:p>
      <w:pPr>
        <w:pStyle w:val="2"/>
        <w:spacing w:before="93"/>
        <w:rPr>
          <w:rFonts w:hint="eastAsia"/>
        </w:rPr>
      </w:pPr>
    </w:p>
    <w:p>
      <w:pPr>
        <w:pStyle w:val="4"/>
        <w:adjustRightInd w:val="0"/>
        <w:snapToGrid w:val="0"/>
        <w:spacing w:before="0" w:after="0"/>
        <w:rPr>
          <w:rFonts w:ascii="Times New Roman" w:hAnsi="Times New Roman" w:eastAsia="仿宋_GB2312" w:cs="Times New Roman"/>
        </w:rPr>
      </w:pPr>
      <w:bookmarkStart w:id="112" w:name="_Toc114149143"/>
      <w:r>
        <w:rPr>
          <w:rFonts w:ascii="Times New Roman" w:hAnsi="Times New Roman" w:eastAsia="仿宋_GB2312" w:cs="Times New Roman"/>
          <w:b w:val="0"/>
        </w:rPr>
        <w:t>一、收</w:t>
      </w:r>
      <w:r>
        <w:rPr>
          <w:rStyle w:val="26"/>
          <w:rFonts w:ascii="Times New Roman" w:hAnsi="Times New Roman" w:eastAsia="仿宋_GB2312" w:cs="Times New Roman"/>
          <w:b w:val="0"/>
          <w:bCs w:val="0"/>
        </w:rPr>
        <w:t>入支出决算总表</w:t>
      </w:r>
      <w:bookmarkEnd w:id="111"/>
      <w:bookmarkEnd w:id="112"/>
    </w:p>
    <w:p>
      <w:pPr>
        <w:pStyle w:val="4"/>
        <w:adjustRightInd w:val="0"/>
        <w:snapToGrid w:val="0"/>
        <w:spacing w:before="0" w:after="0"/>
        <w:rPr>
          <w:rFonts w:ascii="Times New Roman" w:hAnsi="Times New Roman" w:eastAsia="仿宋_GB2312" w:cs="Times New Roman"/>
        </w:rPr>
      </w:pPr>
      <w:bookmarkStart w:id="113" w:name="_Toc15396620"/>
      <w:bookmarkStart w:id="114" w:name="_Toc114149144"/>
      <w:r>
        <w:rPr>
          <w:rFonts w:ascii="Times New Roman" w:hAnsi="Times New Roman" w:eastAsia="仿宋_GB2312" w:cs="Times New Roman"/>
          <w:b w:val="0"/>
        </w:rPr>
        <w:t>二、收</w:t>
      </w:r>
      <w:r>
        <w:rPr>
          <w:rStyle w:val="26"/>
          <w:rFonts w:ascii="Times New Roman" w:hAnsi="Times New Roman" w:eastAsia="仿宋_GB2312" w:cs="Times New Roman"/>
          <w:b w:val="0"/>
          <w:bCs w:val="0"/>
        </w:rPr>
        <w:t>入决算表</w:t>
      </w:r>
      <w:bookmarkEnd w:id="113"/>
      <w:bookmarkEnd w:id="114"/>
    </w:p>
    <w:p>
      <w:pPr>
        <w:pStyle w:val="4"/>
        <w:adjustRightInd w:val="0"/>
        <w:snapToGrid w:val="0"/>
        <w:spacing w:before="0" w:after="0"/>
        <w:rPr>
          <w:rFonts w:ascii="Times New Roman" w:hAnsi="Times New Roman" w:eastAsia="仿宋_GB2312" w:cs="Times New Roman"/>
        </w:rPr>
      </w:pPr>
      <w:bookmarkStart w:id="115" w:name="_Toc15396621"/>
      <w:bookmarkStart w:id="116" w:name="_Toc114149145"/>
      <w:r>
        <w:rPr>
          <w:rStyle w:val="26"/>
          <w:rFonts w:ascii="Times New Roman" w:hAnsi="Times New Roman" w:eastAsia="仿宋_GB2312" w:cs="Times New Roman"/>
          <w:b w:val="0"/>
          <w:bCs w:val="0"/>
        </w:rPr>
        <w:t>三、</w:t>
      </w:r>
      <w:r>
        <w:rPr>
          <w:rFonts w:ascii="Times New Roman" w:hAnsi="Times New Roman" w:eastAsia="仿宋_GB2312" w:cs="Times New Roman"/>
          <w:b w:val="0"/>
        </w:rPr>
        <w:t>支</w:t>
      </w:r>
      <w:r>
        <w:rPr>
          <w:rStyle w:val="26"/>
          <w:rFonts w:ascii="Times New Roman" w:hAnsi="Times New Roman" w:eastAsia="仿宋_GB2312" w:cs="Times New Roman"/>
          <w:b w:val="0"/>
          <w:bCs w:val="0"/>
        </w:rPr>
        <w:t>出决算表</w:t>
      </w:r>
      <w:bookmarkEnd w:id="115"/>
      <w:bookmarkEnd w:id="116"/>
    </w:p>
    <w:p>
      <w:pPr>
        <w:pStyle w:val="4"/>
        <w:adjustRightInd w:val="0"/>
        <w:snapToGrid w:val="0"/>
        <w:spacing w:before="0" w:after="0"/>
        <w:rPr>
          <w:rFonts w:ascii="Times New Roman" w:hAnsi="Times New Roman" w:eastAsia="仿宋_GB2312" w:cs="Times New Roman"/>
          <w:b w:val="0"/>
        </w:rPr>
      </w:pPr>
      <w:bookmarkStart w:id="117" w:name="_Toc114149146"/>
      <w:bookmarkStart w:id="118" w:name="_Toc15396622"/>
      <w:r>
        <w:rPr>
          <w:rStyle w:val="26"/>
          <w:rFonts w:ascii="Times New Roman" w:hAnsi="Times New Roman" w:eastAsia="仿宋_GB2312" w:cs="Times New Roman"/>
          <w:b w:val="0"/>
          <w:bCs w:val="0"/>
        </w:rPr>
        <w:t>四、</w:t>
      </w:r>
      <w:r>
        <w:rPr>
          <w:rFonts w:ascii="Times New Roman" w:hAnsi="Times New Roman" w:eastAsia="仿宋_GB2312" w:cs="Times New Roman"/>
          <w:b w:val="0"/>
        </w:rPr>
        <w:t>财</w:t>
      </w:r>
      <w:r>
        <w:rPr>
          <w:rStyle w:val="26"/>
          <w:rFonts w:ascii="Times New Roman" w:hAnsi="Times New Roman" w:eastAsia="仿宋_GB2312" w:cs="Times New Roman"/>
          <w:b w:val="0"/>
          <w:bCs w:val="0"/>
        </w:rPr>
        <w:t>政拨款收入支出决算总表</w:t>
      </w:r>
      <w:bookmarkEnd w:id="117"/>
      <w:bookmarkEnd w:id="118"/>
    </w:p>
    <w:p>
      <w:pPr>
        <w:pStyle w:val="4"/>
        <w:adjustRightInd w:val="0"/>
        <w:snapToGrid w:val="0"/>
        <w:spacing w:before="0" w:after="0"/>
        <w:rPr>
          <w:rStyle w:val="26"/>
          <w:rFonts w:ascii="Times New Roman" w:hAnsi="Times New Roman" w:eastAsia="仿宋_GB2312" w:cs="Times New Roman"/>
          <w:b w:val="0"/>
          <w:bCs w:val="0"/>
        </w:rPr>
      </w:pPr>
      <w:bookmarkStart w:id="119" w:name="_Toc114149147"/>
      <w:bookmarkStart w:id="120" w:name="_Toc15396623"/>
      <w:r>
        <w:rPr>
          <w:rStyle w:val="26"/>
          <w:rFonts w:ascii="Times New Roman" w:hAnsi="Times New Roman" w:eastAsia="仿宋_GB2312" w:cs="Times New Roman"/>
          <w:b w:val="0"/>
          <w:bCs w:val="0"/>
        </w:rPr>
        <w:t>五、</w:t>
      </w:r>
      <w:r>
        <w:rPr>
          <w:rFonts w:ascii="Times New Roman" w:hAnsi="Times New Roman" w:eastAsia="仿宋_GB2312" w:cs="Times New Roman"/>
          <w:b w:val="0"/>
        </w:rPr>
        <w:t>财</w:t>
      </w:r>
      <w:r>
        <w:rPr>
          <w:rStyle w:val="26"/>
          <w:rFonts w:ascii="Times New Roman" w:hAnsi="Times New Roman" w:eastAsia="仿宋_GB2312" w:cs="Times New Roman"/>
          <w:b w:val="0"/>
          <w:bCs w:val="0"/>
        </w:rPr>
        <w:t>政拨款支出决算明细表</w:t>
      </w:r>
      <w:bookmarkEnd w:id="119"/>
      <w:bookmarkEnd w:id="120"/>
      <w:bookmarkStart w:id="121" w:name="_Toc15396624"/>
    </w:p>
    <w:p>
      <w:pPr>
        <w:pStyle w:val="4"/>
        <w:adjustRightInd w:val="0"/>
        <w:snapToGrid w:val="0"/>
        <w:spacing w:before="0" w:after="0"/>
        <w:rPr>
          <w:rFonts w:ascii="Times New Roman" w:hAnsi="Times New Roman" w:eastAsia="仿宋_GB2312" w:cs="Times New Roman"/>
        </w:rPr>
      </w:pPr>
      <w:bookmarkStart w:id="122" w:name="_Toc114149148"/>
      <w:r>
        <w:rPr>
          <w:rStyle w:val="26"/>
          <w:rFonts w:ascii="Times New Roman" w:hAnsi="Times New Roman" w:eastAsia="仿宋_GB2312" w:cs="Times New Roman"/>
          <w:b w:val="0"/>
          <w:bCs w:val="0"/>
        </w:rPr>
        <w:t>六、</w:t>
      </w:r>
      <w:r>
        <w:rPr>
          <w:rFonts w:ascii="Times New Roman" w:hAnsi="Times New Roman" w:eastAsia="仿宋_GB2312" w:cs="Times New Roman"/>
          <w:b w:val="0"/>
        </w:rPr>
        <w:t>一</w:t>
      </w:r>
      <w:r>
        <w:rPr>
          <w:rStyle w:val="26"/>
          <w:rFonts w:ascii="Times New Roman" w:hAnsi="Times New Roman" w:eastAsia="仿宋_GB2312" w:cs="Times New Roman"/>
          <w:b w:val="0"/>
          <w:bCs w:val="0"/>
        </w:rPr>
        <w:t>般公共预算财政拨款支出决算表</w:t>
      </w:r>
      <w:bookmarkEnd w:id="121"/>
      <w:bookmarkEnd w:id="122"/>
    </w:p>
    <w:p>
      <w:pPr>
        <w:pStyle w:val="4"/>
        <w:adjustRightInd w:val="0"/>
        <w:snapToGrid w:val="0"/>
        <w:spacing w:before="0" w:after="0"/>
        <w:rPr>
          <w:rFonts w:ascii="Times New Roman" w:hAnsi="Times New Roman" w:eastAsia="仿宋_GB2312" w:cs="Times New Roman"/>
        </w:rPr>
      </w:pPr>
      <w:bookmarkStart w:id="123" w:name="_Toc15396625"/>
      <w:bookmarkStart w:id="124" w:name="_Toc114149149"/>
      <w:r>
        <w:rPr>
          <w:rStyle w:val="26"/>
          <w:rFonts w:ascii="Times New Roman" w:hAnsi="Times New Roman" w:eastAsia="仿宋_GB2312" w:cs="Times New Roman"/>
          <w:b w:val="0"/>
          <w:bCs w:val="0"/>
        </w:rPr>
        <w:t>七、</w:t>
      </w:r>
      <w:r>
        <w:rPr>
          <w:rFonts w:ascii="Times New Roman" w:hAnsi="Times New Roman" w:eastAsia="仿宋_GB2312" w:cs="Times New Roman"/>
          <w:b w:val="0"/>
        </w:rPr>
        <w:t>一</w:t>
      </w:r>
      <w:r>
        <w:rPr>
          <w:rStyle w:val="26"/>
          <w:rFonts w:ascii="Times New Roman" w:hAnsi="Times New Roman" w:eastAsia="仿宋_GB2312" w:cs="Times New Roman"/>
          <w:b w:val="0"/>
          <w:bCs w:val="0"/>
        </w:rPr>
        <w:t>般公共预算财政拨款支出决算明细表</w:t>
      </w:r>
      <w:bookmarkEnd w:id="123"/>
      <w:bookmarkEnd w:id="124"/>
    </w:p>
    <w:p>
      <w:pPr>
        <w:pStyle w:val="4"/>
        <w:adjustRightInd w:val="0"/>
        <w:snapToGrid w:val="0"/>
        <w:spacing w:before="0" w:after="0"/>
        <w:rPr>
          <w:rFonts w:ascii="Times New Roman" w:hAnsi="Times New Roman" w:eastAsia="仿宋_GB2312" w:cs="Times New Roman"/>
        </w:rPr>
      </w:pPr>
      <w:bookmarkStart w:id="125" w:name="_Toc114149150"/>
      <w:bookmarkStart w:id="126" w:name="_Toc15396626"/>
      <w:r>
        <w:rPr>
          <w:rStyle w:val="26"/>
          <w:rFonts w:ascii="Times New Roman" w:hAnsi="Times New Roman" w:eastAsia="仿宋_GB2312" w:cs="Times New Roman"/>
          <w:b w:val="0"/>
          <w:bCs w:val="0"/>
        </w:rPr>
        <w:t>八、</w:t>
      </w:r>
      <w:r>
        <w:rPr>
          <w:rFonts w:ascii="Times New Roman" w:hAnsi="Times New Roman" w:eastAsia="仿宋_GB2312" w:cs="Times New Roman"/>
          <w:b w:val="0"/>
        </w:rPr>
        <w:t>一</w:t>
      </w:r>
      <w:r>
        <w:rPr>
          <w:rStyle w:val="26"/>
          <w:rFonts w:ascii="Times New Roman" w:hAnsi="Times New Roman" w:eastAsia="仿宋_GB2312" w:cs="Times New Roman"/>
          <w:b w:val="0"/>
          <w:bCs w:val="0"/>
        </w:rPr>
        <w:t>般公共预算财政拨款基本支出决算表</w:t>
      </w:r>
      <w:bookmarkEnd w:id="125"/>
      <w:bookmarkEnd w:id="126"/>
    </w:p>
    <w:p>
      <w:pPr>
        <w:pStyle w:val="4"/>
        <w:adjustRightInd w:val="0"/>
        <w:snapToGrid w:val="0"/>
        <w:spacing w:before="0" w:after="0"/>
        <w:rPr>
          <w:rFonts w:ascii="Times New Roman" w:hAnsi="Times New Roman" w:eastAsia="仿宋_GB2312" w:cs="Times New Roman"/>
        </w:rPr>
      </w:pPr>
      <w:bookmarkStart w:id="127" w:name="_Toc114149151"/>
      <w:bookmarkStart w:id="128" w:name="_Toc15396627"/>
      <w:r>
        <w:rPr>
          <w:rStyle w:val="26"/>
          <w:rFonts w:ascii="Times New Roman" w:hAnsi="Times New Roman" w:eastAsia="仿宋_GB2312" w:cs="Times New Roman"/>
          <w:b w:val="0"/>
          <w:bCs w:val="0"/>
        </w:rPr>
        <w:t>九、</w:t>
      </w:r>
      <w:r>
        <w:rPr>
          <w:rFonts w:ascii="Times New Roman" w:hAnsi="Times New Roman" w:eastAsia="仿宋_GB2312" w:cs="Times New Roman"/>
          <w:b w:val="0"/>
        </w:rPr>
        <w:t>一</w:t>
      </w:r>
      <w:r>
        <w:rPr>
          <w:rStyle w:val="26"/>
          <w:rFonts w:ascii="Times New Roman" w:hAnsi="Times New Roman" w:eastAsia="仿宋_GB2312" w:cs="Times New Roman"/>
          <w:b w:val="0"/>
          <w:bCs w:val="0"/>
        </w:rPr>
        <w:t>般公共预算财政拨款项目支出决算表</w:t>
      </w:r>
      <w:bookmarkEnd w:id="127"/>
      <w:bookmarkEnd w:id="128"/>
    </w:p>
    <w:p>
      <w:pPr>
        <w:pStyle w:val="4"/>
        <w:adjustRightInd w:val="0"/>
        <w:snapToGrid w:val="0"/>
        <w:spacing w:before="0" w:after="0"/>
        <w:rPr>
          <w:rFonts w:ascii="Times New Roman" w:hAnsi="Times New Roman" w:eastAsia="仿宋_GB2312" w:cs="Times New Roman"/>
        </w:rPr>
      </w:pPr>
      <w:bookmarkStart w:id="129" w:name="_Toc15396628"/>
      <w:bookmarkStart w:id="130" w:name="_Toc114149152"/>
      <w:r>
        <w:rPr>
          <w:rStyle w:val="26"/>
          <w:rFonts w:ascii="Times New Roman" w:hAnsi="Times New Roman" w:eastAsia="仿宋_GB2312" w:cs="Times New Roman"/>
          <w:b w:val="0"/>
          <w:bCs w:val="0"/>
        </w:rPr>
        <w:t>十、</w:t>
      </w:r>
      <w:r>
        <w:rPr>
          <w:rFonts w:ascii="Times New Roman" w:hAnsi="Times New Roman" w:eastAsia="仿宋_GB2312" w:cs="Times New Roman"/>
          <w:b w:val="0"/>
        </w:rPr>
        <w:t>一</w:t>
      </w:r>
      <w:r>
        <w:rPr>
          <w:rStyle w:val="26"/>
          <w:rFonts w:ascii="Times New Roman" w:hAnsi="Times New Roman" w:eastAsia="仿宋_GB2312" w:cs="Times New Roman"/>
          <w:b w:val="0"/>
          <w:bCs w:val="0"/>
        </w:rPr>
        <w:t>般公共预算财政拨款“三公”经费支出决算表</w:t>
      </w:r>
      <w:bookmarkEnd w:id="129"/>
      <w:bookmarkEnd w:id="130"/>
    </w:p>
    <w:p>
      <w:pPr>
        <w:pStyle w:val="4"/>
        <w:adjustRightInd w:val="0"/>
        <w:snapToGrid w:val="0"/>
        <w:spacing w:before="0" w:after="0"/>
        <w:rPr>
          <w:rFonts w:ascii="Times New Roman" w:hAnsi="Times New Roman" w:eastAsia="仿宋_GB2312" w:cs="Times New Roman"/>
        </w:rPr>
      </w:pPr>
      <w:bookmarkStart w:id="131" w:name="_Toc114149153"/>
      <w:bookmarkStart w:id="132" w:name="_Toc15396629"/>
      <w:r>
        <w:rPr>
          <w:rStyle w:val="26"/>
          <w:rFonts w:ascii="Times New Roman" w:hAnsi="Times New Roman" w:eastAsia="仿宋_GB2312" w:cs="Times New Roman"/>
          <w:b w:val="0"/>
          <w:bCs w:val="0"/>
        </w:rPr>
        <w:t>十一、</w:t>
      </w:r>
      <w:r>
        <w:rPr>
          <w:rFonts w:ascii="Times New Roman" w:hAnsi="Times New Roman" w:eastAsia="仿宋_GB2312" w:cs="Times New Roman"/>
          <w:b w:val="0"/>
        </w:rPr>
        <w:t>政</w:t>
      </w:r>
      <w:r>
        <w:rPr>
          <w:rStyle w:val="26"/>
          <w:rFonts w:ascii="Times New Roman" w:hAnsi="Times New Roman" w:eastAsia="仿宋_GB2312" w:cs="Times New Roman"/>
          <w:b w:val="0"/>
          <w:bCs w:val="0"/>
        </w:rPr>
        <w:t>府性基金预算财政拨款收入支出决算表</w:t>
      </w:r>
      <w:bookmarkEnd w:id="131"/>
      <w:bookmarkEnd w:id="132"/>
    </w:p>
    <w:p>
      <w:pPr>
        <w:pStyle w:val="4"/>
        <w:adjustRightInd w:val="0"/>
        <w:snapToGrid w:val="0"/>
        <w:spacing w:before="0" w:after="0"/>
        <w:rPr>
          <w:rFonts w:ascii="Times New Roman" w:hAnsi="Times New Roman" w:eastAsia="仿宋_GB2312" w:cs="Times New Roman"/>
        </w:rPr>
      </w:pPr>
      <w:bookmarkStart w:id="133" w:name="_Toc15396630"/>
      <w:bookmarkStart w:id="134" w:name="_Toc114149154"/>
      <w:r>
        <w:rPr>
          <w:rStyle w:val="26"/>
          <w:rFonts w:ascii="Times New Roman" w:hAnsi="Times New Roman" w:eastAsia="仿宋_GB2312" w:cs="Times New Roman"/>
          <w:b w:val="0"/>
          <w:bCs w:val="0"/>
        </w:rPr>
        <w:t>十二、</w:t>
      </w:r>
      <w:r>
        <w:rPr>
          <w:rFonts w:ascii="Times New Roman" w:hAnsi="Times New Roman" w:eastAsia="仿宋_GB2312" w:cs="Times New Roman"/>
          <w:b w:val="0"/>
        </w:rPr>
        <w:t>政</w:t>
      </w:r>
      <w:r>
        <w:rPr>
          <w:rStyle w:val="26"/>
          <w:rFonts w:ascii="Times New Roman" w:hAnsi="Times New Roman" w:eastAsia="仿宋_GB2312" w:cs="Times New Roman"/>
          <w:b w:val="0"/>
          <w:bCs w:val="0"/>
        </w:rPr>
        <w:t>府性基金预算财政拨款“三公”经费支出决算表</w:t>
      </w:r>
      <w:bookmarkEnd w:id="133"/>
      <w:bookmarkEnd w:id="134"/>
    </w:p>
    <w:p>
      <w:pPr>
        <w:pStyle w:val="4"/>
        <w:adjustRightInd w:val="0"/>
        <w:snapToGrid w:val="0"/>
        <w:spacing w:before="0" w:after="0"/>
        <w:rPr>
          <w:rStyle w:val="26"/>
          <w:rFonts w:ascii="Times New Roman" w:hAnsi="Times New Roman" w:eastAsia="仿宋_GB2312" w:cs="Times New Roman"/>
          <w:b w:val="0"/>
          <w:bCs w:val="0"/>
        </w:rPr>
      </w:pPr>
      <w:bookmarkStart w:id="135" w:name="_Toc114149155"/>
      <w:bookmarkStart w:id="136" w:name="_Toc15396631"/>
      <w:r>
        <w:rPr>
          <w:rStyle w:val="26"/>
          <w:rFonts w:ascii="Times New Roman" w:hAnsi="Times New Roman" w:eastAsia="仿宋_GB2312" w:cs="Times New Roman"/>
          <w:b w:val="0"/>
          <w:bCs w:val="0"/>
        </w:rPr>
        <w:t>十三、</w:t>
      </w:r>
      <w:r>
        <w:rPr>
          <w:rFonts w:ascii="Times New Roman" w:hAnsi="Times New Roman" w:eastAsia="仿宋_GB2312" w:cs="Times New Roman"/>
          <w:b w:val="0"/>
        </w:rPr>
        <w:t>国</w:t>
      </w:r>
      <w:r>
        <w:rPr>
          <w:rStyle w:val="26"/>
          <w:rFonts w:ascii="Times New Roman" w:hAnsi="Times New Roman" w:eastAsia="仿宋_GB2312" w:cs="Times New Roman"/>
          <w:b w:val="0"/>
          <w:bCs w:val="0"/>
        </w:rPr>
        <w:t>有资本经营预算财政拨款收入支出决算表</w:t>
      </w:r>
      <w:bookmarkEnd w:id="135"/>
      <w:bookmarkEnd w:id="136"/>
    </w:p>
    <w:p>
      <w:pPr>
        <w:adjustRightInd w:val="0"/>
        <w:snapToGrid w:val="0"/>
        <w:rPr>
          <w:rFonts w:eastAsia="仿宋_GB2312"/>
        </w:rPr>
      </w:pPr>
      <w:r>
        <w:rPr>
          <w:rStyle w:val="26"/>
          <w:rFonts w:ascii="Times New Roman" w:hAnsi="Times New Roman" w:eastAsia="仿宋_GB2312" w:cs="Times New Roman"/>
          <w:b w:val="0"/>
          <w:bCs w:val="0"/>
        </w:rPr>
        <w:t>十四、国有资本经营预算财政拨款支出决算表</w:t>
      </w:r>
    </w:p>
    <w:sectPr>
      <w:footerReference r:id="rId8" w:type="first"/>
      <w:footerReference r:id="rId7" w:type="default"/>
      <w:pgSz w:w="11906" w:h="16838"/>
      <w:pgMar w:top="2098" w:right="1474" w:bottom="1985" w:left="1588" w:header="851" w:footer="1418"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Theme="minorEastAsia" w:hAnsiTheme="minorEastAsia" w:eastAsiaTheme="minorEastAsia"/>
        <w:sz w:val="28"/>
        <w:szCs w:val="28"/>
      </w:rPr>
    </w:pPr>
    <w:r>
      <w:rPr>
        <w:rFonts w:hint="eastAsia" w:asciiTheme="minorEastAsia" w:hAnsiTheme="minorEastAsia" w:eastAsiaTheme="minorEastAsia"/>
        <w:sz w:val="28"/>
        <w:szCs w:val="28"/>
      </w:rPr>
      <w:t>—</w:t>
    </w:r>
    <w:sdt>
      <w:sdtPr>
        <w:rPr>
          <w:rFonts w:asciiTheme="minorEastAsia" w:hAnsiTheme="minorEastAsia" w:eastAsiaTheme="minorEastAsia"/>
          <w:sz w:val="28"/>
          <w:szCs w:val="28"/>
        </w:rPr>
        <w:id w:val="1546260099"/>
        <w:docPartObj>
          <w:docPartGallery w:val="autotext"/>
        </w:docPartObj>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true">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PE3tlayAQAAUgMAAA4AAAAAAAAAAQAgAAAANAEAAGRycy9lMm9Eb2Mu&#10;eG1sUEsFBgAAAAAGAAYAWQEAAFgFAAAAAA==&#10;">
              <v:fill on="f" focussize="0,0"/>
              <v:stroke on="f"/>
              <v:imagedata o:title=""/>
              <o:lock v:ext="edit" aspectratio="f"/>
              <v:textbox inset="0mm,0mm,0mm,0mm" style="mso-fit-shape-to-text:t;">
                <w:txbxContent>
                  <w:p>
                    <w:pPr>
                      <w:pStyle w:val="9"/>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iYmI3MjhjZDg5MmExZWRiNTk2ZTI5NTljMzJiM2YifQ=="/>
  </w:docVars>
  <w:rsids>
    <w:rsidRoot w:val="00F1361C"/>
    <w:rsid w:val="00000F6A"/>
    <w:rsid w:val="000222C6"/>
    <w:rsid w:val="00022CE5"/>
    <w:rsid w:val="0002549F"/>
    <w:rsid w:val="00027FCB"/>
    <w:rsid w:val="000432F3"/>
    <w:rsid w:val="000468DB"/>
    <w:rsid w:val="0006487A"/>
    <w:rsid w:val="00065F8F"/>
    <w:rsid w:val="00070A43"/>
    <w:rsid w:val="000768F2"/>
    <w:rsid w:val="00080CEC"/>
    <w:rsid w:val="0009184B"/>
    <w:rsid w:val="00094236"/>
    <w:rsid w:val="0009593C"/>
    <w:rsid w:val="00097322"/>
    <w:rsid w:val="000A212F"/>
    <w:rsid w:val="000A6A92"/>
    <w:rsid w:val="000B047F"/>
    <w:rsid w:val="000B1321"/>
    <w:rsid w:val="000B5923"/>
    <w:rsid w:val="000B5A48"/>
    <w:rsid w:val="000B6FF3"/>
    <w:rsid w:val="000C3467"/>
    <w:rsid w:val="000C3CA6"/>
    <w:rsid w:val="000D1267"/>
    <w:rsid w:val="000D1D50"/>
    <w:rsid w:val="000D5782"/>
    <w:rsid w:val="000E1D11"/>
    <w:rsid w:val="000E3FD9"/>
    <w:rsid w:val="000E6613"/>
    <w:rsid w:val="000E7119"/>
    <w:rsid w:val="000F6BA2"/>
    <w:rsid w:val="00114E9B"/>
    <w:rsid w:val="00142216"/>
    <w:rsid w:val="00144D6A"/>
    <w:rsid w:val="0014729F"/>
    <w:rsid w:val="00157BAB"/>
    <w:rsid w:val="001654D1"/>
    <w:rsid w:val="00174518"/>
    <w:rsid w:val="00180BE5"/>
    <w:rsid w:val="0018106D"/>
    <w:rsid w:val="001877A7"/>
    <w:rsid w:val="00191536"/>
    <w:rsid w:val="00196687"/>
    <w:rsid w:val="001C0962"/>
    <w:rsid w:val="001D7531"/>
    <w:rsid w:val="001E737D"/>
    <w:rsid w:val="001E785F"/>
    <w:rsid w:val="001F0592"/>
    <w:rsid w:val="001F7506"/>
    <w:rsid w:val="002006CD"/>
    <w:rsid w:val="00202B36"/>
    <w:rsid w:val="00204B7A"/>
    <w:rsid w:val="00204CDE"/>
    <w:rsid w:val="0021101A"/>
    <w:rsid w:val="00220536"/>
    <w:rsid w:val="00223ED0"/>
    <w:rsid w:val="00235629"/>
    <w:rsid w:val="00260C38"/>
    <w:rsid w:val="002616C0"/>
    <w:rsid w:val="00265372"/>
    <w:rsid w:val="002662AA"/>
    <w:rsid w:val="00280496"/>
    <w:rsid w:val="0028611D"/>
    <w:rsid w:val="00294DC9"/>
    <w:rsid w:val="00295495"/>
    <w:rsid w:val="002A31DE"/>
    <w:rsid w:val="002B2613"/>
    <w:rsid w:val="002D1FDB"/>
    <w:rsid w:val="002D6D05"/>
    <w:rsid w:val="002F1818"/>
    <w:rsid w:val="002F567B"/>
    <w:rsid w:val="00316FC4"/>
    <w:rsid w:val="003216A9"/>
    <w:rsid w:val="00335A74"/>
    <w:rsid w:val="00351D3E"/>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065C3"/>
    <w:rsid w:val="00407AE3"/>
    <w:rsid w:val="004223DE"/>
    <w:rsid w:val="00434489"/>
    <w:rsid w:val="00437085"/>
    <w:rsid w:val="00443880"/>
    <w:rsid w:val="00443DED"/>
    <w:rsid w:val="004464F4"/>
    <w:rsid w:val="00471401"/>
    <w:rsid w:val="00471A22"/>
    <w:rsid w:val="00473F31"/>
    <w:rsid w:val="0048263A"/>
    <w:rsid w:val="00487E5D"/>
    <w:rsid w:val="004A711F"/>
    <w:rsid w:val="004B199D"/>
    <w:rsid w:val="004B4690"/>
    <w:rsid w:val="004E0A2D"/>
    <w:rsid w:val="004E206B"/>
    <w:rsid w:val="004E6DF7"/>
    <w:rsid w:val="004F0F86"/>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E187D"/>
    <w:rsid w:val="005F1A4C"/>
    <w:rsid w:val="005F446E"/>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76985"/>
    <w:rsid w:val="00681A31"/>
    <w:rsid w:val="00683E73"/>
    <w:rsid w:val="006A3141"/>
    <w:rsid w:val="006A5E34"/>
    <w:rsid w:val="006B2422"/>
    <w:rsid w:val="006B2B9A"/>
    <w:rsid w:val="006C1937"/>
    <w:rsid w:val="006F020C"/>
    <w:rsid w:val="006F1C79"/>
    <w:rsid w:val="00705A91"/>
    <w:rsid w:val="007127B7"/>
    <w:rsid w:val="0071798E"/>
    <w:rsid w:val="007343F7"/>
    <w:rsid w:val="007416B6"/>
    <w:rsid w:val="00746F48"/>
    <w:rsid w:val="0075404D"/>
    <w:rsid w:val="00756851"/>
    <w:rsid w:val="0076182A"/>
    <w:rsid w:val="00767B7E"/>
    <w:rsid w:val="007770C3"/>
    <w:rsid w:val="00784D24"/>
    <w:rsid w:val="00785FBA"/>
    <w:rsid w:val="00786E4A"/>
    <w:rsid w:val="007875EB"/>
    <w:rsid w:val="0079426B"/>
    <w:rsid w:val="007A1645"/>
    <w:rsid w:val="007B5525"/>
    <w:rsid w:val="007C235B"/>
    <w:rsid w:val="007D1682"/>
    <w:rsid w:val="007D312A"/>
    <w:rsid w:val="007D3F19"/>
    <w:rsid w:val="007E23B0"/>
    <w:rsid w:val="007E23E5"/>
    <w:rsid w:val="007F1991"/>
    <w:rsid w:val="007F2C2F"/>
    <w:rsid w:val="007F3A31"/>
    <w:rsid w:val="007F55FC"/>
    <w:rsid w:val="007F5665"/>
    <w:rsid w:val="007F6F77"/>
    <w:rsid w:val="00800112"/>
    <w:rsid w:val="00813348"/>
    <w:rsid w:val="008253BB"/>
    <w:rsid w:val="0083706E"/>
    <w:rsid w:val="008408F6"/>
    <w:rsid w:val="008423A5"/>
    <w:rsid w:val="00850625"/>
    <w:rsid w:val="00853718"/>
    <w:rsid w:val="00855221"/>
    <w:rsid w:val="00860645"/>
    <w:rsid w:val="008627AA"/>
    <w:rsid w:val="00865EBD"/>
    <w:rsid w:val="00871F71"/>
    <w:rsid w:val="00872FD8"/>
    <w:rsid w:val="00885AF4"/>
    <w:rsid w:val="008939CD"/>
    <w:rsid w:val="008B768C"/>
    <w:rsid w:val="008C4DB1"/>
    <w:rsid w:val="008C4EAF"/>
    <w:rsid w:val="008C5176"/>
    <w:rsid w:val="008C7FD0"/>
    <w:rsid w:val="008E1DE7"/>
    <w:rsid w:val="008E707C"/>
    <w:rsid w:val="008F22F8"/>
    <w:rsid w:val="00900B08"/>
    <w:rsid w:val="00902155"/>
    <w:rsid w:val="00902FA3"/>
    <w:rsid w:val="00923564"/>
    <w:rsid w:val="0092392E"/>
    <w:rsid w:val="009315F9"/>
    <w:rsid w:val="00933499"/>
    <w:rsid w:val="00935C98"/>
    <w:rsid w:val="009362FE"/>
    <w:rsid w:val="00946945"/>
    <w:rsid w:val="00951248"/>
    <w:rsid w:val="0095152F"/>
    <w:rsid w:val="00953F22"/>
    <w:rsid w:val="00954C49"/>
    <w:rsid w:val="00955E37"/>
    <w:rsid w:val="00965DC9"/>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543D"/>
    <w:rsid w:val="00A268C4"/>
    <w:rsid w:val="00A307CD"/>
    <w:rsid w:val="00A30919"/>
    <w:rsid w:val="00A331C8"/>
    <w:rsid w:val="00A40A00"/>
    <w:rsid w:val="00A4142F"/>
    <w:rsid w:val="00A422EB"/>
    <w:rsid w:val="00A45BB7"/>
    <w:rsid w:val="00A56DF2"/>
    <w:rsid w:val="00A56E6E"/>
    <w:rsid w:val="00A67AB5"/>
    <w:rsid w:val="00A733B2"/>
    <w:rsid w:val="00A741C2"/>
    <w:rsid w:val="00A91760"/>
    <w:rsid w:val="00A93B00"/>
    <w:rsid w:val="00A93C21"/>
    <w:rsid w:val="00AB4F29"/>
    <w:rsid w:val="00AB64C9"/>
    <w:rsid w:val="00AC3C6A"/>
    <w:rsid w:val="00AD5620"/>
    <w:rsid w:val="00AD656B"/>
    <w:rsid w:val="00AD7C1B"/>
    <w:rsid w:val="00AE16BA"/>
    <w:rsid w:val="00AE1EBE"/>
    <w:rsid w:val="00B03C9D"/>
    <w:rsid w:val="00B060AE"/>
    <w:rsid w:val="00B072C8"/>
    <w:rsid w:val="00B103C4"/>
    <w:rsid w:val="00B10517"/>
    <w:rsid w:val="00B14E76"/>
    <w:rsid w:val="00B161B8"/>
    <w:rsid w:val="00B2048C"/>
    <w:rsid w:val="00B30606"/>
    <w:rsid w:val="00B310B9"/>
    <w:rsid w:val="00B35F3F"/>
    <w:rsid w:val="00B36CBB"/>
    <w:rsid w:val="00B425E0"/>
    <w:rsid w:val="00B440AA"/>
    <w:rsid w:val="00B44B70"/>
    <w:rsid w:val="00B46F52"/>
    <w:rsid w:val="00B53C56"/>
    <w:rsid w:val="00B57DAF"/>
    <w:rsid w:val="00B754CB"/>
    <w:rsid w:val="00B77EA6"/>
    <w:rsid w:val="00B81598"/>
    <w:rsid w:val="00B841F1"/>
    <w:rsid w:val="00B85EE8"/>
    <w:rsid w:val="00B944D6"/>
    <w:rsid w:val="00BB2DB2"/>
    <w:rsid w:val="00BB3A15"/>
    <w:rsid w:val="00BB4DF0"/>
    <w:rsid w:val="00BC289F"/>
    <w:rsid w:val="00BC2D50"/>
    <w:rsid w:val="00BC5361"/>
    <w:rsid w:val="00BC5460"/>
    <w:rsid w:val="00BC6B50"/>
    <w:rsid w:val="00BD0E25"/>
    <w:rsid w:val="00BF5BD6"/>
    <w:rsid w:val="00C03E31"/>
    <w:rsid w:val="00C33E72"/>
    <w:rsid w:val="00C354B2"/>
    <w:rsid w:val="00C35554"/>
    <w:rsid w:val="00C42709"/>
    <w:rsid w:val="00C46B66"/>
    <w:rsid w:val="00C47CA6"/>
    <w:rsid w:val="00C533CC"/>
    <w:rsid w:val="00C54C0E"/>
    <w:rsid w:val="00C5751C"/>
    <w:rsid w:val="00C61BFC"/>
    <w:rsid w:val="00C62B85"/>
    <w:rsid w:val="00C65438"/>
    <w:rsid w:val="00C6739B"/>
    <w:rsid w:val="00C87FD8"/>
    <w:rsid w:val="00C91381"/>
    <w:rsid w:val="00C91CBB"/>
    <w:rsid w:val="00CB4E70"/>
    <w:rsid w:val="00CB756D"/>
    <w:rsid w:val="00CC09B6"/>
    <w:rsid w:val="00CC666F"/>
    <w:rsid w:val="00CD1E3F"/>
    <w:rsid w:val="00CE44F6"/>
    <w:rsid w:val="00CE49DA"/>
    <w:rsid w:val="00CE7B61"/>
    <w:rsid w:val="00CF6BBC"/>
    <w:rsid w:val="00D00095"/>
    <w:rsid w:val="00D114F0"/>
    <w:rsid w:val="00D163B2"/>
    <w:rsid w:val="00D20620"/>
    <w:rsid w:val="00D254F7"/>
    <w:rsid w:val="00D26091"/>
    <w:rsid w:val="00D2685C"/>
    <w:rsid w:val="00D34E7C"/>
    <w:rsid w:val="00D35489"/>
    <w:rsid w:val="00D36AFE"/>
    <w:rsid w:val="00D51276"/>
    <w:rsid w:val="00D64EF2"/>
    <w:rsid w:val="00D7035F"/>
    <w:rsid w:val="00D80F6F"/>
    <w:rsid w:val="00D83666"/>
    <w:rsid w:val="00DA634F"/>
    <w:rsid w:val="00DA65AC"/>
    <w:rsid w:val="00DB1913"/>
    <w:rsid w:val="00DB509D"/>
    <w:rsid w:val="00DC410D"/>
    <w:rsid w:val="00DC5A81"/>
    <w:rsid w:val="00DC68CA"/>
    <w:rsid w:val="00DC7CBA"/>
    <w:rsid w:val="00DD73B7"/>
    <w:rsid w:val="00DF28BC"/>
    <w:rsid w:val="00DF34B9"/>
    <w:rsid w:val="00E01053"/>
    <w:rsid w:val="00E07ACF"/>
    <w:rsid w:val="00E2330D"/>
    <w:rsid w:val="00E331A1"/>
    <w:rsid w:val="00E33202"/>
    <w:rsid w:val="00E336A9"/>
    <w:rsid w:val="00E379C7"/>
    <w:rsid w:val="00E472B1"/>
    <w:rsid w:val="00E50624"/>
    <w:rsid w:val="00E568DF"/>
    <w:rsid w:val="00E632F7"/>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06DC6"/>
    <w:rsid w:val="00F1361C"/>
    <w:rsid w:val="00F156F0"/>
    <w:rsid w:val="00F160C7"/>
    <w:rsid w:val="00F2408F"/>
    <w:rsid w:val="00F240E9"/>
    <w:rsid w:val="00F36D8F"/>
    <w:rsid w:val="00F374CD"/>
    <w:rsid w:val="00F417B1"/>
    <w:rsid w:val="00F45853"/>
    <w:rsid w:val="00F602DF"/>
    <w:rsid w:val="00F754A1"/>
    <w:rsid w:val="00F81FD9"/>
    <w:rsid w:val="00F841AA"/>
    <w:rsid w:val="00F84A94"/>
    <w:rsid w:val="00F87E96"/>
    <w:rsid w:val="00FA23E8"/>
    <w:rsid w:val="00FA3749"/>
    <w:rsid w:val="00FD3CC1"/>
    <w:rsid w:val="00FD4D2C"/>
    <w:rsid w:val="00FF1E02"/>
    <w:rsid w:val="00FF30B4"/>
    <w:rsid w:val="017460A8"/>
    <w:rsid w:val="01AD6BCC"/>
    <w:rsid w:val="0238352F"/>
    <w:rsid w:val="02750329"/>
    <w:rsid w:val="041F5166"/>
    <w:rsid w:val="066C3EC7"/>
    <w:rsid w:val="06D27AF8"/>
    <w:rsid w:val="078F7E87"/>
    <w:rsid w:val="085246F0"/>
    <w:rsid w:val="085E1BA5"/>
    <w:rsid w:val="0A2032A3"/>
    <w:rsid w:val="0A6B1363"/>
    <w:rsid w:val="0AC05EBA"/>
    <w:rsid w:val="0B8A37D8"/>
    <w:rsid w:val="0BD55995"/>
    <w:rsid w:val="0C0B07DB"/>
    <w:rsid w:val="0C451907"/>
    <w:rsid w:val="0D1025B8"/>
    <w:rsid w:val="0DAE7F33"/>
    <w:rsid w:val="0DC51DCA"/>
    <w:rsid w:val="0E5C42F1"/>
    <w:rsid w:val="0F131307"/>
    <w:rsid w:val="10C055FF"/>
    <w:rsid w:val="118107EC"/>
    <w:rsid w:val="11DD6519"/>
    <w:rsid w:val="13B47A6B"/>
    <w:rsid w:val="15C54C7F"/>
    <w:rsid w:val="16BB723D"/>
    <w:rsid w:val="16FE56F3"/>
    <w:rsid w:val="17197B53"/>
    <w:rsid w:val="18015F3F"/>
    <w:rsid w:val="185D43BB"/>
    <w:rsid w:val="1A1B462E"/>
    <w:rsid w:val="1BE8440E"/>
    <w:rsid w:val="1CEC2B3E"/>
    <w:rsid w:val="1D155CEE"/>
    <w:rsid w:val="1D296BBB"/>
    <w:rsid w:val="1D5206ED"/>
    <w:rsid w:val="1DE0282F"/>
    <w:rsid w:val="1E034F1F"/>
    <w:rsid w:val="1EE14925"/>
    <w:rsid w:val="20F050D4"/>
    <w:rsid w:val="20F57F95"/>
    <w:rsid w:val="22AB7FB1"/>
    <w:rsid w:val="240371BF"/>
    <w:rsid w:val="243960D1"/>
    <w:rsid w:val="249A1A6B"/>
    <w:rsid w:val="252C65D6"/>
    <w:rsid w:val="258637D7"/>
    <w:rsid w:val="258C73F8"/>
    <w:rsid w:val="25C741E6"/>
    <w:rsid w:val="261A4BAE"/>
    <w:rsid w:val="262477ED"/>
    <w:rsid w:val="265509A9"/>
    <w:rsid w:val="27102BAB"/>
    <w:rsid w:val="27184768"/>
    <w:rsid w:val="27842671"/>
    <w:rsid w:val="29A97588"/>
    <w:rsid w:val="29FD04D3"/>
    <w:rsid w:val="2ABE7A3E"/>
    <w:rsid w:val="2B222B0B"/>
    <w:rsid w:val="2B6A165E"/>
    <w:rsid w:val="2DB815CA"/>
    <w:rsid w:val="2EA74B17"/>
    <w:rsid w:val="2EFA178C"/>
    <w:rsid w:val="30B46D73"/>
    <w:rsid w:val="313E35D0"/>
    <w:rsid w:val="319F7F4E"/>
    <w:rsid w:val="3281224F"/>
    <w:rsid w:val="32A36DA2"/>
    <w:rsid w:val="33857882"/>
    <w:rsid w:val="355B7EB7"/>
    <w:rsid w:val="35610116"/>
    <w:rsid w:val="356B7843"/>
    <w:rsid w:val="36377D17"/>
    <w:rsid w:val="36BE732B"/>
    <w:rsid w:val="37403531"/>
    <w:rsid w:val="37840304"/>
    <w:rsid w:val="380F2372"/>
    <w:rsid w:val="39AD76B8"/>
    <w:rsid w:val="39AE70AB"/>
    <w:rsid w:val="3A0F032F"/>
    <w:rsid w:val="3B3E2CD5"/>
    <w:rsid w:val="3B55252E"/>
    <w:rsid w:val="3B5953EB"/>
    <w:rsid w:val="3C0C0783"/>
    <w:rsid w:val="3C6A5F1F"/>
    <w:rsid w:val="3C6F136A"/>
    <w:rsid w:val="3C8829BB"/>
    <w:rsid w:val="3C9A4C24"/>
    <w:rsid w:val="3CBA6EE1"/>
    <w:rsid w:val="3DD7E372"/>
    <w:rsid w:val="3E200527"/>
    <w:rsid w:val="3EE020AB"/>
    <w:rsid w:val="3EE37DED"/>
    <w:rsid w:val="3EE72C73"/>
    <w:rsid w:val="3F1809C3"/>
    <w:rsid w:val="3F9F3A96"/>
    <w:rsid w:val="3FBF3A07"/>
    <w:rsid w:val="3FE79D6C"/>
    <w:rsid w:val="40722A59"/>
    <w:rsid w:val="40A44348"/>
    <w:rsid w:val="41604B8B"/>
    <w:rsid w:val="43135248"/>
    <w:rsid w:val="43F72C24"/>
    <w:rsid w:val="447B6352"/>
    <w:rsid w:val="45FD5B98"/>
    <w:rsid w:val="46004B22"/>
    <w:rsid w:val="46072613"/>
    <w:rsid w:val="47D77DC3"/>
    <w:rsid w:val="47DA59A8"/>
    <w:rsid w:val="482F29F7"/>
    <w:rsid w:val="483C0471"/>
    <w:rsid w:val="48A877D8"/>
    <w:rsid w:val="48D03190"/>
    <w:rsid w:val="48F97861"/>
    <w:rsid w:val="493C27E9"/>
    <w:rsid w:val="49457530"/>
    <w:rsid w:val="496F39ED"/>
    <w:rsid w:val="49FF41D3"/>
    <w:rsid w:val="4AF87040"/>
    <w:rsid w:val="4B4C2876"/>
    <w:rsid w:val="4BE068DB"/>
    <w:rsid w:val="4BF6002B"/>
    <w:rsid w:val="4C11208A"/>
    <w:rsid w:val="4C7505C5"/>
    <w:rsid w:val="4EAF0D6E"/>
    <w:rsid w:val="4ECE2238"/>
    <w:rsid w:val="51B6560A"/>
    <w:rsid w:val="51DB4B86"/>
    <w:rsid w:val="52126D35"/>
    <w:rsid w:val="530C702B"/>
    <w:rsid w:val="543A364E"/>
    <w:rsid w:val="55333C3E"/>
    <w:rsid w:val="5540021F"/>
    <w:rsid w:val="554C0043"/>
    <w:rsid w:val="555C085E"/>
    <w:rsid w:val="56187F25"/>
    <w:rsid w:val="564C7FE8"/>
    <w:rsid w:val="56A30136"/>
    <w:rsid w:val="581A2CF1"/>
    <w:rsid w:val="584E0B2F"/>
    <w:rsid w:val="58F42C7F"/>
    <w:rsid w:val="5A276988"/>
    <w:rsid w:val="5A9758D2"/>
    <w:rsid w:val="5AF96577"/>
    <w:rsid w:val="5C6C2D78"/>
    <w:rsid w:val="5C9F314E"/>
    <w:rsid w:val="5CD2473F"/>
    <w:rsid w:val="5D642C28"/>
    <w:rsid w:val="5D9E51B4"/>
    <w:rsid w:val="5DFA104B"/>
    <w:rsid w:val="5EC71427"/>
    <w:rsid w:val="5F24793A"/>
    <w:rsid w:val="5F73441E"/>
    <w:rsid w:val="5F9525E6"/>
    <w:rsid w:val="60446F73"/>
    <w:rsid w:val="60483AFC"/>
    <w:rsid w:val="611B10CE"/>
    <w:rsid w:val="629D6CD6"/>
    <w:rsid w:val="62EB1733"/>
    <w:rsid w:val="63363418"/>
    <w:rsid w:val="64107F10"/>
    <w:rsid w:val="64234726"/>
    <w:rsid w:val="645203EE"/>
    <w:rsid w:val="648C2CC2"/>
    <w:rsid w:val="64BB4EFC"/>
    <w:rsid w:val="64CA39A1"/>
    <w:rsid w:val="64F1206D"/>
    <w:rsid w:val="658F0708"/>
    <w:rsid w:val="65A11CE5"/>
    <w:rsid w:val="66FD819A"/>
    <w:rsid w:val="673650A3"/>
    <w:rsid w:val="675A53C2"/>
    <w:rsid w:val="688D0519"/>
    <w:rsid w:val="695853C9"/>
    <w:rsid w:val="696E7368"/>
    <w:rsid w:val="69A40064"/>
    <w:rsid w:val="6B9B71D6"/>
    <w:rsid w:val="6C4A05C8"/>
    <w:rsid w:val="6D1A57DC"/>
    <w:rsid w:val="6FBE55C6"/>
    <w:rsid w:val="71413284"/>
    <w:rsid w:val="72671BC0"/>
    <w:rsid w:val="726A4E39"/>
    <w:rsid w:val="72734D90"/>
    <w:rsid w:val="728E35F1"/>
    <w:rsid w:val="732D52E6"/>
    <w:rsid w:val="7343581A"/>
    <w:rsid w:val="73B0381C"/>
    <w:rsid w:val="747769BC"/>
    <w:rsid w:val="7624413E"/>
    <w:rsid w:val="767D7F47"/>
    <w:rsid w:val="76B154D7"/>
    <w:rsid w:val="76D10C67"/>
    <w:rsid w:val="77605408"/>
    <w:rsid w:val="779A355D"/>
    <w:rsid w:val="77F6BF33"/>
    <w:rsid w:val="7880408C"/>
    <w:rsid w:val="79E7B28D"/>
    <w:rsid w:val="7A4642CA"/>
    <w:rsid w:val="7A85177D"/>
    <w:rsid w:val="7C405169"/>
    <w:rsid w:val="7CE35DE2"/>
    <w:rsid w:val="7E2D3983"/>
    <w:rsid w:val="7EB206B8"/>
    <w:rsid w:val="7F2A644F"/>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qFormat/>
    <w:uiPriority w:val="0"/>
    <w:rPr>
      <w:rFonts w:ascii="宋体" w:hAnsi="Courier New" w:cs="Courier New"/>
      <w:szCs w:val="21"/>
    </w:r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3"/>
    <w:qFormat/>
    <w:uiPriority w:val="9"/>
    <w:rPr>
      <w:rFonts w:ascii="Times New Roman" w:hAnsi="Times New Roman"/>
      <w:b/>
      <w:bCs/>
      <w:kern w:val="44"/>
      <w:sz w:val="44"/>
      <w:szCs w:val="44"/>
    </w:rPr>
  </w:style>
  <w:style w:type="character" w:customStyle="1" w:styleId="26">
    <w:name w:val="标题 2 Char"/>
    <w:basedOn w:val="1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8"/>
    <w:semiHidden/>
    <w:qFormat/>
    <w:uiPriority w:val="99"/>
    <w:rPr>
      <w:rFonts w:ascii="Times New Roman" w:hAnsi="Times New Roman"/>
      <w:kern w:val="2"/>
      <w:sz w:val="18"/>
      <w:szCs w:val="18"/>
    </w:rPr>
  </w:style>
  <w:style w:type="character" w:customStyle="1" w:styleId="29">
    <w:name w:val="标题 3 字符"/>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3">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34">
    <w:name w:val="标题 2 字符"/>
    <w:basedOn w:val="14"/>
    <w:link w:val="4"/>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2020</c:v>
                </c:pt>
              </c:strCache>
            </c:strRef>
          </c:tx>
          <c:spPr>
            <a:solidFill>
              <a:schemeClr val="accent1"/>
            </a:solidFill>
            <a:ln>
              <a:noFill/>
            </a:ln>
            <a:effectLst/>
          </c:spPr>
          <c:invertIfNegative val="false"/>
          <c:dLbls>
            <c:delete val="true"/>
          </c:dLbls>
          <c:cat>
            <c:strRef>
              <c:f>Sheet1!$A$2:$A$3</c:f>
              <c:strCache>
                <c:ptCount val="2"/>
                <c:pt idx="0">
                  <c:v>收入</c:v>
                </c:pt>
                <c:pt idx="1">
                  <c:v>支出</c:v>
                </c:pt>
              </c:strCache>
            </c:strRef>
          </c:cat>
          <c:val>
            <c:numRef>
              <c:f>Sheet1!$B$2:$B$3</c:f>
              <c:numCache>
                <c:formatCode>General</c:formatCode>
                <c:ptCount val="2"/>
                <c:pt idx="0">
                  <c:v>3439.39</c:v>
                </c:pt>
                <c:pt idx="1">
                  <c:v>3439.39</c:v>
                </c:pt>
              </c:numCache>
            </c:numRef>
          </c:val>
        </c:ser>
        <c:ser>
          <c:idx val="1"/>
          <c:order val="1"/>
          <c:tx>
            <c:strRef>
              <c:f>Sheet1!$C$1</c:f>
              <c:strCache>
                <c:ptCount val="1"/>
                <c:pt idx="0">
                  <c:v>2021</c:v>
                </c:pt>
              </c:strCache>
            </c:strRef>
          </c:tx>
          <c:spPr>
            <a:solidFill>
              <a:schemeClr val="accent2"/>
            </a:solidFill>
            <a:ln>
              <a:noFill/>
            </a:ln>
            <a:effectLst/>
          </c:spPr>
          <c:invertIfNegative val="false"/>
          <c:dLbls>
            <c:delete val="true"/>
          </c:dLbls>
          <c:cat>
            <c:strRef>
              <c:f>Sheet1!$A$2:$A$3</c:f>
              <c:strCache>
                <c:ptCount val="2"/>
                <c:pt idx="0">
                  <c:v>收入</c:v>
                </c:pt>
                <c:pt idx="1">
                  <c:v>支出</c:v>
                </c:pt>
              </c:strCache>
            </c:strRef>
          </c:cat>
          <c:val>
            <c:numRef>
              <c:f>Sheet1!$C$2:$C$3</c:f>
              <c:numCache>
                <c:formatCode>General</c:formatCode>
                <c:ptCount val="2"/>
                <c:pt idx="0">
                  <c:v>3482.85</c:v>
                </c:pt>
                <c:pt idx="1">
                  <c:v>3482.85</c:v>
                </c:pt>
              </c:numCache>
            </c:numRef>
          </c:val>
        </c:ser>
        <c:dLbls>
          <c:showLegendKey val="false"/>
          <c:showVal val="false"/>
          <c:showCatName val="false"/>
          <c:showSerName val="false"/>
          <c:showPercent val="false"/>
          <c:showBubbleSize val="false"/>
        </c:dLbls>
        <c:gapWidth val="219"/>
        <c:overlap val="-27"/>
        <c:axId val="832343678"/>
        <c:axId val="41820456"/>
      </c:barChart>
      <c:catAx>
        <c:axId val="832343678"/>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1820456"/>
        <c:crosses val="autoZero"/>
        <c:auto val="true"/>
        <c:lblAlgn val="ctr"/>
        <c:lblOffset val="100"/>
        <c:noMultiLvlLbl val="false"/>
      </c:catAx>
      <c:valAx>
        <c:axId val="41820456"/>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32343678"/>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Sheet1!$B$1</c:f>
              <c:strCache>
                <c:ptCount val="1"/>
                <c:pt idx="0">
                  <c:v>销售额</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numFmt formatCode="0.00%"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其他收入（主要是部拨国务院政府特殊津贴）</c:v>
                </c:pt>
              </c:strCache>
            </c:strRef>
          </c:cat>
          <c:val>
            <c:numRef>
              <c:f>Sheet1!$B$2:$B$3</c:f>
              <c:numCache>
                <c:formatCode>General</c:formatCode>
                <c:ptCount val="2"/>
                <c:pt idx="0">
                  <c:v>2508.76</c:v>
                </c:pt>
                <c:pt idx="1">
                  <c:v>959.38</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Sheet1!$B$1</c:f>
              <c:strCache>
                <c:ptCount val="1"/>
                <c:pt idx="0">
                  <c:v>销售额</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numFmt formatCode="0.00%"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260.58</c:v>
                </c:pt>
                <c:pt idx="1">
                  <c:v>3210.98</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2020</c:v>
                </c:pt>
              </c:strCache>
            </c:strRef>
          </c:tx>
          <c:spPr>
            <a:solidFill>
              <a:schemeClr val="accent1"/>
            </a:solidFill>
            <a:ln>
              <a:noFill/>
            </a:ln>
            <a:effectLst/>
          </c:spPr>
          <c:invertIfNegative val="false"/>
          <c:dLbls>
            <c:delete val="true"/>
          </c:dLbls>
          <c:cat>
            <c:strRef>
              <c:f>Sheet1!$A$2:$A$3</c:f>
              <c:strCache>
                <c:ptCount val="2"/>
                <c:pt idx="0">
                  <c:v>收入</c:v>
                </c:pt>
                <c:pt idx="1">
                  <c:v>支出</c:v>
                </c:pt>
              </c:strCache>
            </c:strRef>
          </c:cat>
          <c:val>
            <c:numRef>
              <c:f>Sheet1!$B$2:$B$3</c:f>
              <c:numCache>
                <c:formatCode>General</c:formatCode>
                <c:ptCount val="2"/>
                <c:pt idx="0">
                  <c:v>2550.26</c:v>
                </c:pt>
                <c:pt idx="1">
                  <c:v>2550.26</c:v>
                </c:pt>
              </c:numCache>
            </c:numRef>
          </c:val>
        </c:ser>
        <c:ser>
          <c:idx val="1"/>
          <c:order val="1"/>
          <c:tx>
            <c:strRef>
              <c:f>Sheet1!$C$1</c:f>
              <c:strCache>
                <c:ptCount val="1"/>
                <c:pt idx="0">
                  <c:v>2021</c:v>
                </c:pt>
              </c:strCache>
            </c:strRef>
          </c:tx>
          <c:spPr>
            <a:solidFill>
              <a:schemeClr val="accent2"/>
            </a:solidFill>
            <a:ln>
              <a:noFill/>
            </a:ln>
            <a:effectLst/>
          </c:spPr>
          <c:invertIfNegative val="false"/>
          <c:dLbls>
            <c:delete val="true"/>
          </c:dLbls>
          <c:cat>
            <c:strRef>
              <c:f>Sheet1!$A$2:$A$3</c:f>
              <c:strCache>
                <c:ptCount val="2"/>
                <c:pt idx="0">
                  <c:v>收入</c:v>
                </c:pt>
                <c:pt idx="1">
                  <c:v>支出</c:v>
                </c:pt>
              </c:strCache>
            </c:strRef>
          </c:cat>
          <c:val>
            <c:numRef>
              <c:f>Sheet1!$C$2:$C$3</c:f>
              <c:numCache>
                <c:formatCode>General</c:formatCode>
                <c:ptCount val="2"/>
                <c:pt idx="0">
                  <c:v>2508.76</c:v>
                </c:pt>
                <c:pt idx="1">
                  <c:v>2508.76</c:v>
                </c:pt>
              </c:numCache>
            </c:numRef>
          </c:val>
        </c:ser>
        <c:dLbls>
          <c:showLegendKey val="false"/>
          <c:showVal val="false"/>
          <c:showCatName val="false"/>
          <c:showSerName val="false"/>
          <c:showPercent val="false"/>
          <c:showBubbleSize val="false"/>
        </c:dLbls>
        <c:gapWidth val="219"/>
        <c:overlap val="-27"/>
        <c:axId val="832343678"/>
        <c:axId val="41820456"/>
      </c:barChart>
      <c:catAx>
        <c:axId val="832343678"/>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1820456"/>
        <c:crosses val="autoZero"/>
        <c:auto val="true"/>
        <c:lblAlgn val="ctr"/>
        <c:lblOffset val="100"/>
        <c:noMultiLvlLbl val="false"/>
      </c:catAx>
      <c:valAx>
        <c:axId val="41820456"/>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32343678"/>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2020</c:v>
                </c:pt>
              </c:strCache>
            </c:strRef>
          </c:tx>
          <c:spPr>
            <a:solidFill>
              <a:schemeClr val="accent1"/>
            </a:solidFill>
            <a:ln>
              <a:noFill/>
            </a:ln>
            <a:effectLst/>
          </c:spPr>
          <c:invertIfNegative val="false"/>
          <c:dLbls>
            <c:delete val="true"/>
          </c:dLbls>
          <c:cat>
            <c:strRef>
              <c:f>Sheet1!$A$2</c:f>
              <c:strCache>
                <c:ptCount val="1"/>
                <c:pt idx="0">
                  <c:v>支出</c:v>
                </c:pt>
              </c:strCache>
            </c:strRef>
          </c:cat>
          <c:val>
            <c:numRef>
              <c:f>Sheet1!$B$2</c:f>
              <c:numCache>
                <c:formatCode>General</c:formatCode>
                <c:ptCount val="1"/>
                <c:pt idx="0">
                  <c:v>2550.26</c:v>
                </c:pt>
              </c:numCache>
            </c:numRef>
          </c:val>
        </c:ser>
        <c:ser>
          <c:idx val="1"/>
          <c:order val="1"/>
          <c:tx>
            <c:strRef>
              <c:f>Sheet1!$C$1</c:f>
              <c:strCache>
                <c:ptCount val="1"/>
                <c:pt idx="0">
                  <c:v>2021</c:v>
                </c:pt>
              </c:strCache>
            </c:strRef>
          </c:tx>
          <c:spPr>
            <a:solidFill>
              <a:schemeClr val="accent2"/>
            </a:solidFill>
            <a:ln>
              <a:noFill/>
            </a:ln>
            <a:effectLst/>
          </c:spPr>
          <c:invertIfNegative val="false"/>
          <c:dLbls>
            <c:delete val="true"/>
          </c:dLbls>
          <c:cat>
            <c:strRef>
              <c:f>Sheet1!$A$2</c:f>
              <c:strCache>
                <c:ptCount val="1"/>
                <c:pt idx="0">
                  <c:v>支出</c:v>
                </c:pt>
              </c:strCache>
            </c:strRef>
          </c:cat>
          <c:val>
            <c:numRef>
              <c:f>Sheet1!$C$2</c:f>
              <c:numCache>
                <c:formatCode>General</c:formatCode>
                <c:ptCount val="1"/>
                <c:pt idx="0">
                  <c:v>2508.76</c:v>
                </c:pt>
              </c:numCache>
            </c:numRef>
          </c:val>
        </c:ser>
        <c:dLbls>
          <c:showLegendKey val="false"/>
          <c:showVal val="false"/>
          <c:showCatName val="false"/>
          <c:showSerName val="false"/>
          <c:showPercent val="false"/>
          <c:showBubbleSize val="false"/>
        </c:dLbls>
        <c:gapWidth val="219"/>
        <c:overlap val="-27"/>
        <c:axId val="832343678"/>
        <c:axId val="41820456"/>
      </c:barChart>
      <c:catAx>
        <c:axId val="832343678"/>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1820456"/>
        <c:crosses val="autoZero"/>
        <c:auto val="true"/>
        <c:lblAlgn val="ctr"/>
        <c:lblOffset val="100"/>
        <c:noMultiLvlLbl val="false"/>
      </c:catAx>
      <c:valAx>
        <c:axId val="41820456"/>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32343678"/>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Sheet1!$B$1</c:f>
              <c:strCache>
                <c:ptCount val="1"/>
                <c:pt idx="0">
                  <c:v>销售额</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dLbl>
              <c:idx val="1"/>
              <c:layout>
                <c:manualLayout>
                  <c:x val="-0.140210727327872"/>
                  <c:y val="-0.00262655218723442"/>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numFmt formatCode="0.00%"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Sheet1!$A$2:$A$4</c:f>
              <c:strCache>
                <c:ptCount val="3"/>
                <c:pt idx="0">
                  <c:v>社会保障和就业支出</c:v>
                </c:pt>
                <c:pt idx="1">
                  <c:v>卫生健康支出</c:v>
                </c:pt>
                <c:pt idx="2">
                  <c:v>住房保障支出</c:v>
                </c:pt>
              </c:strCache>
            </c:strRef>
          </c:cat>
          <c:val>
            <c:numRef>
              <c:f>Sheet1!$B$2:$B$4</c:f>
              <c:numCache>
                <c:formatCode>General</c:formatCode>
                <c:ptCount val="3"/>
                <c:pt idx="0">
                  <c:v>2472.95</c:v>
                </c:pt>
                <c:pt idx="1">
                  <c:v>12.71</c:v>
                </c:pt>
                <c:pt idx="2">
                  <c:v>23.1</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Sheet1!$B$1</c:f>
              <c:strCache>
                <c:ptCount val="1"/>
                <c:pt idx="0">
                  <c:v>销售额</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dLbl>
              <c:idx val="0"/>
              <c:layout>
                <c:manualLayout>
                  <c:x val="0.0357909806728704"/>
                  <c:y val="0.0125"/>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2"/>
              <c:layout>
                <c:manualLayout>
                  <c:x val="-0.100192450405065"/>
                  <c:y val="0.0106434469624622"/>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numFmt formatCode="0.00%"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2.32</c:v>
                </c:pt>
                <c:pt idx="2">
                  <c:v>0.12</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6553</Words>
  <Characters>6999</Characters>
  <Lines>70</Lines>
  <Paragraphs>19</Paragraphs>
  <TotalTime>1</TotalTime>
  <ScaleCrop>false</ScaleCrop>
  <LinksUpToDate>false</LinksUpToDate>
  <CharactersWithSpaces>7227</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2022-08-31T18:14:00Z</dcterms:created>
  <dc:creator>曹颖</dc:creator>
  <cp:lastModifiedBy>user</cp:lastModifiedBy>
  <cp:lastPrinted>2022-09-19T15:59:00Z</cp:lastPrinted>
  <dcterms:modified xsi:type="dcterms:W3CDTF">2022-11-14T10:33:50Z</dcterms:modified>
  <dc:title>四川省***</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D8120285764B4131AAE495D4F70DFDE0</vt:lpwstr>
  </property>
</Properties>
</file>