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sz w:val="72"/>
          <w:szCs w:val="72"/>
        </w:rPr>
      </w:pPr>
      <w:bookmarkStart w:id="0" w:name="_Toc15306267"/>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bookmarkEnd w:id="0"/>
    <w:p>
      <w:pPr>
        <w:snapToGrid w:val="0"/>
        <w:spacing w:line="1300" w:lineRule="exact"/>
        <w:jc w:val="center"/>
        <w:textAlignment w:val="baseline"/>
        <w:rPr>
          <w:rFonts w:eastAsia="方正小标宋_GBK"/>
          <w:color w:val="000000"/>
          <w:sz w:val="72"/>
          <w:szCs w:val="72"/>
        </w:rPr>
      </w:pPr>
      <w:bookmarkStart w:id="1" w:name="_Toc15396597"/>
      <w:bookmarkStart w:id="2" w:name="_Toc15377425"/>
      <w:bookmarkStart w:id="3" w:name="_Toc15377193"/>
      <w:bookmarkStart w:id="4" w:name="_Toc15378441"/>
      <w:bookmarkStart w:id="5" w:name="_Toc15396475"/>
      <w:r>
        <w:rPr>
          <w:rFonts w:eastAsia="方正小标宋_GBK"/>
          <w:color w:val="000000"/>
          <w:sz w:val="72"/>
          <w:szCs w:val="72"/>
        </w:rPr>
        <w:t>2021年度</w:t>
      </w:r>
      <w:bookmarkEnd w:id="1"/>
      <w:bookmarkEnd w:id="2"/>
      <w:bookmarkEnd w:id="3"/>
      <w:bookmarkEnd w:id="4"/>
      <w:bookmarkEnd w:id="5"/>
      <w:bookmarkStart w:id="6" w:name="_Toc15377426"/>
      <w:bookmarkStart w:id="7" w:name="_Toc15378442"/>
      <w:bookmarkStart w:id="8" w:name="_Toc15377194"/>
      <w:bookmarkStart w:id="9" w:name="_Toc15396598"/>
      <w:bookmarkStart w:id="10" w:name="_Toc15396476"/>
    </w:p>
    <w:p>
      <w:pPr>
        <w:snapToGrid w:val="0"/>
        <w:spacing w:line="1300" w:lineRule="exact"/>
        <w:jc w:val="center"/>
        <w:textAlignment w:val="baseline"/>
        <w:rPr>
          <w:rFonts w:eastAsia="方正小标宋_GBK"/>
          <w:color w:val="000000"/>
          <w:sz w:val="72"/>
          <w:szCs w:val="72"/>
        </w:rPr>
      </w:pPr>
      <w:r>
        <w:rPr>
          <w:rFonts w:eastAsia="方正小标宋_GBK"/>
          <w:color w:val="000000"/>
          <w:sz w:val="72"/>
          <w:szCs w:val="72"/>
        </w:rPr>
        <w:t>四川省</w:t>
      </w:r>
      <w:bookmarkStart w:id="11" w:name="_Toc15306268"/>
      <w:r>
        <w:rPr>
          <w:rFonts w:eastAsia="方正小标宋_GBK"/>
          <w:color w:val="000000"/>
          <w:sz w:val="72"/>
          <w:szCs w:val="72"/>
        </w:rPr>
        <w:t>职业介绍服务中心单位决算</w:t>
      </w:r>
      <w:bookmarkEnd w:id="6"/>
      <w:bookmarkEnd w:id="7"/>
      <w:bookmarkEnd w:id="8"/>
      <w:bookmarkEnd w:id="9"/>
      <w:bookmarkEnd w:id="10"/>
      <w:bookmarkEnd w:id="11"/>
    </w:p>
    <w:p>
      <w:pPr>
        <w:widowControl/>
        <w:jc w:val="center"/>
        <w:rPr>
          <w:rFonts w:eastAsia="黑体"/>
          <w:sz w:val="48"/>
          <w:szCs w:val="48"/>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eastAsia="黑体"/>
          <w:sz w:val="48"/>
          <w:szCs w:val="48"/>
        </w:rPr>
      </w:pPr>
      <w:r>
        <w:rPr>
          <w:rFonts w:eastAsia="黑体"/>
          <w:sz w:val="48"/>
          <w:szCs w:val="48"/>
        </w:rPr>
        <w:t>目  录</w:t>
      </w:r>
    </w:p>
    <w:p>
      <w:pPr>
        <w:widowControl/>
        <w:jc w:val="center"/>
        <w:rPr>
          <w:rFonts w:eastAsia="黑体"/>
          <w:sz w:val="28"/>
          <w:szCs w:val="28"/>
        </w:rPr>
      </w:pPr>
    </w:p>
    <w:p>
      <w:pPr>
        <w:pStyle w:val="10"/>
        <w:rPr>
          <w:rFonts w:ascii="Times New Roman" w:hAnsi="Times New Roman" w:eastAsia="仿宋_GB2312"/>
        </w:rPr>
      </w:pPr>
      <w:r>
        <w:rPr>
          <w:rFonts w:ascii="Times New Roman" w:hAnsi="Times New Roman" w:eastAsia="仿宋_GB2312"/>
        </w:rPr>
        <w:t>公开时间：2022年9月</w:t>
      </w:r>
      <w:r>
        <w:rPr>
          <w:rFonts w:hint="eastAsia" w:ascii="Times New Roman" w:hAnsi="Times New Roman" w:eastAsia="仿宋_GB2312"/>
          <w:lang w:val="en-US" w:eastAsia="zh-CN"/>
        </w:rPr>
        <w:t>16</w:t>
      </w:r>
      <w:r>
        <w:rPr>
          <w:rFonts w:ascii="Times New Roman" w:hAnsi="Times New Roman" w:eastAsia="仿宋_GB2312"/>
        </w:rPr>
        <w:t>日</w:t>
      </w:r>
    </w:p>
    <w:sdt>
      <w:sdtPr>
        <w:rPr>
          <w:rFonts w:ascii="宋体" w:hAnsi="宋体" w:eastAsia="宋体" w:cs="Times New Roman"/>
          <w:kern w:val="2"/>
          <w:sz w:val="21"/>
          <w:szCs w:val="24"/>
          <w:lang w:val="en-US" w:eastAsia="zh-CN" w:bidi="ar-SA"/>
        </w:rPr>
        <w:id w:val="952812139"/>
        <w:docPartObj>
          <w:docPartGallery w:val="Table of Contents"/>
          <w:docPartUnique/>
        </w:docPartObj>
      </w:sdtPr>
      <w:sdtEndPr>
        <w:rPr>
          <w:rFonts w:ascii="Times New Roman" w:hAnsi="Times New Roman" w:eastAsia="仿宋_GB2312" w:cs="Times New Roman"/>
          <w:b w:val="0"/>
          <w:bCs w:val="0"/>
          <w:kern w:val="2"/>
          <w:sz w:val="32"/>
          <w:szCs w:val="32"/>
          <w:lang w:val="en-US" w:eastAsia="zh-CN" w:bidi="ar-SA"/>
        </w:rPr>
      </w:sdtEndPr>
      <w:sdtContent>
        <w:p>
          <w:pPr>
            <w:spacing w:before="0" w:beforeLines="0" w:after="0" w:afterLines="0" w:line="240" w:lineRule="auto"/>
            <w:ind w:left="0" w:leftChars="0" w:right="0" w:rightChars="0" w:firstLine="0" w:firstLineChars="0"/>
            <w:jc w:val="center"/>
          </w:pPr>
          <w:bookmarkStart w:id="12" w:name="_Toc1565122359_WPSOffice_Type2"/>
          <w:bookmarkStart w:id="13" w:name="_Toc15377196"/>
          <w:bookmarkStart w:id="14" w:name="_Toc15396599"/>
        </w:p>
        <w:p>
          <w:pPr>
            <w:pStyle w:val="31"/>
            <w:tabs>
              <w:tab w:val="right" w:leader="dot" w:pos="8844"/>
            </w:tabs>
            <w:rPr>
              <w:sz w:val="28"/>
            </w:rPr>
          </w:pPr>
          <w:r>
            <w:rPr>
              <w:b/>
              <w:bCs/>
              <w:sz w:val="28"/>
            </w:rPr>
            <w:fldChar w:fldCharType="begin"/>
          </w:r>
          <w:r>
            <w:rPr>
              <w:sz w:val="28"/>
            </w:rPr>
            <w:instrText xml:space="preserve"> HYPERLINK \l _Toc1282947862_WPSOffice_Level1 </w:instrText>
          </w:r>
          <w:r>
            <w:rPr>
              <w:b/>
              <w:bCs/>
              <w:sz w:val="28"/>
            </w:rPr>
            <w:fldChar w:fldCharType="separate"/>
          </w:r>
          <w:sdt>
            <w:sdtPr>
              <w:rPr>
                <w:rFonts w:ascii="Times New Roman" w:hAnsi="Times New Roman" w:eastAsia="宋体" w:cs="Times New Roman"/>
                <w:b/>
                <w:bCs/>
                <w:kern w:val="44"/>
                <w:sz w:val="28"/>
                <w:szCs w:val="44"/>
                <w:lang w:val="en-US" w:eastAsia="zh-CN" w:bidi="ar-SA"/>
              </w:rPr>
              <w:id w:val="952812139"/>
              <w:placeholder>
                <w:docPart w:val="{776fcd01-0a1c-4d73-a885-b0d4e1f0ae2f}"/>
              </w:placeholder>
            </w:sdtPr>
            <w:sdtEndPr>
              <w:rPr>
                <w:rFonts w:ascii="Times New Roman" w:hAnsi="Times New Roman" w:eastAsia="黑体" w:cs="Times New Roman"/>
                <w:b w:val="0"/>
                <w:bCs w:val="0"/>
                <w:kern w:val="44"/>
                <w:sz w:val="28"/>
                <w:szCs w:val="44"/>
                <w:lang w:val="en-US" w:eastAsia="zh-CN" w:bidi="ar-SA"/>
              </w:rPr>
            </w:sdtEndPr>
            <w:sdtContent>
              <w:r>
                <w:rPr>
                  <w:rFonts w:ascii="Times New Roman" w:hAnsi="Times New Roman" w:eastAsia="黑体" w:cs="Times New Roman"/>
                  <w:b w:val="0"/>
                  <w:bCs w:val="0"/>
                  <w:sz w:val="28"/>
                </w:rPr>
                <w:t>第一部分 单位概况</w:t>
              </w:r>
            </w:sdtContent>
          </w:sdt>
          <w:r>
            <w:rPr>
              <w:b w:val="0"/>
              <w:bCs w:val="0"/>
              <w:sz w:val="28"/>
            </w:rPr>
            <w:tab/>
          </w:r>
          <w:bookmarkStart w:id="15" w:name="_Toc1282947862_WPSOffice_Level1Page"/>
          <w:r>
            <w:rPr>
              <w:rFonts w:ascii="Times New Roman" w:hAnsi="Times New Roman" w:eastAsia="仿宋_GB2312" w:cs="Times New Roman"/>
              <w:b w:val="0"/>
              <w:bCs w:val="0"/>
              <w:kern w:val="2"/>
              <w:sz w:val="32"/>
              <w:szCs w:val="32"/>
              <w:lang w:val="en-US" w:eastAsia="zh-CN" w:bidi="ar-SA"/>
            </w:rPr>
            <w:t>1</w:t>
          </w:r>
          <w:bookmarkEnd w:id="15"/>
          <w:r>
            <w:rPr>
              <w:b/>
              <w:bCs/>
              <w:sz w:val="28"/>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_Toc1565122359_WPSOffice_Level2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985119bb-b9a6-402e-953b-731bfbe0f86b}"/>
              </w:placeholder>
            </w:sdtPr>
            <w:sdtEndPr>
              <w:rPr>
                <w:rFonts w:ascii="Times New Roman" w:hAnsi="Times New Roman" w:eastAsia="仿宋_GB2312" w:cs="Times New Roman"/>
                <w:b w:val="0"/>
                <w:bCs w:val="0"/>
                <w:kern w:val="2"/>
                <w:sz w:val="32"/>
                <w:szCs w:val="32"/>
                <w:lang w:val="en-US" w:eastAsia="zh-CN" w:bidi="ar-SA"/>
              </w:rPr>
            </w:sdtEndPr>
            <w:sdtContent>
              <w:r>
                <w:rPr>
                  <w:rFonts w:hint="eastAsia" w:ascii="Times New Roman" w:hAnsi="Times New Roman" w:eastAsia="仿宋_GB2312" w:cs="Times New Roman"/>
                  <w:b w:val="0"/>
                  <w:bCs w:val="0"/>
                  <w:kern w:val="2"/>
                  <w:sz w:val="32"/>
                  <w:szCs w:val="32"/>
                  <w:lang w:val="en-US" w:eastAsia="zh-CN" w:bidi="ar-SA"/>
                </w:rPr>
                <w:t>一、</w:t>
              </w:r>
              <w:r>
                <w:rPr>
                  <w:rFonts w:ascii="Times New Roman" w:hAnsi="Times New Roman" w:eastAsia="仿宋_GB2312" w:cs="Times New Roman"/>
                  <w:b w:val="0"/>
                  <w:bCs w:val="0"/>
                  <w:kern w:val="2"/>
                  <w:sz w:val="32"/>
                  <w:szCs w:val="32"/>
                  <w:lang w:val="en-US" w:eastAsia="zh-CN" w:bidi="ar-SA"/>
                </w:rPr>
                <w:t>职能简介</w:t>
              </w:r>
            </w:sdtContent>
          </w:sdt>
          <w:r>
            <w:rPr>
              <w:rFonts w:ascii="Times New Roman" w:hAnsi="Times New Roman" w:eastAsia="仿宋_GB2312" w:cs="Times New Roman"/>
              <w:b w:val="0"/>
              <w:bCs w:val="0"/>
              <w:kern w:val="2"/>
              <w:sz w:val="32"/>
              <w:szCs w:val="32"/>
              <w:lang w:val="en-US" w:eastAsia="zh-CN" w:bidi="ar-SA"/>
            </w:rPr>
            <w:tab/>
          </w:r>
          <w:bookmarkStart w:id="16" w:name="_Toc1565122359_WPSOffice_Level2Page"/>
          <w:r>
            <w:rPr>
              <w:rFonts w:ascii="Times New Roman" w:hAnsi="Times New Roman" w:eastAsia="仿宋_GB2312" w:cs="Times New Roman"/>
              <w:b w:val="0"/>
              <w:bCs w:val="0"/>
              <w:kern w:val="2"/>
              <w:sz w:val="32"/>
              <w:szCs w:val="32"/>
              <w:lang w:val="en-US" w:eastAsia="zh-CN" w:bidi="ar-SA"/>
            </w:rPr>
            <w:t>1</w:t>
          </w:r>
          <w:bookmarkEnd w:id="16"/>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_Toc547774183_WPSOffice_Level2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bbfb9f44-9817-4a70-8785-01380b165654}"/>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二、2021年重点工作完成情况</w:t>
              </w:r>
            </w:sdtContent>
          </w:sdt>
          <w:r>
            <w:rPr>
              <w:rFonts w:ascii="Times New Roman" w:hAnsi="Times New Roman" w:eastAsia="仿宋_GB2312" w:cs="Times New Roman"/>
              <w:b w:val="0"/>
              <w:bCs w:val="0"/>
              <w:kern w:val="2"/>
              <w:sz w:val="32"/>
              <w:szCs w:val="32"/>
              <w:lang w:val="en-US" w:eastAsia="zh-CN" w:bidi="ar-SA"/>
            </w:rPr>
            <w:tab/>
          </w:r>
          <w:bookmarkStart w:id="17" w:name="_Toc547774183_WPSOffice_Level2Page"/>
          <w:r>
            <w:rPr>
              <w:rFonts w:ascii="Times New Roman" w:hAnsi="Times New Roman" w:eastAsia="仿宋_GB2312" w:cs="Times New Roman"/>
              <w:b w:val="0"/>
              <w:bCs w:val="0"/>
              <w:kern w:val="2"/>
              <w:sz w:val="32"/>
              <w:szCs w:val="32"/>
              <w:lang w:val="en-US" w:eastAsia="zh-CN" w:bidi="ar-SA"/>
            </w:rPr>
            <w:t>1</w:t>
          </w:r>
          <w:bookmarkEnd w:id="17"/>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三、机构设置情况</w:t>
          </w:r>
          <w:r>
            <w:rPr>
              <w:rFonts w:hint="eastAsia" w:ascii="Times New Roman" w:hAnsi="Times New Roman" w:eastAsia="仿宋_GB2312" w:cs="Times New Roman"/>
              <w:b w:val="0"/>
              <w:bCs w:val="0"/>
              <w:kern w:val="2"/>
              <w:sz w:val="32"/>
              <w:szCs w:val="32"/>
              <w:lang w:val="en-US" w:eastAsia="zh-CN" w:bidi="ar-SA"/>
            </w:rPr>
            <w:tab/>
          </w:r>
          <w:r>
            <w:rPr>
              <w:rFonts w:hint="eastAsia" w:ascii="Times New Roman" w:hAnsi="Times New Roman" w:eastAsia="仿宋_GB2312" w:cs="Times New Roman"/>
              <w:b w:val="0"/>
              <w:bCs w:val="0"/>
              <w:kern w:val="2"/>
              <w:sz w:val="32"/>
              <w:szCs w:val="32"/>
              <w:lang w:val="en-US" w:eastAsia="zh-CN" w:bidi="ar-SA"/>
            </w:rPr>
            <w:t>4</w:t>
          </w:r>
        </w:p>
        <w:p>
          <w:pPr>
            <w:pStyle w:val="31"/>
            <w:tabs>
              <w:tab w:val="right" w:leader="dot" w:pos="8844"/>
            </w:tabs>
            <w:rPr>
              <w:rFonts w:ascii="Times New Roman" w:hAnsi="Times New Roman" w:eastAsia="黑体" w:cs="Times New Roman"/>
              <w:b w:val="0"/>
              <w:bCs w:val="0"/>
              <w:kern w:val="2"/>
              <w:sz w:val="32"/>
              <w:szCs w:val="32"/>
              <w:lang w:val="en-US" w:eastAsia="zh-CN" w:bidi="ar-SA"/>
            </w:rPr>
          </w:pPr>
          <w:r>
            <w:rPr>
              <w:rFonts w:ascii="Times New Roman" w:hAnsi="Times New Roman" w:eastAsia="黑体" w:cs="Times New Roman"/>
              <w:b w:val="0"/>
              <w:bCs w:val="0"/>
              <w:kern w:val="2"/>
              <w:sz w:val="32"/>
              <w:szCs w:val="32"/>
              <w:lang w:val="en-US" w:eastAsia="zh-CN" w:bidi="ar-SA"/>
            </w:rPr>
            <w:fldChar w:fldCharType="begin"/>
          </w:r>
          <w:r>
            <w:rPr>
              <w:rFonts w:ascii="Times New Roman" w:hAnsi="Times New Roman" w:eastAsia="黑体" w:cs="Times New Roman"/>
              <w:b w:val="0"/>
              <w:bCs w:val="0"/>
              <w:kern w:val="2"/>
              <w:sz w:val="32"/>
              <w:szCs w:val="32"/>
              <w:lang w:val="en-US" w:eastAsia="zh-CN" w:bidi="ar-SA"/>
            </w:rPr>
            <w:instrText xml:space="preserve"> HYPERLINK \l _Toc1565122359_WPSOffice_Level1 </w:instrText>
          </w:r>
          <w:r>
            <w:rPr>
              <w:rFonts w:ascii="Times New Roman" w:hAnsi="Times New Roman" w:eastAsia="黑体" w:cs="Times New Roman"/>
              <w:b w:val="0"/>
              <w:bCs w:val="0"/>
              <w:kern w:val="2"/>
              <w:sz w:val="32"/>
              <w:szCs w:val="32"/>
              <w:lang w:val="en-US" w:eastAsia="zh-CN" w:bidi="ar-SA"/>
            </w:rPr>
            <w:fldChar w:fldCharType="separate"/>
          </w:r>
          <w:sdt>
            <w:sdtPr>
              <w:rPr>
                <w:rFonts w:ascii="Times New Roman" w:hAnsi="Times New Roman" w:eastAsia="黑体" w:cs="Times New Roman"/>
                <w:b w:val="0"/>
                <w:bCs w:val="0"/>
                <w:kern w:val="2"/>
                <w:sz w:val="32"/>
                <w:szCs w:val="32"/>
                <w:lang w:val="en-US" w:eastAsia="zh-CN" w:bidi="ar-SA"/>
              </w:rPr>
              <w:id w:val="952812139"/>
              <w:placeholder>
                <w:docPart w:val="{0ff2029a-1cdf-4a5e-b547-ea3041435ad9}"/>
              </w:placeholder>
            </w:sdtPr>
            <w:sdtEndPr>
              <w:rPr>
                <w:rFonts w:ascii="Times New Roman" w:hAnsi="Times New Roman" w:eastAsia="黑体" w:cs="Times New Roman"/>
                <w:b w:val="0"/>
                <w:bCs w:val="0"/>
                <w:kern w:val="2"/>
                <w:sz w:val="32"/>
                <w:szCs w:val="32"/>
                <w:lang w:val="en-US" w:eastAsia="zh-CN" w:bidi="ar-SA"/>
              </w:rPr>
            </w:sdtEndPr>
            <w:sdtContent>
              <w:r>
                <w:rPr>
                  <w:rFonts w:ascii="Times New Roman" w:hAnsi="Times New Roman" w:eastAsia="黑体" w:cs="Times New Roman"/>
                  <w:b w:val="0"/>
                  <w:bCs w:val="0"/>
                  <w:kern w:val="2"/>
                  <w:sz w:val="32"/>
                  <w:szCs w:val="32"/>
                  <w:lang w:val="en-US" w:eastAsia="zh-CN" w:bidi="ar-SA"/>
                </w:rPr>
                <w:t>第二部分 2021年度单位决算情况说明</w:t>
              </w:r>
            </w:sdtContent>
          </w:sdt>
          <w:r>
            <w:rPr>
              <w:rFonts w:ascii="Times New Roman" w:hAnsi="Times New Roman" w:eastAsia="黑体" w:cs="Times New Roman"/>
              <w:b w:val="0"/>
              <w:bCs w:val="0"/>
              <w:kern w:val="2"/>
              <w:sz w:val="32"/>
              <w:szCs w:val="32"/>
              <w:lang w:val="en-US" w:eastAsia="zh-CN" w:bidi="ar-SA"/>
            </w:rPr>
            <w:tab/>
          </w:r>
          <w:bookmarkStart w:id="18" w:name="_Toc1565122359_WPSOffice_Level1Page"/>
          <w:r>
            <w:rPr>
              <w:rFonts w:ascii="Times New Roman" w:hAnsi="Times New Roman" w:eastAsia="黑体" w:cs="Times New Roman"/>
              <w:b w:val="0"/>
              <w:bCs w:val="0"/>
              <w:kern w:val="2"/>
              <w:sz w:val="32"/>
              <w:szCs w:val="32"/>
              <w:lang w:val="en-US" w:eastAsia="zh-CN" w:bidi="ar-SA"/>
            </w:rPr>
            <w:t>5</w:t>
          </w:r>
          <w:bookmarkEnd w:id="18"/>
          <w:r>
            <w:rPr>
              <w:rFonts w:ascii="Times New Roman" w:hAnsi="Times New Roman" w:eastAsia="黑体"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_Toc1480763467_WPSOffice_Level2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e41c00b0-e949-4870-a87b-50b02e1e74d3}"/>
              </w:placeholder>
            </w:sdtPr>
            <w:sdtEndPr>
              <w:rPr>
                <w:rFonts w:ascii="Times New Roman" w:hAnsi="Times New Roman" w:eastAsia="仿宋_GB2312" w:cs="Times New Roman"/>
                <w:b w:val="0"/>
                <w:bCs w:val="0"/>
                <w:kern w:val="2"/>
                <w:sz w:val="32"/>
                <w:szCs w:val="32"/>
                <w:lang w:val="en-US" w:eastAsia="zh-CN" w:bidi="ar-SA"/>
              </w:rPr>
            </w:sdtEndPr>
            <w:sdtContent>
              <w:r>
                <w:rPr>
                  <w:rFonts w:hint="default" w:ascii="Times New Roman" w:hAnsi="Times New Roman" w:eastAsia="仿宋_GB2312" w:cs="Times New Roman"/>
                  <w:b w:val="0"/>
                  <w:bCs w:val="0"/>
                  <w:kern w:val="2"/>
                  <w:sz w:val="32"/>
                  <w:szCs w:val="32"/>
                  <w:lang w:val="en-US" w:eastAsia="zh-CN" w:bidi="ar-SA"/>
                </w:rPr>
                <w:t>一、</w:t>
              </w:r>
              <w:r>
                <w:rPr>
                  <w:rFonts w:ascii="Times New Roman" w:hAnsi="Times New Roman" w:eastAsia="仿宋_GB2312" w:cs="Times New Roman"/>
                  <w:b w:val="0"/>
                  <w:bCs w:val="0"/>
                  <w:kern w:val="2"/>
                  <w:sz w:val="32"/>
                  <w:szCs w:val="32"/>
                  <w:lang w:val="en-US" w:eastAsia="zh-CN" w:bidi="ar-SA"/>
                </w:rPr>
                <w:t>收入支出决算总体情况说明</w:t>
              </w:r>
            </w:sdtContent>
          </w:sdt>
          <w:r>
            <w:rPr>
              <w:rFonts w:ascii="Times New Roman" w:hAnsi="Times New Roman" w:eastAsia="仿宋_GB2312" w:cs="Times New Roman"/>
              <w:b w:val="0"/>
              <w:bCs w:val="0"/>
              <w:kern w:val="2"/>
              <w:sz w:val="32"/>
              <w:szCs w:val="32"/>
              <w:lang w:val="en-US" w:eastAsia="zh-CN" w:bidi="ar-SA"/>
            </w:rPr>
            <w:tab/>
          </w:r>
          <w:bookmarkStart w:id="19" w:name="_Toc1480763467_WPSOffice_Level2Page"/>
          <w:r>
            <w:rPr>
              <w:rFonts w:ascii="Times New Roman" w:hAnsi="Times New Roman" w:eastAsia="仿宋_GB2312" w:cs="Times New Roman"/>
              <w:b w:val="0"/>
              <w:bCs w:val="0"/>
              <w:kern w:val="2"/>
              <w:sz w:val="32"/>
              <w:szCs w:val="32"/>
              <w:lang w:val="en-US" w:eastAsia="zh-CN" w:bidi="ar-SA"/>
            </w:rPr>
            <w:t>5</w:t>
          </w:r>
          <w:bookmarkEnd w:id="19"/>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_Toc1220370967_WPSOffice_Level2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b5f429be-d375-4870-877a-559a918b3867}"/>
              </w:placeholder>
            </w:sdtPr>
            <w:sdtEndPr>
              <w:rPr>
                <w:rFonts w:ascii="Times New Roman" w:hAnsi="Times New Roman" w:eastAsia="仿宋_GB2312" w:cs="Times New Roman"/>
                <w:b w:val="0"/>
                <w:bCs w:val="0"/>
                <w:kern w:val="2"/>
                <w:sz w:val="32"/>
                <w:szCs w:val="32"/>
                <w:lang w:val="en-US" w:eastAsia="zh-CN" w:bidi="ar-SA"/>
              </w:rPr>
            </w:sdtEndPr>
            <w:sdtContent>
              <w:r>
                <w:rPr>
                  <w:rFonts w:hint="default" w:ascii="Times New Roman" w:hAnsi="Times New Roman" w:eastAsia="仿宋_GB2312" w:cs="Times New Roman"/>
                  <w:b w:val="0"/>
                  <w:bCs w:val="0"/>
                  <w:kern w:val="2"/>
                  <w:sz w:val="32"/>
                  <w:szCs w:val="32"/>
                  <w:lang w:val="en-US" w:eastAsia="zh-CN" w:bidi="ar-SA"/>
                </w:rPr>
                <w:t>二、</w:t>
              </w:r>
              <w:r>
                <w:rPr>
                  <w:rFonts w:ascii="Times New Roman" w:hAnsi="Times New Roman" w:eastAsia="仿宋_GB2312" w:cs="Times New Roman"/>
                  <w:b w:val="0"/>
                  <w:bCs w:val="0"/>
                  <w:kern w:val="2"/>
                  <w:sz w:val="32"/>
                  <w:szCs w:val="32"/>
                  <w:lang w:val="en-US" w:eastAsia="zh-CN" w:bidi="ar-SA"/>
                </w:rPr>
                <w:t>收入决算情况说明</w:t>
              </w:r>
            </w:sdtContent>
          </w:sdt>
          <w:r>
            <w:rPr>
              <w:rFonts w:ascii="Times New Roman" w:hAnsi="Times New Roman" w:eastAsia="仿宋_GB2312" w:cs="Times New Roman"/>
              <w:b w:val="0"/>
              <w:bCs w:val="0"/>
              <w:kern w:val="2"/>
              <w:sz w:val="32"/>
              <w:szCs w:val="32"/>
              <w:lang w:val="en-US" w:eastAsia="zh-CN" w:bidi="ar-SA"/>
            </w:rPr>
            <w:tab/>
          </w:r>
          <w:bookmarkStart w:id="20" w:name="_Toc1220370967_WPSOffice_Level2Page"/>
          <w:r>
            <w:rPr>
              <w:rFonts w:ascii="Times New Roman" w:hAnsi="Times New Roman" w:eastAsia="仿宋_GB2312" w:cs="Times New Roman"/>
              <w:b w:val="0"/>
              <w:bCs w:val="0"/>
              <w:kern w:val="2"/>
              <w:sz w:val="32"/>
              <w:szCs w:val="32"/>
              <w:lang w:val="en-US" w:eastAsia="zh-CN" w:bidi="ar-SA"/>
            </w:rPr>
            <w:t>5</w:t>
          </w:r>
          <w:bookmarkEnd w:id="20"/>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_Toc941369637_WPSOffice_Level2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35b82c8c-e268-40e3-96cd-530e091e0c1c}"/>
              </w:placeholder>
            </w:sdtPr>
            <w:sdtEndPr>
              <w:rPr>
                <w:rFonts w:ascii="Times New Roman" w:hAnsi="Times New Roman" w:eastAsia="仿宋_GB2312" w:cs="Times New Roman"/>
                <w:b w:val="0"/>
                <w:bCs w:val="0"/>
                <w:kern w:val="2"/>
                <w:sz w:val="32"/>
                <w:szCs w:val="32"/>
                <w:lang w:val="en-US" w:eastAsia="zh-CN" w:bidi="ar-SA"/>
              </w:rPr>
            </w:sdtEndPr>
            <w:sdtContent>
              <w:r>
                <w:rPr>
                  <w:rFonts w:hint="default" w:ascii="Times New Roman" w:hAnsi="Times New Roman" w:eastAsia="仿宋_GB2312" w:cs="Times New Roman"/>
                  <w:b w:val="0"/>
                  <w:bCs w:val="0"/>
                  <w:kern w:val="2"/>
                  <w:sz w:val="32"/>
                  <w:szCs w:val="32"/>
                  <w:lang w:val="en-US" w:eastAsia="zh-CN" w:bidi="ar-SA"/>
                </w:rPr>
                <w:t>三、</w:t>
              </w:r>
              <w:r>
                <w:rPr>
                  <w:rFonts w:ascii="Times New Roman" w:hAnsi="Times New Roman" w:eastAsia="仿宋_GB2312" w:cs="Times New Roman"/>
                  <w:b w:val="0"/>
                  <w:bCs w:val="0"/>
                  <w:kern w:val="2"/>
                  <w:sz w:val="32"/>
                  <w:szCs w:val="32"/>
                  <w:lang w:val="en-US" w:eastAsia="zh-CN" w:bidi="ar-SA"/>
                </w:rPr>
                <w:t>支出决算情况说明</w:t>
              </w:r>
            </w:sdtContent>
          </w:sdt>
          <w:r>
            <w:rPr>
              <w:rFonts w:ascii="Times New Roman" w:hAnsi="Times New Roman" w:eastAsia="仿宋_GB2312" w:cs="Times New Roman"/>
              <w:b w:val="0"/>
              <w:bCs w:val="0"/>
              <w:kern w:val="2"/>
              <w:sz w:val="32"/>
              <w:szCs w:val="32"/>
              <w:lang w:val="en-US" w:eastAsia="zh-CN" w:bidi="ar-SA"/>
            </w:rPr>
            <w:tab/>
          </w:r>
          <w:bookmarkStart w:id="21" w:name="_Toc941369637_WPSOffice_Level2Page"/>
          <w:r>
            <w:rPr>
              <w:rFonts w:ascii="Times New Roman" w:hAnsi="Times New Roman" w:eastAsia="仿宋_GB2312" w:cs="Times New Roman"/>
              <w:b w:val="0"/>
              <w:bCs w:val="0"/>
              <w:kern w:val="2"/>
              <w:sz w:val="32"/>
              <w:szCs w:val="32"/>
              <w:lang w:val="en-US" w:eastAsia="zh-CN" w:bidi="ar-SA"/>
            </w:rPr>
            <w:t>6</w:t>
          </w:r>
          <w:bookmarkEnd w:id="21"/>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_Toc383137296_WPSOffice_Level2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94c8d95b-a7cd-4d14-a5fc-1c4a01477a3d}"/>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四、财政拨款收入支出决算总体情况说明</w:t>
              </w:r>
            </w:sdtContent>
          </w:sdt>
          <w:r>
            <w:rPr>
              <w:rFonts w:ascii="Times New Roman" w:hAnsi="Times New Roman" w:eastAsia="仿宋_GB2312" w:cs="Times New Roman"/>
              <w:b w:val="0"/>
              <w:bCs w:val="0"/>
              <w:kern w:val="2"/>
              <w:sz w:val="32"/>
              <w:szCs w:val="32"/>
              <w:lang w:val="en-US" w:eastAsia="zh-CN" w:bidi="ar-SA"/>
            </w:rPr>
            <w:tab/>
          </w:r>
          <w:bookmarkStart w:id="22" w:name="_Toc383137296_WPSOffice_Level2Page"/>
          <w:r>
            <w:rPr>
              <w:rFonts w:ascii="Times New Roman" w:hAnsi="Times New Roman" w:eastAsia="仿宋_GB2312" w:cs="Times New Roman"/>
              <w:b w:val="0"/>
              <w:bCs w:val="0"/>
              <w:kern w:val="2"/>
              <w:sz w:val="32"/>
              <w:szCs w:val="32"/>
              <w:lang w:val="en-US" w:eastAsia="zh-CN" w:bidi="ar-SA"/>
            </w:rPr>
            <w:t>6</w:t>
          </w:r>
          <w:bookmarkEnd w:id="22"/>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_Toc1066458474_WPSOffice_Level2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5e652d0a-5f96-43df-9380-d135ba3adba4}"/>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五、一般公共预算财政拨款支出决算情况说明</w:t>
              </w:r>
            </w:sdtContent>
          </w:sdt>
          <w:r>
            <w:rPr>
              <w:rFonts w:ascii="Times New Roman" w:hAnsi="Times New Roman" w:eastAsia="仿宋_GB2312" w:cs="Times New Roman"/>
              <w:b w:val="0"/>
              <w:bCs w:val="0"/>
              <w:kern w:val="2"/>
              <w:sz w:val="32"/>
              <w:szCs w:val="32"/>
              <w:lang w:val="en-US" w:eastAsia="zh-CN" w:bidi="ar-SA"/>
            </w:rPr>
            <w:tab/>
          </w:r>
          <w:bookmarkStart w:id="23" w:name="_Toc1066458474_WPSOffice_Level2Page"/>
          <w:r>
            <w:rPr>
              <w:rFonts w:ascii="Times New Roman" w:hAnsi="Times New Roman" w:eastAsia="仿宋_GB2312" w:cs="Times New Roman"/>
              <w:b w:val="0"/>
              <w:bCs w:val="0"/>
              <w:kern w:val="2"/>
              <w:sz w:val="32"/>
              <w:szCs w:val="32"/>
              <w:lang w:val="en-US" w:eastAsia="zh-CN" w:bidi="ar-SA"/>
            </w:rPr>
            <w:t>7</w:t>
          </w:r>
          <w:bookmarkEnd w:id="23"/>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_Toc2050223734_WPSOffice_Level2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72d797f2-9714-408b-8b3d-617658f6a7e6}"/>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六、一般公共预算财政拨款基本支出决算情况说明</w:t>
              </w:r>
            </w:sdtContent>
          </w:sdt>
          <w:r>
            <w:rPr>
              <w:rFonts w:ascii="Times New Roman" w:hAnsi="Times New Roman" w:eastAsia="仿宋_GB2312" w:cs="Times New Roman"/>
              <w:b w:val="0"/>
              <w:bCs w:val="0"/>
              <w:kern w:val="2"/>
              <w:sz w:val="32"/>
              <w:szCs w:val="32"/>
              <w:lang w:val="en-US" w:eastAsia="zh-CN" w:bidi="ar-SA"/>
            </w:rPr>
            <w:tab/>
          </w:r>
          <w:bookmarkStart w:id="24" w:name="_Toc2050223734_WPSOffice_Level2Page"/>
          <w:r>
            <w:rPr>
              <w:rFonts w:ascii="Times New Roman" w:hAnsi="Times New Roman" w:eastAsia="仿宋_GB2312" w:cs="Times New Roman"/>
              <w:b w:val="0"/>
              <w:bCs w:val="0"/>
              <w:kern w:val="2"/>
              <w:sz w:val="32"/>
              <w:szCs w:val="32"/>
              <w:lang w:val="en-US" w:eastAsia="zh-CN" w:bidi="ar-SA"/>
            </w:rPr>
            <w:t>9</w:t>
          </w:r>
          <w:bookmarkEnd w:id="24"/>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_Toc165465718_WPSOffice_Level2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ae162c8c-78c8-4da3-963c-9d45b0e71412}"/>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七、“三公”经费财政拨款支出决算情况说明</w:t>
              </w:r>
            </w:sdtContent>
          </w:sdt>
          <w:r>
            <w:rPr>
              <w:rFonts w:ascii="Times New Roman" w:hAnsi="Times New Roman" w:eastAsia="仿宋_GB2312" w:cs="Times New Roman"/>
              <w:b w:val="0"/>
              <w:bCs w:val="0"/>
              <w:kern w:val="2"/>
              <w:sz w:val="32"/>
              <w:szCs w:val="32"/>
              <w:lang w:val="en-US" w:eastAsia="zh-CN" w:bidi="ar-SA"/>
            </w:rPr>
            <w:tab/>
          </w:r>
          <w:bookmarkStart w:id="25" w:name="_Toc165465718_WPSOffice_Level2Page"/>
          <w:r>
            <w:rPr>
              <w:rFonts w:ascii="Times New Roman" w:hAnsi="Times New Roman" w:eastAsia="仿宋_GB2312" w:cs="Times New Roman"/>
              <w:b w:val="0"/>
              <w:bCs w:val="0"/>
              <w:kern w:val="2"/>
              <w:sz w:val="32"/>
              <w:szCs w:val="32"/>
              <w:lang w:val="en-US" w:eastAsia="zh-CN" w:bidi="ar-SA"/>
            </w:rPr>
            <w:t>10</w:t>
          </w:r>
          <w:bookmarkEnd w:id="25"/>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_Toc1837910604_WPSOffice_Level2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b7f26413-1771-45a4-b941-7ce3f8d45ac6}"/>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八、政府性基金预算支出决算情况说明</w:t>
              </w:r>
            </w:sdtContent>
          </w:sdt>
          <w:r>
            <w:rPr>
              <w:rFonts w:ascii="Times New Roman" w:hAnsi="Times New Roman" w:eastAsia="仿宋_GB2312" w:cs="Times New Roman"/>
              <w:b w:val="0"/>
              <w:bCs w:val="0"/>
              <w:kern w:val="2"/>
              <w:sz w:val="32"/>
              <w:szCs w:val="32"/>
              <w:lang w:val="en-US" w:eastAsia="zh-CN" w:bidi="ar-SA"/>
            </w:rPr>
            <w:tab/>
          </w:r>
          <w:bookmarkStart w:id="26" w:name="_Toc1837910604_WPSOffice_Level2Page"/>
          <w:r>
            <w:rPr>
              <w:rFonts w:ascii="Times New Roman" w:hAnsi="Times New Roman" w:eastAsia="仿宋_GB2312" w:cs="Times New Roman"/>
              <w:b w:val="0"/>
              <w:bCs w:val="0"/>
              <w:kern w:val="2"/>
              <w:sz w:val="32"/>
              <w:szCs w:val="32"/>
              <w:lang w:val="en-US" w:eastAsia="zh-CN" w:bidi="ar-SA"/>
            </w:rPr>
            <w:t>12</w:t>
          </w:r>
          <w:bookmarkEnd w:id="26"/>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_Toc1174425511_WPSOffice_Level2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ea80ec29-0202-478f-9438-751ed641eb3c}"/>
              </w:placeholder>
            </w:sdtPr>
            <w:sdtEndPr>
              <w:rPr>
                <w:rFonts w:ascii="Times New Roman" w:hAnsi="Times New Roman" w:eastAsia="仿宋_GB2312" w:cs="Times New Roman"/>
                <w:b w:val="0"/>
                <w:bCs w:val="0"/>
                <w:kern w:val="2"/>
                <w:sz w:val="32"/>
                <w:szCs w:val="32"/>
                <w:lang w:val="en-US" w:eastAsia="zh-CN" w:bidi="ar-SA"/>
              </w:rPr>
            </w:sdtEndPr>
            <w:sdtContent>
              <w:r>
                <w:rPr>
                  <w:rFonts w:hint="eastAsia" w:ascii="Times New Roman" w:hAnsi="Times New Roman" w:eastAsia="仿宋_GB2312" w:cs="Times New Roman"/>
                  <w:b w:val="0"/>
                  <w:bCs w:val="0"/>
                  <w:kern w:val="2"/>
                  <w:sz w:val="32"/>
                  <w:szCs w:val="32"/>
                  <w:lang w:val="en-US" w:eastAsia="zh-CN" w:bidi="ar-SA"/>
                </w:rPr>
                <w:t>九、</w:t>
              </w:r>
              <w:r>
                <w:rPr>
                  <w:rFonts w:ascii="Times New Roman" w:hAnsi="Times New Roman" w:eastAsia="仿宋_GB2312" w:cs="Times New Roman"/>
                  <w:b w:val="0"/>
                  <w:bCs w:val="0"/>
                  <w:kern w:val="2"/>
                  <w:sz w:val="32"/>
                  <w:szCs w:val="32"/>
                  <w:lang w:val="en-US" w:eastAsia="zh-CN" w:bidi="ar-SA"/>
                </w:rPr>
                <w:t>国有资本经营预算支出决算情况说明</w:t>
              </w:r>
            </w:sdtContent>
          </w:sdt>
          <w:r>
            <w:rPr>
              <w:rFonts w:ascii="Times New Roman" w:hAnsi="Times New Roman" w:eastAsia="仿宋_GB2312" w:cs="Times New Roman"/>
              <w:b w:val="0"/>
              <w:bCs w:val="0"/>
              <w:kern w:val="2"/>
              <w:sz w:val="32"/>
              <w:szCs w:val="32"/>
              <w:lang w:val="en-US" w:eastAsia="zh-CN" w:bidi="ar-SA"/>
            </w:rPr>
            <w:tab/>
          </w:r>
          <w:bookmarkStart w:id="27" w:name="_Toc1174425511_WPSOffice_Level2Page"/>
          <w:r>
            <w:rPr>
              <w:rFonts w:ascii="Times New Roman" w:hAnsi="Times New Roman" w:eastAsia="仿宋_GB2312" w:cs="Times New Roman"/>
              <w:b w:val="0"/>
              <w:bCs w:val="0"/>
              <w:kern w:val="2"/>
              <w:sz w:val="32"/>
              <w:szCs w:val="32"/>
              <w:lang w:val="en-US" w:eastAsia="zh-CN" w:bidi="ar-SA"/>
            </w:rPr>
            <w:t>12</w:t>
          </w:r>
          <w:bookmarkEnd w:id="27"/>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_Toc1156844364_WPSOffice_Level2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5c060ec9-98e6-486f-ba13-c14bad32d70f}"/>
              </w:placeholder>
            </w:sdtPr>
            <w:sdtEndPr>
              <w:rPr>
                <w:rFonts w:ascii="Times New Roman" w:hAnsi="Times New Roman" w:eastAsia="仿宋_GB2312" w:cs="Times New Roman"/>
                <w:b w:val="0"/>
                <w:bCs w:val="0"/>
                <w:kern w:val="2"/>
                <w:sz w:val="32"/>
                <w:szCs w:val="32"/>
                <w:lang w:val="en-US" w:eastAsia="zh-CN" w:bidi="ar-SA"/>
              </w:rPr>
            </w:sdtEndPr>
            <w:sdtContent>
              <w:r>
                <w:rPr>
                  <w:rFonts w:hint="eastAsia" w:ascii="Times New Roman" w:hAnsi="Times New Roman" w:eastAsia="仿宋_GB2312" w:cs="Times New Roman"/>
                  <w:b w:val="0"/>
                  <w:bCs w:val="0"/>
                  <w:kern w:val="2"/>
                  <w:sz w:val="32"/>
                  <w:szCs w:val="32"/>
                  <w:lang w:val="en-US" w:eastAsia="zh-CN" w:bidi="ar-SA"/>
                </w:rPr>
                <w:t>十、</w:t>
              </w:r>
              <w:r>
                <w:rPr>
                  <w:rFonts w:ascii="Times New Roman" w:hAnsi="Times New Roman" w:eastAsia="仿宋_GB2312" w:cs="Times New Roman"/>
                  <w:b w:val="0"/>
                  <w:bCs w:val="0"/>
                  <w:kern w:val="2"/>
                  <w:sz w:val="32"/>
                  <w:szCs w:val="32"/>
                  <w:lang w:val="en-US" w:eastAsia="zh-CN" w:bidi="ar-SA"/>
                </w:rPr>
                <w:t>其他重要事项的情况说明</w:t>
              </w:r>
            </w:sdtContent>
          </w:sdt>
          <w:r>
            <w:rPr>
              <w:rFonts w:ascii="Times New Roman" w:hAnsi="Times New Roman" w:eastAsia="仿宋_GB2312" w:cs="Times New Roman"/>
              <w:b w:val="0"/>
              <w:bCs w:val="0"/>
              <w:kern w:val="2"/>
              <w:sz w:val="32"/>
              <w:szCs w:val="32"/>
              <w:lang w:val="en-US" w:eastAsia="zh-CN" w:bidi="ar-SA"/>
            </w:rPr>
            <w:tab/>
          </w:r>
          <w:bookmarkStart w:id="28" w:name="_Toc1156844364_WPSOffice_Level2Page"/>
          <w:r>
            <w:rPr>
              <w:rFonts w:ascii="Times New Roman" w:hAnsi="Times New Roman" w:eastAsia="仿宋_GB2312" w:cs="Times New Roman"/>
              <w:b w:val="0"/>
              <w:bCs w:val="0"/>
              <w:kern w:val="2"/>
              <w:sz w:val="32"/>
              <w:szCs w:val="32"/>
              <w:lang w:val="en-US" w:eastAsia="zh-CN" w:bidi="ar-SA"/>
            </w:rPr>
            <w:t>12</w:t>
          </w:r>
          <w:bookmarkEnd w:id="28"/>
          <w:r>
            <w:rPr>
              <w:rFonts w:ascii="Times New Roman" w:hAnsi="Times New Roman" w:eastAsia="仿宋_GB2312" w:cs="Times New Roman"/>
              <w:b w:val="0"/>
              <w:bCs w:val="0"/>
              <w:kern w:val="2"/>
              <w:sz w:val="32"/>
              <w:szCs w:val="32"/>
              <w:lang w:val="en-US" w:eastAsia="zh-CN" w:bidi="ar-SA"/>
            </w:rPr>
            <w:fldChar w:fldCharType="end"/>
          </w:r>
        </w:p>
        <w:p>
          <w:pPr>
            <w:pStyle w:val="31"/>
            <w:tabs>
              <w:tab w:val="right" w:leader="dot" w:pos="8844"/>
            </w:tabs>
            <w:rPr>
              <w:rFonts w:ascii="Times New Roman" w:hAnsi="Times New Roman" w:eastAsia="黑体" w:cs="Times New Roman"/>
              <w:b w:val="0"/>
              <w:bCs w:val="0"/>
              <w:kern w:val="2"/>
              <w:sz w:val="32"/>
              <w:szCs w:val="32"/>
              <w:lang w:val="en-US" w:eastAsia="zh-CN" w:bidi="ar-SA"/>
            </w:rPr>
          </w:pPr>
          <w:r>
            <w:rPr>
              <w:rFonts w:ascii="Times New Roman" w:hAnsi="Times New Roman" w:eastAsia="黑体" w:cs="Times New Roman"/>
              <w:b w:val="0"/>
              <w:bCs w:val="0"/>
              <w:kern w:val="2"/>
              <w:sz w:val="32"/>
              <w:szCs w:val="32"/>
              <w:lang w:val="en-US" w:eastAsia="zh-CN" w:bidi="ar-SA"/>
            </w:rPr>
            <w:fldChar w:fldCharType="begin"/>
          </w:r>
          <w:r>
            <w:rPr>
              <w:rFonts w:ascii="Times New Roman" w:hAnsi="Times New Roman" w:eastAsia="黑体" w:cs="Times New Roman"/>
              <w:b w:val="0"/>
              <w:bCs w:val="0"/>
              <w:kern w:val="2"/>
              <w:sz w:val="32"/>
              <w:szCs w:val="32"/>
              <w:lang w:val="en-US" w:eastAsia="zh-CN" w:bidi="ar-SA"/>
            </w:rPr>
            <w:instrText xml:space="preserve"> HYPERLINK \l _Toc547774183_WPSOffice_Level1 </w:instrText>
          </w:r>
          <w:r>
            <w:rPr>
              <w:rFonts w:ascii="Times New Roman" w:hAnsi="Times New Roman" w:eastAsia="黑体" w:cs="Times New Roman"/>
              <w:b w:val="0"/>
              <w:bCs w:val="0"/>
              <w:kern w:val="2"/>
              <w:sz w:val="32"/>
              <w:szCs w:val="32"/>
              <w:lang w:val="en-US" w:eastAsia="zh-CN" w:bidi="ar-SA"/>
            </w:rPr>
            <w:fldChar w:fldCharType="separate"/>
          </w:r>
          <w:sdt>
            <w:sdtPr>
              <w:rPr>
                <w:rFonts w:ascii="Times New Roman" w:hAnsi="Times New Roman" w:eastAsia="黑体" w:cs="Times New Roman"/>
                <w:b w:val="0"/>
                <w:bCs w:val="0"/>
                <w:kern w:val="2"/>
                <w:sz w:val="32"/>
                <w:szCs w:val="32"/>
                <w:lang w:val="en-US" w:eastAsia="zh-CN" w:bidi="ar-SA"/>
              </w:rPr>
              <w:id w:val="952812139"/>
              <w:placeholder>
                <w:docPart w:val="{589ae1ef-61d7-4ca0-9a49-891ea8b738ce}"/>
              </w:placeholder>
            </w:sdtPr>
            <w:sdtEndPr>
              <w:rPr>
                <w:rFonts w:ascii="Times New Roman" w:hAnsi="Times New Roman" w:eastAsia="黑体" w:cs="Times New Roman"/>
                <w:b w:val="0"/>
                <w:bCs w:val="0"/>
                <w:kern w:val="2"/>
                <w:sz w:val="32"/>
                <w:szCs w:val="32"/>
                <w:lang w:val="en-US" w:eastAsia="zh-CN" w:bidi="ar-SA"/>
              </w:rPr>
            </w:sdtEndPr>
            <w:sdtContent>
              <w:r>
                <w:rPr>
                  <w:rFonts w:hint="eastAsia" w:ascii="Times New Roman" w:hAnsi="Times New Roman" w:eastAsia="黑体" w:cs="Times New Roman"/>
                  <w:b w:val="0"/>
                  <w:bCs w:val="0"/>
                  <w:kern w:val="2"/>
                  <w:sz w:val="32"/>
                  <w:szCs w:val="32"/>
                  <w:lang w:val="en-US" w:eastAsia="zh-CN" w:bidi="ar-SA"/>
                </w:rPr>
                <w:t xml:space="preserve">第三部分 </w:t>
              </w:r>
              <w:r>
                <w:rPr>
                  <w:rFonts w:ascii="Times New Roman" w:hAnsi="Times New Roman" w:eastAsia="黑体" w:cs="Times New Roman"/>
                  <w:b w:val="0"/>
                  <w:bCs w:val="0"/>
                  <w:kern w:val="2"/>
                  <w:sz w:val="32"/>
                  <w:szCs w:val="32"/>
                  <w:lang w:val="en-US" w:eastAsia="zh-CN" w:bidi="ar-SA"/>
                </w:rPr>
                <w:t>名词解释</w:t>
              </w:r>
            </w:sdtContent>
          </w:sdt>
          <w:r>
            <w:rPr>
              <w:rFonts w:ascii="Times New Roman" w:hAnsi="Times New Roman" w:eastAsia="黑体" w:cs="Times New Roman"/>
              <w:b w:val="0"/>
              <w:bCs w:val="0"/>
              <w:kern w:val="2"/>
              <w:sz w:val="32"/>
              <w:szCs w:val="32"/>
              <w:lang w:val="en-US" w:eastAsia="zh-CN" w:bidi="ar-SA"/>
            </w:rPr>
            <w:tab/>
          </w:r>
          <w:bookmarkStart w:id="29" w:name="_Toc547774183_WPSOffice_Level1Page"/>
          <w:r>
            <w:rPr>
              <w:rFonts w:ascii="Times New Roman" w:hAnsi="Times New Roman" w:eastAsia="黑体" w:cs="Times New Roman"/>
              <w:b w:val="0"/>
              <w:bCs w:val="0"/>
              <w:kern w:val="2"/>
              <w:sz w:val="32"/>
              <w:szCs w:val="32"/>
              <w:lang w:val="en-US" w:eastAsia="zh-CN" w:bidi="ar-SA"/>
            </w:rPr>
            <w:t>14</w:t>
          </w:r>
          <w:bookmarkEnd w:id="29"/>
          <w:r>
            <w:rPr>
              <w:rFonts w:ascii="Times New Roman" w:hAnsi="Times New Roman" w:eastAsia="黑体" w:cs="Times New Roman"/>
              <w:b w:val="0"/>
              <w:bCs w:val="0"/>
              <w:kern w:val="2"/>
              <w:sz w:val="32"/>
              <w:szCs w:val="32"/>
              <w:lang w:val="en-US" w:eastAsia="zh-CN" w:bidi="ar-SA"/>
            </w:rPr>
            <w:fldChar w:fldCharType="end"/>
          </w:r>
        </w:p>
        <w:p>
          <w:pPr>
            <w:pStyle w:val="31"/>
            <w:tabs>
              <w:tab w:val="right" w:leader="dot" w:pos="8844"/>
            </w:tabs>
            <w:rPr>
              <w:rFonts w:ascii="Times New Roman" w:hAnsi="Times New Roman" w:eastAsia="黑体" w:cs="Times New Roman"/>
              <w:b w:val="0"/>
              <w:bCs w:val="0"/>
              <w:kern w:val="2"/>
              <w:sz w:val="32"/>
              <w:szCs w:val="32"/>
              <w:lang w:val="en-US" w:eastAsia="zh-CN" w:bidi="ar-SA"/>
            </w:rPr>
          </w:pPr>
          <w:r>
            <w:rPr>
              <w:rFonts w:ascii="Times New Roman" w:hAnsi="Times New Roman" w:eastAsia="黑体" w:cs="Times New Roman"/>
              <w:b w:val="0"/>
              <w:bCs w:val="0"/>
              <w:kern w:val="2"/>
              <w:sz w:val="32"/>
              <w:szCs w:val="32"/>
              <w:lang w:val="en-US" w:eastAsia="zh-CN" w:bidi="ar-SA"/>
            </w:rPr>
            <w:fldChar w:fldCharType="begin"/>
          </w:r>
          <w:r>
            <w:rPr>
              <w:rFonts w:ascii="Times New Roman" w:hAnsi="Times New Roman" w:eastAsia="黑体" w:cs="Times New Roman"/>
              <w:b w:val="0"/>
              <w:bCs w:val="0"/>
              <w:kern w:val="2"/>
              <w:sz w:val="32"/>
              <w:szCs w:val="32"/>
              <w:lang w:val="en-US" w:eastAsia="zh-CN" w:bidi="ar-SA"/>
            </w:rPr>
            <w:instrText xml:space="preserve"> HYPERLINK \l _Toc1480763467_WPSOffice_Level1 </w:instrText>
          </w:r>
          <w:r>
            <w:rPr>
              <w:rFonts w:ascii="Times New Roman" w:hAnsi="Times New Roman" w:eastAsia="黑体" w:cs="Times New Roman"/>
              <w:b w:val="0"/>
              <w:bCs w:val="0"/>
              <w:kern w:val="2"/>
              <w:sz w:val="32"/>
              <w:szCs w:val="32"/>
              <w:lang w:val="en-US" w:eastAsia="zh-CN" w:bidi="ar-SA"/>
            </w:rPr>
            <w:fldChar w:fldCharType="separate"/>
          </w:r>
          <w:sdt>
            <w:sdtPr>
              <w:rPr>
                <w:rFonts w:ascii="Times New Roman" w:hAnsi="Times New Roman" w:eastAsia="黑体" w:cs="Times New Roman"/>
                <w:b w:val="0"/>
                <w:bCs w:val="0"/>
                <w:kern w:val="2"/>
                <w:sz w:val="32"/>
                <w:szCs w:val="32"/>
                <w:lang w:val="en-US" w:eastAsia="zh-CN" w:bidi="ar-SA"/>
              </w:rPr>
              <w:id w:val="952812139"/>
              <w:placeholder>
                <w:docPart w:val="{bc704a5c-f23a-4789-888d-2fc032822e4b}"/>
              </w:placeholder>
            </w:sdtPr>
            <w:sdtEndPr>
              <w:rPr>
                <w:rFonts w:ascii="Times New Roman" w:hAnsi="Times New Roman" w:eastAsia="黑体" w:cs="Times New Roman"/>
                <w:b w:val="0"/>
                <w:bCs w:val="0"/>
                <w:kern w:val="2"/>
                <w:sz w:val="32"/>
                <w:szCs w:val="32"/>
                <w:lang w:val="en-US" w:eastAsia="zh-CN" w:bidi="ar-SA"/>
              </w:rPr>
            </w:sdtEndPr>
            <w:sdtContent>
              <w:r>
                <w:rPr>
                  <w:rFonts w:ascii="Times New Roman" w:hAnsi="Times New Roman" w:eastAsia="黑体" w:cs="Times New Roman"/>
                  <w:b w:val="0"/>
                  <w:bCs w:val="0"/>
                  <w:kern w:val="2"/>
                  <w:sz w:val="32"/>
                  <w:szCs w:val="32"/>
                  <w:lang w:val="en-US" w:eastAsia="zh-CN" w:bidi="ar-SA"/>
                </w:rPr>
                <w:t>第四部分 附件</w:t>
              </w:r>
            </w:sdtContent>
          </w:sdt>
          <w:r>
            <w:rPr>
              <w:rFonts w:ascii="Times New Roman" w:hAnsi="Times New Roman" w:eastAsia="黑体" w:cs="Times New Roman"/>
              <w:b w:val="0"/>
              <w:bCs w:val="0"/>
              <w:kern w:val="2"/>
              <w:sz w:val="32"/>
              <w:szCs w:val="32"/>
              <w:lang w:val="en-US" w:eastAsia="zh-CN" w:bidi="ar-SA"/>
            </w:rPr>
            <w:tab/>
          </w:r>
          <w:bookmarkStart w:id="30" w:name="_Toc1480763467_WPSOffice_Level1Page"/>
          <w:r>
            <w:rPr>
              <w:rFonts w:ascii="Times New Roman" w:hAnsi="Times New Roman" w:eastAsia="黑体" w:cs="Times New Roman"/>
              <w:b w:val="0"/>
              <w:bCs w:val="0"/>
              <w:kern w:val="2"/>
              <w:sz w:val="32"/>
              <w:szCs w:val="32"/>
              <w:lang w:val="en-US" w:eastAsia="zh-CN" w:bidi="ar-SA"/>
            </w:rPr>
            <w:t>17</w:t>
          </w:r>
          <w:bookmarkEnd w:id="30"/>
          <w:r>
            <w:rPr>
              <w:rFonts w:ascii="Times New Roman" w:hAnsi="Times New Roman" w:eastAsia="黑体" w:cs="Times New Roman"/>
              <w:b w:val="0"/>
              <w:bCs w:val="0"/>
              <w:kern w:val="2"/>
              <w:sz w:val="32"/>
              <w:szCs w:val="32"/>
              <w:lang w:val="en-US" w:eastAsia="zh-CN" w:bidi="ar-SA"/>
            </w:rPr>
            <w:fldChar w:fldCharType="end"/>
          </w:r>
        </w:p>
        <w:p>
          <w:pPr>
            <w:pStyle w:val="31"/>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黑体" w:cs="Times New Roman"/>
              <w:b w:val="0"/>
              <w:bCs w:val="0"/>
              <w:kern w:val="2"/>
              <w:sz w:val="32"/>
              <w:szCs w:val="32"/>
              <w:lang w:val="en-US" w:eastAsia="zh-CN" w:bidi="ar-SA"/>
            </w:rPr>
            <w:fldChar w:fldCharType="begin"/>
          </w:r>
          <w:r>
            <w:rPr>
              <w:rFonts w:ascii="Times New Roman" w:hAnsi="Times New Roman" w:eastAsia="黑体" w:cs="Times New Roman"/>
              <w:b w:val="0"/>
              <w:bCs w:val="0"/>
              <w:kern w:val="2"/>
              <w:sz w:val="32"/>
              <w:szCs w:val="32"/>
              <w:lang w:val="en-US" w:eastAsia="zh-CN" w:bidi="ar-SA"/>
            </w:rPr>
            <w:instrText xml:space="preserve"> HYPERLINK \l _Toc1220370967_WPSOffice_Level1 </w:instrText>
          </w:r>
          <w:r>
            <w:rPr>
              <w:rFonts w:ascii="Times New Roman" w:hAnsi="Times New Roman" w:eastAsia="黑体" w:cs="Times New Roman"/>
              <w:b w:val="0"/>
              <w:bCs w:val="0"/>
              <w:kern w:val="2"/>
              <w:sz w:val="32"/>
              <w:szCs w:val="32"/>
              <w:lang w:val="en-US" w:eastAsia="zh-CN" w:bidi="ar-SA"/>
            </w:rPr>
            <w:fldChar w:fldCharType="separate"/>
          </w:r>
          <w:sdt>
            <w:sdtPr>
              <w:rPr>
                <w:rFonts w:ascii="Times New Roman" w:hAnsi="Times New Roman" w:eastAsia="黑体" w:cs="Times New Roman"/>
                <w:b w:val="0"/>
                <w:bCs w:val="0"/>
                <w:kern w:val="2"/>
                <w:sz w:val="32"/>
                <w:szCs w:val="32"/>
                <w:lang w:val="en-US" w:eastAsia="zh-CN" w:bidi="ar-SA"/>
              </w:rPr>
              <w:id w:val="952812139"/>
              <w:placeholder>
                <w:docPart w:val="{b0b4635e-cf93-4b0d-80d4-cffd3045ebab}"/>
              </w:placeholder>
            </w:sdtPr>
            <w:sdtEndPr>
              <w:rPr>
                <w:rFonts w:ascii="Times New Roman" w:hAnsi="Times New Roman" w:eastAsia="黑体" w:cs="Times New Roman"/>
                <w:b w:val="0"/>
                <w:bCs w:val="0"/>
                <w:kern w:val="2"/>
                <w:sz w:val="32"/>
                <w:szCs w:val="32"/>
                <w:lang w:val="en-US" w:eastAsia="zh-CN" w:bidi="ar-SA"/>
              </w:rPr>
            </w:sdtEndPr>
            <w:sdtContent>
              <w:r>
                <w:rPr>
                  <w:rFonts w:ascii="Times New Roman" w:hAnsi="Times New Roman" w:eastAsia="黑体" w:cs="Times New Roman"/>
                  <w:b w:val="0"/>
                  <w:bCs w:val="0"/>
                  <w:kern w:val="2"/>
                  <w:sz w:val="32"/>
                  <w:szCs w:val="32"/>
                  <w:lang w:val="en-US" w:eastAsia="zh-CN" w:bidi="ar-SA"/>
                </w:rPr>
                <w:t>第五部分 附表</w:t>
              </w:r>
            </w:sdtContent>
          </w:sdt>
          <w:r>
            <w:rPr>
              <w:rFonts w:ascii="Times New Roman" w:hAnsi="Times New Roman" w:eastAsia="黑体" w:cs="Times New Roman"/>
              <w:b w:val="0"/>
              <w:bCs w:val="0"/>
              <w:kern w:val="2"/>
              <w:sz w:val="32"/>
              <w:szCs w:val="32"/>
              <w:lang w:val="en-US" w:eastAsia="zh-CN" w:bidi="ar-SA"/>
            </w:rPr>
            <w:tab/>
          </w:r>
          <w:bookmarkStart w:id="31" w:name="_Toc1220370967_WPSOffice_Level1Page"/>
          <w:r>
            <w:rPr>
              <w:rFonts w:ascii="Times New Roman" w:hAnsi="Times New Roman" w:eastAsia="黑体" w:cs="Times New Roman"/>
              <w:b w:val="0"/>
              <w:bCs w:val="0"/>
              <w:kern w:val="2"/>
              <w:sz w:val="32"/>
              <w:szCs w:val="32"/>
              <w:lang w:val="en-US" w:eastAsia="zh-CN" w:bidi="ar-SA"/>
            </w:rPr>
            <w:t>18</w:t>
          </w:r>
          <w:bookmarkEnd w:id="31"/>
          <w:r>
            <w:rPr>
              <w:rFonts w:ascii="Times New Roman" w:hAnsi="Times New Roman" w:eastAsia="黑体"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_Toc622584165_WPSOffice_Level2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67910180-2058-4d8b-bc44-b9a8f9b23ae5}"/>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一、收入支出决算总表</w:t>
              </w:r>
            </w:sdtContent>
          </w:sdt>
          <w:r>
            <w:rPr>
              <w:rFonts w:ascii="Times New Roman" w:hAnsi="Times New Roman" w:eastAsia="仿宋_GB2312" w:cs="Times New Roman"/>
              <w:b w:val="0"/>
              <w:bCs w:val="0"/>
              <w:kern w:val="2"/>
              <w:sz w:val="32"/>
              <w:szCs w:val="32"/>
              <w:lang w:val="en-US" w:eastAsia="zh-CN" w:bidi="ar-SA"/>
            </w:rPr>
            <w:tab/>
          </w:r>
          <w:bookmarkStart w:id="32" w:name="_Toc622584165_WPSOffice_Level2Page"/>
          <w:r>
            <w:rPr>
              <w:rFonts w:ascii="Times New Roman" w:hAnsi="Times New Roman" w:eastAsia="仿宋_GB2312" w:cs="Times New Roman"/>
              <w:b w:val="0"/>
              <w:bCs w:val="0"/>
              <w:kern w:val="2"/>
              <w:sz w:val="32"/>
              <w:szCs w:val="32"/>
              <w:lang w:val="en-US" w:eastAsia="zh-CN" w:bidi="ar-SA"/>
            </w:rPr>
            <w:t>18</w:t>
          </w:r>
          <w:bookmarkEnd w:id="32"/>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_Toc647875323_WPSOffice_Level2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fadcb059-c1e6-4af8-95ab-df7cc323d44e}"/>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二、收入决算表</w:t>
              </w:r>
            </w:sdtContent>
          </w:sdt>
          <w:r>
            <w:rPr>
              <w:rFonts w:ascii="Times New Roman" w:hAnsi="Times New Roman" w:eastAsia="仿宋_GB2312" w:cs="Times New Roman"/>
              <w:b w:val="0"/>
              <w:bCs w:val="0"/>
              <w:kern w:val="2"/>
              <w:sz w:val="32"/>
              <w:szCs w:val="32"/>
              <w:lang w:val="en-US" w:eastAsia="zh-CN" w:bidi="ar-SA"/>
            </w:rPr>
            <w:tab/>
          </w:r>
          <w:bookmarkStart w:id="33" w:name="_Toc647875323_WPSOffice_Level2Page"/>
          <w:r>
            <w:rPr>
              <w:rFonts w:ascii="Times New Roman" w:hAnsi="Times New Roman" w:eastAsia="仿宋_GB2312" w:cs="Times New Roman"/>
              <w:b w:val="0"/>
              <w:bCs w:val="0"/>
              <w:kern w:val="2"/>
              <w:sz w:val="32"/>
              <w:szCs w:val="32"/>
              <w:lang w:val="en-US" w:eastAsia="zh-CN" w:bidi="ar-SA"/>
            </w:rPr>
            <w:t>18</w:t>
          </w:r>
          <w:bookmarkEnd w:id="33"/>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_Toc1467466883_WPSOffice_Level2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7c9fcce7-b8c0-419f-9371-c768e95cfa87}"/>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三、支出决算表</w:t>
              </w:r>
            </w:sdtContent>
          </w:sdt>
          <w:r>
            <w:rPr>
              <w:rFonts w:ascii="Times New Roman" w:hAnsi="Times New Roman" w:eastAsia="仿宋_GB2312" w:cs="Times New Roman"/>
              <w:b w:val="0"/>
              <w:bCs w:val="0"/>
              <w:kern w:val="2"/>
              <w:sz w:val="32"/>
              <w:szCs w:val="32"/>
              <w:lang w:val="en-US" w:eastAsia="zh-CN" w:bidi="ar-SA"/>
            </w:rPr>
            <w:tab/>
          </w:r>
          <w:bookmarkStart w:id="34" w:name="_Toc1467466883_WPSOffice_Level2Page"/>
          <w:r>
            <w:rPr>
              <w:rFonts w:ascii="Times New Roman" w:hAnsi="Times New Roman" w:eastAsia="仿宋_GB2312" w:cs="Times New Roman"/>
              <w:b w:val="0"/>
              <w:bCs w:val="0"/>
              <w:kern w:val="2"/>
              <w:sz w:val="32"/>
              <w:szCs w:val="32"/>
              <w:lang w:val="en-US" w:eastAsia="zh-CN" w:bidi="ar-SA"/>
            </w:rPr>
            <w:t>18</w:t>
          </w:r>
          <w:bookmarkEnd w:id="34"/>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_Toc818516134_WPSOffice_Level2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d2c1e641-c6fa-4c77-8a08-5853de30e80f}"/>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四、财政拨款收入支出决算总表</w:t>
              </w:r>
            </w:sdtContent>
          </w:sdt>
          <w:r>
            <w:rPr>
              <w:rFonts w:ascii="Times New Roman" w:hAnsi="Times New Roman" w:eastAsia="仿宋_GB2312" w:cs="Times New Roman"/>
              <w:b w:val="0"/>
              <w:bCs w:val="0"/>
              <w:kern w:val="2"/>
              <w:sz w:val="32"/>
              <w:szCs w:val="32"/>
              <w:lang w:val="en-US" w:eastAsia="zh-CN" w:bidi="ar-SA"/>
            </w:rPr>
            <w:tab/>
          </w:r>
          <w:bookmarkStart w:id="35" w:name="_Toc818516134_WPSOffice_Level2Page"/>
          <w:r>
            <w:rPr>
              <w:rFonts w:ascii="Times New Roman" w:hAnsi="Times New Roman" w:eastAsia="仿宋_GB2312" w:cs="Times New Roman"/>
              <w:b w:val="0"/>
              <w:bCs w:val="0"/>
              <w:kern w:val="2"/>
              <w:sz w:val="32"/>
              <w:szCs w:val="32"/>
              <w:lang w:val="en-US" w:eastAsia="zh-CN" w:bidi="ar-SA"/>
            </w:rPr>
            <w:t>18</w:t>
          </w:r>
          <w:bookmarkEnd w:id="35"/>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_Toc289063940_WPSOffice_Level2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6ff3573d-7ed1-4f3e-b53a-c39e4ceb4162}"/>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五、财政拨款支出决算明细表</w:t>
              </w:r>
            </w:sdtContent>
          </w:sdt>
          <w:r>
            <w:rPr>
              <w:rFonts w:ascii="Times New Roman" w:hAnsi="Times New Roman" w:eastAsia="仿宋_GB2312" w:cs="Times New Roman"/>
              <w:b w:val="0"/>
              <w:bCs w:val="0"/>
              <w:kern w:val="2"/>
              <w:sz w:val="32"/>
              <w:szCs w:val="32"/>
              <w:lang w:val="en-US" w:eastAsia="zh-CN" w:bidi="ar-SA"/>
            </w:rPr>
            <w:tab/>
          </w:r>
          <w:bookmarkStart w:id="36" w:name="_Toc289063940_WPSOffice_Level2Page"/>
          <w:r>
            <w:rPr>
              <w:rFonts w:ascii="Times New Roman" w:hAnsi="Times New Roman" w:eastAsia="仿宋_GB2312" w:cs="Times New Roman"/>
              <w:b w:val="0"/>
              <w:bCs w:val="0"/>
              <w:kern w:val="2"/>
              <w:sz w:val="32"/>
              <w:szCs w:val="32"/>
              <w:lang w:val="en-US" w:eastAsia="zh-CN" w:bidi="ar-SA"/>
            </w:rPr>
            <w:t>18</w:t>
          </w:r>
          <w:bookmarkEnd w:id="36"/>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_Toc2104275207_WPSOffice_Level2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7b6f576c-f2b2-4a0d-82d3-7816c28c1d70}"/>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六、一般公共预算财政拨款支出决算表</w:t>
              </w:r>
            </w:sdtContent>
          </w:sdt>
          <w:r>
            <w:rPr>
              <w:rFonts w:ascii="Times New Roman" w:hAnsi="Times New Roman" w:eastAsia="仿宋_GB2312" w:cs="Times New Roman"/>
              <w:b w:val="0"/>
              <w:bCs w:val="0"/>
              <w:kern w:val="2"/>
              <w:sz w:val="32"/>
              <w:szCs w:val="32"/>
              <w:lang w:val="en-US" w:eastAsia="zh-CN" w:bidi="ar-SA"/>
            </w:rPr>
            <w:tab/>
          </w:r>
          <w:bookmarkStart w:id="37" w:name="_Toc2104275207_WPSOffice_Level2Page"/>
          <w:r>
            <w:rPr>
              <w:rFonts w:ascii="Times New Roman" w:hAnsi="Times New Roman" w:eastAsia="仿宋_GB2312" w:cs="Times New Roman"/>
              <w:b w:val="0"/>
              <w:bCs w:val="0"/>
              <w:kern w:val="2"/>
              <w:sz w:val="32"/>
              <w:szCs w:val="32"/>
              <w:lang w:val="en-US" w:eastAsia="zh-CN" w:bidi="ar-SA"/>
            </w:rPr>
            <w:t>18</w:t>
          </w:r>
          <w:bookmarkEnd w:id="37"/>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_Toc632566146_WPSOffice_Level2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555f24e5-9447-45a6-82f7-3b087d1e5cae}"/>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七、一般公共预算财政拨款支出决算明细表</w:t>
              </w:r>
            </w:sdtContent>
          </w:sdt>
          <w:r>
            <w:rPr>
              <w:rFonts w:ascii="Times New Roman" w:hAnsi="Times New Roman" w:eastAsia="仿宋_GB2312" w:cs="Times New Roman"/>
              <w:b w:val="0"/>
              <w:bCs w:val="0"/>
              <w:kern w:val="2"/>
              <w:sz w:val="32"/>
              <w:szCs w:val="32"/>
              <w:lang w:val="en-US" w:eastAsia="zh-CN" w:bidi="ar-SA"/>
            </w:rPr>
            <w:tab/>
          </w:r>
          <w:bookmarkStart w:id="38" w:name="_Toc632566146_WPSOffice_Level2Page"/>
          <w:r>
            <w:rPr>
              <w:rFonts w:ascii="Times New Roman" w:hAnsi="Times New Roman" w:eastAsia="仿宋_GB2312" w:cs="Times New Roman"/>
              <w:b w:val="0"/>
              <w:bCs w:val="0"/>
              <w:kern w:val="2"/>
              <w:sz w:val="32"/>
              <w:szCs w:val="32"/>
              <w:lang w:val="en-US" w:eastAsia="zh-CN" w:bidi="ar-SA"/>
            </w:rPr>
            <w:t>18</w:t>
          </w:r>
          <w:bookmarkEnd w:id="38"/>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_Toc975979244_WPSOffice_Level2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c44a609d-8b79-4a56-9165-aececc2cf62d}"/>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八、一般公共预算财政拨款基本支出决算表</w:t>
              </w:r>
            </w:sdtContent>
          </w:sdt>
          <w:r>
            <w:rPr>
              <w:rFonts w:ascii="Times New Roman" w:hAnsi="Times New Roman" w:eastAsia="仿宋_GB2312" w:cs="Times New Roman"/>
              <w:b w:val="0"/>
              <w:bCs w:val="0"/>
              <w:kern w:val="2"/>
              <w:sz w:val="32"/>
              <w:szCs w:val="32"/>
              <w:lang w:val="en-US" w:eastAsia="zh-CN" w:bidi="ar-SA"/>
            </w:rPr>
            <w:tab/>
          </w:r>
          <w:bookmarkStart w:id="39" w:name="_Toc975979244_WPSOffice_Level2Page"/>
          <w:r>
            <w:rPr>
              <w:rFonts w:ascii="Times New Roman" w:hAnsi="Times New Roman" w:eastAsia="仿宋_GB2312" w:cs="Times New Roman"/>
              <w:b w:val="0"/>
              <w:bCs w:val="0"/>
              <w:kern w:val="2"/>
              <w:sz w:val="32"/>
              <w:szCs w:val="32"/>
              <w:lang w:val="en-US" w:eastAsia="zh-CN" w:bidi="ar-SA"/>
            </w:rPr>
            <w:t>18</w:t>
          </w:r>
          <w:bookmarkEnd w:id="39"/>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_Toc81055142_WPSOffice_Level2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e6d03eab-7434-491d-ba2f-35c1c1fa01af}"/>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九、一般公共预算财政拨款项目支出决算表</w:t>
              </w:r>
            </w:sdtContent>
          </w:sdt>
          <w:r>
            <w:rPr>
              <w:rFonts w:ascii="Times New Roman" w:hAnsi="Times New Roman" w:eastAsia="仿宋_GB2312" w:cs="Times New Roman"/>
              <w:b w:val="0"/>
              <w:bCs w:val="0"/>
              <w:kern w:val="2"/>
              <w:sz w:val="32"/>
              <w:szCs w:val="32"/>
              <w:lang w:val="en-US" w:eastAsia="zh-CN" w:bidi="ar-SA"/>
            </w:rPr>
            <w:tab/>
          </w:r>
          <w:bookmarkStart w:id="40" w:name="_Toc81055142_WPSOffice_Level2Page"/>
          <w:r>
            <w:rPr>
              <w:rFonts w:ascii="Times New Roman" w:hAnsi="Times New Roman" w:eastAsia="仿宋_GB2312" w:cs="Times New Roman"/>
              <w:b w:val="0"/>
              <w:bCs w:val="0"/>
              <w:kern w:val="2"/>
              <w:sz w:val="32"/>
              <w:szCs w:val="32"/>
              <w:lang w:val="en-US" w:eastAsia="zh-CN" w:bidi="ar-SA"/>
            </w:rPr>
            <w:t>18</w:t>
          </w:r>
          <w:bookmarkEnd w:id="40"/>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_Toc506521546_WPSOffice_Level2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e6a2f8c2-8147-45b3-8d19-81b04a068e10}"/>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十、一般公共预算财政拨款“三公”经费支出决算表</w:t>
              </w:r>
            </w:sdtContent>
          </w:sdt>
          <w:r>
            <w:rPr>
              <w:rFonts w:ascii="Times New Roman" w:hAnsi="Times New Roman" w:eastAsia="仿宋_GB2312" w:cs="Times New Roman"/>
              <w:b w:val="0"/>
              <w:bCs w:val="0"/>
              <w:kern w:val="2"/>
              <w:sz w:val="32"/>
              <w:szCs w:val="32"/>
              <w:lang w:val="en-US" w:eastAsia="zh-CN" w:bidi="ar-SA"/>
            </w:rPr>
            <w:tab/>
          </w:r>
          <w:bookmarkStart w:id="41" w:name="_Toc506521546_WPSOffice_Level2Page"/>
          <w:r>
            <w:rPr>
              <w:rFonts w:ascii="Times New Roman" w:hAnsi="Times New Roman" w:eastAsia="仿宋_GB2312" w:cs="Times New Roman"/>
              <w:b w:val="0"/>
              <w:bCs w:val="0"/>
              <w:kern w:val="2"/>
              <w:sz w:val="32"/>
              <w:szCs w:val="32"/>
              <w:lang w:val="en-US" w:eastAsia="zh-CN" w:bidi="ar-SA"/>
            </w:rPr>
            <w:t>18</w:t>
          </w:r>
          <w:bookmarkEnd w:id="41"/>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_Toc1589740632_WPSOffice_Level2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04ef7f36-c72b-4afc-9d28-cdcc64282eae}"/>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十一、政府性基金预算财政拨款收入支出决算表</w:t>
              </w:r>
            </w:sdtContent>
          </w:sdt>
          <w:r>
            <w:rPr>
              <w:rFonts w:ascii="Times New Roman" w:hAnsi="Times New Roman" w:eastAsia="仿宋_GB2312" w:cs="Times New Roman"/>
              <w:b w:val="0"/>
              <w:bCs w:val="0"/>
              <w:kern w:val="2"/>
              <w:sz w:val="32"/>
              <w:szCs w:val="32"/>
              <w:lang w:val="en-US" w:eastAsia="zh-CN" w:bidi="ar-SA"/>
            </w:rPr>
            <w:tab/>
          </w:r>
          <w:bookmarkStart w:id="42" w:name="_Toc1589740632_WPSOffice_Level2Page"/>
          <w:r>
            <w:rPr>
              <w:rFonts w:ascii="Times New Roman" w:hAnsi="Times New Roman" w:eastAsia="仿宋_GB2312" w:cs="Times New Roman"/>
              <w:b w:val="0"/>
              <w:bCs w:val="0"/>
              <w:kern w:val="2"/>
              <w:sz w:val="32"/>
              <w:szCs w:val="32"/>
              <w:lang w:val="en-US" w:eastAsia="zh-CN" w:bidi="ar-SA"/>
            </w:rPr>
            <w:t>18</w:t>
          </w:r>
          <w:bookmarkEnd w:id="42"/>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_Toc806491180_WPSOffice_Level2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6175ba31-f22c-4967-a4bc-d010b3bc1352}"/>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十二、政府性基金预算财政拨款“三公”经费支出决算表</w:t>
              </w:r>
            </w:sdtContent>
          </w:sdt>
          <w:r>
            <w:rPr>
              <w:rFonts w:ascii="Times New Roman" w:hAnsi="Times New Roman" w:eastAsia="仿宋_GB2312" w:cs="Times New Roman"/>
              <w:b w:val="0"/>
              <w:bCs w:val="0"/>
              <w:kern w:val="2"/>
              <w:sz w:val="32"/>
              <w:szCs w:val="32"/>
              <w:lang w:val="en-US" w:eastAsia="zh-CN" w:bidi="ar-SA"/>
            </w:rPr>
            <w:tab/>
          </w:r>
          <w:bookmarkStart w:id="43" w:name="_Toc806491180_WPSOffice_Level2Page"/>
          <w:r>
            <w:rPr>
              <w:rFonts w:ascii="Times New Roman" w:hAnsi="Times New Roman" w:eastAsia="仿宋_GB2312" w:cs="Times New Roman"/>
              <w:b w:val="0"/>
              <w:bCs w:val="0"/>
              <w:kern w:val="2"/>
              <w:sz w:val="32"/>
              <w:szCs w:val="32"/>
              <w:lang w:val="en-US" w:eastAsia="zh-CN" w:bidi="ar-SA"/>
            </w:rPr>
            <w:t>18</w:t>
          </w:r>
          <w:bookmarkEnd w:id="43"/>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_Toc1829974490_WPSOffice_Level2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9514618c-4004-4337-b96d-1530e8d168ef}"/>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十三、国有资本经营预算财政拨款收入支出决算表</w:t>
              </w:r>
            </w:sdtContent>
          </w:sdt>
          <w:r>
            <w:rPr>
              <w:rFonts w:ascii="Times New Roman" w:hAnsi="Times New Roman" w:eastAsia="仿宋_GB2312" w:cs="Times New Roman"/>
              <w:b w:val="0"/>
              <w:bCs w:val="0"/>
              <w:kern w:val="2"/>
              <w:sz w:val="32"/>
              <w:szCs w:val="32"/>
              <w:lang w:val="en-US" w:eastAsia="zh-CN" w:bidi="ar-SA"/>
            </w:rPr>
            <w:tab/>
          </w:r>
          <w:bookmarkStart w:id="44" w:name="_Toc1829974490_WPSOffice_Level2Page"/>
          <w:r>
            <w:rPr>
              <w:rFonts w:ascii="Times New Roman" w:hAnsi="Times New Roman" w:eastAsia="仿宋_GB2312" w:cs="Times New Roman"/>
              <w:b w:val="0"/>
              <w:bCs w:val="0"/>
              <w:kern w:val="2"/>
              <w:sz w:val="32"/>
              <w:szCs w:val="32"/>
              <w:lang w:val="en-US" w:eastAsia="zh-CN" w:bidi="ar-SA"/>
            </w:rPr>
            <w:t>18</w:t>
          </w:r>
          <w:bookmarkEnd w:id="44"/>
          <w:r>
            <w:rPr>
              <w:rFonts w:ascii="Times New Roman" w:hAnsi="Times New Roman" w:eastAsia="仿宋_GB2312" w:cs="Times New Roman"/>
              <w:b w:val="0"/>
              <w:bCs w:val="0"/>
              <w:kern w:val="2"/>
              <w:sz w:val="32"/>
              <w:szCs w:val="32"/>
              <w:lang w:val="en-US" w:eastAsia="zh-CN" w:bidi="ar-SA"/>
            </w:rPr>
            <w:fldChar w:fldCharType="end"/>
          </w:r>
        </w:p>
        <w:p>
          <w:pPr>
            <w:pStyle w:val="32"/>
            <w:tabs>
              <w:tab w:val="right" w:leader="dot" w:pos="8844"/>
            </w:tabs>
            <w:rPr>
              <w:rFonts w:ascii="Times New Roman" w:hAnsi="Times New Roman" w:eastAsia="仿宋_GB2312" w:cs="Times New Roman"/>
              <w:b w:val="0"/>
              <w:bCs w:val="0"/>
              <w:kern w:val="2"/>
              <w:sz w:val="32"/>
              <w:szCs w:val="32"/>
              <w:lang w:val="en-US" w:eastAsia="zh-CN" w:bidi="ar-SA"/>
            </w:rPr>
          </w:pPr>
          <w:r>
            <w:rPr>
              <w:rFonts w:ascii="Times New Roman" w:hAnsi="Times New Roman" w:eastAsia="仿宋_GB2312" w:cs="Times New Roman"/>
              <w:b w:val="0"/>
              <w:bCs w:val="0"/>
              <w:kern w:val="2"/>
              <w:sz w:val="32"/>
              <w:szCs w:val="32"/>
              <w:lang w:val="en-US" w:eastAsia="zh-CN" w:bidi="ar-SA"/>
            </w:rPr>
            <w:fldChar w:fldCharType="begin"/>
          </w:r>
          <w:r>
            <w:rPr>
              <w:rFonts w:ascii="Times New Roman" w:hAnsi="Times New Roman" w:eastAsia="仿宋_GB2312" w:cs="Times New Roman"/>
              <w:b w:val="0"/>
              <w:bCs w:val="0"/>
              <w:kern w:val="2"/>
              <w:sz w:val="32"/>
              <w:szCs w:val="32"/>
              <w:lang w:val="en-US" w:eastAsia="zh-CN" w:bidi="ar-SA"/>
            </w:rPr>
            <w:instrText xml:space="preserve"> HYPERLINK \l _Toc1659047390_WPSOffice_Level2 </w:instrText>
          </w:r>
          <w:r>
            <w:rPr>
              <w:rFonts w:ascii="Times New Roman" w:hAnsi="Times New Roman" w:eastAsia="仿宋_GB2312" w:cs="Times New Roman"/>
              <w:b w:val="0"/>
              <w:bCs w:val="0"/>
              <w:kern w:val="2"/>
              <w:sz w:val="32"/>
              <w:szCs w:val="32"/>
              <w:lang w:val="en-US" w:eastAsia="zh-CN" w:bidi="ar-SA"/>
            </w:rPr>
            <w:fldChar w:fldCharType="separate"/>
          </w:r>
          <w:sdt>
            <w:sdtPr>
              <w:rPr>
                <w:rFonts w:ascii="Times New Roman" w:hAnsi="Times New Roman" w:eastAsia="仿宋_GB2312" w:cs="Times New Roman"/>
                <w:b w:val="0"/>
                <w:bCs w:val="0"/>
                <w:kern w:val="2"/>
                <w:sz w:val="32"/>
                <w:szCs w:val="32"/>
                <w:lang w:val="en-US" w:eastAsia="zh-CN" w:bidi="ar-SA"/>
              </w:rPr>
              <w:id w:val="952812139"/>
              <w:placeholder>
                <w:docPart w:val="{e23e8d02-b7ee-449e-a89e-d1b4a990a320}"/>
              </w:placeholder>
            </w:sdtPr>
            <w:sdtEndPr>
              <w:rPr>
                <w:rFonts w:ascii="Times New Roman" w:hAnsi="Times New Roman" w:eastAsia="仿宋_GB2312" w:cs="Times New Roman"/>
                <w:b w:val="0"/>
                <w:bCs w:val="0"/>
                <w:kern w:val="2"/>
                <w:sz w:val="32"/>
                <w:szCs w:val="32"/>
                <w:lang w:val="en-US" w:eastAsia="zh-CN" w:bidi="ar-SA"/>
              </w:rPr>
            </w:sdtEndPr>
            <w:sdtContent>
              <w:r>
                <w:rPr>
                  <w:rFonts w:ascii="Times New Roman" w:hAnsi="Times New Roman" w:eastAsia="仿宋_GB2312" w:cs="Times New Roman"/>
                  <w:b w:val="0"/>
                  <w:bCs w:val="0"/>
                  <w:kern w:val="2"/>
                  <w:sz w:val="32"/>
                  <w:szCs w:val="32"/>
                  <w:lang w:val="en-US" w:eastAsia="zh-CN" w:bidi="ar-SA"/>
                </w:rPr>
                <w:t>十四、国有资本经营预算财政拨款支出决算表</w:t>
              </w:r>
            </w:sdtContent>
          </w:sdt>
          <w:r>
            <w:rPr>
              <w:rFonts w:ascii="Times New Roman" w:hAnsi="Times New Roman" w:eastAsia="仿宋_GB2312" w:cs="Times New Roman"/>
              <w:b w:val="0"/>
              <w:bCs w:val="0"/>
              <w:kern w:val="2"/>
              <w:sz w:val="32"/>
              <w:szCs w:val="32"/>
              <w:lang w:val="en-US" w:eastAsia="zh-CN" w:bidi="ar-SA"/>
            </w:rPr>
            <w:tab/>
          </w:r>
          <w:bookmarkStart w:id="45" w:name="_Toc1659047390_WPSOffice_Level2Page"/>
          <w:r>
            <w:rPr>
              <w:rFonts w:ascii="Times New Roman" w:hAnsi="Times New Roman" w:eastAsia="仿宋_GB2312" w:cs="Times New Roman"/>
              <w:b w:val="0"/>
              <w:bCs w:val="0"/>
              <w:kern w:val="2"/>
              <w:sz w:val="32"/>
              <w:szCs w:val="32"/>
              <w:lang w:val="en-US" w:eastAsia="zh-CN" w:bidi="ar-SA"/>
            </w:rPr>
            <w:t>18</w:t>
          </w:r>
          <w:bookmarkEnd w:id="45"/>
          <w:r>
            <w:rPr>
              <w:rFonts w:ascii="Times New Roman" w:hAnsi="Times New Roman" w:eastAsia="仿宋_GB2312" w:cs="Times New Roman"/>
              <w:b w:val="0"/>
              <w:bCs w:val="0"/>
              <w:kern w:val="2"/>
              <w:sz w:val="32"/>
              <w:szCs w:val="32"/>
              <w:lang w:val="en-US" w:eastAsia="zh-CN" w:bidi="ar-SA"/>
            </w:rPr>
            <w:fldChar w:fldCharType="end"/>
          </w:r>
          <w:bookmarkEnd w:id="12"/>
        </w:p>
      </w:sdtContent>
    </w:sdt>
    <w:p>
      <w:pPr>
        <w:pStyle w:val="3"/>
        <w:spacing w:before="0" w:after="0" w:line="480" w:lineRule="exact"/>
        <w:jc w:val="left"/>
        <w:rPr>
          <w:rFonts w:ascii="Times New Roman" w:hAnsi="Times New Roman" w:eastAsia="仿宋_GB2312" w:cs="Times New Roman"/>
          <w:b w:val="0"/>
          <w:bCs w:val="0"/>
          <w:kern w:val="2"/>
          <w:sz w:val="32"/>
          <w:szCs w:val="32"/>
          <w:lang w:val="en-US" w:eastAsia="zh-CN" w:bidi="ar-SA"/>
        </w:rPr>
      </w:pPr>
    </w:p>
    <w:p/>
    <w:p>
      <w:pPr>
        <w:pStyle w:val="2"/>
        <w:spacing w:before="93"/>
        <w:rPr>
          <w:rFonts w:hint="eastAsia"/>
        </w:rPr>
        <w:sectPr>
          <w:footerReference r:id="rId6" w:type="first"/>
          <w:footerReference r:id="rId5" w:type="default"/>
          <w:pgSz w:w="11906" w:h="16838"/>
          <w:pgMar w:top="2098" w:right="1474" w:bottom="1985" w:left="1588" w:header="851" w:footer="1418" w:gutter="0"/>
          <w:pgNumType w:start="1"/>
          <w:cols w:space="425" w:num="1"/>
          <w:docGrid w:type="lines" w:linePitch="312" w:charSpace="0"/>
        </w:sectPr>
      </w:pPr>
    </w:p>
    <w:p>
      <w:pPr>
        <w:pStyle w:val="3"/>
        <w:spacing w:line="560" w:lineRule="exact"/>
        <w:jc w:val="center"/>
        <w:rPr>
          <w:rFonts w:eastAsia="黑体"/>
          <w:sz w:val="32"/>
          <w:szCs w:val="32"/>
        </w:rPr>
      </w:pPr>
      <w:bookmarkStart w:id="46" w:name="_Toc1282947862_WPSOffice_Level1"/>
      <w:bookmarkStart w:id="47" w:name="_Toc114155801"/>
      <w:r>
        <w:rPr>
          <w:rFonts w:eastAsia="黑体"/>
          <w:b w:val="0"/>
        </w:rPr>
        <w:t>第一部分 单位</w:t>
      </w:r>
      <w:r>
        <w:rPr>
          <w:rStyle w:val="24"/>
          <w:rFonts w:eastAsia="黑体"/>
          <w:b w:val="0"/>
          <w:bCs w:val="0"/>
        </w:rPr>
        <w:t>概况</w:t>
      </w:r>
      <w:bookmarkEnd w:id="13"/>
      <w:bookmarkEnd w:id="14"/>
      <w:bookmarkEnd w:id="46"/>
      <w:bookmarkEnd w:id="47"/>
    </w:p>
    <w:p>
      <w:pPr>
        <w:pStyle w:val="4"/>
        <w:numPr>
          <w:ilvl w:val="0"/>
          <w:numId w:val="2"/>
        </w:numPr>
        <w:spacing w:before="0" w:after="0" w:line="600" w:lineRule="exact"/>
        <w:ind w:left="0" w:firstLine="640" w:firstLineChars="200"/>
        <w:rPr>
          <w:rStyle w:val="25"/>
          <w:rFonts w:ascii="Times New Roman" w:hAnsi="Times New Roman" w:eastAsia="黑体" w:cs="Times New Roman"/>
          <w:b w:val="0"/>
          <w:bCs w:val="0"/>
        </w:rPr>
      </w:pPr>
      <w:bookmarkStart w:id="48" w:name="_Toc114155802"/>
      <w:bookmarkStart w:id="49" w:name="_Toc1565122359_WPSOffice_Level2"/>
      <w:bookmarkStart w:id="50" w:name="_Toc15377197"/>
      <w:bookmarkStart w:id="51" w:name="_Toc15396600"/>
      <w:r>
        <w:rPr>
          <w:rStyle w:val="25"/>
          <w:rFonts w:ascii="Times New Roman" w:hAnsi="Times New Roman" w:eastAsia="黑体" w:cs="Times New Roman"/>
          <w:b w:val="0"/>
          <w:bCs w:val="0"/>
        </w:rPr>
        <w:t>职能简介</w:t>
      </w:r>
      <w:bookmarkEnd w:id="48"/>
      <w:bookmarkEnd w:id="49"/>
    </w:p>
    <w:p>
      <w:pPr>
        <w:spacing w:line="600" w:lineRule="exact"/>
        <w:ind w:firstLine="640" w:firstLineChars="200"/>
        <w:textAlignment w:val="baseline"/>
        <w:rPr>
          <w:rFonts w:eastAsia="仿宋_GB2312"/>
          <w:color w:val="333333"/>
          <w:kern w:val="0"/>
          <w:sz w:val="32"/>
          <w:szCs w:val="32"/>
        </w:rPr>
      </w:pPr>
      <w:r>
        <w:rPr>
          <w:rFonts w:eastAsia="仿宋_GB2312"/>
          <w:sz w:val="32"/>
          <w:szCs w:val="32"/>
        </w:rPr>
        <w:t>开展职业介绍和职业指导工作，为广大用人单位和求职者免费提供劳动力供需信息查询、职业指导、职业介绍、职业培训及职工档案管理等服务，负责四川公共招聘网络平台、工作站群的管理、维护、运行和数据信息的上传发布，完成省人社厅和省就业局委托的其它工作。</w:t>
      </w:r>
    </w:p>
    <w:p>
      <w:pPr>
        <w:pStyle w:val="4"/>
        <w:spacing w:before="0" w:after="0" w:line="600" w:lineRule="exact"/>
        <w:ind w:firstLine="640" w:firstLineChars="200"/>
        <w:rPr>
          <w:rFonts w:ascii="Times New Roman" w:hAnsi="Times New Roman" w:eastAsia="黑体" w:cs="Times New Roman"/>
          <w:b w:val="0"/>
        </w:rPr>
      </w:pPr>
      <w:bookmarkStart w:id="52" w:name="_Toc547774183_WPSOffice_Level2"/>
      <w:bookmarkStart w:id="53" w:name="_Toc114155803"/>
      <w:r>
        <w:rPr>
          <w:rFonts w:ascii="Times New Roman" w:hAnsi="Times New Roman" w:eastAsia="黑体" w:cs="Times New Roman"/>
          <w:b w:val="0"/>
        </w:rPr>
        <w:t>二、2021年重点工作</w:t>
      </w:r>
      <w:bookmarkEnd w:id="50"/>
      <w:bookmarkEnd w:id="51"/>
      <w:r>
        <w:rPr>
          <w:rFonts w:ascii="Times New Roman" w:hAnsi="Times New Roman" w:eastAsia="黑体" w:cs="Times New Roman"/>
          <w:b w:val="0"/>
        </w:rPr>
        <w:t>完成情况</w:t>
      </w:r>
      <w:bookmarkEnd w:id="52"/>
      <w:bookmarkEnd w:id="53"/>
    </w:p>
    <w:p>
      <w:pPr>
        <w:pStyle w:val="4"/>
        <w:spacing w:before="0" w:after="0" w:line="600" w:lineRule="exact"/>
        <w:ind w:firstLine="640" w:firstLineChars="200"/>
        <w:rPr>
          <w:rFonts w:hint="eastAsia" w:ascii="楷体_GB2312" w:hAnsi="Times New Roman" w:eastAsia="楷体_GB2312" w:cs="Times New Roman"/>
          <w:b w:val="0"/>
          <w:bCs w:val="0"/>
        </w:rPr>
      </w:pPr>
      <w:bookmarkStart w:id="54" w:name="_Toc114155804"/>
      <w:r>
        <w:rPr>
          <w:rFonts w:hint="eastAsia" w:ascii="楷体_GB2312" w:hAnsi="Times New Roman" w:eastAsia="楷体_GB2312" w:cs="Times New Roman"/>
          <w:b w:val="0"/>
          <w:bCs w:val="0"/>
        </w:rPr>
        <w:t>（一）公共招聘活动不断档不掉线开展。</w:t>
      </w:r>
      <w:bookmarkEnd w:id="54"/>
    </w:p>
    <w:p>
      <w:pPr>
        <w:pStyle w:val="4"/>
        <w:spacing w:before="0" w:after="0" w:line="600" w:lineRule="exact"/>
        <w:ind w:firstLine="640" w:firstLineChars="200"/>
        <w:rPr>
          <w:rFonts w:ascii="Times New Roman" w:hAnsi="Times New Roman" w:eastAsia="仿宋_GB2312" w:cs="Times New Roman"/>
          <w:b w:val="0"/>
          <w:bCs w:val="0"/>
        </w:rPr>
      </w:pPr>
      <w:bookmarkStart w:id="55" w:name="_Toc114155805"/>
      <w:r>
        <w:rPr>
          <w:rFonts w:ascii="Times New Roman" w:hAnsi="Times New Roman" w:eastAsia="仿宋_GB2312" w:cs="Times New Roman"/>
          <w:b w:val="0"/>
          <w:bCs w:val="0"/>
        </w:rPr>
        <w:t>2021年，受新冠肺炎疫情影响，部分现场公共招聘活动开展受限，省职介中心在做好疫情防控保障的前提下，紧抓活动契机，开展“见缝插针”式现场公共招聘活动。全年共组织开展公共招聘进校园、民营企业招聘月、易地搬迁集中安置点专场招聘、残疾大学生就业双选会及金秋招聘月等现场招聘活动14场，组织用人单位281家，提供就业岗位8991个，达成就业意向1217人。</w:t>
      </w:r>
      <w:bookmarkEnd w:id="55"/>
    </w:p>
    <w:p>
      <w:pPr>
        <w:spacing w:line="600" w:lineRule="exact"/>
        <w:ind w:firstLine="640" w:firstLineChars="200"/>
        <w:rPr>
          <w:rFonts w:eastAsia="仿宋_GB2312"/>
          <w:sz w:val="32"/>
          <w:szCs w:val="32"/>
        </w:rPr>
      </w:pPr>
      <w:r>
        <w:rPr>
          <w:rFonts w:eastAsia="仿宋_GB2312"/>
          <w:sz w:val="32"/>
          <w:szCs w:val="32"/>
        </w:rPr>
        <w:t>此外，为积极应对新冠肺炎疫情对招聘服务工作带来的不利影响，省职介中心主动制定办法、采取措施，充分利用四川公共招聘网及微信公众号、小程序等公共招聘服务平台，联合智联招聘、58同城招聘、前程无忧等人力资源服务机构，分阶段、分行业、分重点群体大力开展了形式多样的“云端招聘”活动，取得了较好成效。全平台共举办就业援助月、稳岗留工专场招聘、大中城市联合招聘、民营企业招聘月、百日万千网络招聘、金秋招聘月等网络专场招聘活动22场，累计组织用人单位1.8万家，提供就业岗位100万个，吸引求职人员5万人参与应聘；开展网络直播招聘活动13场，组织306家用人单位参加，提供岗位1.6万个，累计320万人次观看，其中联合重庆开展川渝联动直播招聘7场，组织48家用人单位参加，提供岗位7352个。</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（二）四川公共招聘网高质量高位运行。</w:t>
      </w:r>
    </w:p>
    <w:p>
      <w:pPr>
        <w:spacing w:line="600" w:lineRule="exact"/>
        <w:ind w:firstLine="640" w:firstLineChars="200"/>
        <w:rPr>
          <w:rFonts w:eastAsia="仿宋_GB2312"/>
          <w:sz w:val="32"/>
          <w:szCs w:val="32"/>
        </w:rPr>
      </w:pPr>
      <w:r>
        <w:rPr>
          <w:rFonts w:eastAsia="仿宋_GB2312"/>
          <w:sz w:val="32"/>
          <w:szCs w:val="32"/>
        </w:rPr>
        <w:t>2021年，为进一步加强四川公共招聘网管理维护工作，省职介中心要求全省公共招聘网管理机构加强招聘单位、岗位信息的收集、上报和审核工作，做好网站日常管理维护，并于今年7月启动了全省公共招聘网岗位信息核查行动，组织各地公共招聘网开展岗位信息清理，对清理结果进行了信息抽查，确保四川公共招聘网所发布信息合法、真实、有效。在全省各地公共招聘网站管理机构的共同努力下，四川公共招聘网总体继续保持高质量高位运行。截止12月16日，全站共新增单位1.9万家，新增岗位112万个，新增求职人员5.7万人，日常保持4000家有效招聘单位、20万有效招聘岗位，日均访问量4000余人次。在11月人社部公共就业服务视频会通报中，我省信息发布量在全国公共招聘网上报数据排名第一，岗位信息质量在全国公共招聘网岗位信息抽查中达100%。</w:t>
      </w:r>
    </w:p>
    <w:p>
      <w:pPr>
        <w:spacing w:line="600" w:lineRule="exact"/>
        <w:ind w:firstLine="640" w:firstLineChars="200"/>
        <w:rPr>
          <w:rFonts w:eastAsia="仿宋_GB2312"/>
          <w:sz w:val="32"/>
          <w:szCs w:val="32"/>
        </w:rPr>
      </w:pPr>
      <w:r>
        <w:rPr>
          <w:rFonts w:eastAsia="仿宋_GB2312"/>
          <w:sz w:val="32"/>
          <w:szCs w:val="32"/>
        </w:rPr>
        <w:t>此外，为增强四川公共招聘网服务能力，推动公共就业服务向移动终端延伸，省职介中心还积极对接网站及微信小程序技术服务商，优化了招聘求职信息发布流程，完善了网上直播、职业指导等服务功能，打通了双平台数据交互通道，实现了服务事项跨平台通办，为服务对象提供了更加便捷、高效的服务渠道。</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（三）职业指导特色化、专业化推进。</w:t>
      </w:r>
    </w:p>
    <w:p>
      <w:pPr>
        <w:spacing w:line="600" w:lineRule="exact"/>
        <w:ind w:firstLine="640" w:firstLineChars="200"/>
        <w:rPr>
          <w:rFonts w:eastAsia="仿宋_GB2312"/>
          <w:sz w:val="32"/>
          <w:szCs w:val="32"/>
        </w:rPr>
      </w:pPr>
      <w:r>
        <w:rPr>
          <w:rFonts w:eastAsia="仿宋_GB2312"/>
          <w:sz w:val="32"/>
          <w:szCs w:val="32"/>
        </w:rPr>
        <w:t>2021年，为贯彻落实党的十九大提出“提供全方位公共就业服务”要求，省职介中心以“帮助服务对象精准稳定就业，帮助用人单位科学选人用人”为出发点和落脚点，以“点亮生涯”为服务品牌，大力开展职业指导进高校、社区、企业和基层服务平台活动。根据全省就业服务需要，中心及时组织开展“易地搬迁惠民生 就业创业促脱贫”青年职业生涯指导讲座、“点亮生涯”职业指导进社区公开课、“天府情缘 春风送岗”四川省农民工专场职业指导等各类职业指导活动37场，为50万名服务对象提供了职业指导服务；新冠肺炎疫情反复，中心积极组织专家团成员推出线上“门诊式”服务平台，开展线上一对一职业指导、直播大讲堂服务等活动，录制职业指导“云课堂”共计13期，广受社会欢迎；创新开展川渝合作首届成渝地区双城经济圈职业指导模拟大赛和四川省“点亮生涯”首届大学生职业生涯规划大赛，选拔优秀人才成立川渝两地职业指导人才库，强化了社会各界对职业生涯规划的重视。</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（四）档案管理规范化、标准化建设</w:t>
      </w:r>
    </w:p>
    <w:p>
      <w:pPr>
        <w:spacing w:line="600" w:lineRule="exact"/>
        <w:ind w:firstLine="640" w:firstLineChars="200"/>
        <w:rPr>
          <w:rFonts w:eastAsia="仿宋_GB2312"/>
          <w:sz w:val="32"/>
          <w:szCs w:val="32"/>
        </w:rPr>
      </w:pPr>
      <w:r>
        <w:rPr>
          <w:rFonts w:eastAsia="仿宋_GB2312"/>
          <w:sz w:val="32"/>
          <w:szCs w:val="32"/>
        </w:rPr>
        <w:t>2021年，省职介中心继续做好省级事业单位、中央在川企业失业人员档案管理工作，安排专人管理，专责服务。截止2021年12月16日，中心共管理失业人员档案7163卷，已全部完成整理和装订，全年完成办理档案接收、划出、借出等业务336次，提供现场及电话咨询9000余人次，并协助2名服务对象完成遗失档案补档工作。按照全省档案电子化管理工作要求，省职介中心于今年4月完成了第一期实体档案电子化工作，完成数字化加工档案4222卷。</w:t>
      </w:r>
    </w:p>
    <w:p>
      <w:pPr>
        <w:pStyle w:val="4"/>
        <w:spacing w:before="0" w:after="0" w:line="600" w:lineRule="exact"/>
        <w:ind w:firstLine="640" w:firstLineChars="200"/>
        <w:rPr>
          <w:rFonts w:hint="eastAsia" w:ascii="Times New Roman" w:hAnsi="Times New Roman" w:eastAsia="黑体" w:cs="Times New Roman"/>
          <w:b w:val="0"/>
          <w:lang w:val="en-US" w:eastAsia="zh-CN"/>
        </w:rPr>
      </w:pPr>
      <w:r>
        <w:rPr>
          <w:rFonts w:hint="eastAsia" w:ascii="Times New Roman" w:hAnsi="Times New Roman" w:eastAsia="黑体" w:cs="Times New Roman"/>
          <w:b w:val="0"/>
          <w:lang w:eastAsia="zh-CN"/>
        </w:rPr>
        <w:t>三、机构设置</w:t>
      </w:r>
      <w:r>
        <w:rPr>
          <w:rFonts w:hint="eastAsia" w:ascii="Times New Roman" w:hAnsi="Times New Roman" w:eastAsia="黑体" w:cs="Times New Roman"/>
          <w:b w:val="0"/>
        </w:rPr>
        <w:t>情况</w:t>
      </w:r>
    </w:p>
    <w:p>
      <w:pPr>
        <w:pStyle w:val="2"/>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 w:hAnsi="仿宋" w:eastAsia="仿宋" w:cs="仿宋"/>
          <w:sz w:val="32"/>
          <w:szCs w:val="32"/>
          <w:lang w:val="en-US" w:eastAsia="zh-CN"/>
        </w:rPr>
        <w:t>职业介绍服务中心</w:t>
      </w:r>
      <w:r>
        <w:rPr>
          <w:rFonts w:ascii="Times New Roman" w:hAnsi="Times New Roman" w:eastAsia="仿宋_GB2312" w:cs="Times New Roman"/>
          <w:sz w:val="32"/>
          <w:szCs w:val="32"/>
        </w:rPr>
        <w:t>由</w:t>
      </w:r>
      <w:r>
        <w:rPr>
          <w:rFonts w:hint="eastAsia" w:ascii="Times New Roman" w:cs="Times New Roman"/>
          <w:sz w:val="32"/>
          <w:szCs w:val="32"/>
          <w:lang w:val="en-US" w:eastAsia="zh-CN"/>
        </w:rPr>
        <w:t>4</w:t>
      </w:r>
      <w:r>
        <w:rPr>
          <w:rFonts w:ascii="Times New Roman" w:hAnsi="Times New Roman" w:eastAsia="仿宋_GB2312" w:cs="Times New Roman"/>
          <w:sz w:val="32"/>
          <w:szCs w:val="32"/>
        </w:rPr>
        <w:t>个内设部门组成，分别是：</w:t>
      </w:r>
      <w:r>
        <w:rPr>
          <w:rFonts w:hint="eastAsia" w:ascii="仿宋" w:hAnsi="仿宋" w:eastAsia="仿宋" w:cs="仿宋"/>
          <w:sz w:val="32"/>
          <w:szCs w:val="32"/>
          <w:lang w:val="en-US" w:eastAsia="zh-CN"/>
        </w:rPr>
        <w:t>办公室、招聘一部、招聘二部、招聘三部。</w:t>
      </w:r>
    </w:p>
    <w:p>
      <w:pPr>
        <w:pStyle w:val="2"/>
      </w:pPr>
    </w:p>
    <w:p>
      <w:pPr>
        <w:widowControl/>
        <w:spacing w:line="600" w:lineRule="exact"/>
        <w:ind w:firstLine="640" w:firstLineChars="200"/>
        <w:rPr>
          <w:rFonts w:eastAsia="仿宋_GB2312"/>
          <w:kern w:val="0"/>
          <w:sz w:val="32"/>
          <w:szCs w:val="32"/>
        </w:rPr>
      </w:pPr>
      <w:bookmarkStart w:id="177" w:name="_GoBack"/>
      <w:bookmarkEnd w:id="177"/>
    </w:p>
    <w:p>
      <w:pPr>
        <w:pStyle w:val="2"/>
        <w:spacing w:before="93" w:line="600" w:lineRule="exact"/>
        <w:ind w:firstLine="640" w:firstLineChars="200"/>
        <w:rPr>
          <w:rFonts w:ascii="Times New Roman"/>
          <w:sz w:val="32"/>
          <w:szCs w:val="32"/>
        </w:rPr>
      </w:pPr>
    </w:p>
    <w:p>
      <w:pPr>
        <w:widowControl/>
        <w:jc w:val="left"/>
        <w:rPr>
          <w:rFonts w:eastAsia="仿宋_GB2312"/>
          <w:kern w:val="0"/>
          <w:sz w:val="32"/>
          <w:szCs w:val="32"/>
        </w:rPr>
      </w:pPr>
      <w:r>
        <w:rPr>
          <w:rFonts w:eastAsia="仿宋_GB2312"/>
          <w:sz w:val="32"/>
          <w:szCs w:val="32"/>
        </w:rPr>
        <w:br w:type="page"/>
      </w:r>
    </w:p>
    <w:p>
      <w:pPr>
        <w:pStyle w:val="2"/>
        <w:spacing w:before="93"/>
        <w:rPr>
          <w:rFonts w:ascii="Times New Roman"/>
          <w:sz w:val="32"/>
          <w:szCs w:val="32"/>
        </w:rPr>
      </w:pPr>
    </w:p>
    <w:p>
      <w:pPr>
        <w:pStyle w:val="3"/>
        <w:ind w:right="440"/>
        <w:jc w:val="center"/>
      </w:pPr>
      <w:bookmarkStart w:id="56" w:name="_Toc15396602"/>
      <w:bookmarkStart w:id="57" w:name="_Toc114155806"/>
      <w:bookmarkStart w:id="58" w:name="_Toc15377204"/>
      <w:bookmarkStart w:id="59" w:name="_Toc1565122359_WPSOffice_Level1"/>
      <w:r>
        <w:rPr>
          <w:rFonts w:eastAsia="黑体"/>
          <w:b w:val="0"/>
        </w:rPr>
        <w:t>第二部分 2021年度</w:t>
      </w:r>
      <w:r>
        <w:rPr>
          <w:rStyle w:val="24"/>
          <w:rFonts w:eastAsia="黑体"/>
          <w:b w:val="0"/>
          <w:bCs/>
        </w:rPr>
        <w:t>单位决算情况说明</w:t>
      </w:r>
      <w:bookmarkEnd w:id="56"/>
      <w:bookmarkEnd w:id="57"/>
      <w:bookmarkEnd w:id="58"/>
      <w:bookmarkEnd w:id="59"/>
    </w:p>
    <w:p>
      <w:pPr>
        <w:pStyle w:val="23"/>
        <w:numPr>
          <w:ilvl w:val="0"/>
          <w:numId w:val="3"/>
        </w:numPr>
        <w:spacing w:line="600" w:lineRule="exact"/>
        <w:ind w:firstLineChars="0"/>
        <w:outlineLvl w:val="1"/>
        <w:rPr>
          <w:rStyle w:val="25"/>
          <w:rFonts w:ascii="Times New Roman" w:hAnsi="Times New Roman" w:eastAsia="黑体" w:cs="Times New Roman"/>
          <w:b w:val="0"/>
        </w:rPr>
      </w:pPr>
      <w:bookmarkStart w:id="60" w:name="_Toc15396603"/>
      <w:bookmarkStart w:id="61" w:name="_Toc15377205"/>
      <w:bookmarkStart w:id="62" w:name="_Toc1480763467_WPSOffice_Level2"/>
      <w:bookmarkStart w:id="63" w:name="_Toc114155807"/>
      <w:r>
        <w:rPr>
          <w:rFonts w:eastAsia="黑体"/>
          <w:sz w:val="32"/>
          <w:szCs w:val="32"/>
        </w:rPr>
        <w:t>收</w:t>
      </w:r>
      <w:r>
        <w:rPr>
          <w:rStyle w:val="25"/>
          <w:rFonts w:ascii="Times New Roman" w:hAnsi="Times New Roman" w:eastAsia="黑体" w:cs="Times New Roman"/>
          <w:b w:val="0"/>
        </w:rPr>
        <w:t>入支出决算总体情况说明</w:t>
      </w:r>
      <w:bookmarkEnd w:id="60"/>
      <w:bookmarkEnd w:id="61"/>
      <w:bookmarkEnd w:id="62"/>
      <w:bookmarkEnd w:id="63"/>
    </w:p>
    <w:p>
      <w:pPr>
        <w:spacing w:line="600" w:lineRule="exact"/>
        <w:ind w:firstLine="640" w:firstLineChars="200"/>
        <w:rPr>
          <w:rFonts w:eastAsia="仿宋_GB2312"/>
          <w:sz w:val="32"/>
          <w:szCs w:val="32"/>
        </w:rPr>
      </w:pPr>
      <w:r>
        <w:rPr>
          <w:rFonts w:eastAsia="仿宋_GB2312"/>
          <w:sz w:val="32"/>
          <w:szCs w:val="32"/>
        </w:rPr>
        <w:t>2021年度收、支总计426.82万元。与2020年相比，收、支总计417.55万元，增加9.27万元，增长2.22%。主要变动原因是新增人员经费。</w:t>
      </w:r>
    </w:p>
    <w:p>
      <w:pPr>
        <w:spacing w:line="600" w:lineRule="exact"/>
        <w:ind w:firstLine="640" w:firstLineChars="200"/>
        <w:rPr>
          <w:rFonts w:eastAsia="仿宋_GB2312"/>
          <w:sz w:val="32"/>
          <w:szCs w:val="32"/>
        </w:rPr>
      </w:pPr>
      <w:r>
        <w:rPr>
          <w:rFonts w:eastAsia="仿宋_GB2312"/>
          <w:sz w:val="32"/>
          <w:szCs w:val="32"/>
        </w:rPr>
        <w:t>（图1：收、支决算总计变动情况图）（单位：万元）</w:t>
      </w:r>
    </w:p>
    <w:p>
      <w:pPr>
        <w:pStyle w:val="2"/>
        <w:spacing w:before="93"/>
        <w:rPr>
          <w:rFonts w:ascii="Times New Roman"/>
        </w:rPr>
      </w:pPr>
      <w:r>
        <w:rPr>
          <w:rFonts w:ascii="Times New Roman"/>
        </w:rPr>
        <w:drawing>
          <wp:inline distT="0" distB="0" distL="114300" distR="114300">
            <wp:extent cx="5109210" cy="2623820"/>
            <wp:effectExtent l="4445" t="4445" r="10795"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3"/>
        <w:numPr>
          <w:ilvl w:val="0"/>
          <w:numId w:val="3"/>
        </w:numPr>
        <w:spacing w:line="600" w:lineRule="exact"/>
        <w:ind w:firstLineChars="0"/>
        <w:outlineLvl w:val="1"/>
        <w:rPr>
          <w:rStyle w:val="25"/>
          <w:rFonts w:ascii="Times New Roman" w:hAnsi="Times New Roman" w:eastAsia="黑体" w:cs="Times New Roman"/>
          <w:b w:val="0"/>
        </w:rPr>
      </w:pPr>
      <w:bookmarkStart w:id="64" w:name="_Toc114155808"/>
      <w:bookmarkStart w:id="65" w:name="_Toc15377206"/>
      <w:bookmarkStart w:id="66" w:name="_Toc15396604"/>
      <w:bookmarkStart w:id="67" w:name="_Toc1220370967_WPSOffice_Level2"/>
      <w:r>
        <w:rPr>
          <w:rFonts w:eastAsia="黑体"/>
          <w:sz w:val="32"/>
          <w:szCs w:val="32"/>
        </w:rPr>
        <w:t>收</w:t>
      </w:r>
      <w:r>
        <w:rPr>
          <w:rStyle w:val="25"/>
          <w:rFonts w:ascii="Times New Roman" w:hAnsi="Times New Roman" w:eastAsia="黑体" w:cs="Times New Roman"/>
          <w:b w:val="0"/>
        </w:rPr>
        <w:t>入决算情况说明</w:t>
      </w:r>
      <w:bookmarkEnd w:id="64"/>
      <w:bookmarkEnd w:id="65"/>
      <w:bookmarkEnd w:id="66"/>
      <w:bookmarkEnd w:id="67"/>
    </w:p>
    <w:p>
      <w:pPr>
        <w:spacing w:line="600" w:lineRule="exact"/>
        <w:ind w:firstLine="640" w:firstLineChars="200"/>
        <w:outlineLvl w:val="1"/>
        <w:rPr>
          <w:rFonts w:eastAsia="仿宋_GB2312"/>
          <w:sz w:val="32"/>
          <w:szCs w:val="32"/>
        </w:rPr>
      </w:pPr>
      <w:bookmarkStart w:id="68" w:name="_Toc114155809"/>
      <w:r>
        <w:rPr>
          <w:rFonts w:eastAsia="仿宋_GB2312"/>
          <w:sz w:val="32"/>
          <w:szCs w:val="32"/>
        </w:rPr>
        <w:t>2021年本年收入合计426.82万元，其中：一般公共预算财政拨款收入426.82万元，占100%。</w:t>
      </w:r>
      <w:bookmarkEnd w:id="68"/>
    </w:p>
    <w:p>
      <w:pPr>
        <w:spacing w:line="600" w:lineRule="exact"/>
        <w:ind w:firstLine="640" w:firstLineChars="200"/>
        <w:rPr>
          <w:rFonts w:eastAsia="仿宋_GB2312"/>
          <w:sz w:val="32"/>
          <w:szCs w:val="32"/>
        </w:rPr>
      </w:pPr>
      <w:r>
        <w:rPr>
          <w:rFonts w:eastAsia="仿宋_GB2312"/>
          <w:sz w:val="32"/>
          <w:szCs w:val="32"/>
        </w:rPr>
        <w:t>（图2：收入决算结构图）</w:t>
      </w:r>
    </w:p>
    <w:p>
      <w:pPr>
        <w:pStyle w:val="2"/>
        <w:spacing w:before="93"/>
        <w:rPr>
          <w:rFonts w:ascii="Times New Roman"/>
          <w:sz w:val="32"/>
          <w:szCs w:val="32"/>
        </w:rPr>
      </w:pPr>
      <w:r>
        <w:rPr>
          <w:rFonts w:ascii="Times New Roman"/>
        </w:rPr>
        <w:drawing>
          <wp:inline distT="0" distB="0" distL="114300" distR="114300">
            <wp:extent cx="4989830" cy="1564640"/>
            <wp:effectExtent l="4445" t="4445" r="15875" b="1206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spacing w:before="93"/>
        <w:rPr>
          <w:rFonts w:ascii="Times New Roman"/>
          <w:sz w:val="32"/>
          <w:szCs w:val="32"/>
        </w:rPr>
      </w:pPr>
    </w:p>
    <w:p>
      <w:pPr>
        <w:pStyle w:val="23"/>
        <w:numPr>
          <w:ilvl w:val="0"/>
          <w:numId w:val="3"/>
        </w:numPr>
        <w:spacing w:line="600" w:lineRule="exact"/>
        <w:ind w:firstLineChars="0"/>
        <w:outlineLvl w:val="1"/>
        <w:rPr>
          <w:rStyle w:val="25"/>
          <w:rFonts w:ascii="Times New Roman" w:hAnsi="Times New Roman" w:eastAsia="黑体" w:cs="Times New Roman"/>
          <w:b w:val="0"/>
        </w:rPr>
      </w:pPr>
      <w:bookmarkStart w:id="69" w:name="_Toc941369637_WPSOffice_Level2"/>
      <w:bookmarkStart w:id="70" w:name="_Toc15377207"/>
      <w:bookmarkStart w:id="71" w:name="_Toc114155810"/>
      <w:bookmarkStart w:id="72" w:name="_Toc15396605"/>
      <w:r>
        <w:rPr>
          <w:rFonts w:eastAsia="黑体"/>
          <w:sz w:val="32"/>
          <w:szCs w:val="32"/>
        </w:rPr>
        <w:t>支</w:t>
      </w:r>
      <w:r>
        <w:rPr>
          <w:rStyle w:val="25"/>
          <w:rFonts w:ascii="Times New Roman" w:hAnsi="Times New Roman" w:eastAsia="黑体" w:cs="Times New Roman"/>
          <w:b w:val="0"/>
        </w:rPr>
        <w:t>出决算情况说明</w:t>
      </w:r>
      <w:bookmarkEnd w:id="69"/>
      <w:bookmarkEnd w:id="70"/>
      <w:bookmarkEnd w:id="71"/>
      <w:bookmarkEnd w:id="72"/>
    </w:p>
    <w:p>
      <w:pPr>
        <w:spacing w:line="600" w:lineRule="exact"/>
        <w:ind w:firstLine="640" w:firstLineChars="200"/>
        <w:outlineLvl w:val="1"/>
        <w:rPr>
          <w:rFonts w:eastAsia="仿宋_GB2312"/>
          <w:sz w:val="32"/>
          <w:szCs w:val="32"/>
          <w:shd w:val="pct10" w:color="auto" w:fill="FFFFFF"/>
        </w:rPr>
      </w:pPr>
      <w:bookmarkStart w:id="73" w:name="_Toc114155811"/>
      <w:r>
        <w:rPr>
          <w:rFonts w:eastAsia="仿宋_GB2312"/>
          <w:sz w:val="32"/>
          <w:szCs w:val="32"/>
        </w:rPr>
        <w:t>2021年本年支出合计426.82万元，其中：基本支出157.82万元，占36.98%；项目支出269万元，占63.02%。</w:t>
      </w:r>
      <w:bookmarkEnd w:id="73"/>
    </w:p>
    <w:p>
      <w:pPr>
        <w:spacing w:line="600" w:lineRule="exact"/>
        <w:ind w:firstLine="640" w:firstLineChars="200"/>
        <w:rPr>
          <w:rFonts w:eastAsia="仿宋_GB2312"/>
          <w:sz w:val="32"/>
          <w:szCs w:val="32"/>
        </w:rPr>
      </w:pPr>
      <w:r>
        <w:rPr>
          <w:rFonts w:eastAsia="仿宋_GB2312"/>
          <w:sz w:val="32"/>
          <w:szCs w:val="32"/>
        </w:rPr>
        <w:t>（图3：支出决算结构图）</w:t>
      </w:r>
    </w:p>
    <w:p>
      <w:pPr>
        <w:pStyle w:val="2"/>
        <w:spacing w:before="93"/>
        <w:rPr>
          <w:rFonts w:ascii="Times New Roman"/>
          <w:sz w:val="32"/>
          <w:szCs w:val="32"/>
        </w:rPr>
      </w:pPr>
      <w:r>
        <w:rPr>
          <w:rFonts w:ascii="Times New Roman"/>
        </w:rPr>
        <w:drawing>
          <wp:inline distT="0" distB="0" distL="114300" distR="114300">
            <wp:extent cx="4572000" cy="2743200"/>
            <wp:effectExtent l="4445" t="4445" r="14605" b="14605"/>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outlineLvl w:val="1"/>
        <w:rPr>
          <w:rStyle w:val="25"/>
          <w:rFonts w:ascii="Times New Roman" w:hAnsi="Times New Roman" w:eastAsia="黑体" w:cs="Times New Roman"/>
          <w:b w:val="0"/>
        </w:rPr>
      </w:pPr>
      <w:bookmarkStart w:id="74" w:name="_Toc114155812"/>
      <w:bookmarkStart w:id="75" w:name="_Toc15377208"/>
      <w:bookmarkStart w:id="76" w:name="_Toc383137296_WPSOffice_Level2"/>
      <w:bookmarkStart w:id="77" w:name="_Toc15396606"/>
      <w:r>
        <w:rPr>
          <w:rFonts w:eastAsia="黑体"/>
          <w:sz w:val="32"/>
          <w:szCs w:val="32"/>
        </w:rPr>
        <w:t>四、财</w:t>
      </w:r>
      <w:r>
        <w:rPr>
          <w:rStyle w:val="25"/>
          <w:rFonts w:ascii="Times New Roman" w:hAnsi="Times New Roman" w:eastAsia="黑体" w:cs="Times New Roman"/>
          <w:b w:val="0"/>
        </w:rPr>
        <w:t>政拨款收入支出决算总体情况说明</w:t>
      </w:r>
      <w:bookmarkEnd w:id="74"/>
      <w:bookmarkEnd w:id="75"/>
      <w:bookmarkEnd w:id="76"/>
      <w:bookmarkEnd w:id="77"/>
    </w:p>
    <w:p>
      <w:pPr>
        <w:spacing w:line="600" w:lineRule="exact"/>
        <w:ind w:firstLine="640"/>
        <w:rPr>
          <w:rFonts w:eastAsia="仿宋_GB2312"/>
          <w:sz w:val="32"/>
          <w:szCs w:val="32"/>
        </w:rPr>
      </w:pPr>
      <w:r>
        <w:rPr>
          <w:rFonts w:eastAsia="仿宋_GB2312"/>
          <w:sz w:val="32"/>
          <w:szCs w:val="32"/>
        </w:rPr>
        <w:t>2021年财政拨款收、支总计426.82万元。与2020年相比，财政拨款收、支总计各增加9.27万元，增长2.22%。主要变动原因是新增人员经费增加。</w:t>
      </w:r>
    </w:p>
    <w:p>
      <w:pPr>
        <w:spacing w:line="600" w:lineRule="exact"/>
        <w:ind w:firstLine="640" w:firstLineChars="200"/>
        <w:rPr>
          <w:rFonts w:eastAsia="仿宋_GB2312"/>
          <w:sz w:val="32"/>
          <w:szCs w:val="32"/>
        </w:rPr>
      </w:pPr>
      <w:r>
        <w:rPr>
          <w:rFonts w:eastAsia="仿宋_GB2312"/>
          <w:sz w:val="32"/>
          <w:szCs w:val="32"/>
        </w:rPr>
        <w:t>（图4：财政拨款收、支决算总计变动情况）</w:t>
      </w:r>
      <w:bookmarkStart w:id="78" w:name="_Toc15396607"/>
      <w:bookmarkStart w:id="79" w:name="_Toc15377209"/>
      <w:r>
        <w:rPr>
          <w:rFonts w:eastAsia="仿宋_GB2312"/>
          <w:sz w:val="32"/>
          <w:szCs w:val="32"/>
        </w:rPr>
        <w:t>（单位：万元）</w:t>
      </w:r>
    </w:p>
    <w:p>
      <w:pPr>
        <w:pStyle w:val="2"/>
        <w:spacing w:before="93"/>
        <w:rPr>
          <w:rFonts w:ascii="Times New Roman" w:eastAsia="黑体"/>
          <w:sz w:val="32"/>
          <w:szCs w:val="32"/>
        </w:rPr>
      </w:pPr>
      <w:r>
        <w:rPr>
          <w:rFonts w:ascii="Times New Roman"/>
        </w:rPr>
        <w:drawing>
          <wp:inline distT="0" distB="0" distL="114300" distR="114300">
            <wp:extent cx="4872355" cy="2183130"/>
            <wp:effectExtent l="0" t="0" r="4445" b="762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outlineLvl w:val="1"/>
        <w:rPr>
          <w:rFonts w:eastAsia="黑体"/>
          <w:sz w:val="32"/>
          <w:szCs w:val="32"/>
        </w:rPr>
      </w:pPr>
    </w:p>
    <w:p>
      <w:pPr>
        <w:spacing w:line="600" w:lineRule="exact"/>
        <w:ind w:firstLine="640" w:firstLineChars="200"/>
        <w:outlineLvl w:val="1"/>
        <w:rPr>
          <w:rStyle w:val="25"/>
          <w:rFonts w:ascii="Times New Roman" w:hAnsi="Times New Roman" w:eastAsia="黑体" w:cs="Times New Roman"/>
          <w:b w:val="0"/>
        </w:rPr>
      </w:pPr>
      <w:bookmarkStart w:id="80" w:name="_Toc114155813"/>
      <w:bookmarkStart w:id="81" w:name="_Toc1066458474_WPSOffice_Level2"/>
      <w:r>
        <w:rPr>
          <w:rFonts w:eastAsia="黑体"/>
          <w:sz w:val="32"/>
          <w:szCs w:val="32"/>
        </w:rPr>
        <w:t>五、</w:t>
      </w:r>
      <w:r>
        <w:rPr>
          <w:rFonts w:eastAsia="黑体"/>
          <w:b/>
          <w:sz w:val="32"/>
          <w:szCs w:val="32"/>
        </w:rPr>
        <w:t>一</w:t>
      </w:r>
      <w:r>
        <w:rPr>
          <w:rStyle w:val="25"/>
          <w:rFonts w:ascii="Times New Roman" w:hAnsi="Times New Roman" w:eastAsia="黑体" w:cs="Times New Roman"/>
          <w:b w:val="0"/>
        </w:rPr>
        <w:t>般公共预算财政拨款支出决算情况说明</w:t>
      </w:r>
      <w:bookmarkEnd w:id="78"/>
      <w:bookmarkEnd w:id="79"/>
      <w:bookmarkEnd w:id="80"/>
      <w:bookmarkEnd w:id="81"/>
    </w:p>
    <w:p>
      <w:pPr>
        <w:spacing w:line="600" w:lineRule="exact"/>
        <w:ind w:firstLine="640" w:firstLineChars="200"/>
        <w:outlineLvl w:val="2"/>
        <w:rPr>
          <w:rFonts w:hint="eastAsia" w:ascii="楷体_GB2312" w:eastAsia="楷体_GB2312"/>
          <w:bCs/>
          <w:sz w:val="32"/>
          <w:szCs w:val="32"/>
        </w:rPr>
      </w:pPr>
      <w:bookmarkStart w:id="82" w:name="_Toc15377210"/>
      <w:bookmarkStart w:id="83" w:name="_Toc114155814"/>
      <w:r>
        <w:rPr>
          <w:rFonts w:hint="eastAsia" w:ascii="楷体_GB2312" w:eastAsia="楷体_GB2312"/>
          <w:bCs/>
          <w:sz w:val="32"/>
          <w:szCs w:val="32"/>
        </w:rPr>
        <w:t>（一）一般公共预算财政拨款支出决算总体情况</w:t>
      </w:r>
      <w:bookmarkEnd w:id="82"/>
      <w:bookmarkEnd w:id="83"/>
    </w:p>
    <w:p>
      <w:pPr>
        <w:spacing w:line="600" w:lineRule="exact"/>
        <w:ind w:firstLine="640" w:firstLineChars="200"/>
        <w:rPr>
          <w:rFonts w:eastAsia="仿宋_GB2312"/>
          <w:sz w:val="32"/>
          <w:szCs w:val="32"/>
        </w:rPr>
      </w:pPr>
      <w:r>
        <w:rPr>
          <w:rFonts w:eastAsia="仿宋_GB2312"/>
          <w:sz w:val="32"/>
          <w:szCs w:val="32"/>
        </w:rPr>
        <w:t>2021年一般公共预算财政拨款支出426.82万元，占本年支出合计的100%。与2020年相比，一般公共预算财政拨款支出增加9.27万元，增长2.22%。主要变动原因是新增人员经费增加。</w:t>
      </w:r>
    </w:p>
    <w:p>
      <w:pPr>
        <w:spacing w:line="600" w:lineRule="exact"/>
        <w:ind w:firstLine="640" w:firstLineChars="200"/>
        <w:rPr>
          <w:rFonts w:eastAsia="仿宋_GB2312"/>
          <w:sz w:val="32"/>
          <w:szCs w:val="32"/>
        </w:rPr>
      </w:pPr>
      <w:r>
        <w:rPr>
          <w:rFonts w:eastAsia="仿宋_GB2312"/>
          <w:sz w:val="32"/>
          <w:szCs w:val="32"/>
        </w:rPr>
        <w:t>（图5：一般公共预算财政拨款支出决算变动情况）（单位：万元）</w:t>
      </w:r>
    </w:p>
    <w:p>
      <w:pPr>
        <w:pStyle w:val="2"/>
        <w:spacing w:before="93"/>
        <w:rPr>
          <w:rFonts w:ascii="Times New Roman"/>
          <w:sz w:val="32"/>
          <w:szCs w:val="32"/>
        </w:rPr>
      </w:pPr>
      <w:r>
        <w:rPr>
          <w:rFonts w:ascii="Times New Roman"/>
        </w:rPr>
        <w:drawing>
          <wp:inline distT="0" distB="0" distL="114300" distR="114300">
            <wp:extent cx="4999355" cy="1915795"/>
            <wp:effectExtent l="4445" t="4445" r="6350" b="2286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outlineLvl w:val="2"/>
        <w:rPr>
          <w:rFonts w:hint="eastAsia" w:ascii="楷体_GB2312" w:eastAsia="楷体_GB2312"/>
          <w:bCs/>
          <w:sz w:val="32"/>
          <w:szCs w:val="32"/>
        </w:rPr>
      </w:pPr>
      <w:bookmarkStart w:id="84" w:name="_Toc114155815"/>
      <w:bookmarkStart w:id="85" w:name="_Toc15377211"/>
      <w:r>
        <w:rPr>
          <w:rFonts w:hint="eastAsia" w:ascii="楷体_GB2312" w:eastAsia="楷体_GB2312"/>
          <w:bCs/>
          <w:sz w:val="32"/>
          <w:szCs w:val="32"/>
        </w:rPr>
        <w:t>（二）一般公共预算财政拨款支出决算结构情况</w:t>
      </w:r>
      <w:bookmarkEnd w:id="84"/>
      <w:bookmarkEnd w:id="85"/>
    </w:p>
    <w:p>
      <w:pPr>
        <w:spacing w:line="600" w:lineRule="exact"/>
        <w:ind w:firstLine="640"/>
        <w:textAlignment w:val="baseline"/>
        <w:rPr>
          <w:rFonts w:hint="eastAsia" w:ascii="楷体_GB2312" w:eastAsia="楷体_GB2312"/>
          <w:bCs/>
          <w:sz w:val="32"/>
          <w:szCs w:val="32"/>
        </w:rPr>
      </w:pPr>
      <w:r>
        <w:rPr>
          <w:rFonts w:eastAsia="仿宋_GB2312"/>
          <w:sz w:val="32"/>
          <w:szCs w:val="32"/>
        </w:rPr>
        <w:t>2021年一般公共预算财政拨款支出426.82万元，主要用于以下方面:</w:t>
      </w:r>
      <w:r>
        <w:rPr>
          <w:rFonts w:eastAsia="仿宋_GB2312"/>
          <w:b/>
          <w:bCs/>
          <w:color w:val="000000"/>
          <w:sz w:val="32"/>
          <w:szCs w:val="32"/>
        </w:rPr>
        <w:t>教育（类）</w:t>
      </w:r>
      <w:r>
        <w:rPr>
          <w:rFonts w:eastAsia="仿宋_GB2312"/>
          <w:color w:val="000000"/>
          <w:sz w:val="32"/>
          <w:szCs w:val="32"/>
        </w:rPr>
        <w:t>支出10万元，占2.34%；</w:t>
      </w:r>
      <w:r>
        <w:rPr>
          <w:rFonts w:eastAsia="仿宋_GB2312"/>
          <w:b/>
          <w:bCs/>
          <w:color w:val="000000"/>
          <w:sz w:val="32"/>
          <w:szCs w:val="32"/>
        </w:rPr>
        <w:t>社会保障和就业（类）</w:t>
      </w:r>
      <w:r>
        <w:rPr>
          <w:rFonts w:eastAsia="仿宋_GB2312"/>
          <w:color w:val="000000"/>
          <w:sz w:val="32"/>
          <w:szCs w:val="32"/>
        </w:rPr>
        <w:t>支出398.35万元，占93.33%；</w:t>
      </w:r>
      <w:r>
        <w:rPr>
          <w:rFonts w:eastAsia="仿宋_GB2312"/>
          <w:b/>
          <w:bCs/>
          <w:color w:val="000000"/>
          <w:sz w:val="32"/>
          <w:szCs w:val="32"/>
        </w:rPr>
        <w:t>卫生健康（类）</w:t>
      </w:r>
      <w:r>
        <w:rPr>
          <w:rFonts w:eastAsia="仿宋_GB2312"/>
          <w:color w:val="000000"/>
          <w:sz w:val="32"/>
          <w:szCs w:val="32"/>
        </w:rPr>
        <w:t>支出6.45万元，占1.51%；</w:t>
      </w:r>
      <w:r>
        <w:rPr>
          <w:rFonts w:eastAsia="仿宋_GB2312"/>
          <w:b/>
          <w:bCs/>
          <w:color w:val="000000"/>
          <w:sz w:val="32"/>
          <w:szCs w:val="32"/>
        </w:rPr>
        <w:t>住房保障（类）</w:t>
      </w:r>
      <w:r>
        <w:rPr>
          <w:rFonts w:eastAsia="仿宋_GB2312"/>
          <w:color w:val="000000"/>
          <w:sz w:val="32"/>
          <w:szCs w:val="32"/>
        </w:rPr>
        <w:t>支出12.02万元，占2.82%。</w:t>
      </w:r>
    </w:p>
    <w:p>
      <w:pPr>
        <w:spacing w:line="600" w:lineRule="exact"/>
        <w:rPr>
          <w:rFonts w:eastAsia="仿宋_GB2312"/>
          <w:sz w:val="32"/>
          <w:szCs w:val="32"/>
        </w:rPr>
      </w:pPr>
      <w:r>
        <w:rPr>
          <w:rFonts w:eastAsia="仿宋_GB2312"/>
          <w:sz w:val="32"/>
          <w:szCs w:val="32"/>
        </w:rPr>
        <w:t>（图6：一般公共预算财政拨款支出决算结构）</w:t>
      </w:r>
    </w:p>
    <w:p>
      <w:pPr>
        <w:pStyle w:val="2"/>
        <w:spacing w:before="93"/>
        <w:rPr>
          <w:rFonts w:ascii="Times New Roman"/>
        </w:rPr>
      </w:pPr>
      <w:r>
        <w:rPr>
          <w:rFonts w:ascii="Times New Roman"/>
        </w:rPr>
        <w:drawing>
          <wp:inline distT="0" distB="0" distL="114300" distR="114300">
            <wp:extent cx="4923790" cy="2209165"/>
            <wp:effectExtent l="4445" t="4445" r="5715" b="15240"/>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
        <w:spacing w:before="93"/>
        <w:rPr>
          <w:rFonts w:ascii="Times New Roman"/>
        </w:rPr>
      </w:pPr>
    </w:p>
    <w:p>
      <w:pPr>
        <w:spacing w:line="600" w:lineRule="exact"/>
        <w:ind w:firstLine="640" w:firstLineChars="200"/>
        <w:outlineLvl w:val="2"/>
        <w:rPr>
          <w:rFonts w:hint="eastAsia" w:ascii="楷体_GB2312" w:eastAsia="楷体_GB2312"/>
          <w:bCs/>
          <w:sz w:val="32"/>
          <w:szCs w:val="32"/>
        </w:rPr>
      </w:pPr>
      <w:bookmarkStart w:id="86" w:name="_Toc114155816"/>
      <w:bookmarkStart w:id="87" w:name="_Toc15377212"/>
      <w:r>
        <w:rPr>
          <w:rFonts w:hint="eastAsia" w:ascii="楷体_GB2312" w:eastAsia="楷体_GB2312"/>
          <w:bCs/>
          <w:sz w:val="32"/>
          <w:szCs w:val="32"/>
        </w:rPr>
        <w:t>（三）一般公共预算财政拨款支出决算具体情况</w:t>
      </w:r>
      <w:bookmarkEnd w:id="86"/>
      <w:bookmarkEnd w:id="87"/>
    </w:p>
    <w:p>
      <w:pPr>
        <w:spacing w:line="600" w:lineRule="exact"/>
        <w:ind w:firstLine="640" w:firstLineChars="200"/>
        <w:outlineLvl w:val="2"/>
        <w:rPr>
          <w:rFonts w:eastAsia="仿宋_GB2312"/>
          <w:sz w:val="32"/>
          <w:szCs w:val="32"/>
        </w:rPr>
      </w:pPr>
      <w:bookmarkStart w:id="88" w:name="_Toc114155817"/>
      <w:bookmarkStart w:id="89" w:name="_Toc15377444"/>
      <w:bookmarkStart w:id="90" w:name="_Toc15377213"/>
      <w:bookmarkStart w:id="91" w:name="_Toc15378460"/>
      <w:r>
        <w:rPr>
          <w:rFonts w:hint="eastAsia" w:ascii="楷体_GB2312" w:eastAsia="楷体_GB2312"/>
          <w:bCs/>
          <w:sz w:val="32"/>
          <w:szCs w:val="32"/>
        </w:rPr>
        <w:t>2021年一般公共预算支出决算数为426.82万元</w:t>
      </w:r>
      <w:r>
        <w:rPr>
          <w:rFonts w:eastAsia="仿宋_GB2312"/>
          <w:sz w:val="32"/>
          <w:szCs w:val="32"/>
        </w:rPr>
        <w:t>，</w:t>
      </w:r>
      <w:r>
        <w:rPr>
          <w:rStyle w:val="14"/>
          <w:rFonts w:eastAsia="仿宋_GB2312"/>
          <w:bCs/>
          <w:sz w:val="32"/>
          <w:szCs w:val="32"/>
        </w:rPr>
        <w:t>完成预算98.77%。其中：</w:t>
      </w:r>
      <w:bookmarkEnd w:id="88"/>
      <w:bookmarkEnd w:id="89"/>
      <w:bookmarkEnd w:id="90"/>
      <w:bookmarkEnd w:id="91"/>
    </w:p>
    <w:p>
      <w:pPr>
        <w:spacing w:line="600" w:lineRule="exact"/>
        <w:ind w:firstLine="642" w:firstLineChars="200"/>
        <w:textAlignment w:val="baseline"/>
        <w:rPr>
          <w:rFonts w:eastAsia="仿宋_GB2312"/>
          <w:b/>
          <w:bCs/>
          <w:color w:val="000000"/>
          <w:sz w:val="32"/>
          <w:szCs w:val="32"/>
        </w:rPr>
      </w:pPr>
      <w:r>
        <w:rPr>
          <w:rStyle w:val="14"/>
          <w:rFonts w:eastAsia="仿宋_GB2312"/>
          <w:color w:val="000000"/>
          <w:sz w:val="32"/>
          <w:szCs w:val="32"/>
        </w:rPr>
        <w:t>1.</w:t>
      </w:r>
      <w:r>
        <w:rPr>
          <w:rFonts w:eastAsia="仿宋_GB2312"/>
          <w:b/>
          <w:bCs/>
          <w:color w:val="000000"/>
          <w:sz w:val="32"/>
          <w:szCs w:val="32"/>
        </w:rPr>
        <w:t>教育</w:t>
      </w:r>
      <w:r>
        <w:rPr>
          <w:rStyle w:val="14"/>
          <w:rFonts w:eastAsia="仿宋_GB2312"/>
          <w:color w:val="000000"/>
          <w:sz w:val="32"/>
          <w:szCs w:val="32"/>
        </w:rPr>
        <w:t>（类）</w:t>
      </w:r>
      <w:r>
        <w:rPr>
          <w:rFonts w:eastAsia="仿宋_GB2312"/>
          <w:b/>
          <w:bCs/>
          <w:color w:val="000000"/>
          <w:sz w:val="32"/>
          <w:szCs w:val="32"/>
        </w:rPr>
        <w:t>进修及培训</w:t>
      </w:r>
      <w:r>
        <w:rPr>
          <w:rStyle w:val="14"/>
          <w:rFonts w:eastAsia="仿宋_GB2312"/>
          <w:color w:val="000000"/>
          <w:sz w:val="32"/>
          <w:szCs w:val="32"/>
        </w:rPr>
        <w:t>（款）</w:t>
      </w:r>
      <w:r>
        <w:rPr>
          <w:rFonts w:eastAsia="仿宋_GB2312"/>
          <w:b/>
          <w:bCs/>
          <w:color w:val="000000"/>
          <w:sz w:val="32"/>
          <w:szCs w:val="32"/>
        </w:rPr>
        <w:t>培训支出</w:t>
      </w:r>
      <w:r>
        <w:rPr>
          <w:rStyle w:val="14"/>
          <w:rFonts w:eastAsia="仿宋_GB2312"/>
          <w:color w:val="000000"/>
          <w:sz w:val="32"/>
          <w:szCs w:val="32"/>
        </w:rPr>
        <w:t>（项）：</w:t>
      </w:r>
      <w:r>
        <w:rPr>
          <w:rStyle w:val="14"/>
          <w:rFonts w:eastAsia="仿宋_GB2312"/>
          <w:b w:val="0"/>
          <w:color w:val="000000"/>
          <w:sz w:val="32"/>
          <w:szCs w:val="32"/>
        </w:rPr>
        <w:t>支出决算为10万元，完成预算100%。</w:t>
      </w:r>
    </w:p>
    <w:p>
      <w:pPr>
        <w:spacing w:line="600" w:lineRule="exact"/>
        <w:ind w:firstLine="642" w:firstLineChars="200"/>
        <w:textAlignment w:val="baseline"/>
        <w:rPr>
          <w:rStyle w:val="14"/>
          <w:rFonts w:eastAsia="仿宋_GB2312"/>
          <w:b w:val="0"/>
          <w:color w:val="000000"/>
          <w:sz w:val="32"/>
          <w:szCs w:val="32"/>
        </w:rPr>
      </w:pPr>
      <w:r>
        <w:rPr>
          <w:rStyle w:val="14"/>
          <w:rFonts w:eastAsia="仿宋_GB2312"/>
          <w:color w:val="000000"/>
          <w:sz w:val="32"/>
          <w:szCs w:val="32"/>
        </w:rPr>
        <w:t>2.社会保障和就业（类）</w:t>
      </w:r>
      <w:r>
        <w:rPr>
          <w:rFonts w:eastAsia="仿宋_GB2312"/>
          <w:b/>
          <w:bCs/>
          <w:color w:val="000000"/>
          <w:sz w:val="32"/>
          <w:szCs w:val="32"/>
        </w:rPr>
        <w:t>人力资源和社会保障管理事务</w:t>
      </w:r>
      <w:r>
        <w:rPr>
          <w:rStyle w:val="14"/>
          <w:rFonts w:eastAsia="仿宋_GB2312"/>
          <w:color w:val="000000"/>
          <w:sz w:val="32"/>
          <w:szCs w:val="32"/>
        </w:rPr>
        <w:t>（款）</w:t>
      </w:r>
      <w:r>
        <w:rPr>
          <w:rFonts w:eastAsia="仿宋_GB2312"/>
          <w:b/>
          <w:bCs/>
          <w:color w:val="000000"/>
          <w:sz w:val="32"/>
          <w:szCs w:val="32"/>
        </w:rPr>
        <w:t>公共就业服务和职业技能鉴定机构</w:t>
      </w:r>
      <w:r>
        <w:rPr>
          <w:rStyle w:val="14"/>
          <w:rFonts w:eastAsia="仿宋_GB2312"/>
          <w:color w:val="000000"/>
          <w:sz w:val="32"/>
          <w:szCs w:val="32"/>
        </w:rPr>
        <w:t>（项）:</w:t>
      </w:r>
      <w:r>
        <w:rPr>
          <w:rStyle w:val="14"/>
          <w:rFonts w:eastAsia="仿宋_GB2312"/>
          <w:b w:val="0"/>
          <w:color w:val="000000"/>
          <w:sz w:val="32"/>
          <w:szCs w:val="32"/>
        </w:rPr>
        <w:t>支出决算为223.42万元，完成预算97.67%，</w:t>
      </w:r>
      <w:r>
        <w:rPr>
          <w:rFonts w:eastAsia="仿宋_GB2312"/>
          <w:sz w:val="32"/>
          <w:szCs w:val="32"/>
        </w:rPr>
        <w:t>决算数与预算数基本持平。</w:t>
      </w:r>
    </w:p>
    <w:p>
      <w:pPr>
        <w:spacing w:line="600" w:lineRule="exact"/>
        <w:ind w:firstLine="642" w:firstLineChars="200"/>
        <w:textAlignment w:val="baseline"/>
        <w:rPr>
          <w:rFonts w:eastAsia="仿宋_GB2312"/>
          <w:sz w:val="32"/>
          <w:szCs w:val="32"/>
        </w:rPr>
      </w:pPr>
      <w:r>
        <w:rPr>
          <w:rStyle w:val="14"/>
          <w:rFonts w:eastAsia="仿宋_GB2312"/>
          <w:sz w:val="32"/>
          <w:szCs w:val="32"/>
        </w:rPr>
        <w:t>社会保障和就业（类）</w:t>
      </w:r>
      <w:r>
        <w:rPr>
          <w:rFonts w:eastAsia="仿宋_GB2312"/>
          <w:b/>
          <w:bCs/>
          <w:color w:val="000000"/>
          <w:sz w:val="32"/>
          <w:szCs w:val="32"/>
        </w:rPr>
        <w:t>行政事业单位养老支出（款）机事业单位离退休</w:t>
      </w:r>
      <w:r>
        <w:rPr>
          <w:rStyle w:val="14"/>
          <w:rFonts w:eastAsia="仿宋_GB2312"/>
          <w:color w:val="000000"/>
          <w:sz w:val="32"/>
          <w:szCs w:val="32"/>
        </w:rPr>
        <w:t>（项）:</w:t>
      </w:r>
      <w:r>
        <w:rPr>
          <w:rStyle w:val="14"/>
          <w:rFonts w:eastAsia="仿宋_GB2312"/>
          <w:b w:val="0"/>
          <w:color w:val="000000"/>
          <w:sz w:val="32"/>
          <w:szCs w:val="32"/>
        </w:rPr>
        <w:t>支出决算为2.91万元，完成预算100%</w:t>
      </w:r>
      <w:r>
        <w:rPr>
          <w:rFonts w:eastAsia="仿宋_GB2312"/>
          <w:sz w:val="32"/>
          <w:szCs w:val="32"/>
        </w:rPr>
        <w:t>。</w:t>
      </w:r>
    </w:p>
    <w:p>
      <w:pPr>
        <w:spacing w:line="600" w:lineRule="exact"/>
        <w:ind w:firstLine="642" w:firstLineChars="200"/>
        <w:textAlignment w:val="baseline"/>
        <w:rPr>
          <w:rFonts w:eastAsia="仿宋_GB2312"/>
          <w:b/>
          <w:bCs/>
          <w:color w:val="000000"/>
          <w:sz w:val="32"/>
          <w:szCs w:val="32"/>
        </w:rPr>
      </w:pPr>
      <w:r>
        <w:rPr>
          <w:rStyle w:val="14"/>
          <w:rFonts w:eastAsia="仿宋_GB2312"/>
          <w:sz w:val="32"/>
          <w:szCs w:val="32"/>
        </w:rPr>
        <w:t>社会保障和就业（类）</w:t>
      </w:r>
      <w:r>
        <w:rPr>
          <w:rFonts w:eastAsia="仿宋_GB2312"/>
          <w:b/>
          <w:bCs/>
          <w:color w:val="000000"/>
          <w:sz w:val="32"/>
          <w:szCs w:val="32"/>
        </w:rPr>
        <w:t>行政事业单位养老支出（款）</w:t>
      </w:r>
      <w:r>
        <w:rPr>
          <w:rFonts w:eastAsia="仿宋_GB2312"/>
          <w:b/>
          <w:bCs/>
          <w:color w:val="000000"/>
          <w:kern w:val="0"/>
          <w:sz w:val="32"/>
          <w:szCs w:val="32"/>
        </w:rPr>
        <w:t>机关事业单位基本养老保险缴费支出（项）:</w:t>
      </w:r>
      <w:r>
        <w:rPr>
          <w:rStyle w:val="14"/>
          <w:rFonts w:eastAsia="仿宋_GB2312"/>
          <w:b w:val="0"/>
          <w:color w:val="000000"/>
          <w:sz w:val="32"/>
          <w:szCs w:val="32"/>
        </w:rPr>
        <w:t>支出决算为11.35万元，完成预算100%</w:t>
      </w:r>
      <w:r>
        <w:rPr>
          <w:rFonts w:eastAsia="仿宋_GB2312"/>
          <w:sz w:val="32"/>
          <w:szCs w:val="32"/>
        </w:rPr>
        <w:t>。</w:t>
      </w:r>
    </w:p>
    <w:p>
      <w:pPr>
        <w:spacing w:line="600" w:lineRule="exact"/>
        <w:ind w:firstLine="642" w:firstLineChars="200"/>
        <w:textAlignment w:val="baseline"/>
        <w:rPr>
          <w:rStyle w:val="14"/>
          <w:rFonts w:eastAsia="仿宋_GB2312"/>
          <w:b w:val="0"/>
          <w:color w:val="000000"/>
          <w:sz w:val="32"/>
          <w:szCs w:val="32"/>
        </w:rPr>
      </w:pPr>
      <w:r>
        <w:rPr>
          <w:rStyle w:val="14"/>
          <w:rFonts w:eastAsia="仿宋_GB2312"/>
          <w:sz w:val="32"/>
          <w:szCs w:val="32"/>
        </w:rPr>
        <w:t>社会保障和就业（类）</w:t>
      </w:r>
      <w:r>
        <w:rPr>
          <w:rFonts w:eastAsia="仿宋_GB2312"/>
          <w:b/>
          <w:bCs/>
          <w:color w:val="000000"/>
          <w:sz w:val="32"/>
          <w:szCs w:val="32"/>
        </w:rPr>
        <w:t>行政事业单位养老支出（款）机关事业单位职业年金缴费支出</w:t>
      </w:r>
      <w:r>
        <w:rPr>
          <w:rStyle w:val="14"/>
          <w:rFonts w:eastAsia="仿宋_GB2312"/>
          <w:color w:val="000000"/>
          <w:sz w:val="32"/>
          <w:szCs w:val="32"/>
        </w:rPr>
        <w:t>（项）:</w:t>
      </w:r>
      <w:r>
        <w:rPr>
          <w:rStyle w:val="14"/>
          <w:rFonts w:eastAsia="仿宋_GB2312"/>
          <w:b w:val="0"/>
          <w:color w:val="000000"/>
          <w:sz w:val="32"/>
          <w:szCs w:val="32"/>
        </w:rPr>
        <w:t>支出决算为5.67万元，完成预算100%</w:t>
      </w:r>
      <w:r>
        <w:rPr>
          <w:rFonts w:eastAsia="仿宋_GB2312"/>
          <w:sz w:val="32"/>
          <w:szCs w:val="32"/>
        </w:rPr>
        <w:t>。</w:t>
      </w:r>
    </w:p>
    <w:p>
      <w:pPr>
        <w:spacing w:line="600" w:lineRule="exact"/>
        <w:ind w:firstLine="642" w:firstLineChars="200"/>
        <w:textAlignment w:val="baseline"/>
        <w:rPr>
          <w:rStyle w:val="14"/>
          <w:rFonts w:eastAsia="仿宋_GB2312"/>
          <w:b w:val="0"/>
          <w:color w:val="000000"/>
          <w:sz w:val="32"/>
          <w:szCs w:val="32"/>
        </w:rPr>
      </w:pPr>
      <w:r>
        <w:rPr>
          <w:rStyle w:val="14"/>
          <w:rFonts w:eastAsia="仿宋_GB2312"/>
          <w:sz w:val="32"/>
          <w:szCs w:val="32"/>
        </w:rPr>
        <w:t>社会保障和就业（类）</w:t>
      </w:r>
      <w:r>
        <w:rPr>
          <w:rFonts w:eastAsia="仿宋_GB2312"/>
          <w:b/>
          <w:bCs/>
          <w:color w:val="000000"/>
          <w:sz w:val="32"/>
          <w:szCs w:val="32"/>
        </w:rPr>
        <w:t>就业补助（款）其他就业补助支出</w:t>
      </w:r>
      <w:r>
        <w:rPr>
          <w:rStyle w:val="14"/>
          <w:rFonts w:eastAsia="仿宋_GB2312"/>
          <w:color w:val="000000"/>
          <w:sz w:val="32"/>
          <w:szCs w:val="32"/>
        </w:rPr>
        <w:t>（项）:</w:t>
      </w:r>
      <w:r>
        <w:rPr>
          <w:rStyle w:val="14"/>
          <w:rFonts w:eastAsia="仿宋_GB2312"/>
          <w:b w:val="0"/>
          <w:color w:val="000000"/>
          <w:sz w:val="32"/>
          <w:szCs w:val="32"/>
        </w:rPr>
        <w:t>支出决算为155万元，完成预算100%。</w:t>
      </w:r>
    </w:p>
    <w:p>
      <w:pPr>
        <w:spacing w:line="600" w:lineRule="exact"/>
        <w:ind w:firstLine="642" w:firstLineChars="200"/>
        <w:textAlignment w:val="baseline"/>
        <w:rPr>
          <w:rFonts w:eastAsia="仿宋_GB2312"/>
          <w:b/>
          <w:bCs/>
          <w:color w:val="000000"/>
          <w:sz w:val="32"/>
          <w:szCs w:val="32"/>
        </w:rPr>
      </w:pPr>
      <w:r>
        <w:rPr>
          <w:rStyle w:val="14"/>
          <w:rFonts w:eastAsia="仿宋_GB2312"/>
          <w:color w:val="000000"/>
          <w:sz w:val="32"/>
          <w:szCs w:val="32"/>
        </w:rPr>
        <w:t>3.卫生健康（类）</w:t>
      </w:r>
      <w:r>
        <w:rPr>
          <w:rFonts w:eastAsia="仿宋_GB2312"/>
          <w:b/>
          <w:bCs/>
          <w:color w:val="000000"/>
          <w:sz w:val="32"/>
          <w:szCs w:val="32"/>
        </w:rPr>
        <w:t>行政事业单位医疗</w:t>
      </w:r>
      <w:r>
        <w:rPr>
          <w:rStyle w:val="14"/>
          <w:rFonts w:eastAsia="仿宋_GB2312"/>
          <w:color w:val="000000"/>
          <w:sz w:val="32"/>
          <w:szCs w:val="32"/>
        </w:rPr>
        <w:t>（款）</w:t>
      </w:r>
      <w:r>
        <w:rPr>
          <w:rFonts w:eastAsia="仿宋_GB2312"/>
          <w:b/>
          <w:bCs/>
          <w:color w:val="000000"/>
          <w:sz w:val="32"/>
          <w:szCs w:val="32"/>
        </w:rPr>
        <w:t>事业单位医疗（项）:</w:t>
      </w:r>
      <w:r>
        <w:rPr>
          <w:rStyle w:val="14"/>
          <w:rFonts w:eastAsia="仿宋_GB2312"/>
          <w:b w:val="0"/>
          <w:color w:val="000000"/>
          <w:sz w:val="32"/>
          <w:szCs w:val="32"/>
        </w:rPr>
        <w:t>支出决算为6.45万元，完成预算100%。</w:t>
      </w:r>
    </w:p>
    <w:p>
      <w:pPr>
        <w:spacing w:line="600" w:lineRule="exact"/>
        <w:ind w:firstLine="642" w:firstLineChars="200"/>
        <w:textAlignment w:val="baseline"/>
        <w:rPr>
          <w:rStyle w:val="14"/>
          <w:rFonts w:eastAsia="仿宋_GB2312"/>
          <w:b w:val="0"/>
          <w:color w:val="000000"/>
          <w:sz w:val="32"/>
          <w:szCs w:val="32"/>
        </w:rPr>
      </w:pPr>
      <w:r>
        <w:rPr>
          <w:rStyle w:val="14"/>
          <w:rFonts w:eastAsia="仿宋_GB2312"/>
          <w:color w:val="000000"/>
          <w:sz w:val="32"/>
          <w:szCs w:val="32"/>
        </w:rPr>
        <w:t>4.</w:t>
      </w:r>
      <w:r>
        <w:rPr>
          <w:rStyle w:val="14"/>
          <w:rFonts w:eastAsia="仿宋_GB2312"/>
          <w:sz w:val="32"/>
          <w:szCs w:val="32"/>
        </w:rPr>
        <w:t>住房保障（类）</w:t>
      </w:r>
      <w:r>
        <w:rPr>
          <w:rFonts w:eastAsia="仿宋_GB2312"/>
          <w:b/>
          <w:bCs/>
          <w:color w:val="000000"/>
          <w:sz w:val="32"/>
          <w:szCs w:val="32"/>
        </w:rPr>
        <w:t>住房改革支出</w:t>
      </w:r>
      <w:r>
        <w:rPr>
          <w:rStyle w:val="14"/>
          <w:rFonts w:eastAsia="仿宋_GB2312"/>
          <w:color w:val="000000"/>
          <w:sz w:val="32"/>
          <w:szCs w:val="32"/>
        </w:rPr>
        <w:t>（款）</w:t>
      </w:r>
      <w:r>
        <w:rPr>
          <w:rFonts w:eastAsia="仿宋_GB2312"/>
          <w:b/>
          <w:bCs/>
          <w:color w:val="000000"/>
          <w:sz w:val="32"/>
          <w:szCs w:val="32"/>
        </w:rPr>
        <w:t>住房公积金</w:t>
      </w:r>
      <w:r>
        <w:rPr>
          <w:rStyle w:val="14"/>
          <w:rFonts w:eastAsia="仿宋_GB2312"/>
          <w:color w:val="000000"/>
          <w:sz w:val="32"/>
          <w:szCs w:val="32"/>
        </w:rPr>
        <w:t>（项）:</w:t>
      </w:r>
      <w:r>
        <w:rPr>
          <w:rStyle w:val="14"/>
          <w:rFonts w:eastAsia="仿宋_GB2312"/>
          <w:b w:val="0"/>
          <w:color w:val="000000"/>
          <w:sz w:val="32"/>
          <w:szCs w:val="32"/>
        </w:rPr>
        <w:t>支出决算为9.88万元，完成预算100%。</w:t>
      </w:r>
    </w:p>
    <w:p>
      <w:pPr>
        <w:spacing w:line="600" w:lineRule="exact"/>
        <w:ind w:firstLine="642" w:firstLineChars="200"/>
        <w:textAlignment w:val="baseline"/>
        <w:rPr>
          <w:rStyle w:val="14"/>
          <w:rFonts w:eastAsia="仿宋_GB2312"/>
          <w:b w:val="0"/>
          <w:color w:val="000000"/>
          <w:sz w:val="32"/>
          <w:szCs w:val="32"/>
        </w:rPr>
      </w:pPr>
      <w:r>
        <w:rPr>
          <w:rStyle w:val="14"/>
          <w:rFonts w:eastAsia="仿宋_GB2312"/>
          <w:sz w:val="32"/>
          <w:szCs w:val="32"/>
        </w:rPr>
        <w:t>住房保障（类）</w:t>
      </w:r>
      <w:r>
        <w:rPr>
          <w:rFonts w:eastAsia="仿宋_GB2312"/>
          <w:b/>
          <w:bCs/>
          <w:color w:val="000000"/>
          <w:sz w:val="32"/>
          <w:szCs w:val="32"/>
        </w:rPr>
        <w:t>住房改革支出</w:t>
      </w:r>
      <w:r>
        <w:rPr>
          <w:rStyle w:val="14"/>
          <w:rFonts w:eastAsia="仿宋_GB2312"/>
          <w:color w:val="000000"/>
          <w:sz w:val="32"/>
          <w:szCs w:val="32"/>
        </w:rPr>
        <w:t>（款）</w:t>
      </w:r>
      <w:r>
        <w:rPr>
          <w:rFonts w:eastAsia="仿宋_GB2312"/>
          <w:b/>
          <w:bCs/>
          <w:color w:val="000000"/>
          <w:sz w:val="32"/>
          <w:szCs w:val="32"/>
        </w:rPr>
        <w:t>购房补贴（项）</w:t>
      </w:r>
      <w:r>
        <w:rPr>
          <w:rStyle w:val="14"/>
          <w:rFonts w:eastAsia="仿宋_GB2312"/>
          <w:color w:val="000000"/>
          <w:sz w:val="32"/>
          <w:szCs w:val="32"/>
        </w:rPr>
        <w:t>:</w:t>
      </w:r>
      <w:r>
        <w:rPr>
          <w:rStyle w:val="14"/>
          <w:rFonts w:eastAsia="仿宋_GB2312"/>
          <w:b w:val="0"/>
          <w:color w:val="000000"/>
          <w:sz w:val="32"/>
          <w:szCs w:val="32"/>
        </w:rPr>
        <w:t>支出决算为2.14万元，完成预算100%。</w:t>
      </w:r>
    </w:p>
    <w:p>
      <w:pPr>
        <w:tabs>
          <w:tab w:val="right" w:pos="8306"/>
        </w:tabs>
        <w:spacing w:line="600" w:lineRule="exact"/>
        <w:ind w:firstLine="640"/>
        <w:outlineLvl w:val="1"/>
        <w:rPr>
          <w:rStyle w:val="25"/>
          <w:rFonts w:ascii="Times New Roman" w:hAnsi="Times New Roman" w:cs="Times New Roman"/>
        </w:rPr>
      </w:pPr>
      <w:bookmarkStart w:id="92" w:name="_Toc2050223734_WPSOffice_Level2"/>
      <w:bookmarkStart w:id="93" w:name="_Toc15377214"/>
      <w:bookmarkStart w:id="94" w:name="_Toc15396608"/>
      <w:bookmarkStart w:id="95" w:name="_Toc114155818"/>
      <w:r>
        <w:rPr>
          <w:rFonts w:eastAsia="黑体"/>
          <w:sz w:val="32"/>
          <w:szCs w:val="32"/>
        </w:rPr>
        <w:t>六</w:t>
      </w:r>
      <w:r>
        <w:rPr>
          <w:rFonts w:eastAsia="黑体"/>
          <w:b/>
          <w:sz w:val="32"/>
          <w:szCs w:val="32"/>
        </w:rPr>
        <w:t>、一</w:t>
      </w:r>
      <w:r>
        <w:rPr>
          <w:rStyle w:val="25"/>
          <w:rFonts w:ascii="Times New Roman" w:hAnsi="Times New Roman" w:eastAsia="黑体" w:cs="Times New Roman"/>
          <w:b w:val="0"/>
        </w:rPr>
        <w:t>般公共预算财政拨款基本支出决算情况说明</w:t>
      </w:r>
      <w:bookmarkEnd w:id="92"/>
      <w:bookmarkEnd w:id="93"/>
      <w:bookmarkEnd w:id="94"/>
      <w:bookmarkEnd w:id="95"/>
      <w:r>
        <w:rPr>
          <w:rStyle w:val="25"/>
          <w:rFonts w:ascii="Times New Roman" w:hAnsi="Times New Roman" w:eastAsia="黑体" w:cs="Times New Roman"/>
          <w:b w:val="0"/>
        </w:rPr>
        <w:tab/>
      </w:r>
    </w:p>
    <w:p>
      <w:pPr>
        <w:spacing w:line="600" w:lineRule="exact"/>
        <w:ind w:firstLine="645"/>
        <w:rPr>
          <w:rFonts w:eastAsia="仿宋_GB2312"/>
          <w:sz w:val="32"/>
          <w:szCs w:val="32"/>
        </w:rPr>
      </w:pPr>
      <w:r>
        <w:rPr>
          <w:rFonts w:eastAsia="仿宋_GB2312"/>
          <w:sz w:val="32"/>
          <w:szCs w:val="32"/>
        </w:rPr>
        <w:t>2021年一般公共预算财政拨款基本支出157.82万元，其中：</w:t>
      </w:r>
    </w:p>
    <w:p>
      <w:pPr>
        <w:spacing w:line="600" w:lineRule="exact"/>
        <w:ind w:firstLine="645"/>
        <w:rPr>
          <w:rFonts w:eastAsia="仿宋_GB2312"/>
          <w:sz w:val="32"/>
          <w:szCs w:val="32"/>
        </w:rPr>
      </w:pPr>
      <w:r>
        <w:rPr>
          <w:rFonts w:eastAsia="仿宋_GB2312"/>
          <w:sz w:val="32"/>
          <w:szCs w:val="32"/>
        </w:rPr>
        <w:t>人员经费126.43万元，主要包括：基本工资、津贴补贴、绩效工资、机关事业单位基本养老保险缴费、职业年金缴费、职工基本医疗保险缴费、其他社会保障缴费、其他工资福利支出、退休费、奖励金、住房公积金、其他对个人和家庭的补助支出等。</w:t>
      </w:r>
    </w:p>
    <w:p>
      <w:pPr>
        <w:spacing w:line="600" w:lineRule="exact"/>
        <w:ind w:firstLine="640" w:firstLineChars="200"/>
        <w:rPr>
          <w:rFonts w:hint="eastAsia" w:ascii="楷体_GB2312" w:eastAsia="楷体_GB2312"/>
          <w:bCs/>
          <w:sz w:val="32"/>
          <w:szCs w:val="32"/>
        </w:rPr>
      </w:pPr>
      <w:r>
        <w:rPr>
          <w:rFonts w:eastAsia="仿宋_GB2312"/>
          <w:sz w:val="32"/>
          <w:szCs w:val="32"/>
        </w:rPr>
        <w:t>公用经费31.39万元，主要包括：办公费、水费、电费、差旅费、维修（护）费、培训费、公务接待费、工会经费、福利费、公务用车运行维护费、其他交通费用、其他商品和服务支出等。</w:t>
      </w:r>
    </w:p>
    <w:p>
      <w:pPr>
        <w:spacing w:line="600" w:lineRule="exact"/>
        <w:ind w:firstLine="640"/>
        <w:outlineLvl w:val="1"/>
        <w:rPr>
          <w:rStyle w:val="25"/>
          <w:rFonts w:ascii="Times New Roman" w:hAnsi="Times New Roman" w:eastAsia="黑体" w:cs="Times New Roman"/>
          <w:b w:val="0"/>
        </w:rPr>
      </w:pPr>
      <w:bookmarkStart w:id="96" w:name="_Toc15396609"/>
      <w:bookmarkStart w:id="97" w:name="_Toc15377215"/>
      <w:bookmarkStart w:id="98" w:name="_Toc165465718_WPSOffice_Level2"/>
      <w:bookmarkStart w:id="99" w:name="_Toc114155819"/>
      <w:r>
        <w:rPr>
          <w:rFonts w:eastAsia="黑体"/>
          <w:sz w:val="32"/>
          <w:szCs w:val="32"/>
        </w:rPr>
        <w:t>七、</w:t>
      </w:r>
      <w:r>
        <w:rPr>
          <w:rStyle w:val="25"/>
          <w:rFonts w:ascii="Times New Roman" w:hAnsi="Times New Roman" w:eastAsia="黑体" w:cs="Times New Roman"/>
        </w:rPr>
        <w:t>“</w:t>
      </w:r>
      <w:r>
        <w:rPr>
          <w:rStyle w:val="25"/>
          <w:rFonts w:ascii="Times New Roman" w:hAnsi="Times New Roman" w:eastAsia="黑体" w:cs="Times New Roman"/>
          <w:b w:val="0"/>
        </w:rPr>
        <w:t>三公”经费财政拨款支出决算情况说明</w:t>
      </w:r>
      <w:bookmarkEnd w:id="96"/>
      <w:bookmarkEnd w:id="97"/>
      <w:bookmarkEnd w:id="98"/>
      <w:bookmarkEnd w:id="99"/>
    </w:p>
    <w:p>
      <w:pPr>
        <w:spacing w:line="600" w:lineRule="exact"/>
        <w:ind w:firstLine="640"/>
        <w:outlineLvl w:val="2"/>
        <w:rPr>
          <w:rFonts w:hint="eastAsia" w:ascii="楷体_GB2312" w:eastAsia="楷体_GB2312"/>
          <w:bCs/>
          <w:sz w:val="32"/>
          <w:szCs w:val="32"/>
        </w:rPr>
      </w:pPr>
      <w:bookmarkStart w:id="100" w:name="_Toc15377216"/>
      <w:bookmarkStart w:id="101" w:name="_Toc114155820"/>
      <w:r>
        <w:rPr>
          <w:rFonts w:hint="eastAsia" w:ascii="楷体_GB2312" w:eastAsia="楷体_GB2312"/>
          <w:bCs/>
          <w:sz w:val="32"/>
          <w:szCs w:val="32"/>
        </w:rPr>
        <w:t>（一）“三公”经费财政拨款支出决算总体情况说明</w:t>
      </w:r>
      <w:bookmarkEnd w:id="100"/>
      <w:bookmarkEnd w:id="101"/>
    </w:p>
    <w:p>
      <w:pPr>
        <w:spacing w:line="600" w:lineRule="exact"/>
        <w:ind w:firstLine="640"/>
        <w:textAlignment w:val="baseline"/>
        <w:rPr>
          <w:rFonts w:eastAsia="仿宋_GB2312"/>
          <w:sz w:val="32"/>
          <w:szCs w:val="32"/>
        </w:rPr>
      </w:pPr>
      <w:r>
        <w:rPr>
          <w:rFonts w:eastAsia="仿宋_GB2312"/>
          <w:sz w:val="32"/>
          <w:szCs w:val="32"/>
        </w:rPr>
        <w:t>2021年</w:t>
      </w:r>
      <w:r>
        <w:rPr>
          <w:rFonts w:eastAsia="仿宋_GB2312"/>
          <w:color w:val="000000"/>
          <w:sz w:val="32"/>
          <w:szCs w:val="32"/>
        </w:rPr>
        <w:t>“三公”经费财政拨款支出决算为2.71万元，完成预算64.99%，决算数小于预算数的主要原因是严格执行八项规定，本着厉行节约的原则，减少了公务用车运行费用。</w:t>
      </w:r>
    </w:p>
    <w:p>
      <w:pPr>
        <w:spacing w:line="600" w:lineRule="exact"/>
        <w:ind w:firstLine="640"/>
        <w:outlineLvl w:val="2"/>
        <w:rPr>
          <w:rFonts w:hint="eastAsia" w:ascii="楷体_GB2312" w:eastAsia="楷体_GB2312"/>
          <w:bCs/>
          <w:sz w:val="32"/>
          <w:szCs w:val="32"/>
        </w:rPr>
      </w:pPr>
      <w:bookmarkStart w:id="102" w:name="_Toc15377217"/>
      <w:bookmarkStart w:id="103" w:name="_Toc114155821"/>
      <w:r>
        <w:rPr>
          <w:rFonts w:hint="eastAsia" w:ascii="楷体_GB2312" w:eastAsia="楷体_GB2312"/>
          <w:bCs/>
          <w:sz w:val="32"/>
          <w:szCs w:val="32"/>
        </w:rPr>
        <w:t>（二）“三公”经费财政拨款支出决算具体情况说明</w:t>
      </w:r>
      <w:bookmarkEnd w:id="102"/>
      <w:bookmarkEnd w:id="103"/>
    </w:p>
    <w:p>
      <w:pPr>
        <w:spacing w:line="600" w:lineRule="exact"/>
        <w:ind w:firstLine="640"/>
        <w:rPr>
          <w:rFonts w:eastAsia="仿宋_GB2312"/>
          <w:sz w:val="32"/>
          <w:szCs w:val="32"/>
        </w:rPr>
      </w:pPr>
      <w:r>
        <w:rPr>
          <w:rFonts w:eastAsia="仿宋_GB2312"/>
          <w:sz w:val="32"/>
          <w:szCs w:val="32"/>
        </w:rPr>
        <w:t>2021年“三公”经费财政拨款支出决算中，因公出国（境）费支出决算0万元，占0%；公务用车购置及运行维护费支出决算2.42万元，占89.3%；公务接待费支出决算0.29万元，占10.7%。具体情况如下：</w:t>
      </w:r>
    </w:p>
    <w:p>
      <w:pPr>
        <w:spacing w:line="600" w:lineRule="exact"/>
        <w:ind w:firstLine="640"/>
        <w:rPr>
          <w:rFonts w:eastAsia="仿宋_GB2312"/>
          <w:sz w:val="32"/>
          <w:szCs w:val="32"/>
        </w:rPr>
      </w:pPr>
      <w:r>
        <w:rPr>
          <w:rFonts w:eastAsia="仿宋_GB2312"/>
          <w:sz w:val="32"/>
          <w:szCs w:val="32"/>
        </w:rPr>
        <w:t>（图7：“三公”经费财政拨款支出结构）</w:t>
      </w:r>
    </w:p>
    <w:p>
      <w:pPr>
        <w:pStyle w:val="2"/>
        <w:spacing w:before="93"/>
        <w:jc w:val="center"/>
        <w:rPr>
          <w:rFonts w:ascii="Times New Roman"/>
          <w:sz w:val="32"/>
          <w:szCs w:val="32"/>
        </w:rPr>
      </w:pPr>
      <w:r>
        <w:rPr>
          <w:rFonts w:ascii="Times New Roman"/>
        </w:rPr>
        <w:drawing>
          <wp:inline distT="0" distB="0" distL="114300" distR="114300">
            <wp:extent cx="4473575" cy="1839595"/>
            <wp:effectExtent l="0" t="0" r="3175" b="8255"/>
            <wp:docPr id="6"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
        <w:spacing w:before="93"/>
        <w:rPr>
          <w:rFonts w:ascii="Times New Roman"/>
          <w:sz w:val="32"/>
          <w:szCs w:val="32"/>
        </w:rPr>
      </w:pPr>
    </w:p>
    <w:p>
      <w:pPr>
        <w:pStyle w:val="2"/>
        <w:spacing w:before="93"/>
        <w:ind w:firstLine="640" w:firstLineChars="200"/>
        <w:textAlignment w:val="baseline"/>
        <w:rPr>
          <w:rFonts w:ascii="Times New Roman"/>
          <w:b/>
          <w:sz w:val="32"/>
          <w:szCs w:val="32"/>
        </w:rPr>
      </w:pPr>
      <w:r>
        <w:rPr>
          <w:rFonts w:ascii="Times New Roman"/>
          <w:b w:val="0"/>
          <w:bCs/>
          <w:sz w:val="32"/>
          <w:szCs w:val="32"/>
        </w:rPr>
        <w:t>1.</w:t>
      </w:r>
      <w:r>
        <w:rPr>
          <w:rFonts w:ascii="Times New Roman"/>
          <w:b/>
          <w:sz w:val="32"/>
          <w:szCs w:val="32"/>
        </w:rPr>
        <w:t>因公出国（境）经费支出</w:t>
      </w:r>
      <w:r>
        <w:rPr>
          <w:rFonts w:ascii="Times New Roman"/>
          <w:sz w:val="32"/>
          <w:szCs w:val="32"/>
        </w:rPr>
        <w:t>0万元，</w:t>
      </w:r>
      <w:r>
        <w:rPr>
          <w:rFonts w:ascii="Times New Roman"/>
        </w:rPr>
        <w:t>完成预算100%。</w:t>
      </w:r>
      <w:r>
        <w:rPr>
          <w:rFonts w:ascii="Times New Roman"/>
          <w:sz w:val="32"/>
          <w:szCs w:val="32"/>
        </w:rPr>
        <w:t>全年安排因公出国（境）团组0次，出国（境）0人。因公出国（境）经费支出决算与2020年持平。</w:t>
      </w:r>
    </w:p>
    <w:p>
      <w:pPr>
        <w:spacing w:line="600" w:lineRule="exact"/>
        <w:ind w:firstLine="640"/>
        <w:rPr>
          <w:rFonts w:hint="eastAsia" w:ascii="楷体_GB2312" w:eastAsia="楷体_GB2312"/>
          <w:bCs/>
          <w:sz w:val="32"/>
          <w:szCs w:val="32"/>
        </w:rPr>
      </w:pPr>
      <w:r>
        <w:rPr>
          <w:rFonts w:hint="eastAsia" w:ascii="楷体_GB2312" w:eastAsia="楷体_GB2312"/>
          <w:b w:val="0"/>
          <w:bCs/>
          <w:sz w:val="32"/>
          <w:szCs w:val="32"/>
        </w:rPr>
        <w:t>2.</w:t>
      </w:r>
      <w:r>
        <w:rPr>
          <w:rFonts w:hint="eastAsia" w:ascii="楷体_GB2312" w:eastAsia="楷体_GB2312"/>
          <w:b/>
          <w:bCs w:val="0"/>
          <w:sz w:val="32"/>
          <w:szCs w:val="32"/>
        </w:rPr>
        <w:t>公务用车购置及运行维护费支出</w:t>
      </w:r>
      <w:r>
        <w:rPr>
          <w:rFonts w:eastAsia="仿宋_GB2312"/>
          <w:bCs/>
          <w:sz w:val="32"/>
          <w:szCs w:val="32"/>
        </w:rPr>
        <w:t>2.42</w:t>
      </w:r>
      <w:r>
        <w:rPr>
          <w:rFonts w:eastAsia="仿宋_GB2312"/>
          <w:sz w:val="32"/>
          <w:szCs w:val="32"/>
        </w:rPr>
        <w:t>万元，完成预算62.37%。公务用车购置及运行维护费支出决算比2020年增加0.1万元，增长4.31%。主要原因是公共职介招聘活动增加，相应增加了公务用车运行费用。</w:t>
      </w:r>
    </w:p>
    <w:p>
      <w:pPr>
        <w:spacing w:line="600" w:lineRule="exact"/>
        <w:ind w:firstLine="640" w:firstLineChars="200"/>
        <w:rPr>
          <w:rFonts w:hint="eastAsia" w:ascii="楷体_GB2312" w:eastAsia="楷体_GB2312"/>
          <w:bCs/>
          <w:sz w:val="32"/>
          <w:szCs w:val="32"/>
        </w:rPr>
      </w:pPr>
      <w:r>
        <w:rPr>
          <w:rFonts w:eastAsia="仿宋_GB2312"/>
          <w:sz w:val="32"/>
          <w:szCs w:val="32"/>
        </w:rPr>
        <w:t>其中：</w:t>
      </w:r>
      <w:r>
        <w:rPr>
          <w:rFonts w:hint="eastAsia" w:ascii="楷体_GB2312" w:eastAsia="楷体_GB2312"/>
          <w:b/>
          <w:bCs w:val="0"/>
          <w:sz w:val="32"/>
          <w:szCs w:val="32"/>
        </w:rPr>
        <w:t>公务用车购置支出</w:t>
      </w:r>
      <w:r>
        <w:rPr>
          <w:rFonts w:eastAsia="仿宋_GB2312"/>
          <w:bCs/>
          <w:sz w:val="32"/>
          <w:szCs w:val="32"/>
        </w:rPr>
        <w:t>0</w:t>
      </w:r>
      <w:r>
        <w:rPr>
          <w:rFonts w:eastAsia="仿宋_GB2312"/>
          <w:sz w:val="32"/>
          <w:szCs w:val="32"/>
        </w:rPr>
        <w:t>万元。全年按规定更新购置公务用车0辆。截至2021年12月底，单位共有公务用车1辆，其中：轿车1辆。</w:t>
      </w:r>
    </w:p>
    <w:p>
      <w:pPr>
        <w:spacing w:line="600" w:lineRule="exact"/>
        <w:ind w:firstLine="640"/>
        <w:rPr>
          <w:rFonts w:eastAsia="仿宋_GB2312"/>
          <w:color w:val="000000"/>
          <w:sz w:val="32"/>
          <w:szCs w:val="32"/>
        </w:rPr>
      </w:pPr>
      <w:r>
        <w:rPr>
          <w:rFonts w:hint="eastAsia" w:ascii="仿宋_GB2312" w:hAnsi="仿宋_GB2312" w:eastAsia="仿宋_GB2312" w:cs="仿宋_GB2312"/>
          <w:b/>
          <w:bCs w:val="0"/>
          <w:sz w:val="32"/>
          <w:szCs w:val="32"/>
        </w:rPr>
        <w:t>公务用车运行维护费支出</w:t>
      </w:r>
      <w:r>
        <w:rPr>
          <w:rFonts w:eastAsia="仿宋_GB2312"/>
          <w:bCs/>
          <w:sz w:val="32"/>
          <w:szCs w:val="32"/>
        </w:rPr>
        <w:t>2.42</w:t>
      </w:r>
      <w:r>
        <w:rPr>
          <w:rFonts w:eastAsia="仿宋_GB2312"/>
          <w:sz w:val="32"/>
          <w:szCs w:val="32"/>
        </w:rPr>
        <w:t>万元。</w:t>
      </w:r>
      <w:r>
        <w:rPr>
          <w:rFonts w:eastAsia="仿宋_GB2312"/>
          <w:color w:val="000000"/>
          <w:sz w:val="32"/>
          <w:szCs w:val="32"/>
        </w:rPr>
        <w:t>主要用于公共职业专项活动等所需的公务用车燃料费、维修费、过路过桥费、保险费等支出。</w:t>
      </w:r>
    </w:p>
    <w:p>
      <w:pPr>
        <w:spacing w:line="600" w:lineRule="exact"/>
        <w:ind w:firstLine="640"/>
        <w:rPr>
          <w:rFonts w:eastAsia="仿宋_GB2312"/>
          <w:sz w:val="32"/>
          <w:szCs w:val="32"/>
        </w:rPr>
      </w:pPr>
      <w:r>
        <w:rPr>
          <w:rFonts w:hint="eastAsia" w:ascii="楷体_GB2312" w:eastAsia="楷体_GB2312"/>
          <w:bCs/>
          <w:sz w:val="32"/>
          <w:szCs w:val="32"/>
        </w:rPr>
        <w:t>3.</w:t>
      </w:r>
      <w:r>
        <w:rPr>
          <w:rFonts w:hint="eastAsia" w:ascii="仿宋_GB2312" w:hAnsi="仿宋_GB2312" w:eastAsia="仿宋_GB2312" w:cs="仿宋_GB2312"/>
          <w:b/>
          <w:bCs w:val="0"/>
          <w:sz w:val="32"/>
          <w:szCs w:val="32"/>
        </w:rPr>
        <w:t>公务接待费支出</w:t>
      </w:r>
      <w:r>
        <w:rPr>
          <w:rFonts w:eastAsia="仿宋_GB2312"/>
          <w:bCs/>
          <w:sz w:val="32"/>
          <w:szCs w:val="32"/>
        </w:rPr>
        <w:t>0.29</w:t>
      </w:r>
      <w:r>
        <w:rPr>
          <w:rFonts w:eastAsia="仿宋_GB2312"/>
          <w:sz w:val="32"/>
          <w:szCs w:val="32"/>
        </w:rPr>
        <w:t>万元，</w:t>
      </w:r>
      <w:r>
        <w:rPr>
          <w:rFonts w:eastAsia="仿宋_GB2312"/>
          <w:bCs/>
          <w:sz w:val="32"/>
          <w:szCs w:val="32"/>
        </w:rPr>
        <w:t>完成预算100%。公务接待费支出决算比2020年增加0.29万元，增长10</w:t>
      </w:r>
      <w:r>
        <w:rPr>
          <w:rFonts w:eastAsia="仿宋_GB2312"/>
          <w:sz w:val="32"/>
          <w:szCs w:val="32"/>
        </w:rPr>
        <w:t>0%。主要原因是新增公务接待事项。其中：</w:t>
      </w:r>
    </w:p>
    <w:p>
      <w:pPr>
        <w:spacing w:line="600" w:lineRule="exact"/>
        <w:ind w:firstLine="640"/>
        <w:rPr>
          <w:rFonts w:eastAsia="仿宋_GB2312"/>
          <w:sz w:val="32"/>
          <w:szCs w:val="32"/>
        </w:rPr>
      </w:pPr>
      <w:r>
        <w:rPr>
          <w:rFonts w:hint="eastAsia" w:ascii="楷体_GB2312" w:eastAsia="楷体_GB2312"/>
          <w:b/>
          <w:bCs w:val="0"/>
          <w:sz w:val="32"/>
          <w:szCs w:val="32"/>
        </w:rPr>
        <w:t>国内公务接待支出</w:t>
      </w:r>
      <w:r>
        <w:rPr>
          <w:rFonts w:eastAsia="仿宋_GB2312"/>
          <w:bCs/>
          <w:sz w:val="32"/>
          <w:szCs w:val="32"/>
        </w:rPr>
        <w:t>0.29</w:t>
      </w:r>
      <w:r>
        <w:rPr>
          <w:rFonts w:eastAsia="仿宋_GB2312"/>
          <w:sz w:val="32"/>
          <w:szCs w:val="32"/>
        </w:rPr>
        <w:t>万元，主要用于公共职介活动，职业指导、川渝合作等接待事宜。国内公务接待4批次，20人次（不包括陪同人员），共计支出0.29万元，具体内容包括：接洽川渝合作项目、职业指导规划大赛等招待费用。</w:t>
      </w:r>
    </w:p>
    <w:p>
      <w:pPr>
        <w:spacing w:line="600" w:lineRule="exact"/>
        <w:ind w:firstLine="642" w:firstLineChars="200"/>
        <w:rPr>
          <w:rFonts w:eastAsia="黑体"/>
          <w:sz w:val="32"/>
          <w:szCs w:val="32"/>
        </w:rPr>
      </w:pPr>
      <w:r>
        <w:rPr>
          <w:rFonts w:hint="eastAsia" w:ascii="仿宋_GB2312" w:hAnsi="仿宋_GB2312" w:eastAsia="仿宋_GB2312" w:cs="仿宋_GB2312"/>
          <w:b/>
          <w:bCs w:val="0"/>
          <w:sz w:val="32"/>
          <w:szCs w:val="32"/>
        </w:rPr>
        <w:t>外事接待支出</w:t>
      </w:r>
      <w:r>
        <w:rPr>
          <w:rFonts w:eastAsia="仿宋_GB2312"/>
          <w:sz w:val="32"/>
          <w:szCs w:val="32"/>
        </w:rPr>
        <w:t>0万元，外事接待0批次，0人，共计支出0万元。</w:t>
      </w:r>
      <w:bookmarkStart w:id="104" w:name="_Toc15377218"/>
      <w:bookmarkStart w:id="105" w:name="_Toc15396610"/>
    </w:p>
    <w:p>
      <w:pPr>
        <w:spacing w:line="600" w:lineRule="exact"/>
        <w:ind w:firstLine="640"/>
        <w:outlineLvl w:val="1"/>
        <w:rPr>
          <w:rStyle w:val="25"/>
          <w:rFonts w:ascii="Times New Roman" w:hAnsi="Times New Roman" w:eastAsia="黑体" w:cs="Times New Roman"/>
        </w:rPr>
      </w:pPr>
      <w:bookmarkStart w:id="106" w:name="_Toc1837910604_WPSOffice_Level2"/>
      <w:bookmarkStart w:id="107" w:name="_Toc114155822"/>
      <w:r>
        <w:rPr>
          <w:rFonts w:eastAsia="黑体"/>
          <w:sz w:val="32"/>
          <w:szCs w:val="32"/>
        </w:rPr>
        <w:t>八、</w:t>
      </w:r>
      <w:r>
        <w:rPr>
          <w:rStyle w:val="25"/>
          <w:rFonts w:ascii="Times New Roman" w:hAnsi="Times New Roman" w:eastAsia="黑体" w:cs="Times New Roman"/>
          <w:b w:val="0"/>
        </w:rPr>
        <w:t>政府性基金预算支出决算情况说明</w:t>
      </w:r>
      <w:bookmarkEnd w:id="104"/>
      <w:bookmarkEnd w:id="105"/>
      <w:bookmarkEnd w:id="106"/>
      <w:bookmarkEnd w:id="107"/>
    </w:p>
    <w:p>
      <w:pPr>
        <w:spacing w:line="600" w:lineRule="exact"/>
        <w:ind w:firstLine="640"/>
        <w:rPr>
          <w:rFonts w:eastAsia="仿宋_GB2312"/>
          <w:sz w:val="32"/>
          <w:szCs w:val="32"/>
        </w:rPr>
      </w:pPr>
      <w:r>
        <w:rPr>
          <w:rFonts w:eastAsia="仿宋_GB2312"/>
          <w:sz w:val="32"/>
          <w:szCs w:val="32"/>
        </w:rPr>
        <w:t>2021年政府性基金预算财政拨款支出0万元。</w:t>
      </w:r>
    </w:p>
    <w:p>
      <w:pPr>
        <w:numPr>
          <w:ilvl w:val="0"/>
          <w:numId w:val="4"/>
        </w:numPr>
        <w:spacing w:line="600" w:lineRule="exact"/>
        <w:ind w:firstLine="640"/>
        <w:outlineLvl w:val="1"/>
        <w:rPr>
          <w:rStyle w:val="25"/>
          <w:rFonts w:ascii="Times New Roman" w:hAnsi="Times New Roman" w:eastAsia="黑体" w:cs="Times New Roman"/>
          <w:b w:val="0"/>
        </w:rPr>
      </w:pPr>
      <w:bookmarkStart w:id="108" w:name="_Toc1174425511_WPSOffice_Level2"/>
      <w:bookmarkStart w:id="109" w:name="_Toc15396611"/>
      <w:bookmarkStart w:id="110" w:name="_Toc15377219"/>
      <w:bookmarkStart w:id="111" w:name="_Toc114155823"/>
      <w:r>
        <w:rPr>
          <w:rStyle w:val="25"/>
          <w:rFonts w:ascii="Times New Roman" w:hAnsi="Times New Roman" w:eastAsia="黑体" w:cs="Times New Roman"/>
          <w:b w:val="0"/>
        </w:rPr>
        <w:t>国有资本经营预算支出决算情况说明</w:t>
      </w:r>
      <w:bookmarkEnd w:id="108"/>
      <w:bookmarkEnd w:id="109"/>
      <w:bookmarkEnd w:id="110"/>
      <w:bookmarkEnd w:id="111"/>
    </w:p>
    <w:p>
      <w:pPr>
        <w:spacing w:line="600" w:lineRule="exact"/>
        <w:ind w:firstLine="640"/>
        <w:rPr>
          <w:rFonts w:eastAsia="方正小标宋简体"/>
          <w:sz w:val="44"/>
          <w:szCs w:val="44"/>
        </w:rPr>
      </w:pPr>
      <w:r>
        <w:rPr>
          <w:rFonts w:eastAsia="仿宋_GB2312"/>
          <w:sz w:val="32"/>
          <w:szCs w:val="32"/>
        </w:rPr>
        <w:t>2021年国有资本经营预算财政拨款支出0万元。</w:t>
      </w:r>
    </w:p>
    <w:p>
      <w:pPr>
        <w:numPr>
          <w:ilvl w:val="0"/>
          <w:numId w:val="4"/>
        </w:numPr>
        <w:spacing w:line="600" w:lineRule="exact"/>
        <w:ind w:firstLine="640"/>
        <w:outlineLvl w:val="1"/>
        <w:rPr>
          <w:rStyle w:val="25"/>
          <w:rFonts w:ascii="Times New Roman" w:hAnsi="Times New Roman" w:eastAsia="黑体" w:cs="Times New Roman"/>
          <w:b w:val="0"/>
        </w:rPr>
      </w:pPr>
      <w:bookmarkStart w:id="112" w:name="_Toc1156844364_WPSOffice_Level2"/>
      <w:bookmarkStart w:id="113" w:name="_Toc15377221"/>
      <w:bookmarkStart w:id="114" w:name="_Toc114155824"/>
      <w:bookmarkStart w:id="115" w:name="_Toc15396612"/>
      <w:r>
        <w:rPr>
          <w:rStyle w:val="25"/>
          <w:rFonts w:ascii="Times New Roman" w:hAnsi="Times New Roman" w:eastAsia="黑体" w:cs="Times New Roman"/>
          <w:b w:val="0"/>
        </w:rPr>
        <w:t>其他重要事项的情况说明</w:t>
      </w:r>
      <w:bookmarkEnd w:id="112"/>
      <w:bookmarkEnd w:id="113"/>
      <w:bookmarkEnd w:id="114"/>
      <w:bookmarkEnd w:id="115"/>
    </w:p>
    <w:p>
      <w:pPr>
        <w:spacing w:line="600" w:lineRule="exact"/>
        <w:ind w:firstLine="640" w:firstLineChars="200"/>
        <w:outlineLvl w:val="2"/>
        <w:rPr>
          <w:rFonts w:hint="eastAsia" w:ascii="楷体_GB2312" w:eastAsia="楷体_GB2312"/>
          <w:bCs/>
          <w:sz w:val="32"/>
          <w:szCs w:val="32"/>
        </w:rPr>
      </w:pPr>
      <w:bookmarkStart w:id="116" w:name="_Toc114155825"/>
      <w:bookmarkStart w:id="117" w:name="_Toc15377222"/>
      <w:r>
        <w:rPr>
          <w:rFonts w:hint="eastAsia" w:ascii="楷体_GB2312" w:eastAsia="楷体_GB2312"/>
          <w:bCs/>
          <w:sz w:val="32"/>
          <w:szCs w:val="32"/>
        </w:rPr>
        <w:t>（一）机关运行经费支出情况</w:t>
      </w:r>
      <w:bookmarkEnd w:id="116"/>
      <w:bookmarkEnd w:id="117"/>
    </w:p>
    <w:p>
      <w:pPr>
        <w:spacing w:line="600" w:lineRule="exact"/>
        <w:ind w:firstLine="640" w:firstLineChars="200"/>
        <w:textAlignment w:val="baseline"/>
        <w:rPr>
          <w:rFonts w:eastAsia="仿宋_GB2312"/>
          <w:sz w:val="32"/>
          <w:szCs w:val="32"/>
        </w:rPr>
      </w:pPr>
      <w:r>
        <w:rPr>
          <w:rFonts w:eastAsia="仿宋_GB2312"/>
          <w:color w:val="000000"/>
          <w:sz w:val="32"/>
          <w:szCs w:val="32"/>
        </w:rPr>
        <w:t>职介中心</w:t>
      </w:r>
      <w:r>
        <w:rPr>
          <w:rFonts w:eastAsia="仿宋_GB2312"/>
          <w:sz w:val="32"/>
          <w:szCs w:val="32"/>
        </w:rPr>
        <w:t>为事业单位，未开支机关运行经费。</w:t>
      </w:r>
    </w:p>
    <w:p>
      <w:pPr>
        <w:autoSpaceDE w:val="0"/>
        <w:autoSpaceDN w:val="0"/>
        <w:adjustRightInd w:val="0"/>
        <w:spacing w:line="600" w:lineRule="exact"/>
        <w:ind w:firstLine="640" w:firstLineChars="200"/>
        <w:jc w:val="left"/>
        <w:outlineLvl w:val="2"/>
        <w:rPr>
          <w:rFonts w:hint="eastAsia" w:ascii="楷体_GB2312" w:eastAsia="楷体_GB2312"/>
          <w:bCs/>
          <w:sz w:val="32"/>
          <w:szCs w:val="32"/>
        </w:rPr>
      </w:pPr>
      <w:bookmarkStart w:id="118" w:name="_Toc15377223"/>
      <w:bookmarkStart w:id="119" w:name="_Toc114155826"/>
      <w:r>
        <w:rPr>
          <w:rFonts w:hint="eastAsia" w:ascii="楷体_GB2312" w:eastAsia="楷体_GB2312"/>
          <w:bCs/>
          <w:sz w:val="32"/>
          <w:szCs w:val="32"/>
        </w:rPr>
        <w:t>（二）政府采购支出情况</w:t>
      </w:r>
      <w:bookmarkEnd w:id="118"/>
      <w:bookmarkEnd w:id="119"/>
    </w:p>
    <w:p>
      <w:pPr>
        <w:spacing w:line="600" w:lineRule="exact"/>
        <w:ind w:firstLine="640" w:firstLineChars="200"/>
        <w:textAlignment w:val="baseline"/>
        <w:rPr>
          <w:rFonts w:eastAsia="仿宋_GB2312"/>
          <w:color w:val="000000"/>
          <w:sz w:val="32"/>
          <w:szCs w:val="32"/>
        </w:rPr>
      </w:pPr>
      <w:r>
        <w:rPr>
          <w:rFonts w:eastAsia="仿宋_GB2312"/>
          <w:sz w:val="32"/>
          <w:szCs w:val="32"/>
        </w:rPr>
        <w:t>2021年，</w:t>
      </w:r>
      <w:r>
        <w:rPr>
          <w:rFonts w:eastAsia="仿宋_GB2312"/>
          <w:color w:val="000000"/>
          <w:sz w:val="32"/>
          <w:szCs w:val="32"/>
        </w:rPr>
        <w:t>职介中心政府采购支出总额2.42万元，其中：</w:t>
      </w:r>
      <w:r>
        <w:rPr>
          <w:rFonts w:eastAsia="仿宋_GB2312"/>
          <w:sz w:val="32"/>
          <w:szCs w:val="32"/>
        </w:rPr>
        <w:t>政府采购货物支出0万元、政府采购工程支出0万元、</w:t>
      </w:r>
      <w:r>
        <w:rPr>
          <w:rFonts w:eastAsia="仿宋_GB2312"/>
          <w:color w:val="000000"/>
          <w:sz w:val="32"/>
          <w:szCs w:val="32"/>
        </w:rPr>
        <w:t>政府采购服务支出2.42万元。主要用于公务用车燃料费、维修费、过路过桥费、保险费等支出。</w:t>
      </w:r>
      <w:r>
        <w:rPr>
          <w:rFonts w:eastAsia="仿宋_GB2312"/>
          <w:sz w:val="32"/>
          <w:szCs w:val="32"/>
        </w:rPr>
        <w:t>授予中小企业合同金额</w:t>
      </w:r>
      <w:r>
        <w:rPr>
          <w:rFonts w:eastAsia="仿宋_GB2312"/>
          <w:color w:val="000000"/>
          <w:sz w:val="32"/>
          <w:szCs w:val="32"/>
        </w:rPr>
        <w:t>0</w:t>
      </w:r>
      <w:r>
        <w:rPr>
          <w:rFonts w:eastAsia="仿宋_GB2312"/>
          <w:sz w:val="32"/>
          <w:szCs w:val="32"/>
        </w:rPr>
        <w:t>万元，占政府采购支出总额的</w:t>
      </w:r>
      <w:r>
        <w:rPr>
          <w:rFonts w:eastAsia="仿宋_GB2312"/>
          <w:color w:val="000000"/>
          <w:sz w:val="32"/>
          <w:szCs w:val="32"/>
        </w:rPr>
        <w:t>0</w:t>
      </w:r>
      <w:r>
        <w:rPr>
          <w:rFonts w:eastAsia="仿宋_GB2312"/>
          <w:sz w:val="32"/>
          <w:szCs w:val="32"/>
        </w:rPr>
        <w:t>%，其中：授予小微企业合同金额</w:t>
      </w:r>
      <w:r>
        <w:rPr>
          <w:rFonts w:eastAsia="仿宋_GB2312"/>
          <w:color w:val="000000"/>
          <w:sz w:val="32"/>
          <w:szCs w:val="32"/>
        </w:rPr>
        <w:t>0</w:t>
      </w:r>
      <w:r>
        <w:rPr>
          <w:rFonts w:eastAsia="仿宋_GB2312"/>
          <w:sz w:val="32"/>
          <w:szCs w:val="32"/>
        </w:rPr>
        <w:t>万元，占政府采购支出总额的</w:t>
      </w:r>
      <w:r>
        <w:rPr>
          <w:rFonts w:eastAsia="仿宋_GB2312"/>
          <w:color w:val="000000"/>
          <w:sz w:val="32"/>
          <w:szCs w:val="32"/>
        </w:rPr>
        <w:t>0</w:t>
      </w:r>
      <w:r>
        <w:rPr>
          <w:rFonts w:eastAsia="仿宋_GB2312"/>
          <w:sz w:val="32"/>
          <w:szCs w:val="32"/>
        </w:rPr>
        <w:t>%。</w:t>
      </w:r>
    </w:p>
    <w:p>
      <w:pPr>
        <w:spacing w:line="600" w:lineRule="exact"/>
        <w:ind w:firstLine="640" w:firstLineChars="200"/>
        <w:rPr>
          <w:rFonts w:eastAsia="仿宋_GB2312"/>
          <w:sz w:val="32"/>
          <w:szCs w:val="32"/>
        </w:rPr>
      </w:pPr>
    </w:p>
    <w:p>
      <w:pPr>
        <w:autoSpaceDE w:val="0"/>
        <w:autoSpaceDN w:val="0"/>
        <w:adjustRightInd w:val="0"/>
        <w:spacing w:line="600" w:lineRule="exact"/>
        <w:ind w:firstLine="640" w:firstLineChars="200"/>
        <w:jc w:val="left"/>
        <w:outlineLvl w:val="2"/>
        <w:rPr>
          <w:rFonts w:hint="eastAsia" w:ascii="楷体_GB2312" w:eastAsia="楷体_GB2312"/>
          <w:bCs/>
          <w:sz w:val="32"/>
          <w:szCs w:val="32"/>
        </w:rPr>
      </w:pPr>
      <w:bookmarkStart w:id="120" w:name="_Toc114155827"/>
      <w:bookmarkStart w:id="121" w:name="_Toc15377224"/>
      <w:r>
        <w:rPr>
          <w:rFonts w:hint="eastAsia" w:ascii="楷体_GB2312" w:eastAsia="楷体_GB2312"/>
          <w:bCs/>
          <w:sz w:val="32"/>
          <w:szCs w:val="32"/>
        </w:rPr>
        <w:t>（三）国有资产占有使用情况</w:t>
      </w:r>
      <w:bookmarkEnd w:id="120"/>
      <w:bookmarkEnd w:id="121"/>
    </w:p>
    <w:p>
      <w:pPr>
        <w:spacing w:line="600" w:lineRule="exact"/>
        <w:ind w:firstLine="640" w:firstLineChars="200"/>
        <w:jc w:val="left"/>
        <w:textAlignment w:val="baseline"/>
        <w:rPr>
          <w:rFonts w:eastAsia="仿宋_GB2312"/>
          <w:color w:val="000000"/>
          <w:sz w:val="32"/>
          <w:szCs w:val="32"/>
        </w:rPr>
      </w:pPr>
      <w:r>
        <w:rPr>
          <w:rFonts w:eastAsia="仿宋_GB2312"/>
          <w:sz w:val="32"/>
          <w:szCs w:val="32"/>
        </w:rPr>
        <w:t>截至2021年12月31日</w:t>
      </w:r>
      <w:r>
        <w:rPr>
          <w:rFonts w:eastAsia="仿宋_GB2312"/>
          <w:color w:val="000000"/>
          <w:sz w:val="32"/>
          <w:szCs w:val="32"/>
        </w:rPr>
        <w:t>，职介中心共有车辆1辆，其中：其他用车1辆。其他用车主要是用于一般公务用车及公共职业专项活动等。</w:t>
      </w:r>
      <w:r>
        <w:rPr>
          <w:rFonts w:eastAsia="仿宋_GB2312"/>
          <w:sz w:val="32"/>
          <w:szCs w:val="32"/>
        </w:rPr>
        <w:t>单价50万元以上通用设备0台（套），单价100万元以上专用设备0台（套）。</w:t>
      </w:r>
    </w:p>
    <w:p>
      <w:pPr>
        <w:autoSpaceDE w:val="0"/>
        <w:autoSpaceDN w:val="0"/>
        <w:adjustRightInd w:val="0"/>
        <w:spacing w:line="600" w:lineRule="exact"/>
        <w:ind w:firstLine="640" w:firstLineChars="200"/>
        <w:jc w:val="left"/>
        <w:outlineLvl w:val="2"/>
        <w:rPr>
          <w:rFonts w:hint="eastAsia" w:ascii="楷体_GB2312" w:eastAsia="楷体_GB2312"/>
          <w:bCs/>
          <w:sz w:val="32"/>
          <w:szCs w:val="32"/>
        </w:rPr>
      </w:pPr>
      <w:bookmarkStart w:id="122" w:name="_Toc114155828"/>
      <w:r>
        <w:rPr>
          <w:rFonts w:hint="eastAsia" w:ascii="楷体_GB2312" w:eastAsia="楷体_GB2312"/>
          <w:bCs/>
          <w:sz w:val="32"/>
          <w:szCs w:val="32"/>
        </w:rPr>
        <w:t>（四）预算绩效管理情况</w:t>
      </w:r>
      <w:bookmarkEnd w:id="122"/>
    </w:p>
    <w:p>
      <w:pPr>
        <w:spacing w:line="600" w:lineRule="exact"/>
        <w:ind w:firstLine="640" w:firstLineChars="200"/>
        <w:jc w:val="left"/>
        <w:textAlignment w:val="baseline"/>
        <w:rPr>
          <w:rFonts w:eastAsia="仿宋_GB2312"/>
          <w:color w:val="000000"/>
          <w:sz w:val="32"/>
          <w:szCs w:val="32"/>
        </w:rPr>
      </w:pPr>
      <w:r>
        <w:rPr>
          <w:rFonts w:eastAsia="仿宋_GB2312"/>
          <w:color w:val="000000"/>
          <w:sz w:val="32"/>
          <w:szCs w:val="32"/>
        </w:rPr>
        <w:t>根据预算绩效管理要求，本单位在2021年度无100万元以上项目预算，预算管理过程中未组织开展预算事前绩效评估、事中绩效监控、事后绩效自评。本单位未组织开展项目支出绩效评价。</w:t>
      </w:r>
    </w:p>
    <w:p>
      <w:pPr>
        <w:spacing w:line="600" w:lineRule="exact"/>
        <w:textAlignment w:val="baseline"/>
        <w:rPr>
          <w:rFonts w:eastAsia="仿宋_GB2312"/>
          <w:b/>
          <w:bCs/>
          <w:color w:val="000000"/>
          <w:sz w:val="32"/>
          <w:szCs w:val="32"/>
        </w:rPr>
      </w:pPr>
    </w:p>
    <w:p>
      <w:pPr>
        <w:widowControl/>
        <w:jc w:val="left"/>
        <w:rPr>
          <w:rFonts w:eastAsia="仿宋_GB2312"/>
          <w:b/>
          <w:sz w:val="32"/>
          <w:szCs w:val="32"/>
        </w:rPr>
      </w:pPr>
      <w:r>
        <w:rPr>
          <w:rFonts w:eastAsia="仿宋_GB2312"/>
          <w:b/>
          <w:sz w:val="32"/>
          <w:szCs w:val="32"/>
        </w:rPr>
        <w:br w:type="page"/>
      </w:r>
    </w:p>
    <w:p>
      <w:pPr>
        <w:numPr>
          <w:ilvl w:val="0"/>
          <w:numId w:val="5"/>
        </w:numPr>
        <w:spacing w:line="600" w:lineRule="exact"/>
        <w:ind w:firstLine="660" w:firstLineChars="150"/>
        <w:jc w:val="center"/>
        <w:outlineLvl w:val="0"/>
        <w:rPr>
          <w:rStyle w:val="24"/>
          <w:rFonts w:eastAsia="黑体"/>
          <w:b w:val="0"/>
        </w:rPr>
      </w:pPr>
      <w:bookmarkStart w:id="123" w:name="_Toc15377225"/>
      <w:bookmarkStart w:id="124" w:name="_Toc547774183_WPSOffice_Level1"/>
      <w:bookmarkStart w:id="125" w:name="_Toc114155829"/>
      <w:bookmarkStart w:id="126" w:name="_Toc15396613"/>
      <w:r>
        <w:rPr>
          <w:rFonts w:eastAsia="黑体"/>
          <w:sz w:val="44"/>
          <w:szCs w:val="44"/>
        </w:rPr>
        <w:t>名</w:t>
      </w:r>
      <w:r>
        <w:rPr>
          <w:rStyle w:val="24"/>
          <w:rFonts w:eastAsia="黑体"/>
          <w:b w:val="0"/>
        </w:rPr>
        <w:t>词解释</w:t>
      </w:r>
      <w:bookmarkEnd w:id="123"/>
      <w:bookmarkEnd w:id="124"/>
      <w:bookmarkEnd w:id="125"/>
      <w:bookmarkEnd w:id="126"/>
    </w:p>
    <w:p>
      <w:pPr>
        <w:spacing w:line="600" w:lineRule="exact"/>
        <w:jc w:val="left"/>
        <w:rPr>
          <w:b/>
          <w:sz w:val="44"/>
          <w:szCs w:val="44"/>
        </w:rPr>
      </w:pPr>
    </w:p>
    <w:p>
      <w:pPr>
        <w:pStyle w:val="22"/>
        <w:snapToGrid w:val="0"/>
        <w:spacing w:line="608" w:lineRule="exact"/>
        <w:ind w:firstLine="640" w:firstLineChars="200"/>
        <w:jc w:val="both"/>
        <w:rPr>
          <w:rFonts w:ascii="Times New Roman" w:hAnsi="Times New Roman" w:eastAsia="仿宋_GB2312" w:cs="Times New Roman"/>
          <w:sz w:val="32"/>
          <w:szCs w:val="32"/>
        </w:rPr>
      </w:pPr>
      <w:bookmarkStart w:id="127" w:name="_Toc15396618"/>
      <w:bookmarkStart w:id="128" w:name="_Toc15377226"/>
      <w:r>
        <w:rPr>
          <w:rFonts w:ascii="Times New Roman" w:hAnsi="Times New Roman" w:eastAsia="仿宋_GB2312" w:cs="Times New Roman"/>
          <w:sz w:val="32"/>
          <w:szCs w:val="32"/>
        </w:rPr>
        <w:t>1.财政拨款收入：指单位从同级财政部门取得的财政预算资金。</w:t>
      </w:r>
    </w:p>
    <w:p>
      <w:pPr>
        <w:pStyle w:val="22"/>
        <w:snapToGrid w:val="0"/>
        <w:spacing w:line="60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2.事业收入：指事业单位开展专业业务活动及辅助活动取得的收入。</w:t>
      </w:r>
    </w:p>
    <w:p>
      <w:pPr>
        <w:pStyle w:val="22"/>
        <w:snapToGrid w:val="0"/>
        <w:spacing w:line="60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3.经营收入：指事业单位在专业业务活动及其辅助活动之外开展非独立核算经营活动取得的收入。</w:t>
      </w:r>
    </w:p>
    <w:p>
      <w:pPr>
        <w:pStyle w:val="22"/>
        <w:snapToGrid w:val="0"/>
        <w:spacing w:line="60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4.其他收入：指单位取得的除上述收入以外的各项收入。主要是利息收入等。</w:t>
      </w:r>
    </w:p>
    <w:p>
      <w:pPr>
        <w:pStyle w:val="22"/>
        <w:snapToGrid w:val="0"/>
        <w:spacing w:line="60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5.使用非财政拨款结余：指事业单位使用以前年度积累的非财政拨款结余弥补当年收支差额的金额。</w:t>
      </w:r>
    </w:p>
    <w:p>
      <w:pPr>
        <w:pStyle w:val="22"/>
        <w:snapToGrid w:val="0"/>
        <w:spacing w:line="60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6.年初结转和结余：指以前年度尚未完成、结转到本年按有关规定继续使用的资金。</w:t>
      </w:r>
    </w:p>
    <w:p>
      <w:pPr>
        <w:pStyle w:val="22"/>
        <w:snapToGrid w:val="0"/>
        <w:spacing w:line="608"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7.结余分配：指事业单位按照会计制度规定缴纳的所得税、提取的专用结余以及转入非财政拨款结余的金额等。</w:t>
      </w:r>
    </w:p>
    <w:p>
      <w:pPr>
        <w:pStyle w:val="22"/>
        <w:spacing w:line="520" w:lineRule="exact"/>
        <w:ind w:firstLine="640" w:firstLineChars="200"/>
        <w:jc w:val="both"/>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8.年末结转和结余：指单位按有关规定结转到下年或以后年度继续使用的资金。</w:t>
      </w:r>
    </w:p>
    <w:p>
      <w:pPr>
        <w:spacing w:line="520" w:lineRule="exact"/>
        <w:ind w:firstLine="640" w:firstLineChars="200"/>
        <w:textAlignment w:val="baseline"/>
        <w:rPr>
          <w:rFonts w:eastAsia="仿宋_GB2312"/>
          <w:kern w:val="0"/>
          <w:sz w:val="32"/>
          <w:szCs w:val="32"/>
        </w:rPr>
      </w:pPr>
      <w:r>
        <w:rPr>
          <w:rStyle w:val="14"/>
          <w:rFonts w:eastAsia="仿宋_GB2312"/>
          <w:b w:val="0"/>
          <w:color w:val="000000"/>
          <w:sz w:val="32"/>
          <w:szCs w:val="32"/>
        </w:rPr>
        <w:t>9.</w:t>
      </w:r>
      <w:r>
        <w:rPr>
          <w:rFonts w:eastAsia="仿宋_GB2312"/>
          <w:color w:val="000000"/>
          <w:kern w:val="0"/>
          <w:sz w:val="32"/>
          <w:szCs w:val="32"/>
        </w:rPr>
        <w:t>教育（类）进修及培训（款）培训支出（项）：</w:t>
      </w:r>
      <w:r>
        <w:rPr>
          <w:rFonts w:eastAsia="仿宋_GB2312"/>
          <w:kern w:val="0"/>
          <w:sz w:val="32"/>
          <w:szCs w:val="32"/>
        </w:rPr>
        <w:t>指人力资源和社会保障部门用于培训方面的支出。</w:t>
      </w:r>
    </w:p>
    <w:p>
      <w:pPr>
        <w:spacing w:line="520" w:lineRule="exact"/>
        <w:ind w:firstLine="640" w:firstLineChars="200"/>
        <w:textAlignment w:val="baseline"/>
        <w:rPr>
          <w:rStyle w:val="14"/>
          <w:rFonts w:eastAsia="仿宋_GB2312"/>
          <w:b w:val="0"/>
          <w:color w:val="000000"/>
          <w:sz w:val="32"/>
          <w:szCs w:val="32"/>
        </w:rPr>
      </w:pPr>
      <w:r>
        <w:rPr>
          <w:rStyle w:val="14"/>
          <w:rFonts w:eastAsia="仿宋_GB2312"/>
          <w:b w:val="0"/>
          <w:color w:val="000000"/>
          <w:sz w:val="32"/>
          <w:szCs w:val="32"/>
        </w:rPr>
        <w:t>10.</w:t>
      </w:r>
      <w:r>
        <w:rPr>
          <w:rFonts w:eastAsia="仿宋_GB2312"/>
          <w:color w:val="000000"/>
          <w:kern w:val="0"/>
          <w:sz w:val="32"/>
          <w:szCs w:val="32"/>
        </w:rPr>
        <w:t>社会保障和就业（类）人力资源和社会保障管理事务（款）公共就业服务和职业技能鉴定机构（项）:指反映公共就业服务和职业技能鉴定机构的支出。</w:t>
      </w:r>
    </w:p>
    <w:p>
      <w:pPr>
        <w:spacing w:line="520" w:lineRule="exact"/>
        <w:ind w:firstLine="640" w:firstLineChars="200"/>
        <w:textAlignment w:val="baseline"/>
        <w:rPr>
          <w:rFonts w:eastAsia="仿宋_GB2312"/>
          <w:color w:val="000000"/>
          <w:kern w:val="0"/>
          <w:sz w:val="32"/>
          <w:szCs w:val="32"/>
        </w:rPr>
      </w:pPr>
      <w:r>
        <w:rPr>
          <w:rFonts w:eastAsia="仿宋_GB2312"/>
          <w:color w:val="000000"/>
          <w:kern w:val="0"/>
          <w:sz w:val="32"/>
          <w:szCs w:val="32"/>
        </w:rPr>
        <w:t>社会保障和就业（类）行政事业单位养老支出（款）机关事业单位基本养老保险缴费支出（项）: 指机关事业单位实施养老保险制度由单位缴纳的基本养老保险费支出。</w:t>
      </w:r>
    </w:p>
    <w:p>
      <w:pPr>
        <w:spacing w:line="520" w:lineRule="exact"/>
        <w:ind w:firstLine="640" w:firstLineChars="200"/>
        <w:textAlignment w:val="baseline"/>
        <w:rPr>
          <w:rStyle w:val="14"/>
          <w:rFonts w:eastAsia="仿宋_GB2312"/>
          <w:b w:val="0"/>
          <w:color w:val="000000"/>
          <w:sz w:val="32"/>
          <w:szCs w:val="32"/>
        </w:rPr>
      </w:pPr>
      <w:r>
        <w:rPr>
          <w:rFonts w:eastAsia="仿宋_GB2312"/>
          <w:color w:val="000000"/>
          <w:kern w:val="0"/>
          <w:sz w:val="32"/>
          <w:szCs w:val="32"/>
        </w:rPr>
        <w:t>社会保障和就业（类）行政事业单位养老支出（款）事业单位离退休支出（项）: 指机关事业单位退休人员退休费、其他个人和家庭的补助支支出。</w:t>
      </w:r>
    </w:p>
    <w:p>
      <w:pPr>
        <w:adjustRightInd w:val="0"/>
        <w:snapToGrid w:val="0"/>
        <w:spacing w:line="520" w:lineRule="exact"/>
        <w:ind w:firstLine="640" w:firstLineChars="200"/>
        <w:rPr>
          <w:rFonts w:eastAsia="仿宋_GB2312"/>
          <w:color w:val="000000"/>
          <w:sz w:val="32"/>
          <w:szCs w:val="32"/>
        </w:rPr>
      </w:pPr>
      <w:r>
        <w:rPr>
          <w:rFonts w:eastAsia="仿宋_GB2312"/>
          <w:color w:val="000000"/>
          <w:sz w:val="32"/>
          <w:szCs w:val="32"/>
        </w:rPr>
        <w:t>社会保障和就业（类）行政事业单位</w:t>
      </w:r>
      <w:r>
        <w:rPr>
          <w:rFonts w:eastAsia="仿宋_GB2312"/>
          <w:color w:val="000000"/>
          <w:kern w:val="0"/>
          <w:sz w:val="32"/>
          <w:szCs w:val="32"/>
        </w:rPr>
        <w:t>养老支出（款）</w:t>
      </w:r>
      <w:r>
        <w:rPr>
          <w:rFonts w:eastAsia="仿宋_GB2312"/>
          <w:color w:val="000000"/>
          <w:sz w:val="32"/>
          <w:szCs w:val="32"/>
        </w:rPr>
        <w:t>机关事业单位职业年金缴费支出（项）：指机关事业单位实施养老保险制度由单位实际缴纳的职业年金支出。</w:t>
      </w:r>
    </w:p>
    <w:p>
      <w:pPr>
        <w:spacing w:line="520" w:lineRule="exact"/>
        <w:ind w:firstLine="640" w:firstLineChars="200"/>
        <w:textAlignment w:val="baseline"/>
        <w:rPr>
          <w:rFonts w:eastAsia="仿宋_GB2312"/>
          <w:color w:val="000000"/>
          <w:kern w:val="0"/>
          <w:sz w:val="32"/>
          <w:szCs w:val="32"/>
        </w:rPr>
      </w:pPr>
      <w:r>
        <w:rPr>
          <w:rFonts w:eastAsia="仿宋_GB2312"/>
          <w:color w:val="000000"/>
          <w:kern w:val="0"/>
          <w:sz w:val="32"/>
          <w:szCs w:val="32"/>
        </w:rPr>
        <w:t>社会保障和就业（类）就业补助（款）其他就业补助支出</w:t>
      </w:r>
      <w:r>
        <w:rPr>
          <w:rFonts w:eastAsia="仿宋_GB2312"/>
          <w:color w:val="000000"/>
          <w:spacing w:val="-4"/>
          <w:kern w:val="0"/>
          <w:sz w:val="32"/>
          <w:szCs w:val="32"/>
        </w:rPr>
        <w:t>（项）：指</w:t>
      </w:r>
      <w:r>
        <w:rPr>
          <w:rFonts w:eastAsia="仿宋_GB2312"/>
          <w:spacing w:val="-4"/>
          <w:kern w:val="0"/>
          <w:sz w:val="32"/>
          <w:szCs w:val="32"/>
        </w:rPr>
        <w:t>人力资源和社会保障部门用于</w:t>
      </w:r>
      <w:r>
        <w:rPr>
          <w:rFonts w:eastAsia="仿宋_GB2312"/>
          <w:color w:val="000000"/>
          <w:spacing w:val="-4"/>
          <w:kern w:val="0"/>
          <w:sz w:val="32"/>
          <w:szCs w:val="32"/>
        </w:rPr>
        <w:t>促进就业的补助支出。</w:t>
      </w:r>
    </w:p>
    <w:p>
      <w:pPr>
        <w:spacing w:line="520" w:lineRule="exact"/>
        <w:ind w:firstLine="640" w:firstLineChars="200"/>
        <w:textAlignment w:val="baseline"/>
        <w:rPr>
          <w:rFonts w:eastAsia="仿宋_GB2312"/>
          <w:kern w:val="0"/>
          <w:sz w:val="32"/>
          <w:szCs w:val="32"/>
        </w:rPr>
      </w:pPr>
      <w:r>
        <w:rPr>
          <w:rFonts w:eastAsia="仿宋_GB2312"/>
          <w:color w:val="000000"/>
          <w:kern w:val="0"/>
          <w:sz w:val="32"/>
          <w:szCs w:val="32"/>
        </w:rPr>
        <w:t>11.卫生健康（类）行政事业单位医疗（款）事业单位医疗（项）:指</w:t>
      </w:r>
      <w:r>
        <w:rPr>
          <w:rFonts w:eastAsia="仿宋_GB2312"/>
          <w:kern w:val="0"/>
          <w:sz w:val="32"/>
          <w:szCs w:val="32"/>
        </w:rPr>
        <w:t>主要用于厅属事业单位按照国家政策规定用于基本医疗缴费支出。</w:t>
      </w:r>
    </w:p>
    <w:p>
      <w:pPr>
        <w:adjustRightInd w:val="0"/>
        <w:snapToGrid w:val="0"/>
        <w:spacing w:line="520" w:lineRule="exact"/>
        <w:ind w:firstLine="640" w:firstLineChars="200"/>
        <w:rPr>
          <w:rFonts w:eastAsia="仿宋_GB2312"/>
          <w:color w:val="000000"/>
          <w:sz w:val="32"/>
          <w:szCs w:val="32"/>
        </w:rPr>
      </w:pPr>
      <w:r>
        <w:rPr>
          <w:rFonts w:eastAsia="仿宋_GB2312"/>
          <w:color w:val="000000"/>
          <w:kern w:val="0"/>
          <w:sz w:val="32"/>
          <w:szCs w:val="32"/>
        </w:rPr>
        <w:t>12.</w:t>
      </w:r>
      <w:r>
        <w:rPr>
          <w:rFonts w:eastAsia="仿宋_GB2312"/>
          <w:color w:val="000000"/>
          <w:sz w:val="32"/>
          <w:szCs w:val="32"/>
        </w:rPr>
        <w:t>住房保障（类）住房改革支出（款）住房公积金（项）:指行政事业单位按人力资源社会保障部、财政部规定的基本工资和津贴补贴以及规定比例为职工缴纳的住房公积金。</w:t>
      </w:r>
    </w:p>
    <w:p>
      <w:pPr>
        <w:adjustRightInd w:val="0"/>
        <w:snapToGrid w:val="0"/>
        <w:spacing w:line="520" w:lineRule="exact"/>
        <w:ind w:firstLine="640" w:firstLineChars="200"/>
        <w:rPr>
          <w:rFonts w:eastAsia="仿宋_GB2312"/>
          <w:color w:val="000000"/>
          <w:sz w:val="32"/>
          <w:szCs w:val="32"/>
        </w:rPr>
      </w:pPr>
      <w:r>
        <w:rPr>
          <w:rFonts w:eastAsia="仿宋_GB2312"/>
          <w:color w:val="000000"/>
          <w:sz w:val="32"/>
          <w:szCs w:val="32"/>
        </w:rPr>
        <w:t>住房保障（类）住房改革支出（款）购房补贴（项）: 指按房改政策规定，行政事业单位向符合条件职工发放的用于购买住房的补贴。</w:t>
      </w:r>
    </w:p>
    <w:p>
      <w:pPr>
        <w:spacing w:line="520" w:lineRule="exact"/>
        <w:ind w:firstLine="640" w:firstLineChars="200"/>
        <w:textAlignment w:val="baseline"/>
        <w:rPr>
          <w:rFonts w:eastAsia="仿宋_GB2312"/>
          <w:color w:val="000000"/>
          <w:sz w:val="32"/>
          <w:szCs w:val="32"/>
        </w:rPr>
      </w:pPr>
      <w:r>
        <w:rPr>
          <w:rFonts w:eastAsia="仿宋_GB2312"/>
          <w:color w:val="000000"/>
          <w:kern w:val="0"/>
          <w:sz w:val="32"/>
          <w:szCs w:val="32"/>
        </w:rPr>
        <w:t>13.</w:t>
      </w:r>
      <w:r>
        <w:rPr>
          <w:rFonts w:eastAsia="仿宋_GB2312"/>
          <w:color w:val="000000"/>
          <w:sz w:val="32"/>
          <w:szCs w:val="32"/>
        </w:rPr>
        <w:t>基本支出：指为保障机构正常运转、完成日常工作任务而发生的人员支出和公用支出。</w:t>
      </w:r>
    </w:p>
    <w:p>
      <w:pPr>
        <w:spacing w:line="520" w:lineRule="exact"/>
        <w:ind w:firstLine="640" w:firstLineChars="200"/>
        <w:textAlignment w:val="baseline"/>
        <w:rPr>
          <w:rFonts w:eastAsia="仿宋_GB2312"/>
          <w:color w:val="000000"/>
          <w:sz w:val="32"/>
          <w:szCs w:val="32"/>
        </w:rPr>
      </w:pPr>
      <w:r>
        <w:rPr>
          <w:rFonts w:eastAsia="仿宋_GB2312"/>
          <w:color w:val="000000"/>
          <w:sz w:val="32"/>
          <w:szCs w:val="32"/>
        </w:rPr>
        <w:t>14.项目支出：指在基本支出之外为完成特定行政任务和事业发展目标所发生的支出。</w:t>
      </w:r>
    </w:p>
    <w:p>
      <w:pPr>
        <w:pStyle w:val="22"/>
        <w:spacing w:line="520" w:lineRule="exact"/>
        <w:ind w:firstLine="640" w:firstLineChars="200"/>
        <w:jc w:val="both"/>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15.“三公”经费：指单位用财政拨款安排的因公出国（境）费、公务用车购置及运行费和公务接待费。其中，因公出国（境）经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20" w:lineRule="exact"/>
        <w:ind w:firstLine="640" w:firstLineChars="200"/>
        <w:textAlignment w:val="baseline"/>
        <w:rPr>
          <w:rFonts w:eastAsia="仿宋_GB2312"/>
          <w:b/>
          <w:bCs/>
          <w:color w:val="000000"/>
          <w:sz w:val="32"/>
          <w:szCs w:val="32"/>
        </w:rPr>
      </w:pPr>
      <w:r>
        <w:rPr>
          <w:rFonts w:eastAsia="仿宋_GB2312"/>
          <w:kern w:val="0"/>
          <w:sz w:val="32"/>
          <w:szCs w:val="32"/>
        </w:rPr>
        <w:t>16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textAlignment w:val="baseline"/>
        <w:rPr>
          <w:rStyle w:val="30"/>
          <w:rFonts w:eastAsia="黑体"/>
          <w:b w:val="0"/>
          <w:bCs w:val="0"/>
        </w:rPr>
      </w:pPr>
    </w:p>
    <w:p>
      <w:pPr>
        <w:pStyle w:val="3"/>
        <w:jc w:val="center"/>
        <w:rPr>
          <w:rFonts w:eastAsia="黑体"/>
        </w:rPr>
      </w:pPr>
      <w:bookmarkStart w:id="129" w:name="_Toc81841457"/>
      <w:bookmarkStart w:id="130" w:name="_Toc15396614"/>
      <w:bookmarkStart w:id="131" w:name="_Toc81842527"/>
      <w:r>
        <w:rPr>
          <w:rFonts w:eastAsia="黑体"/>
          <w:b w:val="0"/>
          <w:bCs w:val="0"/>
          <w:color w:val="000000"/>
        </w:rPr>
        <w:br w:type="page"/>
      </w:r>
      <w:bookmarkStart w:id="132" w:name="_Toc114155830"/>
      <w:bookmarkStart w:id="133" w:name="_Toc1480763467_WPSOffice_Level1"/>
      <w:r>
        <w:rPr>
          <w:rFonts w:eastAsia="黑体"/>
          <w:b w:val="0"/>
          <w:bCs w:val="0"/>
          <w:color w:val="000000"/>
        </w:rPr>
        <w:t>第</w:t>
      </w:r>
      <w:r>
        <w:rPr>
          <w:rStyle w:val="30"/>
          <w:rFonts w:eastAsia="黑体"/>
          <w:b w:val="0"/>
          <w:bCs w:val="0"/>
        </w:rPr>
        <w:t>四部分 附件</w:t>
      </w:r>
      <w:bookmarkEnd w:id="129"/>
      <w:bookmarkEnd w:id="130"/>
      <w:bookmarkEnd w:id="131"/>
      <w:bookmarkEnd w:id="132"/>
      <w:bookmarkEnd w:id="133"/>
    </w:p>
    <w:p>
      <w:pPr>
        <w:pStyle w:val="2"/>
        <w:spacing w:before="93"/>
        <w:textAlignment w:val="baseline"/>
        <w:rPr>
          <w:rFonts w:ascii="Times New Roman"/>
          <w:b/>
          <w:bCs/>
          <w:color w:val="000000"/>
          <w:sz w:val="32"/>
          <w:szCs w:val="32"/>
        </w:rPr>
      </w:pPr>
    </w:p>
    <w:p>
      <w:pPr>
        <w:spacing w:line="580" w:lineRule="exact"/>
        <w:ind w:firstLine="640" w:firstLineChars="200"/>
        <w:textAlignment w:val="baseline"/>
        <w:rPr>
          <w:rFonts w:eastAsia="仿宋_GB2312"/>
          <w:sz w:val="32"/>
          <w:szCs w:val="32"/>
        </w:rPr>
      </w:pPr>
      <w:r>
        <w:rPr>
          <w:rFonts w:eastAsia="仿宋_GB2312"/>
          <w:color w:val="000000"/>
          <w:sz w:val="32"/>
          <w:szCs w:val="32"/>
        </w:rPr>
        <w:t>本单位2021年无100万元以上（含）特定目标类部门预算项目，未组织开展绩效目标自评。</w:t>
      </w:r>
    </w:p>
    <w:p>
      <w:pPr>
        <w:spacing w:line="600" w:lineRule="exact"/>
        <w:jc w:val="center"/>
        <w:outlineLvl w:val="0"/>
        <w:rPr>
          <w:rFonts w:eastAsia="黑体"/>
          <w:sz w:val="44"/>
          <w:szCs w:val="44"/>
        </w:rPr>
      </w:pPr>
    </w:p>
    <w:p>
      <w:pPr>
        <w:spacing w:line="600" w:lineRule="exact"/>
        <w:jc w:val="center"/>
        <w:outlineLvl w:val="0"/>
        <w:rPr>
          <w:rFonts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pStyle w:val="2"/>
        <w:spacing w:before="93"/>
        <w:rPr>
          <w:rFonts w:ascii="Times New Roman" w:eastAsia="黑体"/>
          <w:sz w:val="44"/>
          <w:szCs w:val="44"/>
        </w:rPr>
      </w:pPr>
    </w:p>
    <w:p>
      <w:pPr>
        <w:spacing w:line="600" w:lineRule="exact"/>
        <w:jc w:val="center"/>
        <w:outlineLvl w:val="0"/>
        <w:rPr>
          <w:rStyle w:val="24"/>
          <w:rFonts w:eastAsia="黑体"/>
          <w:b w:val="0"/>
        </w:rPr>
      </w:pPr>
      <w:bookmarkStart w:id="134" w:name="_Toc114155831"/>
      <w:bookmarkStart w:id="135" w:name="_Toc1220370967_WPSOffice_Level1"/>
      <w:r>
        <w:rPr>
          <w:rFonts w:eastAsia="黑体"/>
          <w:sz w:val="44"/>
          <w:szCs w:val="44"/>
        </w:rPr>
        <w:t>第</w:t>
      </w:r>
      <w:r>
        <w:rPr>
          <w:rStyle w:val="24"/>
          <w:rFonts w:eastAsia="黑体"/>
          <w:b w:val="0"/>
        </w:rPr>
        <w:t>五部分 附表</w:t>
      </w:r>
      <w:bookmarkEnd w:id="127"/>
      <w:bookmarkEnd w:id="128"/>
      <w:bookmarkEnd w:id="134"/>
      <w:bookmarkEnd w:id="135"/>
      <w:bookmarkStart w:id="136" w:name="_Toc15396619"/>
    </w:p>
    <w:p>
      <w:pPr>
        <w:pStyle w:val="2"/>
        <w:spacing w:before="93"/>
        <w:rPr>
          <w:rFonts w:hint="eastAsia"/>
        </w:rPr>
      </w:pPr>
    </w:p>
    <w:p>
      <w:pPr>
        <w:pStyle w:val="4"/>
        <w:spacing w:before="0" w:after="0"/>
        <w:rPr>
          <w:rFonts w:ascii="Times New Roman" w:hAnsi="Times New Roman" w:eastAsia="仿宋_GB2312" w:cs="Times New Roman"/>
        </w:rPr>
      </w:pPr>
      <w:bookmarkStart w:id="137" w:name="_Toc114155832"/>
      <w:bookmarkStart w:id="138" w:name="_Toc622584165_WPSOffice_Level2"/>
      <w:r>
        <w:rPr>
          <w:rFonts w:ascii="Times New Roman" w:hAnsi="Times New Roman" w:eastAsia="仿宋_GB2312" w:cs="Times New Roman"/>
          <w:b w:val="0"/>
        </w:rPr>
        <w:t>一、收</w:t>
      </w:r>
      <w:r>
        <w:rPr>
          <w:rStyle w:val="25"/>
          <w:rFonts w:ascii="Times New Roman" w:hAnsi="Times New Roman" w:eastAsia="仿宋_GB2312" w:cs="Times New Roman"/>
          <w:b w:val="0"/>
          <w:bCs w:val="0"/>
        </w:rPr>
        <w:t>入支出决算总表</w:t>
      </w:r>
      <w:bookmarkEnd w:id="136"/>
      <w:bookmarkEnd w:id="137"/>
      <w:bookmarkEnd w:id="138"/>
    </w:p>
    <w:p>
      <w:pPr>
        <w:pStyle w:val="4"/>
        <w:spacing w:before="0" w:after="0"/>
        <w:rPr>
          <w:rFonts w:ascii="Times New Roman" w:hAnsi="Times New Roman" w:eastAsia="仿宋_GB2312" w:cs="Times New Roman"/>
        </w:rPr>
      </w:pPr>
      <w:bookmarkStart w:id="139" w:name="_Toc15396620"/>
      <w:bookmarkStart w:id="140" w:name="_Toc647875323_WPSOffice_Level2"/>
      <w:bookmarkStart w:id="141" w:name="_Toc114155833"/>
      <w:r>
        <w:rPr>
          <w:rFonts w:ascii="Times New Roman" w:hAnsi="Times New Roman" w:eastAsia="仿宋_GB2312" w:cs="Times New Roman"/>
          <w:b w:val="0"/>
        </w:rPr>
        <w:t>二、收</w:t>
      </w:r>
      <w:r>
        <w:rPr>
          <w:rStyle w:val="25"/>
          <w:rFonts w:ascii="Times New Roman" w:hAnsi="Times New Roman" w:eastAsia="仿宋_GB2312" w:cs="Times New Roman"/>
          <w:b w:val="0"/>
          <w:bCs w:val="0"/>
        </w:rPr>
        <w:t>入决算表</w:t>
      </w:r>
      <w:bookmarkEnd w:id="139"/>
      <w:bookmarkEnd w:id="140"/>
      <w:bookmarkEnd w:id="141"/>
    </w:p>
    <w:p>
      <w:pPr>
        <w:pStyle w:val="4"/>
        <w:spacing w:before="0" w:after="0"/>
        <w:rPr>
          <w:rFonts w:ascii="Times New Roman" w:hAnsi="Times New Roman" w:eastAsia="仿宋_GB2312" w:cs="Times New Roman"/>
        </w:rPr>
      </w:pPr>
      <w:bookmarkStart w:id="142" w:name="_Toc1467466883_WPSOffice_Level2"/>
      <w:bookmarkStart w:id="143" w:name="_Toc15396621"/>
      <w:bookmarkStart w:id="144" w:name="_Toc114155834"/>
      <w:r>
        <w:rPr>
          <w:rStyle w:val="25"/>
          <w:rFonts w:ascii="Times New Roman" w:hAnsi="Times New Roman" w:eastAsia="仿宋_GB2312" w:cs="Times New Roman"/>
          <w:b w:val="0"/>
          <w:bCs w:val="0"/>
        </w:rPr>
        <w:t>三、</w:t>
      </w:r>
      <w:r>
        <w:rPr>
          <w:rFonts w:ascii="Times New Roman" w:hAnsi="Times New Roman" w:eastAsia="仿宋_GB2312" w:cs="Times New Roman"/>
          <w:b w:val="0"/>
        </w:rPr>
        <w:t>支</w:t>
      </w:r>
      <w:r>
        <w:rPr>
          <w:rStyle w:val="25"/>
          <w:rFonts w:ascii="Times New Roman" w:hAnsi="Times New Roman" w:eastAsia="仿宋_GB2312" w:cs="Times New Roman"/>
          <w:b w:val="0"/>
          <w:bCs w:val="0"/>
        </w:rPr>
        <w:t>出决算表</w:t>
      </w:r>
      <w:bookmarkEnd w:id="142"/>
      <w:bookmarkEnd w:id="143"/>
      <w:bookmarkEnd w:id="144"/>
    </w:p>
    <w:p>
      <w:pPr>
        <w:pStyle w:val="4"/>
        <w:spacing w:before="0" w:after="0"/>
        <w:rPr>
          <w:rFonts w:ascii="Times New Roman" w:hAnsi="Times New Roman" w:eastAsia="仿宋_GB2312" w:cs="Times New Roman"/>
          <w:b w:val="0"/>
        </w:rPr>
      </w:pPr>
      <w:bookmarkStart w:id="145" w:name="_Toc15396622"/>
      <w:bookmarkStart w:id="146" w:name="_Toc818516134_WPSOffice_Level2"/>
      <w:bookmarkStart w:id="147" w:name="_Toc114155835"/>
      <w:r>
        <w:rPr>
          <w:rStyle w:val="25"/>
          <w:rFonts w:ascii="Times New Roman" w:hAnsi="Times New Roman" w:eastAsia="仿宋_GB2312" w:cs="Times New Roman"/>
          <w:b w:val="0"/>
          <w:bCs w:val="0"/>
        </w:rPr>
        <w:t>四、</w:t>
      </w:r>
      <w:r>
        <w:rPr>
          <w:rFonts w:ascii="Times New Roman" w:hAnsi="Times New Roman" w:eastAsia="仿宋_GB2312" w:cs="Times New Roman"/>
          <w:b w:val="0"/>
        </w:rPr>
        <w:t>财</w:t>
      </w:r>
      <w:r>
        <w:rPr>
          <w:rStyle w:val="25"/>
          <w:rFonts w:ascii="Times New Roman" w:hAnsi="Times New Roman" w:eastAsia="仿宋_GB2312" w:cs="Times New Roman"/>
          <w:b w:val="0"/>
          <w:bCs w:val="0"/>
        </w:rPr>
        <w:t>政拨款收入支出决算总表</w:t>
      </w:r>
      <w:bookmarkEnd w:id="145"/>
      <w:bookmarkEnd w:id="146"/>
      <w:bookmarkEnd w:id="147"/>
    </w:p>
    <w:p>
      <w:pPr>
        <w:pStyle w:val="4"/>
        <w:spacing w:before="0" w:after="0"/>
        <w:rPr>
          <w:rStyle w:val="25"/>
          <w:rFonts w:ascii="Times New Roman" w:hAnsi="Times New Roman" w:eastAsia="仿宋_GB2312" w:cs="Times New Roman"/>
          <w:b w:val="0"/>
          <w:bCs w:val="0"/>
        </w:rPr>
      </w:pPr>
      <w:bookmarkStart w:id="148" w:name="_Toc114155836"/>
      <w:bookmarkStart w:id="149" w:name="_Toc289063940_WPSOffice_Level2"/>
      <w:bookmarkStart w:id="150" w:name="_Toc15396623"/>
      <w:r>
        <w:rPr>
          <w:rStyle w:val="25"/>
          <w:rFonts w:ascii="Times New Roman" w:hAnsi="Times New Roman" w:eastAsia="仿宋_GB2312" w:cs="Times New Roman"/>
          <w:b w:val="0"/>
          <w:bCs w:val="0"/>
        </w:rPr>
        <w:t>五、</w:t>
      </w:r>
      <w:r>
        <w:rPr>
          <w:rFonts w:ascii="Times New Roman" w:hAnsi="Times New Roman" w:eastAsia="仿宋_GB2312" w:cs="Times New Roman"/>
          <w:b w:val="0"/>
        </w:rPr>
        <w:t>财</w:t>
      </w:r>
      <w:r>
        <w:rPr>
          <w:rStyle w:val="25"/>
          <w:rFonts w:ascii="Times New Roman" w:hAnsi="Times New Roman" w:eastAsia="仿宋_GB2312" w:cs="Times New Roman"/>
          <w:b w:val="0"/>
          <w:bCs w:val="0"/>
        </w:rPr>
        <w:t>政拨款支出决算明细表</w:t>
      </w:r>
      <w:bookmarkEnd w:id="148"/>
      <w:bookmarkEnd w:id="149"/>
      <w:bookmarkEnd w:id="150"/>
      <w:bookmarkStart w:id="151" w:name="_Toc15396624"/>
    </w:p>
    <w:p>
      <w:pPr>
        <w:pStyle w:val="4"/>
        <w:spacing w:before="0" w:after="0"/>
        <w:rPr>
          <w:rFonts w:ascii="Times New Roman" w:hAnsi="Times New Roman" w:eastAsia="仿宋_GB2312" w:cs="Times New Roman"/>
        </w:rPr>
      </w:pPr>
      <w:bookmarkStart w:id="152" w:name="_Toc2104275207_WPSOffice_Level2"/>
      <w:bookmarkStart w:id="153" w:name="_Toc114155837"/>
      <w:r>
        <w:rPr>
          <w:rStyle w:val="25"/>
          <w:rFonts w:ascii="Times New Roman" w:hAnsi="Times New Roman" w:eastAsia="仿宋_GB2312" w:cs="Times New Roman"/>
          <w:b w:val="0"/>
          <w:bCs w:val="0"/>
        </w:rPr>
        <w:t>六、</w:t>
      </w:r>
      <w:r>
        <w:rPr>
          <w:rFonts w:ascii="Times New Roman" w:hAnsi="Times New Roman" w:eastAsia="仿宋_GB2312" w:cs="Times New Roman"/>
          <w:b w:val="0"/>
        </w:rPr>
        <w:t>一</w:t>
      </w:r>
      <w:r>
        <w:rPr>
          <w:rStyle w:val="25"/>
          <w:rFonts w:ascii="Times New Roman" w:hAnsi="Times New Roman" w:eastAsia="仿宋_GB2312" w:cs="Times New Roman"/>
          <w:b w:val="0"/>
          <w:bCs w:val="0"/>
        </w:rPr>
        <w:t>般公共预算财政拨款支出决算表</w:t>
      </w:r>
      <w:bookmarkEnd w:id="151"/>
      <w:bookmarkEnd w:id="152"/>
      <w:bookmarkEnd w:id="153"/>
    </w:p>
    <w:p>
      <w:pPr>
        <w:pStyle w:val="4"/>
        <w:spacing w:before="0" w:after="0"/>
        <w:rPr>
          <w:rFonts w:ascii="Times New Roman" w:hAnsi="Times New Roman" w:eastAsia="仿宋_GB2312" w:cs="Times New Roman"/>
        </w:rPr>
      </w:pPr>
      <w:bookmarkStart w:id="154" w:name="_Toc632566146_WPSOffice_Level2"/>
      <w:bookmarkStart w:id="155" w:name="_Toc114155838"/>
      <w:bookmarkStart w:id="156" w:name="_Toc15396625"/>
      <w:r>
        <w:rPr>
          <w:rStyle w:val="25"/>
          <w:rFonts w:ascii="Times New Roman" w:hAnsi="Times New Roman" w:eastAsia="仿宋_GB2312" w:cs="Times New Roman"/>
          <w:b w:val="0"/>
          <w:bCs w:val="0"/>
        </w:rPr>
        <w:t>七、</w:t>
      </w:r>
      <w:r>
        <w:rPr>
          <w:rFonts w:ascii="Times New Roman" w:hAnsi="Times New Roman" w:eastAsia="仿宋_GB2312" w:cs="Times New Roman"/>
          <w:b w:val="0"/>
        </w:rPr>
        <w:t>一</w:t>
      </w:r>
      <w:r>
        <w:rPr>
          <w:rStyle w:val="25"/>
          <w:rFonts w:ascii="Times New Roman" w:hAnsi="Times New Roman" w:eastAsia="仿宋_GB2312" w:cs="Times New Roman"/>
          <w:b w:val="0"/>
          <w:bCs w:val="0"/>
        </w:rPr>
        <w:t>般公共预算财政拨款支出决算明细表</w:t>
      </w:r>
      <w:bookmarkEnd w:id="154"/>
      <w:bookmarkEnd w:id="155"/>
      <w:bookmarkEnd w:id="156"/>
    </w:p>
    <w:p>
      <w:pPr>
        <w:pStyle w:val="4"/>
        <w:spacing w:before="0" w:after="0"/>
        <w:rPr>
          <w:rFonts w:ascii="Times New Roman" w:hAnsi="Times New Roman" w:eastAsia="仿宋_GB2312" w:cs="Times New Roman"/>
        </w:rPr>
      </w:pPr>
      <w:bookmarkStart w:id="157" w:name="_Toc975979244_WPSOffice_Level2"/>
      <w:bookmarkStart w:id="158" w:name="_Toc15396626"/>
      <w:bookmarkStart w:id="159" w:name="_Toc114155839"/>
      <w:r>
        <w:rPr>
          <w:rStyle w:val="25"/>
          <w:rFonts w:ascii="Times New Roman" w:hAnsi="Times New Roman" w:eastAsia="仿宋_GB2312" w:cs="Times New Roman"/>
          <w:b w:val="0"/>
          <w:bCs w:val="0"/>
        </w:rPr>
        <w:t>八、</w:t>
      </w:r>
      <w:r>
        <w:rPr>
          <w:rFonts w:ascii="Times New Roman" w:hAnsi="Times New Roman" w:eastAsia="仿宋_GB2312" w:cs="Times New Roman"/>
          <w:b w:val="0"/>
        </w:rPr>
        <w:t>一</w:t>
      </w:r>
      <w:r>
        <w:rPr>
          <w:rStyle w:val="25"/>
          <w:rFonts w:ascii="Times New Roman" w:hAnsi="Times New Roman" w:eastAsia="仿宋_GB2312" w:cs="Times New Roman"/>
          <w:b w:val="0"/>
          <w:bCs w:val="0"/>
        </w:rPr>
        <w:t>般公共预算财政拨款基本支出决算表</w:t>
      </w:r>
      <w:bookmarkEnd w:id="157"/>
      <w:bookmarkEnd w:id="158"/>
      <w:bookmarkEnd w:id="159"/>
    </w:p>
    <w:p>
      <w:pPr>
        <w:pStyle w:val="4"/>
        <w:spacing w:before="0" w:after="0"/>
        <w:rPr>
          <w:rFonts w:ascii="Times New Roman" w:hAnsi="Times New Roman" w:eastAsia="仿宋_GB2312" w:cs="Times New Roman"/>
        </w:rPr>
      </w:pPr>
      <w:bookmarkStart w:id="160" w:name="_Toc81055142_WPSOffice_Level2"/>
      <w:bookmarkStart w:id="161" w:name="_Toc15396627"/>
      <w:bookmarkStart w:id="162" w:name="_Toc114155840"/>
      <w:r>
        <w:rPr>
          <w:rStyle w:val="25"/>
          <w:rFonts w:ascii="Times New Roman" w:hAnsi="Times New Roman" w:eastAsia="仿宋_GB2312" w:cs="Times New Roman"/>
          <w:b w:val="0"/>
          <w:bCs w:val="0"/>
        </w:rPr>
        <w:t>九、</w:t>
      </w:r>
      <w:r>
        <w:rPr>
          <w:rFonts w:ascii="Times New Roman" w:hAnsi="Times New Roman" w:eastAsia="仿宋_GB2312" w:cs="Times New Roman"/>
          <w:b w:val="0"/>
        </w:rPr>
        <w:t>一</w:t>
      </w:r>
      <w:r>
        <w:rPr>
          <w:rStyle w:val="25"/>
          <w:rFonts w:ascii="Times New Roman" w:hAnsi="Times New Roman" w:eastAsia="仿宋_GB2312" w:cs="Times New Roman"/>
          <w:b w:val="0"/>
          <w:bCs w:val="0"/>
        </w:rPr>
        <w:t>般公共预算财政拨款项目支出决算表</w:t>
      </w:r>
      <w:bookmarkEnd w:id="160"/>
      <w:bookmarkEnd w:id="161"/>
      <w:bookmarkEnd w:id="162"/>
    </w:p>
    <w:p>
      <w:pPr>
        <w:pStyle w:val="4"/>
        <w:spacing w:before="0" w:after="0"/>
        <w:rPr>
          <w:rFonts w:ascii="Times New Roman" w:hAnsi="Times New Roman" w:eastAsia="仿宋_GB2312" w:cs="Times New Roman"/>
        </w:rPr>
      </w:pPr>
      <w:bookmarkStart w:id="163" w:name="_Toc506521546_WPSOffice_Level2"/>
      <w:bookmarkStart w:id="164" w:name="_Toc114155841"/>
      <w:bookmarkStart w:id="165" w:name="_Toc15396628"/>
      <w:r>
        <w:rPr>
          <w:rStyle w:val="25"/>
          <w:rFonts w:ascii="Times New Roman" w:hAnsi="Times New Roman" w:eastAsia="仿宋_GB2312" w:cs="Times New Roman"/>
          <w:b w:val="0"/>
          <w:bCs w:val="0"/>
        </w:rPr>
        <w:t>十、</w:t>
      </w:r>
      <w:r>
        <w:rPr>
          <w:rFonts w:ascii="Times New Roman" w:hAnsi="Times New Roman" w:eastAsia="仿宋_GB2312" w:cs="Times New Roman"/>
          <w:b w:val="0"/>
        </w:rPr>
        <w:t>一</w:t>
      </w:r>
      <w:r>
        <w:rPr>
          <w:rStyle w:val="25"/>
          <w:rFonts w:ascii="Times New Roman" w:hAnsi="Times New Roman" w:eastAsia="仿宋_GB2312" w:cs="Times New Roman"/>
          <w:b w:val="0"/>
          <w:bCs w:val="0"/>
        </w:rPr>
        <w:t>般公共预算财政拨款“三公”经费支出决算表</w:t>
      </w:r>
      <w:bookmarkEnd w:id="163"/>
      <w:bookmarkEnd w:id="164"/>
      <w:bookmarkEnd w:id="165"/>
    </w:p>
    <w:p>
      <w:pPr>
        <w:pStyle w:val="4"/>
        <w:spacing w:before="0" w:after="0"/>
        <w:rPr>
          <w:rFonts w:ascii="Times New Roman" w:hAnsi="Times New Roman" w:eastAsia="仿宋_GB2312" w:cs="Times New Roman"/>
        </w:rPr>
      </w:pPr>
      <w:bookmarkStart w:id="166" w:name="_Toc1589740632_WPSOffice_Level2"/>
      <w:bookmarkStart w:id="167" w:name="_Toc15396629"/>
      <w:bookmarkStart w:id="168" w:name="_Toc114155842"/>
      <w:r>
        <w:rPr>
          <w:rStyle w:val="25"/>
          <w:rFonts w:ascii="Times New Roman" w:hAnsi="Times New Roman" w:eastAsia="仿宋_GB2312" w:cs="Times New Roman"/>
          <w:b w:val="0"/>
          <w:bCs w:val="0"/>
        </w:rPr>
        <w:t>十一、</w:t>
      </w:r>
      <w:r>
        <w:rPr>
          <w:rFonts w:ascii="Times New Roman" w:hAnsi="Times New Roman" w:eastAsia="仿宋_GB2312" w:cs="Times New Roman"/>
          <w:b w:val="0"/>
        </w:rPr>
        <w:t>政</w:t>
      </w:r>
      <w:r>
        <w:rPr>
          <w:rStyle w:val="25"/>
          <w:rFonts w:ascii="Times New Roman" w:hAnsi="Times New Roman" w:eastAsia="仿宋_GB2312" w:cs="Times New Roman"/>
          <w:b w:val="0"/>
          <w:bCs w:val="0"/>
        </w:rPr>
        <w:t>府性基金预算财政拨款收入支出决算表</w:t>
      </w:r>
      <w:bookmarkEnd w:id="166"/>
      <w:bookmarkEnd w:id="167"/>
      <w:bookmarkEnd w:id="168"/>
    </w:p>
    <w:p>
      <w:pPr>
        <w:pStyle w:val="4"/>
        <w:spacing w:before="0" w:after="0"/>
        <w:rPr>
          <w:rFonts w:ascii="Times New Roman" w:hAnsi="Times New Roman" w:eastAsia="仿宋_GB2312" w:cs="Times New Roman"/>
        </w:rPr>
      </w:pPr>
      <w:bookmarkStart w:id="169" w:name="_Toc15396630"/>
      <w:bookmarkStart w:id="170" w:name="_Toc806491180_WPSOffice_Level2"/>
      <w:bookmarkStart w:id="171" w:name="_Toc114155843"/>
      <w:r>
        <w:rPr>
          <w:rStyle w:val="25"/>
          <w:rFonts w:ascii="Times New Roman" w:hAnsi="Times New Roman" w:eastAsia="仿宋_GB2312" w:cs="Times New Roman"/>
          <w:b w:val="0"/>
          <w:bCs w:val="0"/>
        </w:rPr>
        <w:t>十二、</w:t>
      </w:r>
      <w:r>
        <w:rPr>
          <w:rFonts w:ascii="Times New Roman" w:hAnsi="Times New Roman" w:eastAsia="仿宋_GB2312" w:cs="Times New Roman"/>
          <w:b w:val="0"/>
        </w:rPr>
        <w:t>政</w:t>
      </w:r>
      <w:r>
        <w:rPr>
          <w:rStyle w:val="25"/>
          <w:rFonts w:ascii="Times New Roman" w:hAnsi="Times New Roman" w:eastAsia="仿宋_GB2312" w:cs="Times New Roman"/>
          <w:b w:val="0"/>
          <w:bCs w:val="0"/>
        </w:rPr>
        <w:t>府性基金预算财政拨款“三公”经费支出决算表</w:t>
      </w:r>
      <w:bookmarkEnd w:id="169"/>
      <w:bookmarkEnd w:id="170"/>
      <w:bookmarkEnd w:id="171"/>
    </w:p>
    <w:p>
      <w:pPr>
        <w:pStyle w:val="4"/>
        <w:spacing w:before="0" w:after="0"/>
        <w:rPr>
          <w:rStyle w:val="25"/>
          <w:rFonts w:ascii="Times New Roman" w:hAnsi="Times New Roman" w:eastAsia="仿宋_GB2312" w:cs="Times New Roman"/>
          <w:b w:val="0"/>
          <w:bCs w:val="0"/>
        </w:rPr>
      </w:pPr>
      <w:bookmarkStart w:id="172" w:name="_Toc1829974490_WPSOffice_Level2"/>
      <w:bookmarkStart w:id="173" w:name="_Toc15396631"/>
      <w:bookmarkStart w:id="174" w:name="_Toc114155844"/>
      <w:r>
        <w:rPr>
          <w:rStyle w:val="25"/>
          <w:rFonts w:ascii="Times New Roman" w:hAnsi="Times New Roman" w:eastAsia="仿宋_GB2312" w:cs="Times New Roman"/>
          <w:b w:val="0"/>
          <w:bCs w:val="0"/>
        </w:rPr>
        <w:t>十三、</w:t>
      </w:r>
      <w:r>
        <w:rPr>
          <w:rFonts w:ascii="Times New Roman" w:hAnsi="Times New Roman" w:eastAsia="仿宋_GB2312" w:cs="Times New Roman"/>
          <w:b w:val="0"/>
        </w:rPr>
        <w:t>国</w:t>
      </w:r>
      <w:r>
        <w:rPr>
          <w:rStyle w:val="25"/>
          <w:rFonts w:ascii="Times New Roman" w:hAnsi="Times New Roman" w:eastAsia="仿宋_GB2312" w:cs="Times New Roman"/>
          <w:b w:val="0"/>
          <w:bCs w:val="0"/>
        </w:rPr>
        <w:t>有资本经营预算财政拨款收入支出决算表</w:t>
      </w:r>
      <w:bookmarkEnd w:id="172"/>
      <w:bookmarkEnd w:id="173"/>
      <w:bookmarkEnd w:id="174"/>
    </w:p>
    <w:p>
      <w:pPr>
        <w:rPr>
          <w:rFonts w:eastAsia="仿宋_GB2312"/>
        </w:rPr>
      </w:pPr>
      <w:bookmarkStart w:id="175" w:name="_Toc1659047390_WPSOffice_Level2"/>
      <w:bookmarkStart w:id="176" w:name="_Toc114155845"/>
      <w:r>
        <w:rPr>
          <w:rStyle w:val="25"/>
          <w:rFonts w:ascii="Times New Roman" w:hAnsi="Times New Roman" w:eastAsia="仿宋_GB2312" w:cs="Times New Roman"/>
          <w:b w:val="0"/>
          <w:bCs w:val="0"/>
        </w:rPr>
        <w:t>十四、国有资本经营预算财政拨款支出决算表</w:t>
      </w:r>
      <w:bookmarkEnd w:id="175"/>
      <w:bookmarkEnd w:id="176"/>
    </w:p>
    <w:sectPr>
      <w:footerReference r:id="rId8" w:type="first"/>
      <w:footerReference r:id="rId7" w:type="default"/>
      <w:pgSz w:w="11906" w:h="16838"/>
      <w:pgMar w:top="2098" w:right="1474" w:bottom="1985" w:left="1588" w:header="851" w:footer="1418"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spacing w:before="7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619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2"/>
                      <w:spacing w:before="7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numPr>
        <w:ilvl w:val="0"/>
        <w:numId w:val="1"/>
      </w:numPr>
      <w:jc w:val="center"/>
      <w:rPr>
        <w:rFonts w:hint="eastAsia" w:asciiTheme="majorEastAsia" w:hAnsiTheme="majorEastAsia" w:eastAsiaTheme="majorEastAsia"/>
        <w:sz w:val="28"/>
        <w:szCs w:val="28"/>
      </w:rPr>
    </w:pPr>
    <w:sdt>
      <w:sdtPr>
        <w:rPr>
          <w:rFonts w:asciiTheme="majorEastAsia" w:hAnsiTheme="majorEastAsia" w:eastAsiaTheme="majorEastAsia"/>
          <w:sz w:val="28"/>
          <w:szCs w:val="28"/>
        </w:rPr>
        <w:id w:val="-902754012"/>
        <w:docPartObj>
          <w:docPartGallery w:val="autotext"/>
        </w:docPartObj>
      </w:sdtPr>
      <w:sdtEndPr>
        <w:rPr>
          <w:rFonts w:asciiTheme="majorEastAsia" w:hAnsiTheme="majorEastAsia" w:eastAsiaTheme="majorEastAsia"/>
          <w:sz w:val="28"/>
          <w:szCs w:val="28"/>
        </w:rPr>
      </w:sdtEndPr>
      <w:sdtContent>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t xml:space="preserve"> </w:t>
        </w:r>
        <w:r>
          <w:rPr>
            <w:rFonts w:hint="eastAsia" w:asciiTheme="majorEastAsia" w:hAnsiTheme="majorEastAsia" w:eastAsiaTheme="majorEastAsia"/>
            <w:sz w:val="28"/>
            <w:szCs w:val="28"/>
          </w:rPr>
          <w:t>—</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w:t>
    </w:r>
    <w:sdt>
      <w:sdtPr>
        <w:rPr>
          <w:rFonts w:asciiTheme="majorEastAsia" w:hAnsiTheme="majorEastAsia" w:eastAsiaTheme="majorEastAsia"/>
          <w:sz w:val="28"/>
          <w:szCs w:val="28"/>
        </w:rPr>
        <w:id w:val="2034459051"/>
        <w:docPartObj>
          <w:docPartGallery w:val="autotext"/>
        </w:docPartObj>
      </w:sdtPr>
      <w:sdtEndPr>
        <w:rPr>
          <w:rFonts w:asciiTheme="majorEastAsia" w:hAnsiTheme="majorEastAsia" w:eastAsiaTheme="majorEastAsia"/>
          <w:sz w:val="28"/>
          <w:szCs w:val="28"/>
        </w:rPr>
      </w:sdtEndPr>
      <w:sdtContent>
        <w:r>
          <w:rPr>
            <w:rFonts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t xml:space="preserve"> </w:t>
        </w:r>
        <w:r>
          <w:rPr>
            <w:rFonts w:hint="eastAsia" w:asciiTheme="majorEastAsia" w:hAnsiTheme="majorEastAsia" w:eastAsiaTheme="majorEastAsia"/>
            <w:sz w:val="28"/>
            <w:szCs w:val="28"/>
          </w:rPr>
          <w:t>—</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8070C8E"/>
    <w:multiLevelType w:val="singleLevel"/>
    <w:tmpl w:val="D8070C8E"/>
    <w:lvl w:ilvl="0" w:tentative="0">
      <w:start w:val="1"/>
      <w:numFmt w:val="chineseCounting"/>
      <w:suff w:val="nothing"/>
      <w:lvlText w:val="%1、"/>
      <w:lvlJc w:val="left"/>
      <w:pPr>
        <w:ind w:left="420"/>
      </w:pPr>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EDD4819"/>
    <w:multiLevelType w:val="multilevel"/>
    <w:tmpl w:val="1EDD4819"/>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Y2UxNTVlMDVjZTFlZWRmN2M5NTViMTRkYTAyN2QifQ=="/>
  </w:docVars>
  <w:rsids>
    <w:rsidRoot w:val="00F1361C"/>
    <w:rsid w:val="000222C6"/>
    <w:rsid w:val="0002549F"/>
    <w:rsid w:val="000468DB"/>
    <w:rsid w:val="0006487A"/>
    <w:rsid w:val="00065F8F"/>
    <w:rsid w:val="000669AC"/>
    <w:rsid w:val="00070A43"/>
    <w:rsid w:val="000768F2"/>
    <w:rsid w:val="00085266"/>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1F28"/>
    <w:rsid w:val="003C39AE"/>
    <w:rsid w:val="003C7B60"/>
    <w:rsid w:val="003D0C0F"/>
    <w:rsid w:val="003D1FB2"/>
    <w:rsid w:val="003D66DA"/>
    <w:rsid w:val="003E1310"/>
    <w:rsid w:val="003E6F55"/>
    <w:rsid w:val="00403A30"/>
    <w:rsid w:val="00406254"/>
    <w:rsid w:val="004223DE"/>
    <w:rsid w:val="00434489"/>
    <w:rsid w:val="00437085"/>
    <w:rsid w:val="00443880"/>
    <w:rsid w:val="004464F4"/>
    <w:rsid w:val="00471401"/>
    <w:rsid w:val="00473F31"/>
    <w:rsid w:val="0048263A"/>
    <w:rsid w:val="00487E5D"/>
    <w:rsid w:val="004A711F"/>
    <w:rsid w:val="004B199D"/>
    <w:rsid w:val="004B4690"/>
    <w:rsid w:val="004C72FD"/>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58EB"/>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D7F7A"/>
    <w:rsid w:val="007E23B0"/>
    <w:rsid w:val="007E23E5"/>
    <w:rsid w:val="007F0F64"/>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A4432"/>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275E"/>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1DBA"/>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B3A44"/>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A234D"/>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C38C8"/>
    <w:rsid w:val="00FD3CC1"/>
    <w:rsid w:val="00FF1E02"/>
    <w:rsid w:val="00FF30B4"/>
    <w:rsid w:val="02F4403A"/>
    <w:rsid w:val="05836A1C"/>
    <w:rsid w:val="0A2032A3"/>
    <w:rsid w:val="0A477690"/>
    <w:rsid w:val="0B8A37D8"/>
    <w:rsid w:val="0C4B3A7C"/>
    <w:rsid w:val="10C055FF"/>
    <w:rsid w:val="118107EC"/>
    <w:rsid w:val="11DD6519"/>
    <w:rsid w:val="123F3EE2"/>
    <w:rsid w:val="13BF3189"/>
    <w:rsid w:val="16BB723D"/>
    <w:rsid w:val="18015F3F"/>
    <w:rsid w:val="1BE8440E"/>
    <w:rsid w:val="1D155CEE"/>
    <w:rsid w:val="20770893"/>
    <w:rsid w:val="20F57F95"/>
    <w:rsid w:val="240371BF"/>
    <w:rsid w:val="25C741E6"/>
    <w:rsid w:val="266D1C9A"/>
    <w:rsid w:val="273E7CDC"/>
    <w:rsid w:val="27842671"/>
    <w:rsid w:val="286A0053"/>
    <w:rsid w:val="29FD04D3"/>
    <w:rsid w:val="2ABE7A3E"/>
    <w:rsid w:val="2BCE566B"/>
    <w:rsid w:val="2EFA178C"/>
    <w:rsid w:val="30B46D73"/>
    <w:rsid w:val="319F7F4E"/>
    <w:rsid w:val="337F42B4"/>
    <w:rsid w:val="39AE70AB"/>
    <w:rsid w:val="3C0C0783"/>
    <w:rsid w:val="3F3310E7"/>
    <w:rsid w:val="3F9F3A96"/>
    <w:rsid w:val="411E510D"/>
    <w:rsid w:val="44FF436F"/>
    <w:rsid w:val="453E1C7A"/>
    <w:rsid w:val="47DE73B4"/>
    <w:rsid w:val="493C27E9"/>
    <w:rsid w:val="496F39ED"/>
    <w:rsid w:val="49FF41D3"/>
    <w:rsid w:val="4BC6087B"/>
    <w:rsid w:val="4BE068DB"/>
    <w:rsid w:val="4BF6002B"/>
    <w:rsid w:val="4D124769"/>
    <w:rsid w:val="4ECE2238"/>
    <w:rsid w:val="51DB4B86"/>
    <w:rsid w:val="51EB193F"/>
    <w:rsid w:val="528473F5"/>
    <w:rsid w:val="52D25F72"/>
    <w:rsid w:val="55333C3E"/>
    <w:rsid w:val="555D74FE"/>
    <w:rsid w:val="5A8D4D8C"/>
    <w:rsid w:val="627E09A6"/>
    <w:rsid w:val="64CA39A1"/>
    <w:rsid w:val="6C4A05C8"/>
    <w:rsid w:val="6D793547"/>
    <w:rsid w:val="6DBA1C56"/>
    <w:rsid w:val="705913C7"/>
    <w:rsid w:val="72734D90"/>
    <w:rsid w:val="745B2924"/>
    <w:rsid w:val="75C75EDB"/>
    <w:rsid w:val="79E7B28D"/>
    <w:rsid w:val="7A002F94"/>
    <w:rsid w:val="7F3FE339"/>
    <w:rsid w:val="7F9F20EE"/>
    <w:rsid w:val="9E3A10E2"/>
    <w:rsid w:val="EFD04CD8"/>
    <w:rsid w:val="F2E1F9D4"/>
    <w:rsid w:val="F7880819"/>
    <w:rsid w:val="F7FDE5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标题 1 字符"/>
    <w:basedOn w:val="13"/>
    <w:link w:val="3"/>
    <w:qFormat/>
    <w:locked/>
    <w:uiPriority w:val="99"/>
    <w:rPr>
      <w:rFonts w:ascii="Times New Roman" w:hAnsi="Times New Roman" w:cs="Times New Roman"/>
      <w:b/>
      <w:bCs/>
      <w:kern w:val="44"/>
      <w:sz w:val="44"/>
      <w:szCs w:val="44"/>
    </w:rPr>
  </w:style>
  <w:style w:type="paragraph" w:customStyle="1" w:styleId="31">
    <w:name w:val="WPSOffice手动目录 1"/>
    <w:qFormat/>
    <w:uiPriority w:val="0"/>
    <w:pPr>
      <w:ind w:leftChars="0"/>
    </w:pPr>
    <w:rPr>
      <w:rFonts w:asciiTheme="minorHAnsi" w:hAnsiTheme="minorHAnsi" w:eastAsiaTheme="minorEastAsia" w:cstheme="minorBidi"/>
      <w:sz w:val="20"/>
      <w:szCs w:val="20"/>
    </w:rPr>
  </w:style>
  <w:style w:type="paragraph" w:customStyle="1" w:styleId="32">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2017\&#20844;&#20849;&#25307;&#32856;&#32593;&#24066;&#22330;&#20379;&#27714;&#20998;&#26512;\&#25307;&#32856;&#32593;&#22270;&#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017\&#20844;&#20849;&#25307;&#32856;&#32593;&#24066;&#22330;&#20379;&#27714;&#20998;&#26512;\&#25307;&#32856;&#32593;&#22270;&#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2017\&#20844;&#20849;&#25307;&#32856;&#32593;&#24066;&#22330;&#20379;&#27714;&#20998;&#26512;\&#25307;&#32856;&#32593;&#22270;&#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017\&#20844;&#20849;&#25307;&#32856;&#32593;&#24066;&#22330;&#20379;&#27714;&#20998;&#26512;\&#25307;&#32856;&#32593;&#22270;&#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017\&#20844;&#20849;&#25307;&#32856;&#32593;&#24066;&#22330;&#20379;&#27714;&#20998;&#26512;\&#25307;&#32856;&#32593;&#22270;&#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017\&#20844;&#20849;&#25307;&#32856;&#32593;&#24066;&#22330;&#20379;&#27714;&#20998;&#26512;\&#25307;&#32856;&#32593;&#22270;&#349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2017\&#20844;&#20849;&#25307;&#32856;&#32593;&#24066;&#22330;&#20379;&#27714;&#20998;&#26512;\&#25307;&#32856;&#32593;&#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12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rPr>
              <a:t>收、支决算总计变动情况图</a:t>
            </a:r>
            <a:endParaRPr lang="zh-CN" altLang="en-US" sz="12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304900181488203"/>
          <c:y val="0.0349208194613257"/>
        </c:manualLayout>
      </c:layout>
      <c:overlay val="false"/>
    </c:title>
    <c:autoTitleDeleted val="false"/>
    <c:plotArea>
      <c:layout>
        <c:manualLayout>
          <c:layoutTarget val="inner"/>
          <c:xMode val="edge"/>
          <c:yMode val="edge"/>
          <c:x val="0.20508166969147"/>
          <c:y val="0.352382044835208"/>
          <c:w val="0.591651542649728"/>
          <c:h val="0.40952507913281"/>
        </c:manualLayout>
      </c:layout>
      <c:barChart>
        <c:barDir val="col"/>
        <c:grouping val="clustered"/>
        <c:varyColors val="false"/>
        <c:ser>
          <c:idx val="0"/>
          <c:order val="0"/>
          <c:spPr>
            <a:solidFill>
              <a:srgbClr val="9999FF">
                <a:alpha val="100000"/>
              </a:srgbClr>
            </a:solidFill>
            <a:ln w="12700">
              <a:solidFill>
                <a:srgbClr val="000000">
                  <a:alpha val="100000"/>
                </a:srgbClr>
              </a:solidFill>
              <a:prstDash val="solid"/>
            </a:ln>
          </c:spPr>
          <c:invertIfNegative val="false"/>
          <c:dPt>
            <c:idx val="0"/>
            <c:invertIfNegative val="false"/>
            <c:bubble3D val="false"/>
            <c:explosion val="25"/>
          </c:dPt>
          <c:dPt>
            <c:idx val="1"/>
            <c:invertIfNegative val="false"/>
            <c:bubble3D val="false"/>
            <c:explosion val="25"/>
            <c:spPr>
              <a:solidFill>
                <a:srgbClr val="993366">
                  <a:alpha val="100000"/>
                </a:srgbClr>
              </a:solidFill>
              <a:ln w="12700">
                <a:solidFill>
                  <a:srgbClr val="000000">
                    <a:alpha val="100000"/>
                  </a:srgbClr>
                </a:solidFill>
                <a:prstDash val="solid"/>
              </a:ln>
            </c:spPr>
          </c:dPt>
          <c:dLbls>
            <c:spPr>
              <a:noFill/>
              <a:ln>
                <a:noFill/>
              </a:ln>
              <a:effectLst/>
            </c:spPr>
            <c:txPr>
              <a:bodyPr rot="0" spcFirstLastPara="0" vertOverflow="ellipsis" vert="horz" wrap="square" lIns="38100" tIns="19050" rIns="38100" bIns="19050" anchor="ctr" anchorCtr="true"/>
              <a:lstStyle/>
              <a:p>
                <a:pPr>
                  <a:defRPr lang="zh-CN" sz="9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numRef>
              <c:f>[招聘网图表.xls]分产业制图!$A$3:$A$4</c:f>
              <c:numCache>
                <c:formatCode>General</c:formatCode>
                <c:ptCount val="2"/>
                <c:pt idx="0">
                  <c:v>2020</c:v>
                </c:pt>
                <c:pt idx="1">
                  <c:v>2021</c:v>
                </c:pt>
              </c:numCache>
            </c:numRef>
          </c:cat>
          <c:val>
            <c:numRef>
              <c:f>[招聘网图表.xls]分产业制图!$B$3:$B$4</c:f>
              <c:numCache>
                <c:formatCode>General</c:formatCode>
                <c:ptCount val="2"/>
                <c:pt idx="0">
                  <c:v>417.55</c:v>
                </c:pt>
                <c:pt idx="1">
                  <c:v>426.82</c:v>
                </c:pt>
              </c:numCache>
            </c:numRef>
          </c:val>
        </c:ser>
        <c:dLbls>
          <c:showLegendKey val="false"/>
          <c:showVal val="true"/>
          <c:showCatName val="false"/>
          <c:showSerName val="false"/>
          <c:showPercent val="false"/>
          <c:showBubbleSize val="false"/>
        </c:dLbls>
        <c:gapWidth val="150"/>
        <c:axId val="244767177"/>
        <c:axId val="403238570"/>
      </c:barChart>
      <c:catAx>
        <c:axId val="244767177"/>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9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403238570"/>
        <c:crosses val="autoZero"/>
        <c:auto val="true"/>
        <c:lblAlgn val="ctr"/>
        <c:lblOffset val="100"/>
        <c:noMultiLvlLbl val="false"/>
      </c:catAx>
      <c:valAx>
        <c:axId val="403238570"/>
        <c:scaling>
          <c:orientation val="minMax"/>
        </c:scaling>
        <c:delete val="false"/>
        <c:axPos val="l"/>
        <c:numFmt formatCode="General" sourceLinked="true"/>
        <c:majorTickMark val="out"/>
        <c:minorTickMark val="none"/>
        <c:tickLblPos val="nextTo"/>
        <c:txPr>
          <a:bodyPr rot="-60000000" spcFirstLastPara="0" vertOverflow="ellipsis" vert="horz" wrap="square" anchor="ctr" anchorCtr="true"/>
          <a:lstStyle/>
          <a:p>
            <a:pPr>
              <a:defRPr lang="zh-CN" sz="9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244767177"/>
        <c:crosses val="autoZero"/>
        <c:crossBetween val="between"/>
      </c:valAx>
      <c:spPr>
        <a:noFill/>
        <a:ln>
          <a:noFill/>
        </a:ln>
        <a:effectLst/>
      </c:spPr>
    </c:plotArea>
    <c:legend>
      <c:legendPos val="r"/>
      <c:layout/>
      <c:overlay val="false"/>
      <c:txPr>
        <a:bodyPr rot="0" spcFirstLastPara="0" vertOverflow="ellipsis" vert="horz" wrap="square" anchor="ctr" anchorCtr="true"/>
        <a:lstStyle/>
        <a:p>
          <a:pPr>
            <a:defRPr lang="zh-CN" sz="9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true"/>
    <c:dispBlanksAs val="zero"/>
    <c:showDLblsOverMax val="false"/>
  </c:chart>
  <c:spPr>
    <a:solidFill>
      <a:srgbClr val="FFFFFF">
        <a:alpha val="100000"/>
      </a:srgbClr>
    </a:solidFill>
    <a:ln w="3175" cap="flat" cmpd="sng" algn="ctr">
      <a:solidFill>
        <a:srgbClr val="000000">
          <a:alpha val="100000"/>
        </a:srgbClr>
      </a:solidFill>
      <a:prstDash val="solid"/>
      <a:round/>
    </a:ln>
  </c:spPr>
  <c:txPr>
    <a:bodyPr rot="0" wrap="square" anchor="ctr" anchorCtr="true"/>
    <a:lstStyle/>
    <a:p>
      <a:pPr>
        <a:defRPr lang="zh-CN" sz="95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收入决算结构图</a:t>
            </a:r>
            <a:endParaRPr lang="zh-CN" altLang="en-US"/>
          </a:p>
        </c:rich>
      </c:tx>
      <c:layout/>
      <c:overlay val="false"/>
      <c:spPr>
        <a:noFill/>
        <a:ln>
          <a:noFill/>
        </a:ln>
        <a:effectLst/>
      </c:spPr>
    </c:title>
    <c:autoTitleDeleted val="false"/>
    <c:plotArea>
      <c:layout/>
      <c:pieChart>
        <c:varyColors val="true"/>
        <c:ser>
          <c:idx val="0"/>
          <c:order val="0"/>
          <c:tx>
            <c:strRef>
              <c:f>[招聘网图表.xls]分产业制图!$A$22</c:f>
              <c:strCache>
                <c:ptCount val="1"/>
                <c:pt idx="0">
                  <c:v>一般公共预算财政拨款收入</c:v>
                </c:pt>
              </c:strCache>
            </c:strRef>
          </c:tx>
          <c:spPr>
            <a:scene3d>
              <a:camera prst="orthographicFront"/>
              <a:lightRig rig="threePt" dir="t"/>
            </a:scene3d>
            <a:sp3d contourW="25400"/>
          </c:spPr>
          <c:explosion val="0"/>
          <c:dPt>
            <c:idx val="0"/>
            <c:bubble3D val="false"/>
            <c:spPr>
              <a:solidFill>
                <a:schemeClr val="accent1"/>
              </a:solidFill>
              <a:ln w="25400">
                <a:solidFill>
                  <a:schemeClr val="lt1"/>
                </a:solidFill>
              </a:ln>
              <a:effectLst/>
              <a:scene3d>
                <a:camera prst="orthographicFront"/>
                <a:lightRig rig="threePt" dir="t"/>
              </a:scene3d>
              <a:sp3d contourW="25400"/>
            </c:spPr>
          </c:dPt>
          <c:dPt>
            <c:idx val="1"/>
            <c:bubble3D val="false"/>
            <c:spPr>
              <a:solidFill>
                <a:schemeClr val="accent2"/>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val>
            <c:numRef>
              <c:f>[招聘网图表.xls]分产业制图!$B$22:$C$22</c:f>
              <c:numCache>
                <c:formatCode>General</c:formatCode>
                <c:ptCount val="2"/>
                <c:pt idx="0">
                  <c:v>426.82</c:v>
                </c:pt>
                <c:pt idx="1" c:formatCode="0%">
                  <c:v>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支出决算结构图</a:t>
            </a:r>
            <a:endParaRPr lang="zh-CN" altLang="en-US"/>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36.98</a:t>
                    </a:r>
                    <a:r>
                      <a:rPr lang="en-US"/>
                      <a:t>%</a:t>
                    </a:r>
                    <a:endParaRPr lang="en-US"/>
                  </a:p>
                </c:rich>
              </c:tx>
              <c:numFmt formatCode="0.0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1"/>
              <c:layout>
                <c:manualLayout>
                  <c:x val="0.136710106099843"/>
                  <c:y val="-0.0377813281228283"/>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63.02</a:t>
                    </a:r>
                    <a:r>
                      <a:rPr lang="en-US"/>
                      <a:t>%</a:t>
                    </a:r>
                    <a:endParaRPr lang="en-US"/>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[招聘网图表.xls]分产业制图!$B$3:$B$4</c:f>
              <c:strCache>
                <c:ptCount val="2"/>
                <c:pt idx="0">
                  <c:v>基本支出</c:v>
                </c:pt>
                <c:pt idx="1">
                  <c:v>项目支出</c:v>
                </c:pt>
              </c:strCache>
            </c:strRef>
          </c:cat>
          <c:val>
            <c:numRef>
              <c:f>[招聘网图表.xls]分产业制图!$C$3:$C$4</c:f>
              <c:numCache>
                <c:formatCode>0%</c:formatCode>
                <c:ptCount val="2"/>
                <c:pt idx="0">
                  <c:v>0.37</c:v>
                </c:pt>
                <c:pt idx="1">
                  <c:v>0.63</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12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rPr>
              <a:t>财政拨款收、支决算总计变动情况</a:t>
            </a:r>
            <a:endParaRPr lang="zh-CN" altLang="en-US" sz="12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53197472067373"/>
          <c:y val="0.0293545077478697"/>
        </c:manualLayout>
      </c:layout>
      <c:overlay val="false"/>
    </c:title>
    <c:autoTitleDeleted val="false"/>
    <c:plotArea>
      <c:layout>
        <c:manualLayout>
          <c:layoutTarget val="inner"/>
          <c:xMode val="edge"/>
          <c:yMode val="edge"/>
          <c:x val="0.20508166969147"/>
          <c:y val="0.352382044835208"/>
          <c:w val="0.591651542649728"/>
          <c:h val="0.40952507913281"/>
        </c:manualLayout>
      </c:layout>
      <c:barChart>
        <c:barDir val="col"/>
        <c:grouping val="clustered"/>
        <c:varyColors val="false"/>
        <c:ser>
          <c:idx val="0"/>
          <c:order val="0"/>
          <c:spPr>
            <a:solidFill>
              <a:srgbClr val="9999FF">
                <a:alpha val="100000"/>
              </a:srgbClr>
            </a:solidFill>
            <a:ln w="12700">
              <a:solidFill>
                <a:srgbClr val="000000">
                  <a:alpha val="100000"/>
                </a:srgbClr>
              </a:solidFill>
              <a:prstDash val="solid"/>
            </a:ln>
          </c:spPr>
          <c:invertIfNegative val="false"/>
          <c:dPt>
            <c:idx val="0"/>
            <c:invertIfNegative val="false"/>
            <c:bubble3D val="false"/>
            <c:explosion val="25"/>
          </c:dPt>
          <c:dPt>
            <c:idx val="1"/>
            <c:invertIfNegative val="false"/>
            <c:bubble3D val="false"/>
            <c:explosion val="25"/>
            <c:spPr>
              <a:solidFill>
                <a:srgbClr val="993366">
                  <a:alpha val="100000"/>
                </a:srgbClr>
              </a:solidFill>
              <a:ln w="12700">
                <a:solidFill>
                  <a:srgbClr val="000000">
                    <a:alpha val="100000"/>
                  </a:srgbClr>
                </a:solidFill>
                <a:prstDash val="solid"/>
              </a:ln>
            </c:spPr>
          </c:dPt>
          <c:dLbls>
            <c:spPr>
              <a:noFill/>
              <a:ln>
                <a:noFill/>
              </a:ln>
              <a:effectLst/>
            </c:spPr>
            <c:txPr>
              <a:bodyPr rot="0" spcFirstLastPara="0" vertOverflow="ellipsis" vert="horz" wrap="square" lIns="38100" tIns="19050" rIns="38100" bIns="19050" anchor="ctr" anchorCtr="true"/>
              <a:lstStyle/>
              <a:p>
                <a:pPr>
                  <a:defRPr lang="zh-CN" sz="9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numRef>
              <c:f>[招聘网图表.xls]分产业制图!$A$3:$A$4</c:f>
              <c:numCache>
                <c:formatCode>General</c:formatCode>
                <c:ptCount val="2"/>
                <c:pt idx="0">
                  <c:v>2020</c:v>
                </c:pt>
                <c:pt idx="1">
                  <c:v>2021</c:v>
                </c:pt>
              </c:numCache>
            </c:numRef>
          </c:cat>
          <c:val>
            <c:numRef>
              <c:f>[招聘网图表.xls]分产业制图!$B$3:$B$4</c:f>
              <c:numCache>
                <c:formatCode>General</c:formatCode>
                <c:ptCount val="2"/>
                <c:pt idx="0">
                  <c:v>417.55</c:v>
                </c:pt>
                <c:pt idx="1">
                  <c:v>426.82</c:v>
                </c:pt>
              </c:numCache>
            </c:numRef>
          </c:val>
        </c:ser>
        <c:dLbls>
          <c:showLegendKey val="false"/>
          <c:showVal val="true"/>
          <c:showCatName val="false"/>
          <c:showSerName val="false"/>
          <c:showPercent val="false"/>
          <c:showBubbleSize val="false"/>
        </c:dLbls>
        <c:gapWidth val="150"/>
        <c:axId val="244767177"/>
        <c:axId val="403238570"/>
      </c:barChart>
      <c:catAx>
        <c:axId val="244767177"/>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9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403238570"/>
        <c:crosses val="autoZero"/>
        <c:auto val="true"/>
        <c:lblAlgn val="ctr"/>
        <c:lblOffset val="100"/>
        <c:noMultiLvlLbl val="false"/>
      </c:catAx>
      <c:valAx>
        <c:axId val="403238570"/>
        <c:scaling>
          <c:orientation val="minMax"/>
        </c:scaling>
        <c:delete val="false"/>
        <c:axPos val="l"/>
        <c:numFmt formatCode="General" sourceLinked="true"/>
        <c:majorTickMark val="out"/>
        <c:minorTickMark val="none"/>
        <c:tickLblPos val="nextTo"/>
        <c:txPr>
          <a:bodyPr rot="-60000000" spcFirstLastPara="0" vertOverflow="ellipsis" vert="horz" wrap="square" anchor="ctr" anchorCtr="true"/>
          <a:lstStyle/>
          <a:p>
            <a:pPr>
              <a:defRPr lang="zh-CN" sz="9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244767177"/>
        <c:crosses val="autoZero"/>
        <c:crossBetween val="between"/>
      </c:valAx>
      <c:spPr>
        <a:noFill/>
        <a:ln>
          <a:noFill/>
        </a:ln>
        <a:effectLst/>
      </c:spPr>
    </c:plotArea>
    <c:legend>
      <c:legendPos val="r"/>
      <c:layout/>
      <c:overlay val="false"/>
      <c:txPr>
        <a:bodyPr rot="0" spcFirstLastPara="0" vertOverflow="ellipsis" vert="horz" wrap="square" anchor="ctr" anchorCtr="true"/>
        <a:lstStyle/>
        <a:p>
          <a:pPr>
            <a:defRPr lang="zh-CN" sz="9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true"/>
    <c:dispBlanksAs val="zero"/>
    <c:showDLblsOverMax val="false"/>
  </c:chart>
  <c:spPr>
    <a:solidFill>
      <a:srgbClr val="FFFFFF">
        <a:alpha val="100000"/>
      </a:srgbClr>
    </a:solidFill>
    <a:ln w="3175" cap="flat" cmpd="sng" algn="ctr">
      <a:solidFill>
        <a:srgbClr val="000000">
          <a:alpha val="100000"/>
        </a:srgbClr>
      </a:solidFill>
      <a:prstDash val="solid"/>
      <a:round/>
    </a:ln>
  </c:spPr>
  <c:txPr>
    <a:bodyPr rot="0" wrap="square" anchor="ctr" anchorCtr="true"/>
    <a:lstStyle/>
    <a:p>
      <a:pPr>
        <a:defRPr lang="zh-CN" sz="95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lang="zh-CN" altLang="en-US" sz="12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rPr>
              <a:t>一般公共预算财政拨款支出决算变动情况</a:t>
            </a:r>
            <a:endParaRPr lang="zh-CN" altLang="en-US" sz="12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37581497377953"/>
          <c:y val="0.0617686815760092"/>
        </c:manualLayout>
      </c:layout>
      <c:overlay val="false"/>
    </c:title>
    <c:autoTitleDeleted val="false"/>
    <c:plotArea>
      <c:layout>
        <c:manualLayout>
          <c:layoutTarget val="inner"/>
          <c:xMode val="edge"/>
          <c:yMode val="edge"/>
          <c:x val="0.20508166969147"/>
          <c:y val="0.352382044835208"/>
          <c:w val="0.591651542649728"/>
          <c:h val="0.40952507913281"/>
        </c:manualLayout>
      </c:layout>
      <c:barChart>
        <c:barDir val="col"/>
        <c:grouping val="clustered"/>
        <c:varyColors val="false"/>
        <c:ser>
          <c:idx val="0"/>
          <c:order val="0"/>
          <c:spPr>
            <a:solidFill>
              <a:srgbClr val="9999FF">
                <a:alpha val="100000"/>
              </a:srgbClr>
            </a:solidFill>
            <a:ln w="12700">
              <a:solidFill>
                <a:srgbClr val="000000">
                  <a:alpha val="100000"/>
                </a:srgbClr>
              </a:solidFill>
              <a:prstDash val="solid"/>
            </a:ln>
          </c:spPr>
          <c:invertIfNegative val="false"/>
          <c:dPt>
            <c:idx val="0"/>
            <c:invertIfNegative val="false"/>
            <c:bubble3D val="false"/>
            <c:explosion val="25"/>
          </c:dPt>
          <c:dPt>
            <c:idx val="1"/>
            <c:invertIfNegative val="false"/>
            <c:bubble3D val="false"/>
            <c:explosion val="25"/>
            <c:spPr>
              <a:solidFill>
                <a:srgbClr val="993366">
                  <a:alpha val="100000"/>
                </a:srgbClr>
              </a:solidFill>
              <a:ln w="12700">
                <a:solidFill>
                  <a:srgbClr val="000000">
                    <a:alpha val="100000"/>
                  </a:srgbClr>
                </a:solidFill>
                <a:prstDash val="solid"/>
              </a:ln>
            </c:spPr>
          </c:dPt>
          <c:dLbls>
            <c:spPr>
              <a:noFill/>
              <a:ln>
                <a:noFill/>
              </a:ln>
              <a:effectLst/>
            </c:spPr>
            <c:txPr>
              <a:bodyPr rot="0" spcFirstLastPara="0" vertOverflow="ellipsis" vert="horz" wrap="square" lIns="38100" tIns="19050" rIns="38100" bIns="19050" anchor="ctr" anchorCtr="true"/>
              <a:lstStyle/>
              <a:p>
                <a:pPr>
                  <a:defRPr lang="zh-CN" sz="9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numRef>
              <c:f>[招聘网图表.xls]分产业制图!$A$3:$A$4</c:f>
              <c:numCache>
                <c:formatCode>General</c:formatCode>
                <c:ptCount val="2"/>
                <c:pt idx="0">
                  <c:v>2020</c:v>
                </c:pt>
                <c:pt idx="1">
                  <c:v>2021</c:v>
                </c:pt>
              </c:numCache>
            </c:numRef>
          </c:cat>
          <c:val>
            <c:numRef>
              <c:f>[招聘网图表.xls]分产业制图!$B$3:$B$4</c:f>
              <c:numCache>
                <c:formatCode>General</c:formatCode>
                <c:ptCount val="2"/>
                <c:pt idx="0">
                  <c:v>417.55</c:v>
                </c:pt>
                <c:pt idx="1">
                  <c:v>426.82</c:v>
                </c:pt>
              </c:numCache>
            </c:numRef>
          </c:val>
        </c:ser>
        <c:dLbls>
          <c:showLegendKey val="false"/>
          <c:showVal val="true"/>
          <c:showCatName val="false"/>
          <c:showSerName val="false"/>
          <c:showPercent val="false"/>
          <c:showBubbleSize val="false"/>
        </c:dLbls>
        <c:gapWidth val="150"/>
        <c:axId val="244767177"/>
        <c:axId val="403238570"/>
      </c:barChart>
      <c:catAx>
        <c:axId val="244767177"/>
        <c:scaling>
          <c:orientation val="minMax"/>
        </c:scaling>
        <c:delete val="false"/>
        <c:axPos val="b"/>
        <c:numFmt formatCode="General" sourceLinked="false"/>
        <c:majorTickMark val="out"/>
        <c:minorTickMark val="none"/>
        <c:tickLblPos val="nextTo"/>
        <c:txPr>
          <a:bodyPr rot="-60000000" spcFirstLastPara="0" vertOverflow="ellipsis" vert="horz" wrap="square" anchor="ctr" anchorCtr="true"/>
          <a:lstStyle/>
          <a:p>
            <a:pPr>
              <a:defRPr lang="zh-CN" sz="9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403238570"/>
        <c:crosses val="autoZero"/>
        <c:auto val="true"/>
        <c:lblAlgn val="ctr"/>
        <c:lblOffset val="100"/>
        <c:noMultiLvlLbl val="false"/>
      </c:catAx>
      <c:valAx>
        <c:axId val="403238570"/>
        <c:scaling>
          <c:orientation val="minMax"/>
        </c:scaling>
        <c:delete val="false"/>
        <c:axPos val="l"/>
        <c:numFmt formatCode="General" sourceLinked="true"/>
        <c:majorTickMark val="out"/>
        <c:minorTickMark val="none"/>
        <c:tickLblPos val="nextTo"/>
        <c:txPr>
          <a:bodyPr rot="-60000000" spcFirstLastPara="0" vertOverflow="ellipsis" vert="horz" wrap="square" anchor="ctr" anchorCtr="true"/>
          <a:lstStyle/>
          <a:p>
            <a:pPr>
              <a:defRPr lang="zh-CN" sz="9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244767177"/>
        <c:crosses val="autoZero"/>
        <c:crossBetween val="between"/>
      </c:valAx>
      <c:spPr>
        <a:noFill/>
        <a:ln>
          <a:noFill/>
        </a:ln>
        <a:effectLst/>
      </c:spPr>
    </c:plotArea>
    <c:legend>
      <c:legendPos val="r"/>
      <c:layout/>
      <c:overlay val="false"/>
      <c:txPr>
        <a:bodyPr rot="0" spcFirstLastPara="0" vertOverflow="ellipsis" vert="horz" wrap="square" anchor="ctr" anchorCtr="true"/>
        <a:lstStyle/>
        <a:p>
          <a:pPr>
            <a:defRPr lang="zh-CN" sz="95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true"/>
    <c:dispBlanksAs val="zero"/>
    <c:showDLblsOverMax val="false"/>
  </c:chart>
  <c:spPr>
    <a:solidFill>
      <a:srgbClr val="FFFFFF">
        <a:alpha val="100000"/>
      </a:srgbClr>
    </a:solidFill>
    <a:ln w="3175" cap="flat" cmpd="sng" algn="ctr">
      <a:solidFill>
        <a:srgbClr val="000000">
          <a:alpha val="100000"/>
        </a:srgbClr>
      </a:solidFill>
      <a:prstDash val="solid"/>
      <a:round/>
    </a:ln>
  </c:spPr>
  <c:txPr>
    <a:bodyPr rot="0" wrap="square" anchor="ctr" anchorCtr="true"/>
    <a:lstStyle/>
    <a:p>
      <a:pPr>
        <a:defRPr lang="zh-CN" sz="95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a:t>
            </a:r>
            <a:endParaRPr lang="zh-CN" altLang="en-US"/>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Lbl>
              <c:idx val="0"/>
              <c:layout>
                <c:manualLayout>
                  <c:x val="0.14021955306459"/>
                  <c:y val="0.0292454052349204"/>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2.34%</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0967047718378293"/>
                  <c:y val="-0.0113932742487664"/>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93.33%</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142194291299899"/>
                  <c:y val="0.0048842766659067"/>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1.51%</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2.82%</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[招聘网图表.xls]分产业制图!$B$3:$B$6</c:f>
              <c:strCache>
                <c:ptCount val="4"/>
                <c:pt idx="0">
                  <c:v>教育支出</c:v>
                </c:pt>
                <c:pt idx="1">
                  <c:v>社会保障和就业支出</c:v>
                </c:pt>
                <c:pt idx="2">
                  <c:v>卫生健康支出</c:v>
                </c:pt>
                <c:pt idx="3">
                  <c:v>住房保障支出</c:v>
                </c:pt>
              </c:strCache>
            </c:strRef>
          </c:cat>
          <c:val>
            <c:numRef>
              <c:f>[招聘网图表.xls]分产业制图!$C$3:$C$6</c:f>
              <c:numCache>
                <c:formatCode>0.00%</c:formatCode>
                <c:ptCount val="4"/>
                <c:pt idx="0">
                  <c:v>0.024</c:v>
                </c:pt>
                <c:pt idx="1">
                  <c:v>0.933</c:v>
                </c:pt>
                <c:pt idx="2">
                  <c:v>0.015</c:v>
                </c:pt>
                <c:pt idx="3">
                  <c:v>0.028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a:t>
            </a:r>
            <a:endParaRPr lang="zh-CN" altLang="en-US"/>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dLbl>
              <c:idx val="0"/>
              <c:layout>
                <c:manualLayout>
                  <c:x val="0.0957592769682829"/>
                  <c:y val="-0.160377696889717"/>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en-US" altLang="zh-CN"/>
                      <a:t>8</a:t>
                    </a:r>
                    <a:r>
                      <a:rPr lang="en-US"/>
                      <a:t>9.30%</a:t>
                    </a:r>
                    <a:endParaRPr lang="en-US"/>
                  </a:p>
                </c:rich>
              </c:tx>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237283560609657"/>
                  <c:y val="-0.01568439258631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[招聘网图表.xls]分产业制图!$B$3:$B$4</c:f>
              <c:strCache>
                <c:ptCount val="2"/>
                <c:pt idx="0">
                  <c:v>公务用车购置及运行维护费支出</c:v>
                </c:pt>
                <c:pt idx="1">
                  <c:v>公务接待费支出</c:v>
                </c:pt>
              </c:strCache>
            </c:strRef>
          </c:cat>
          <c:val>
            <c:numRef>
              <c:f>[招聘网图表.xls]分产业制图!$C$3:$C$4</c:f>
              <c:numCache>
                <c:formatCode>0.00%</c:formatCode>
                <c:ptCount val="2"/>
                <c:pt idx="0">
                  <c:v>0.693</c:v>
                </c:pt>
                <c:pt idx="1">
                  <c:v>0.107</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lgn="ct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76fcd01-0a1c-4d73-a885-b0d4e1f0ae2f}"/>
        <w:style w:val=""/>
        <w:category>
          <w:name w:val="常规"/>
          <w:gallery w:val="placeholder"/>
        </w:category>
        <w:types>
          <w:type w:val="bbPlcHdr"/>
        </w:types>
        <w:behaviors>
          <w:behavior w:val="content"/>
        </w:behaviors>
        <w:description w:val=""/>
        <w:guid w:val="{776fcd01-0a1c-4d73-a885-b0d4e1f0ae2f}"/>
      </w:docPartPr>
      <w:docPartBody>
        <w:p>
          <w:r>
            <w:rPr>
              <w:color w:val="808080"/>
            </w:rPr>
            <w:t>单击此处输入文字。</w:t>
          </w:r>
        </w:p>
      </w:docPartBody>
    </w:docPart>
    <w:docPart>
      <w:docPartPr>
        <w:name w:val="{985119bb-b9a6-402e-953b-731bfbe0f86b}"/>
        <w:style w:val=""/>
        <w:category>
          <w:name w:val="常规"/>
          <w:gallery w:val="placeholder"/>
        </w:category>
        <w:types>
          <w:type w:val="bbPlcHdr"/>
        </w:types>
        <w:behaviors>
          <w:behavior w:val="content"/>
        </w:behaviors>
        <w:description w:val=""/>
        <w:guid w:val="{985119bb-b9a6-402e-953b-731bfbe0f86b}"/>
      </w:docPartPr>
      <w:docPartBody>
        <w:p>
          <w:r>
            <w:rPr>
              <w:color w:val="808080"/>
            </w:rPr>
            <w:t>单击此处输入文字。</w:t>
          </w:r>
        </w:p>
      </w:docPartBody>
    </w:docPart>
    <w:docPart>
      <w:docPartPr>
        <w:name w:val="{bbfb9f44-9817-4a70-8785-01380b165654}"/>
        <w:style w:val=""/>
        <w:category>
          <w:name w:val="常规"/>
          <w:gallery w:val="placeholder"/>
        </w:category>
        <w:types>
          <w:type w:val="bbPlcHdr"/>
        </w:types>
        <w:behaviors>
          <w:behavior w:val="content"/>
        </w:behaviors>
        <w:description w:val=""/>
        <w:guid w:val="{bbfb9f44-9817-4a70-8785-01380b165654}"/>
      </w:docPartPr>
      <w:docPartBody>
        <w:p>
          <w:r>
            <w:rPr>
              <w:color w:val="808080"/>
            </w:rPr>
            <w:t>单击此处输入文字。</w:t>
          </w:r>
        </w:p>
      </w:docPartBody>
    </w:docPart>
    <w:docPart>
      <w:docPartPr>
        <w:name w:val="{0ff2029a-1cdf-4a5e-b547-ea3041435ad9}"/>
        <w:style w:val=""/>
        <w:category>
          <w:name w:val="常规"/>
          <w:gallery w:val="placeholder"/>
        </w:category>
        <w:types>
          <w:type w:val="bbPlcHdr"/>
        </w:types>
        <w:behaviors>
          <w:behavior w:val="content"/>
        </w:behaviors>
        <w:description w:val=""/>
        <w:guid w:val="{0ff2029a-1cdf-4a5e-b547-ea3041435ad9}"/>
      </w:docPartPr>
      <w:docPartBody>
        <w:p>
          <w:r>
            <w:rPr>
              <w:color w:val="808080"/>
            </w:rPr>
            <w:t>单击此处输入文字。</w:t>
          </w:r>
        </w:p>
      </w:docPartBody>
    </w:docPart>
    <w:docPart>
      <w:docPartPr>
        <w:name w:val="{e41c00b0-e949-4870-a87b-50b02e1e74d3}"/>
        <w:style w:val=""/>
        <w:category>
          <w:name w:val="常规"/>
          <w:gallery w:val="placeholder"/>
        </w:category>
        <w:types>
          <w:type w:val="bbPlcHdr"/>
        </w:types>
        <w:behaviors>
          <w:behavior w:val="content"/>
        </w:behaviors>
        <w:description w:val=""/>
        <w:guid w:val="{e41c00b0-e949-4870-a87b-50b02e1e74d3}"/>
      </w:docPartPr>
      <w:docPartBody>
        <w:p>
          <w:r>
            <w:rPr>
              <w:color w:val="808080"/>
            </w:rPr>
            <w:t>单击此处输入文字。</w:t>
          </w:r>
        </w:p>
      </w:docPartBody>
    </w:docPart>
    <w:docPart>
      <w:docPartPr>
        <w:name w:val="{b5f429be-d375-4870-877a-559a918b3867}"/>
        <w:style w:val=""/>
        <w:category>
          <w:name w:val="常规"/>
          <w:gallery w:val="placeholder"/>
        </w:category>
        <w:types>
          <w:type w:val="bbPlcHdr"/>
        </w:types>
        <w:behaviors>
          <w:behavior w:val="content"/>
        </w:behaviors>
        <w:description w:val=""/>
        <w:guid w:val="{b5f429be-d375-4870-877a-559a918b3867}"/>
      </w:docPartPr>
      <w:docPartBody>
        <w:p>
          <w:r>
            <w:rPr>
              <w:color w:val="808080"/>
            </w:rPr>
            <w:t>单击此处输入文字。</w:t>
          </w:r>
        </w:p>
      </w:docPartBody>
    </w:docPart>
    <w:docPart>
      <w:docPartPr>
        <w:name w:val="{35b82c8c-e268-40e3-96cd-530e091e0c1c}"/>
        <w:style w:val=""/>
        <w:category>
          <w:name w:val="常规"/>
          <w:gallery w:val="placeholder"/>
        </w:category>
        <w:types>
          <w:type w:val="bbPlcHdr"/>
        </w:types>
        <w:behaviors>
          <w:behavior w:val="content"/>
        </w:behaviors>
        <w:description w:val=""/>
        <w:guid w:val="{35b82c8c-e268-40e3-96cd-530e091e0c1c}"/>
      </w:docPartPr>
      <w:docPartBody>
        <w:p>
          <w:r>
            <w:rPr>
              <w:color w:val="808080"/>
            </w:rPr>
            <w:t>单击此处输入文字。</w:t>
          </w:r>
        </w:p>
      </w:docPartBody>
    </w:docPart>
    <w:docPart>
      <w:docPartPr>
        <w:name w:val="{94c8d95b-a7cd-4d14-a5fc-1c4a01477a3d}"/>
        <w:style w:val=""/>
        <w:category>
          <w:name w:val="常规"/>
          <w:gallery w:val="placeholder"/>
        </w:category>
        <w:types>
          <w:type w:val="bbPlcHdr"/>
        </w:types>
        <w:behaviors>
          <w:behavior w:val="content"/>
        </w:behaviors>
        <w:description w:val=""/>
        <w:guid w:val="{94c8d95b-a7cd-4d14-a5fc-1c4a01477a3d}"/>
      </w:docPartPr>
      <w:docPartBody>
        <w:p>
          <w:r>
            <w:rPr>
              <w:color w:val="808080"/>
            </w:rPr>
            <w:t>单击此处输入文字。</w:t>
          </w:r>
        </w:p>
      </w:docPartBody>
    </w:docPart>
    <w:docPart>
      <w:docPartPr>
        <w:name w:val="{5e652d0a-5f96-43df-9380-d135ba3adba4}"/>
        <w:style w:val=""/>
        <w:category>
          <w:name w:val="常规"/>
          <w:gallery w:val="placeholder"/>
        </w:category>
        <w:types>
          <w:type w:val="bbPlcHdr"/>
        </w:types>
        <w:behaviors>
          <w:behavior w:val="content"/>
        </w:behaviors>
        <w:description w:val=""/>
        <w:guid w:val="{5e652d0a-5f96-43df-9380-d135ba3adba4}"/>
      </w:docPartPr>
      <w:docPartBody>
        <w:p>
          <w:r>
            <w:rPr>
              <w:color w:val="808080"/>
            </w:rPr>
            <w:t>单击此处输入文字。</w:t>
          </w:r>
        </w:p>
      </w:docPartBody>
    </w:docPart>
    <w:docPart>
      <w:docPartPr>
        <w:name w:val="{72d797f2-9714-408b-8b3d-617658f6a7e6}"/>
        <w:style w:val=""/>
        <w:category>
          <w:name w:val="常规"/>
          <w:gallery w:val="placeholder"/>
        </w:category>
        <w:types>
          <w:type w:val="bbPlcHdr"/>
        </w:types>
        <w:behaviors>
          <w:behavior w:val="content"/>
        </w:behaviors>
        <w:description w:val=""/>
        <w:guid w:val="{72d797f2-9714-408b-8b3d-617658f6a7e6}"/>
      </w:docPartPr>
      <w:docPartBody>
        <w:p>
          <w:r>
            <w:rPr>
              <w:color w:val="808080"/>
            </w:rPr>
            <w:t>单击此处输入文字。</w:t>
          </w:r>
        </w:p>
      </w:docPartBody>
    </w:docPart>
    <w:docPart>
      <w:docPartPr>
        <w:name w:val="{ae162c8c-78c8-4da3-963c-9d45b0e71412}"/>
        <w:style w:val=""/>
        <w:category>
          <w:name w:val="常规"/>
          <w:gallery w:val="placeholder"/>
        </w:category>
        <w:types>
          <w:type w:val="bbPlcHdr"/>
        </w:types>
        <w:behaviors>
          <w:behavior w:val="content"/>
        </w:behaviors>
        <w:description w:val=""/>
        <w:guid w:val="{ae162c8c-78c8-4da3-963c-9d45b0e71412}"/>
      </w:docPartPr>
      <w:docPartBody>
        <w:p>
          <w:r>
            <w:rPr>
              <w:color w:val="808080"/>
            </w:rPr>
            <w:t>单击此处输入文字。</w:t>
          </w:r>
        </w:p>
      </w:docPartBody>
    </w:docPart>
    <w:docPart>
      <w:docPartPr>
        <w:name w:val="{b7f26413-1771-45a4-b941-7ce3f8d45ac6}"/>
        <w:style w:val=""/>
        <w:category>
          <w:name w:val="常规"/>
          <w:gallery w:val="placeholder"/>
        </w:category>
        <w:types>
          <w:type w:val="bbPlcHdr"/>
        </w:types>
        <w:behaviors>
          <w:behavior w:val="content"/>
        </w:behaviors>
        <w:description w:val=""/>
        <w:guid w:val="{b7f26413-1771-45a4-b941-7ce3f8d45ac6}"/>
      </w:docPartPr>
      <w:docPartBody>
        <w:p>
          <w:r>
            <w:rPr>
              <w:color w:val="808080"/>
            </w:rPr>
            <w:t>单击此处输入文字。</w:t>
          </w:r>
        </w:p>
      </w:docPartBody>
    </w:docPart>
    <w:docPart>
      <w:docPartPr>
        <w:name w:val="{ea80ec29-0202-478f-9438-751ed641eb3c}"/>
        <w:style w:val=""/>
        <w:category>
          <w:name w:val="常规"/>
          <w:gallery w:val="placeholder"/>
        </w:category>
        <w:types>
          <w:type w:val="bbPlcHdr"/>
        </w:types>
        <w:behaviors>
          <w:behavior w:val="content"/>
        </w:behaviors>
        <w:description w:val=""/>
        <w:guid w:val="{ea80ec29-0202-478f-9438-751ed641eb3c}"/>
      </w:docPartPr>
      <w:docPartBody>
        <w:p>
          <w:r>
            <w:rPr>
              <w:color w:val="808080"/>
            </w:rPr>
            <w:t>单击此处输入文字。</w:t>
          </w:r>
        </w:p>
      </w:docPartBody>
    </w:docPart>
    <w:docPart>
      <w:docPartPr>
        <w:name w:val="{5c060ec9-98e6-486f-ba13-c14bad32d70f}"/>
        <w:style w:val=""/>
        <w:category>
          <w:name w:val="常规"/>
          <w:gallery w:val="placeholder"/>
        </w:category>
        <w:types>
          <w:type w:val="bbPlcHdr"/>
        </w:types>
        <w:behaviors>
          <w:behavior w:val="content"/>
        </w:behaviors>
        <w:description w:val=""/>
        <w:guid w:val="{5c060ec9-98e6-486f-ba13-c14bad32d70f}"/>
      </w:docPartPr>
      <w:docPartBody>
        <w:p>
          <w:r>
            <w:rPr>
              <w:color w:val="808080"/>
            </w:rPr>
            <w:t>单击此处输入文字。</w:t>
          </w:r>
        </w:p>
      </w:docPartBody>
    </w:docPart>
    <w:docPart>
      <w:docPartPr>
        <w:name w:val="{589ae1ef-61d7-4ca0-9a49-891ea8b738ce}"/>
        <w:style w:val=""/>
        <w:category>
          <w:name w:val="常规"/>
          <w:gallery w:val="placeholder"/>
        </w:category>
        <w:types>
          <w:type w:val="bbPlcHdr"/>
        </w:types>
        <w:behaviors>
          <w:behavior w:val="content"/>
        </w:behaviors>
        <w:description w:val=""/>
        <w:guid w:val="{589ae1ef-61d7-4ca0-9a49-891ea8b738ce}"/>
      </w:docPartPr>
      <w:docPartBody>
        <w:p>
          <w:r>
            <w:rPr>
              <w:color w:val="808080"/>
            </w:rPr>
            <w:t>单击此处输入文字。</w:t>
          </w:r>
        </w:p>
      </w:docPartBody>
    </w:docPart>
    <w:docPart>
      <w:docPartPr>
        <w:name w:val="{bc704a5c-f23a-4789-888d-2fc032822e4b}"/>
        <w:style w:val=""/>
        <w:category>
          <w:name w:val="常规"/>
          <w:gallery w:val="placeholder"/>
        </w:category>
        <w:types>
          <w:type w:val="bbPlcHdr"/>
        </w:types>
        <w:behaviors>
          <w:behavior w:val="content"/>
        </w:behaviors>
        <w:description w:val=""/>
        <w:guid w:val="{bc704a5c-f23a-4789-888d-2fc032822e4b}"/>
      </w:docPartPr>
      <w:docPartBody>
        <w:p>
          <w:r>
            <w:rPr>
              <w:color w:val="808080"/>
            </w:rPr>
            <w:t>单击此处输入文字。</w:t>
          </w:r>
        </w:p>
      </w:docPartBody>
    </w:docPart>
    <w:docPart>
      <w:docPartPr>
        <w:name w:val="{b0b4635e-cf93-4b0d-80d4-cffd3045ebab}"/>
        <w:style w:val=""/>
        <w:category>
          <w:name w:val="常规"/>
          <w:gallery w:val="placeholder"/>
        </w:category>
        <w:types>
          <w:type w:val="bbPlcHdr"/>
        </w:types>
        <w:behaviors>
          <w:behavior w:val="content"/>
        </w:behaviors>
        <w:description w:val=""/>
        <w:guid w:val="{b0b4635e-cf93-4b0d-80d4-cffd3045ebab}"/>
      </w:docPartPr>
      <w:docPartBody>
        <w:p>
          <w:r>
            <w:rPr>
              <w:color w:val="808080"/>
            </w:rPr>
            <w:t>单击此处输入文字。</w:t>
          </w:r>
        </w:p>
      </w:docPartBody>
    </w:docPart>
    <w:docPart>
      <w:docPartPr>
        <w:name w:val="{67910180-2058-4d8b-bc44-b9a8f9b23ae5}"/>
        <w:style w:val=""/>
        <w:category>
          <w:name w:val="常规"/>
          <w:gallery w:val="placeholder"/>
        </w:category>
        <w:types>
          <w:type w:val="bbPlcHdr"/>
        </w:types>
        <w:behaviors>
          <w:behavior w:val="content"/>
        </w:behaviors>
        <w:description w:val=""/>
        <w:guid w:val="{67910180-2058-4d8b-bc44-b9a8f9b23ae5}"/>
      </w:docPartPr>
      <w:docPartBody>
        <w:p>
          <w:r>
            <w:rPr>
              <w:color w:val="808080"/>
            </w:rPr>
            <w:t>单击此处输入文字。</w:t>
          </w:r>
        </w:p>
      </w:docPartBody>
    </w:docPart>
    <w:docPart>
      <w:docPartPr>
        <w:name w:val="{fadcb059-c1e6-4af8-95ab-df7cc323d44e}"/>
        <w:style w:val=""/>
        <w:category>
          <w:name w:val="常规"/>
          <w:gallery w:val="placeholder"/>
        </w:category>
        <w:types>
          <w:type w:val="bbPlcHdr"/>
        </w:types>
        <w:behaviors>
          <w:behavior w:val="content"/>
        </w:behaviors>
        <w:description w:val=""/>
        <w:guid w:val="{fadcb059-c1e6-4af8-95ab-df7cc323d44e}"/>
      </w:docPartPr>
      <w:docPartBody>
        <w:p>
          <w:r>
            <w:rPr>
              <w:color w:val="808080"/>
            </w:rPr>
            <w:t>单击此处输入文字。</w:t>
          </w:r>
        </w:p>
      </w:docPartBody>
    </w:docPart>
    <w:docPart>
      <w:docPartPr>
        <w:name w:val="{7c9fcce7-b8c0-419f-9371-c768e95cfa87}"/>
        <w:style w:val=""/>
        <w:category>
          <w:name w:val="常规"/>
          <w:gallery w:val="placeholder"/>
        </w:category>
        <w:types>
          <w:type w:val="bbPlcHdr"/>
        </w:types>
        <w:behaviors>
          <w:behavior w:val="content"/>
        </w:behaviors>
        <w:description w:val=""/>
        <w:guid w:val="{7c9fcce7-b8c0-419f-9371-c768e95cfa87}"/>
      </w:docPartPr>
      <w:docPartBody>
        <w:p>
          <w:r>
            <w:rPr>
              <w:color w:val="808080"/>
            </w:rPr>
            <w:t>单击此处输入文字。</w:t>
          </w:r>
        </w:p>
      </w:docPartBody>
    </w:docPart>
    <w:docPart>
      <w:docPartPr>
        <w:name w:val="{d2c1e641-c6fa-4c77-8a08-5853de30e80f}"/>
        <w:style w:val=""/>
        <w:category>
          <w:name w:val="常规"/>
          <w:gallery w:val="placeholder"/>
        </w:category>
        <w:types>
          <w:type w:val="bbPlcHdr"/>
        </w:types>
        <w:behaviors>
          <w:behavior w:val="content"/>
        </w:behaviors>
        <w:description w:val=""/>
        <w:guid w:val="{d2c1e641-c6fa-4c77-8a08-5853de30e80f}"/>
      </w:docPartPr>
      <w:docPartBody>
        <w:p>
          <w:r>
            <w:rPr>
              <w:color w:val="808080"/>
            </w:rPr>
            <w:t>单击此处输入文字。</w:t>
          </w:r>
        </w:p>
      </w:docPartBody>
    </w:docPart>
    <w:docPart>
      <w:docPartPr>
        <w:name w:val="{6ff3573d-7ed1-4f3e-b53a-c39e4ceb4162}"/>
        <w:style w:val=""/>
        <w:category>
          <w:name w:val="常规"/>
          <w:gallery w:val="placeholder"/>
        </w:category>
        <w:types>
          <w:type w:val="bbPlcHdr"/>
        </w:types>
        <w:behaviors>
          <w:behavior w:val="content"/>
        </w:behaviors>
        <w:description w:val=""/>
        <w:guid w:val="{6ff3573d-7ed1-4f3e-b53a-c39e4ceb4162}"/>
      </w:docPartPr>
      <w:docPartBody>
        <w:p>
          <w:r>
            <w:rPr>
              <w:color w:val="808080"/>
            </w:rPr>
            <w:t>单击此处输入文字。</w:t>
          </w:r>
        </w:p>
      </w:docPartBody>
    </w:docPart>
    <w:docPart>
      <w:docPartPr>
        <w:name w:val="{7b6f576c-f2b2-4a0d-82d3-7816c28c1d70}"/>
        <w:style w:val=""/>
        <w:category>
          <w:name w:val="常规"/>
          <w:gallery w:val="placeholder"/>
        </w:category>
        <w:types>
          <w:type w:val="bbPlcHdr"/>
        </w:types>
        <w:behaviors>
          <w:behavior w:val="content"/>
        </w:behaviors>
        <w:description w:val=""/>
        <w:guid w:val="{7b6f576c-f2b2-4a0d-82d3-7816c28c1d70}"/>
      </w:docPartPr>
      <w:docPartBody>
        <w:p>
          <w:r>
            <w:rPr>
              <w:color w:val="808080"/>
            </w:rPr>
            <w:t>单击此处输入文字。</w:t>
          </w:r>
        </w:p>
      </w:docPartBody>
    </w:docPart>
    <w:docPart>
      <w:docPartPr>
        <w:name w:val="{555f24e5-9447-45a6-82f7-3b087d1e5cae}"/>
        <w:style w:val=""/>
        <w:category>
          <w:name w:val="常规"/>
          <w:gallery w:val="placeholder"/>
        </w:category>
        <w:types>
          <w:type w:val="bbPlcHdr"/>
        </w:types>
        <w:behaviors>
          <w:behavior w:val="content"/>
        </w:behaviors>
        <w:description w:val=""/>
        <w:guid w:val="{555f24e5-9447-45a6-82f7-3b087d1e5cae}"/>
      </w:docPartPr>
      <w:docPartBody>
        <w:p>
          <w:r>
            <w:rPr>
              <w:color w:val="808080"/>
            </w:rPr>
            <w:t>单击此处输入文字。</w:t>
          </w:r>
        </w:p>
      </w:docPartBody>
    </w:docPart>
    <w:docPart>
      <w:docPartPr>
        <w:name w:val="{c44a609d-8b79-4a56-9165-aececc2cf62d}"/>
        <w:style w:val=""/>
        <w:category>
          <w:name w:val="常规"/>
          <w:gallery w:val="placeholder"/>
        </w:category>
        <w:types>
          <w:type w:val="bbPlcHdr"/>
        </w:types>
        <w:behaviors>
          <w:behavior w:val="content"/>
        </w:behaviors>
        <w:description w:val=""/>
        <w:guid w:val="{c44a609d-8b79-4a56-9165-aececc2cf62d}"/>
      </w:docPartPr>
      <w:docPartBody>
        <w:p>
          <w:r>
            <w:rPr>
              <w:color w:val="808080"/>
            </w:rPr>
            <w:t>单击此处输入文字。</w:t>
          </w:r>
        </w:p>
      </w:docPartBody>
    </w:docPart>
    <w:docPart>
      <w:docPartPr>
        <w:name w:val="{e6d03eab-7434-491d-ba2f-35c1c1fa01af}"/>
        <w:style w:val=""/>
        <w:category>
          <w:name w:val="常规"/>
          <w:gallery w:val="placeholder"/>
        </w:category>
        <w:types>
          <w:type w:val="bbPlcHdr"/>
        </w:types>
        <w:behaviors>
          <w:behavior w:val="content"/>
        </w:behaviors>
        <w:description w:val=""/>
        <w:guid w:val="{e6d03eab-7434-491d-ba2f-35c1c1fa01af}"/>
      </w:docPartPr>
      <w:docPartBody>
        <w:p>
          <w:r>
            <w:rPr>
              <w:color w:val="808080"/>
            </w:rPr>
            <w:t>单击此处输入文字。</w:t>
          </w:r>
        </w:p>
      </w:docPartBody>
    </w:docPart>
    <w:docPart>
      <w:docPartPr>
        <w:name w:val="{e6a2f8c2-8147-45b3-8d19-81b04a068e10}"/>
        <w:style w:val=""/>
        <w:category>
          <w:name w:val="常规"/>
          <w:gallery w:val="placeholder"/>
        </w:category>
        <w:types>
          <w:type w:val="bbPlcHdr"/>
        </w:types>
        <w:behaviors>
          <w:behavior w:val="content"/>
        </w:behaviors>
        <w:description w:val=""/>
        <w:guid w:val="{e6a2f8c2-8147-45b3-8d19-81b04a068e10}"/>
      </w:docPartPr>
      <w:docPartBody>
        <w:p>
          <w:r>
            <w:rPr>
              <w:color w:val="808080"/>
            </w:rPr>
            <w:t>单击此处输入文字。</w:t>
          </w:r>
        </w:p>
      </w:docPartBody>
    </w:docPart>
    <w:docPart>
      <w:docPartPr>
        <w:name w:val="{04ef7f36-c72b-4afc-9d28-cdcc64282eae}"/>
        <w:style w:val=""/>
        <w:category>
          <w:name w:val="常规"/>
          <w:gallery w:val="placeholder"/>
        </w:category>
        <w:types>
          <w:type w:val="bbPlcHdr"/>
        </w:types>
        <w:behaviors>
          <w:behavior w:val="content"/>
        </w:behaviors>
        <w:description w:val=""/>
        <w:guid w:val="{04ef7f36-c72b-4afc-9d28-cdcc64282eae}"/>
      </w:docPartPr>
      <w:docPartBody>
        <w:p>
          <w:r>
            <w:rPr>
              <w:color w:val="808080"/>
            </w:rPr>
            <w:t>单击此处输入文字。</w:t>
          </w:r>
        </w:p>
      </w:docPartBody>
    </w:docPart>
    <w:docPart>
      <w:docPartPr>
        <w:name w:val="{6175ba31-f22c-4967-a4bc-d010b3bc1352}"/>
        <w:style w:val=""/>
        <w:category>
          <w:name w:val="常规"/>
          <w:gallery w:val="placeholder"/>
        </w:category>
        <w:types>
          <w:type w:val="bbPlcHdr"/>
        </w:types>
        <w:behaviors>
          <w:behavior w:val="content"/>
        </w:behaviors>
        <w:description w:val=""/>
        <w:guid w:val="{6175ba31-f22c-4967-a4bc-d010b3bc1352}"/>
      </w:docPartPr>
      <w:docPartBody>
        <w:p>
          <w:r>
            <w:rPr>
              <w:color w:val="808080"/>
            </w:rPr>
            <w:t>单击此处输入文字。</w:t>
          </w:r>
        </w:p>
      </w:docPartBody>
    </w:docPart>
    <w:docPart>
      <w:docPartPr>
        <w:name w:val="{9514618c-4004-4337-b96d-1530e8d168ef}"/>
        <w:style w:val=""/>
        <w:category>
          <w:name w:val="常规"/>
          <w:gallery w:val="placeholder"/>
        </w:category>
        <w:types>
          <w:type w:val="bbPlcHdr"/>
        </w:types>
        <w:behaviors>
          <w:behavior w:val="content"/>
        </w:behaviors>
        <w:description w:val=""/>
        <w:guid w:val="{9514618c-4004-4337-b96d-1530e8d168ef}"/>
      </w:docPartPr>
      <w:docPartBody>
        <w:p>
          <w:r>
            <w:rPr>
              <w:color w:val="808080"/>
            </w:rPr>
            <w:t>单击此处输入文字。</w:t>
          </w:r>
        </w:p>
      </w:docPartBody>
    </w:docPart>
    <w:docPart>
      <w:docPartPr>
        <w:name w:val="{e23e8d02-b7ee-449e-a89e-d1b4a990a320}"/>
        <w:style w:val=""/>
        <w:category>
          <w:name w:val="常规"/>
          <w:gallery w:val="placeholder"/>
        </w:category>
        <w:types>
          <w:type w:val="bbPlcHdr"/>
        </w:types>
        <w:behaviors>
          <w:behavior w:val="content"/>
        </w:behaviors>
        <w:description w:val=""/>
        <w:guid w:val="{e23e8d02-b7ee-449e-a89e-d1b4a990a32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1467</Words>
  <Characters>8365</Characters>
  <Lines>69</Lines>
  <Paragraphs>19</Paragraphs>
  <TotalTime>0</TotalTime>
  <ScaleCrop>false</ScaleCrop>
  <LinksUpToDate>false</LinksUpToDate>
  <CharactersWithSpaces>9813</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2020-08-06T09:49:00Z</dcterms:created>
  <dc:creator>曹颖</dc:creator>
  <cp:lastModifiedBy>user</cp:lastModifiedBy>
  <cp:lastPrinted>2022-08-07T10:23:00Z</cp:lastPrinted>
  <dcterms:modified xsi:type="dcterms:W3CDTF">2022-11-14T11:20:20Z</dcterms:modified>
  <dc:title>四川省***</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44639939573A422F9B49091BADD3583E</vt:lpwstr>
  </property>
</Properties>
</file>