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eastAsia="方正小标宋简体"/>
          <w:sz w:val="72"/>
          <w:szCs w:val="72"/>
        </w:rPr>
      </w:pPr>
      <w:bookmarkStart w:id="0" w:name="_Toc15306267"/>
    </w:p>
    <w:p>
      <w:pPr>
        <w:spacing w:line="600" w:lineRule="exact"/>
        <w:jc w:val="center"/>
        <w:outlineLvl w:val="0"/>
        <w:rPr>
          <w:rFonts w:eastAsia="方正小标宋简体"/>
          <w:sz w:val="72"/>
          <w:szCs w:val="72"/>
        </w:rPr>
      </w:pPr>
    </w:p>
    <w:p>
      <w:pPr>
        <w:spacing w:line="600" w:lineRule="exact"/>
        <w:jc w:val="center"/>
        <w:outlineLvl w:val="0"/>
        <w:rPr>
          <w:rFonts w:eastAsia="方正小标宋简体"/>
          <w:sz w:val="72"/>
          <w:szCs w:val="72"/>
        </w:rPr>
      </w:pPr>
    </w:p>
    <w:p>
      <w:pPr>
        <w:spacing w:line="600" w:lineRule="exact"/>
        <w:jc w:val="center"/>
        <w:outlineLvl w:val="0"/>
        <w:rPr>
          <w:rFonts w:eastAsia="方正小标宋简体"/>
          <w:sz w:val="72"/>
          <w:szCs w:val="72"/>
        </w:rPr>
      </w:pPr>
    </w:p>
    <w:p>
      <w:pPr>
        <w:adjustRightInd w:val="0"/>
        <w:snapToGrid w:val="0"/>
        <w:spacing w:line="360" w:lineRule="auto"/>
        <w:jc w:val="center"/>
        <w:outlineLvl w:val="0"/>
        <w:rPr>
          <w:rFonts w:eastAsia="方正小标宋_GBK"/>
          <w:sz w:val="72"/>
          <w:szCs w:val="72"/>
        </w:rPr>
      </w:pPr>
      <w:bookmarkStart w:id="1" w:name="_Toc15377425"/>
      <w:bookmarkStart w:id="2" w:name="_Toc15396597"/>
      <w:bookmarkStart w:id="3" w:name="_Toc15396475"/>
      <w:bookmarkStart w:id="4" w:name="_Toc15377193"/>
      <w:bookmarkStart w:id="5" w:name="_Toc15378441"/>
      <w:r>
        <w:rPr>
          <w:rFonts w:eastAsia="方正小标宋_GBK"/>
          <w:sz w:val="72"/>
          <w:szCs w:val="72"/>
        </w:rPr>
        <w:t>2021年度</w:t>
      </w:r>
      <w:bookmarkEnd w:id="1"/>
      <w:bookmarkEnd w:id="2"/>
      <w:bookmarkEnd w:id="3"/>
      <w:bookmarkEnd w:id="4"/>
      <w:bookmarkEnd w:id="5"/>
    </w:p>
    <w:p>
      <w:pPr>
        <w:adjustRightInd w:val="0"/>
        <w:snapToGrid w:val="0"/>
        <w:spacing w:line="360" w:lineRule="auto"/>
        <w:jc w:val="center"/>
        <w:outlineLvl w:val="0"/>
        <w:rPr>
          <w:rFonts w:eastAsia="方正小标宋_GBK"/>
          <w:sz w:val="72"/>
          <w:szCs w:val="72"/>
        </w:rPr>
      </w:pPr>
      <w:bookmarkStart w:id="6" w:name="_Toc15377194"/>
      <w:bookmarkStart w:id="7" w:name="_Toc15377426"/>
      <w:bookmarkStart w:id="8" w:name="_Toc15396476"/>
      <w:bookmarkStart w:id="9" w:name="_Toc15378442"/>
      <w:bookmarkStart w:id="10" w:name="_Toc15396598"/>
      <w:r>
        <w:rPr>
          <w:rFonts w:eastAsia="方正小标宋_GBK"/>
          <w:sz w:val="72"/>
          <w:szCs w:val="72"/>
        </w:rPr>
        <w:t>四川省</w:t>
      </w:r>
      <w:bookmarkEnd w:id="0"/>
      <w:bookmarkStart w:id="11" w:name="_Toc15306268"/>
      <w:r>
        <w:rPr>
          <w:rFonts w:eastAsia="方正小标宋_GBK"/>
          <w:sz w:val="72"/>
          <w:szCs w:val="72"/>
        </w:rPr>
        <w:t>人事考试中心</w:t>
      </w:r>
    </w:p>
    <w:p>
      <w:pPr>
        <w:adjustRightInd w:val="0"/>
        <w:snapToGrid w:val="0"/>
        <w:spacing w:line="360" w:lineRule="auto"/>
        <w:jc w:val="center"/>
        <w:outlineLvl w:val="0"/>
        <w:rPr>
          <w:rFonts w:eastAsia="方正小标宋_GBK"/>
          <w:sz w:val="72"/>
          <w:szCs w:val="72"/>
        </w:rPr>
      </w:pPr>
      <w:r>
        <w:rPr>
          <w:rFonts w:eastAsia="方正小标宋_GBK"/>
          <w:sz w:val="72"/>
          <w:szCs w:val="72"/>
        </w:rPr>
        <w:t>单位决算</w:t>
      </w:r>
      <w:bookmarkEnd w:id="6"/>
      <w:bookmarkEnd w:id="7"/>
      <w:bookmarkEnd w:id="8"/>
      <w:bookmarkEnd w:id="9"/>
      <w:bookmarkEnd w:id="10"/>
      <w:bookmarkEnd w:id="11"/>
    </w:p>
    <w:p>
      <w:pPr>
        <w:widowControl/>
        <w:jc w:val="center"/>
        <w:rPr>
          <w:rFonts w:eastAsia="黑体"/>
          <w:sz w:val="48"/>
          <w:szCs w:val="48"/>
        </w:rPr>
      </w:pPr>
      <w:r>
        <w:rPr>
          <w:rFonts w:eastAsia="方正小标宋简体"/>
          <w:sz w:val="36"/>
          <w:szCs w:val="36"/>
        </w:rPr>
        <w:br w:type="page"/>
      </w:r>
    </w:p>
    <w:p/>
    <w:sdt>
      <w:sdtPr>
        <w:rPr>
          <w:rFonts w:ascii="Times New Roman" w:hAnsi="Times New Roman" w:eastAsia="宋体" w:cs="Times New Roman"/>
          <w:b w:val="0"/>
          <w:bCs w:val="0"/>
          <w:color w:val="auto"/>
          <w:kern w:val="2"/>
          <w:sz w:val="21"/>
          <w:szCs w:val="24"/>
          <w:lang w:val="zh-CN"/>
        </w:rPr>
        <w:id w:val="8552328"/>
        <w:docPartObj>
          <w:docPartGallery w:val="Table of Contents"/>
          <w:docPartUnique/>
        </w:docPartObj>
      </w:sdtPr>
      <w:sdtEndPr>
        <w:rPr>
          <w:rFonts w:ascii="Times New Roman" w:hAnsi="Times New Roman" w:eastAsia="宋体" w:cs="Times New Roman"/>
          <w:b w:val="0"/>
          <w:bCs w:val="0"/>
          <w:color w:val="auto"/>
          <w:kern w:val="2"/>
          <w:sz w:val="21"/>
          <w:szCs w:val="24"/>
          <w:lang w:val="zh-CN"/>
        </w:rPr>
      </w:sdtEndPr>
      <w:sdtContent>
        <w:p>
          <w:pPr>
            <w:pStyle w:val="30"/>
            <w:jc w:val="center"/>
            <w:rPr>
              <w:rFonts w:ascii="Times New Roman" w:hAnsi="Times New Roman" w:eastAsia="黑体" w:cs="Times New Roman"/>
              <w:sz w:val="48"/>
              <w:szCs w:val="48"/>
            </w:rPr>
          </w:pPr>
          <w:r>
            <w:rPr>
              <w:rFonts w:ascii="Times New Roman" w:hAnsi="Times New Roman" w:eastAsia="黑体" w:cs="Times New Roman"/>
              <w:color w:val="auto"/>
              <w:sz w:val="48"/>
              <w:szCs w:val="48"/>
            </w:rPr>
            <w:t>目  录</w:t>
          </w:r>
        </w:p>
        <w:p>
          <w:pPr>
            <w:pStyle w:val="10"/>
            <w:rPr>
              <w:rFonts w:ascii="Times New Roman" w:hAnsi="Times New Roman" w:eastAsia="仿宋_GB2312"/>
            </w:rPr>
          </w:pPr>
          <w:r>
            <w:rPr>
              <w:rFonts w:ascii="Times New Roman" w:hAnsi="Times New Roman" w:eastAsia="仿宋_GB2312"/>
            </w:rPr>
            <w:t>公开时间：2022年9月</w:t>
          </w:r>
          <w:r>
            <w:rPr>
              <w:rFonts w:hint="eastAsia" w:ascii="Times New Roman" w:hAnsi="Times New Roman" w:eastAsia="仿宋_GB2312"/>
              <w:lang w:val="en-US" w:eastAsia="zh-CN"/>
            </w:rPr>
            <w:t>16</w:t>
          </w:r>
          <w:r>
            <w:rPr>
              <w:rFonts w:ascii="Times New Roman" w:hAnsi="Times New Roman" w:eastAsia="仿宋_GB2312"/>
            </w:rPr>
            <w:t>日</w:t>
          </w:r>
        </w:p>
        <w:p/>
        <w:p>
          <w:pPr>
            <w:pStyle w:val="10"/>
            <w:spacing w:line="600" w:lineRule="exact"/>
            <w:rPr>
              <w:rFonts w:ascii="Times New Roman" w:hAnsi="Times New Roman"/>
            </w:rPr>
          </w:pPr>
          <w:r>
            <w:rPr>
              <w:rFonts w:ascii="Times New Roman" w:hAnsi="Times New Roman" w:eastAsia="黑体"/>
              <w:sz w:val="30"/>
              <w:szCs w:val="30"/>
            </w:rPr>
            <w:t xml:space="preserve">第一部分 单位概况 </w:t>
          </w:r>
          <w:r>
            <w:rPr>
              <w:rFonts w:ascii="Times New Roman" w:hAnsi="Times New Roman"/>
            </w:rPr>
            <w:ptab w:relativeTo="margin" w:alignment="right" w:leader="dot"/>
          </w:r>
          <w:r>
            <w:rPr>
              <w:rFonts w:ascii="Times New Roman" w:hAnsi="Times New Roman"/>
              <w:b/>
              <w:lang w:val="zh-CN"/>
            </w:rPr>
            <w:t>1</w:t>
          </w:r>
        </w:p>
        <w:p>
          <w:pPr>
            <w:pStyle w:val="11"/>
            <w:spacing w:line="600" w:lineRule="exact"/>
            <w:rPr>
              <w:lang w:val="zh-CN"/>
            </w:rPr>
          </w:pPr>
          <w:r>
            <w:rPr>
              <w:rFonts w:eastAsia="仿宋_GB2312"/>
              <w:sz w:val="30"/>
              <w:szCs w:val="30"/>
            </w:rPr>
            <w:t>一、职能简介</w:t>
          </w:r>
          <w:r>
            <w:ptab w:relativeTo="margin" w:alignment="right" w:leader="dot"/>
          </w:r>
          <w:r>
            <w:rPr>
              <w:lang w:val="zh-CN"/>
            </w:rPr>
            <w:t>1</w:t>
          </w:r>
        </w:p>
        <w:p>
          <w:pPr>
            <w:pStyle w:val="11"/>
            <w:spacing w:line="600" w:lineRule="exact"/>
            <w:rPr>
              <w:lang w:val="zh-CN"/>
            </w:rPr>
          </w:pPr>
          <w:r>
            <w:rPr>
              <w:rFonts w:eastAsia="仿宋_GB2312"/>
              <w:sz w:val="30"/>
              <w:szCs w:val="30"/>
            </w:rPr>
            <w:t>二、2021年重点工作完成情况</w:t>
          </w:r>
          <w:r>
            <w:ptab w:relativeTo="margin" w:alignment="right" w:leader="dot"/>
          </w:r>
          <w:r>
            <w:rPr>
              <w:lang w:val="zh-CN"/>
            </w:rPr>
            <w:t>1</w:t>
          </w:r>
        </w:p>
        <w:p>
          <w:pPr>
            <w:pStyle w:val="11"/>
            <w:spacing w:line="600" w:lineRule="exact"/>
            <w:rPr>
              <w:rFonts w:hint="eastAsia" w:eastAsia="宋体"/>
              <w:lang w:val="en-US" w:eastAsia="zh-CN"/>
            </w:rPr>
          </w:pPr>
          <w:r>
            <w:rPr>
              <w:rFonts w:hint="eastAsia" w:eastAsia="仿宋_GB2312"/>
              <w:sz w:val="30"/>
              <w:szCs w:val="30"/>
              <w:lang w:eastAsia="zh-CN"/>
            </w:rPr>
            <w:t>三</w:t>
          </w:r>
          <w:r>
            <w:rPr>
              <w:rFonts w:eastAsia="仿宋_GB2312"/>
              <w:sz w:val="30"/>
              <w:szCs w:val="30"/>
            </w:rPr>
            <w:t>、</w:t>
          </w:r>
          <w:r>
            <w:rPr>
              <w:rFonts w:hint="eastAsia" w:eastAsia="仿宋_GB2312"/>
              <w:sz w:val="30"/>
              <w:szCs w:val="30"/>
            </w:rPr>
            <w:t>机构设置情况</w:t>
          </w:r>
          <w:r>
            <w:ptab w:relativeTo="margin" w:alignment="right" w:leader="dot"/>
          </w:r>
          <w:r>
            <w:rPr>
              <w:rFonts w:hint="eastAsia"/>
              <w:lang w:val="en-US" w:eastAsia="zh-CN"/>
            </w:rPr>
            <w:t>3</w:t>
          </w:r>
        </w:p>
        <w:p>
          <w:pPr>
            <w:pStyle w:val="10"/>
            <w:spacing w:line="600" w:lineRule="exact"/>
            <w:rPr>
              <w:rFonts w:ascii="Times New Roman" w:hAnsi="Times New Roman"/>
            </w:rPr>
          </w:pPr>
          <w:r>
            <w:rPr>
              <w:rFonts w:ascii="Times New Roman" w:hAnsi="Times New Roman" w:eastAsia="黑体"/>
              <w:sz w:val="30"/>
              <w:szCs w:val="30"/>
            </w:rPr>
            <w:t xml:space="preserve">第二部分 2021年度单位决算情况说明 </w:t>
          </w:r>
          <w:r>
            <w:rPr>
              <w:rFonts w:ascii="Times New Roman" w:hAnsi="Times New Roman"/>
            </w:rPr>
            <w:ptab w:relativeTo="margin" w:alignment="right" w:leader="dot"/>
          </w:r>
          <w:r>
            <w:rPr>
              <w:rFonts w:ascii="Times New Roman" w:hAnsi="Times New Roman"/>
              <w:b/>
              <w:lang w:val="zh-CN"/>
            </w:rPr>
            <w:t>4</w:t>
          </w:r>
        </w:p>
        <w:p>
          <w:pPr>
            <w:pStyle w:val="11"/>
            <w:spacing w:line="600" w:lineRule="exact"/>
            <w:rPr>
              <w:lang w:val="zh-CN"/>
            </w:rPr>
          </w:pPr>
          <w:r>
            <w:rPr>
              <w:rFonts w:eastAsia="仿宋_GB2312"/>
              <w:sz w:val="30"/>
              <w:szCs w:val="30"/>
            </w:rPr>
            <w:t xml:space="preserve">一、收入支出决算总体情况说明 </w:t>
          </w:r>
          <w:r>
            <w:ptab w:relativeTo="margin" w:alignment="right" w:leader="dot"/>
          </w:r>
          <w:r>
            <w:rPr>
              <w:lang w:val="zh-CN"/>
            </w:rPr>
            <w:t>4</w:t>
          </w:r>
        </w:p>
        <w:p>
          <w:pPr>
            <w:pStyle w:val="11"/>
            <w:spacing w:line="600" w:lineRule="exact"/>
          </w:pPr>
          <w:r>
            <w:rPr>
              <w:rFonts w:eastAsia="仿宋_GB2312"/>
              <w:sz w:val="30"/>
              <w:szCs w:val="30"/>
            </w:rPr>
            <w:t xml:space="preserve">二、收入决算情况说明 </w:t>
          </w:r>
          <w:r>
            <w:ptab w:relativeTo="margin" w:alignment="right" w:leader="dot"/>
          </w:r>
          <w:r>
            <w:rPr>
              <w:lang w:val="zh-CN"/>
            </w:rPr>
            <w:t>4</w:t>
          </w:r>
        </w:p>
        <w:p>
          <w:pPr>
            <w:pStyle w:val="11"/>
            <w:adjustRightInd w:val="0"/>
            <w:snapToGrid w:val="0"/>
            <w:spacing w:line="600" w:lineRule="exact"/>
            <w:jc w:val="left"/>
            <w:rPr>
              <w:rFonts w:eastAsia="仿宋_GB2312"/>
              <w:sz w:val="30"/>
              <w:szCs w:val="30"/>
            </w:rPr>
          </w:pPr>
          <w:r>
            <w:rPr>
              <w:rFonts w:eastAsia="仿宋_GB2312"/>
              <w:sz w:val="30"/>
              <w:szCs w:val="30"/>
            </w:rPr>
            <w:t>三、支出决算情况说明</w:t>
          </w:r>
          <w:r>
            <w:ptab w:relativeTo="margin" w:alignment="right" w:leader="dot"/>
          </w:r>
          <w:r>
            <w:t>5</w:t>
          </w:r>
        </w:p>
        <w:p>
          <w:pPr>
            <w:pStyle w:val="11"/>
            <w:adjustRightInd w:val="0"/>
            <w:snapToGrid w:val="0"/>
            <w:spacing w:line="600" w:lineRule="exact"/>
            <w:jc w:val="left"/>
            <w:rPr>
              <w:rFonts w:eastAsia="仿宋_GB2312"/>
              <w:sz w:val="30"/>
              <w:szCs w:val="30"/>
            </w:rPr>
          </w:pPr>
          <w:r>
            <w:rPr>
              <w:rFonts w:eastAsia="仿宋_GB2312"/>
              <w:sz w:val="30"/>
              <w:szCs w:val="30"/>
            </w:rPr>
            <w:t>四、财政拨款收入支出决算总体情况说明</w:t>
          </w:r>
          <w:r>
            <w:ptab w:relativeTo="margin" w:alignment="right" w:leader="dot"/>
          </w:r>
          <w:r>
            <w:t>5</w:t>
          </w:r>
        </w:p>
        <w:p>
          <w:pPr>
            <w:pStyle w:val="11"/>
            <w:adjustRightInd w:val="0"/>
            <w:snapToGrid w:val="0"/>
            <w:spacing w:line="600" w:lineRule="exact"/>
            <w:jc w:val="left"/>
            <w:rPr>
              <w:rFonts w:eastAsia="仿宋_GB2312"/>
              <w:sz w:val="30"/>
              <w:szCs w:val="30"/>
            </w:rPr>
          </w:pPr>
          <w:r>
            <w:rPr>
              <w:rFonts w:eastAsia="仿宋_GB2312"/>
              <w:sz w:val="30"/>
              <w:szCs w:val="30"/>
            </w:rPr>
            <w:t>五、一般公共预算财政拨款支出决算情况说明</w:t>
          </w:r>
          <w:r>
            <w:ptab w:relativeTo="margin" w:alignment="right" w:leader="dot"/>
          </w:r>
          <w:r>
            <w:t>6</w:t>
          </w:r>
        </w:p>
        <w:p>
          <w:pPr>
            <w:pStyle w:val="11"/>
            <w:adjustRightInd w:val="0"/>
            <w:snapToGrid w:val="0"/>
            <w:spacing w:line="600" w:lineRule="exact"/>
            <w:jc w:val="left"/>
            <w:rPr>
              <w:rFonts w:eastAsia="仿宋_GB2312"/>
              <w:sz w:val="30"/>
              <w:szCs w:val="30"/>
            </w:rPr>
          </w:pPr>
          <w:r>
            <w:rPr>
              <w:rFonts w:eastAsia="仿宋_GB2312"/>
              <w:sz w:val="30"/>
              <w:szCs w:val="30"/>
            </w:rPr>
            <w:t>六、一般公共预算财政拨款基本支出决算情况说明</w:t>
          </w:r>
          <w:r>
            <w:ptab w:relativeTo="margin" w:alignment="right" w:leader="dot"/>
          </w:r>
          <w:r>
            <w:t>9</w:t>
          </w:r>
        </w:p>
        <w:p>
          <w:pPr>
            <w:pStyle w:val="11"/>
            <w:adjustRightInd w:val="0"/>
            <w:snapToGrid w:val="0"/>
            <w:spacing w:line="600" w:lineRule="exact"/>
            <w:jc w:val="left"/>
            <w:rPr>
              <w:rFonts w:eastAsia="仿宋_GB2312"/>
              <w:sz w:val="30"/>
              <w:szCs w:val="30"/>
            </w:rPr>
          </w:pPr>
          <w:r>
            <w:rPr>
              <w:rFonts w:eastAsia="仿宋_GB2312"/>
              <w:sz w:val="30"/>
              <w:szCs w:val="30"/>
            </w:rPr>
            <w:t>七、“三公”经费财政拨款支出决算情况说明</w:t>
          </w:r>
          <w:r>
            <w:ptab w:relativeTo="margin" w:alignment="right" w:leader="dot"/>
          </w:r>
          <w:r>
            <w:t>9</w:t>
          </w:r>
        </w:p>
        <w:p>
          <w:pPr>
            <w:pStyle w:val="11"/>
            <w:adjustRightInd w:val="0"/>
            <w:snapToGrid w:val="0"/>
            <w:spacing w:line="600" w:lineRule="exact"/>
            <w:jc w:val="left"/>
            <w:rPr>
              <w:rFonts w:eastAsia="仿宋_GB2312"/>
              <w:sz w:val="30"/>
              <w:szCs w:val="30"/>
            </w:rPr>
          </w:pPr>
          <w:r>
            <w:rPr>
              <w:rFonts w:eastAsia="仿宋_GB2312"/>
              <w:sz w:val="30"/>
              <w:szCs w:val="30"/>
            </w:rPr>
            <w:t>八、政府性基金预算支出决算情况说明</w:t>
          </w:r>
          <w:r>
            <w:ptab w:relativeTo="margin" w:alignment="right" w:leader="dot"/>
          </w:r>
          <w:r>
            <w:t>11</w:t>
          </w:r>
        </w:p>
        <w:p>
          <w:pPr>
            <w:pStyle w:val="11"/>
            <w:adjustRightInd w:val="0"/>
            <w:snapToGrid w:val="0"/>
            <w:spacing w:line="600" w:lineRule="exact"/>
            <w:jc w:val="left"/>
            <w:rPr>
              <w:rFonts w:eastAsia="仿宋_GB2312"/>
              <w:sz w:val="30"/>
              <w:szCs w:val="30"/>
            </w:rPr>
          </w:pPr>
          <w:r>
            <w:rPr>
              <w:rFonts w:eastAsia="仿宋_GB2312"/>
              <w:sz w:val="30"/>
              <w:szCs w:val="30"/>
            </w:rPr>
            <w:t>九、国有资本经营预算支出决算情况说明</w:t>
          </w:r>
          <w:r>
            <w:ptab w:relativeTo="margin" w:alignment="right" w:leader="dot"/>
          </w:r>
          <w:r>
            <w:t>11</w:t>
          </w:r>
        </w:p>
        <w:p>
          <w:pPr>
            <w:pStyle w:val="11"/>
            <w:adjustRightInd w:val="0"/>
            <w:snapToGrid w:val="0"/>
            <w:spacing w:line="600" w:lineRule="exact"/>
            <w:jc w:val="left"/>
            <w:rPr>
              <w:rFonts w:eastAsia="仿宋_GB2312"/>
              <w:sz w:val="30"/>
              <w:szCs w:val="30"/>
            </w:rPr>
          </w:pPr>
          <w:r>
            <w:rPr>
              <w:rFonts w:eastAsia="仿宋_GB2312"/>
              <w:sz w:val="30"/>
              <w:szCs w:val="30"/>
            </w:rPr>
            <w:t>十、其他重要事项的情况说明</w:t>
          </w:r>
          <w:r>
            <w:ptab w:relativeTo="margin" w:alignment="right" w:leader="dot"/>
          </w:r>
          <w:r>
            <w:t>11</w:t>
          </w:r>
        </w:p>
        <w:p>
          <w:pPr>
            <w:pStyle w:val="10"/>
            <w:adjustRightInd w:val="0"/>
            <w:snapToGrid w:val="0"/>
            <w:spacing w:before="0" w:line="600" w:lineRule="exact"/>
            <w:jc w:val="left"/>
            <w:rPr>
              <w:rFonts w:ascii="Times New Roman" w:hAnsi="Times New Roman" w:eastAsia="黑体"/>
              <w:sz w:val="30"/>
              <w:szCs w:val="30"/>
            </w:rPr>
          </w:pPr>
          <w:r>
            <w:rPr>
              <w:rFonts w:ascii="Times New Roman" w:hAnsi="Times New Roman" w:eastAsia="黑体"/>
              <w:sz w:val="30"/>
              <w:szCs w:val="30"/>
            </w:rPr>
            <w:t>第三部分 名词解释</w:t>
          </w:r>
          <w:r>
            <w:rPr>
              <w:rFonts w:ascii="Times New Roman" w:hAnsi="Times New Roman"/>
            </w:rPr>
            <w:ptab w:relativeTo="margin" w:alignment="right" w:leader="dot"/>
          </w:r>
          <w:r>
            <w:rPr>
              <w:rFonts w:ascii="Times New Roman" w:hAnsi="Times New Roman"/>
            </w:rPr>
            <w:t>13</w:t>
          </w:r>
        </w:p>
        <w:p>
          <w:pPr>
            <w:pStyle w:val="10"/>
            <w:adjustRightInd w:val="0"/>
            <w:snapToGrid w:val="0"/>
            <w:spacing w:before="0" w:line="600" w:lineRule="exact"/>
            <w:jc w:val="left"/>
            <w:rPr>
              <w:rFonts w:ascii="Times New Roman" w:hAnsi="Times New Roman" w:eastAsia="黑体"/>
              <w:sz w:val="30"/>
              <w:szCs w:val="30"/>
            </w:rPr>
          </w:pPr>
          <w:r>
            <w:rPr>
              <w:rFonts w:ascii="Times New Roman" w:hAnsi="Times New Roman" w:eastAsia="黑体"/>
              <w:sz w:val="30"/>
              <w:szCs w:val="30"/>
            </w:rPr>
            <w:t>第四部分 附件</w:t>
          </w:r>
          <w:r>
            <w:rPr>
              <w:rFonts w:ascii="Times New Roman" w:hAnsi="Times New Roman"/>
            </w:rPr>
            <w:ptab w:relativeTo="margin" w:alignment="right" w:leader="dot"/>
          </w:r>
          <w:r>
            <w:rPr>
              <w:rFonts w:ascii="Times New Roman" w:hAnsi="Times New Roman"/>
            </w:rPr>
            <w:t>16</w:t>
          </w:r>
        </w:p>
        <w:p>
          <w:pPr>
            <w:pStyle w:val="10"/>
            <w:adjustRightInd w:val="0"/>
            <w:snapToGrid w:val="0"/>
            <w:spacing w:before="0" w:line="600" w:lineRule="exact"/>
            <w:jc w:val="left"/>
            <w:rPr>
              <w:rFonts w:ascii="Times New Roman" w:hAnsi="Times New Roman" w:eastAsia="黑体"/>
              <w:sz w:val="30"/>
              <w:szCs w:val="30"/>
            </w:rPr>
          </w:pPr>
          <w:r>
            <w:rPr>
              <w:rFonts w:ascii="Times New Roman" w:hAnsi="Times New Roman" w:eastAsia="黑体"/>
              <w:sz w:val="30"/>
              <w:szCs w:val="30"/>
            </w:rPr>
            <w:t>第五部分 附表</w:t>
          </w:r>
          <w:r>
            <w:rPr>
              <w:rFonts w:ascii="Times New Roman" w:hAnsi="Times New Roman"/>
            </w:rPr>
            <w:ptab w:relativeTo="margin" w:alignment="right" w:leader="dot"/>
          </w:r>
          <w:r>
            <w:rPr>
              <w:rFonts w:ascii="Times New Roman" w:hAnsi="Times New Roman"/>
            </w:rPr>
            <w:t>19</w:t>
          </w:r>
        </w:p>
        <w:p>
          <w:pPr>
            <w:pStyle w:val="11"/>
            <w:adjustRightInd w:val="0"/>
            <w:snapToGrid w:val="0"/>
            <w:spacing w:line="600" w:lineRule="exact"/>
            <w:jc w:val="left"/>
            <w:rPr>
              <w:rFonts w:eastAsia="仿宋_GB2312"/>
              <w:sz w:val="30"/>
              <w:szCs w:val="30"/>
            </w:rPr>
          </w:pPr>
          <w:r>
            <w:rPr>
              <w:rFonts w:eastAsia="仿宋_GB2312"/>
              <w:sz w:val="30"/>
              <w:szCs w:val="30"/>
            </w:rPr>
            <w:t>一、收入支出决算总表</w:t>
          </w:r>
          <w:r>
            <w:ptab w:relativeTo="margin" w:alignment="right" w:leader="dot"/>
          </w:r>
          <w:r>
            <w:t>19</w:t>
          </w:r>
        </w:p>
        <w:p>
          <w:pPr>
            <w:pStyle w:val="11"/>
            <w:adjustRightInd w:val="0"/>
            <w:snapToGrid w:val="0"/>
            <w:spacing w:line="600" w:lineRule="exact"/>
            <w:jc w:val="left"/>
            <w:rPr>
              <w:rFonts w:eastAsia="仿宋_GB2312"/>
              <w:sz w:val="30"/>
              <w:szCs w:val="30"/>
            </w:rPr>
          </w:pPr>
          <w:r>
            <w:rPr>
              <w:rFonts w:eastAsia="仿宋_GB2312"/>
              <w:sz w:val="30"/>
              <w:szCs w:val="30"/>
            </w:rPr>
            <w:t>二、收入决算表</w:t>
          </w:r>
          <w:r>
            <w:ptab w:relativeTo="margin" w:alignment="right" w:leader="dot"/>
          </w:r>
          <w:r>
            <w:t>19</w:t>
          </w:r>
        </w:p>
        <w:p>
          <w:pPr>
            <w:pStyle w:val="11"/>
            <w:adjustRightInd w:val="0"/>
            <w:snapToGrid w:val="0"/>
            <w:spacing w:line="600" w:lineRule="exact"/>
            <w:jc w:val="left"/>
            <w:rPr>
              <w:rFonts w:eastAsia="仿宋_GB2312"/>
              <w:sz w:val="30"/>
              <w:szCs w:val="30"/>
            </w:rPr>
          </w:pPr>
          <w:r>
            <w:rPr>
              <w:rFonts w:eastAsia="仿宋_GB2312"/>
              <w:sz w:val="30"/>
              <w:szCs w:val="30"/>
            </w:rPr>
            <w:t>三、支出决算表</w:t>
          </w:r>
          <w:r>
            <w:ptab w:relativeTo="margin" w:alignment="right" w:leader="dot"/>
          </w:r>
          <w:r>
            <w:t>19</w:t>
          </w:r>
        </w:p>
        <w:p>
          <w:pPr>
            <w:pStyle w:val="11"/>
            <w:adjustRightInd w:val="0"/>
            <w:snapToGrid w:val="0"/>
            <w:spacing w:line="600" w:lineRule="exact"/>
            <w:jc w:val="left"/>
            <w:rPr>
              <w:rFonts w:eastAsia="仿宋_GB2312"/>
              <w:sz w:val="30"/>
              <w:szCs w:val="30"/>
            </w:rPr>
          </w:pPr>
          <w:r>
            <w:rPr>
              <w:rFonts w:eastAsia="仿宋_GB2312"/>
              <w:sz w:val="30"/>
              <w:szCs w:val="30"/>
            </w:rPr>
            <w:t>四、财政拨款收入支出决算总表</w:t>
          </w:r>
          <w:r>
            <w:ptab w:relativeTo="margin" w:alignment="right" w:leader="dot"/>
          </w:r>
          <w:r>
            <w:t>19</w:t>
          </w:r>
        </w:p>
        <w:p>
          <w:pPr>
            <w:pStyle w:val="11"/>
            <w:adjustRightInd w:val="0"/>
            <w:snapToGrid w:val="0"/>
            <w:spacing w:line="600" w:lineRule="exact"/>
            <w:jc w:val="left"/>
            <w:rPr>
              <w:rFonts w:eastAsia="仿宋_GB2312"/>
              <w:sz w:val="30"/>
              <w:szCs w:val="30"/>
            </w:rPr>
          </w:pPr>
          <w:r>
            <w:rPr>
              <w:rFonts w:eastAsia="仿宋_GB2312"/>
              <w:sz w:val="30"/>
              <w:szCs w:val="30"/>
            </w:rPr>
            <w:t>五、财政拨款支出决算明细表</w:t>
          </w:r>
          <w:r>
            <w:ptab w:relativeTo="margin" w:alignment="right" w:leader="dot"/>
          </w:r>
          <w:r>
            <w:t>19</w:t>
          </w:r>
        </w:p>
        <w:p>
          <w:pPr>
            <w:pStyle w:val="11"/>
            <w:adjustRightInd w:val="0"/>
            <w:snapToGrid w:val="0"/>
            <w:spacing w:line="600" w:lineRule="exact"/>
            <w:jc w:val="left"/>
            <w:rPr>
              <w:rFonts w:eastAsia="仿宋_GB2312"/>
              <w:sz w:val="30"/>
              <w:szCs w:val="30"/>
            </w:rPr>
          </w:pPr>
          <w:r>
            <w:rPr>
              <w:rFonts w:eastAsia="仿宋_GB2312"/>
              <w:sz w:val="30"/>
              <w:szCs w:val="30"/>
            </w:rPr>
            <w:t>六、一般公共预算财政拨款支出决算表</w:t>
          </w:r>
          <w:r>
            <w:ptab w:relativeTo="margin" w:alignment="right" w:leader="dot"/>
          </w:r>
          <w:r>
            <w:t>19</w:t>
          </w:r>
        </w:p>
        <w:p>
          <w:pPr>
            <w:pStyle w:val="11"/>
            <w:adjustRightInd w:val="0"/>
            <w:snapToGrid w:val="0"/>
            <w:spacing w:line="600" w:lineRule="exact"/>
            <w:jc w:val="left"/>
            <w:rPr>
              <w:rFonts w:eastAsia="仿宋_GB2312"/>
              <w:sz w:val="30"/>
              <w:szCs w:val="30"/>
            </w:rPr>
          </w:pPr>
          <w:r>
            <w:rPr>
              <w:rFonts w:eastAsia="仿宋_GB2312"/>
              <w:sz w:val="30"/>
              <w:szCs w:val="30"/>
            </w:rPr>
            <w:t>七、一般公共预算财政拨款支出决算明细表</w:t>
          </w:r>
          <w:r>
            <w:ptab w:relativeTo="margin" w:alignment="right" w:leader="dot"/>
          </w:r>
          <w:r>
            <w:t>19</w:t>
          </w:r>
        </w:p>
        <w:p>
          <w:pPr>
            <w:pStyle w:val="11"/>
            <w:adjustRightInd w:val="0"/>
            <w:snapToGrid w:val="0"/>
            <w:spacing w:line="600" w:lineRule="exact"/>
            <w:jc w:val="left"/>
            <w:rPr>
              <w:rFonts w:eastAsia="仿宋_GB2312"/>
              <w:sz w:val="30"/>
              <w:szCs w:val="30"/>
            </w:rPr>
          </w:pPr>
          <w:r>
            <w:rPr>
              <w:rFonts w:eastAsia="仿宋_GB2312"/>
              <w:sz w:val="30"/>
              <w:szCs w:val="30"/>
            </w:rPr>
            <w:t>八、一般公共预算财政拨款基本支出决算表</w:t>
          </w:r>
          <w:r>
            <w:ptab w:relativeTo="margin" w:alignment="right" w:leader="dot"/>
          </w:r>
          <w:r>
            <w:t>19</w:t>
          </w:r>
        </w:p>
        <w:p>
          <w:pPr>
            <w:pStyle w:val="11"/>
            <w:adjustRightInd w:val="0"/>
            <w:snapToGrid w:val="0"/>
            <w:spacing w:line="600" w:lineRule="exact"/>
            <w:jc w:val="left"/>
            <w:rPr>
              <w:rFonts w:eastAsia="仿宋_GB2312"/>
              <w:sz w:val="30"/>
              <w:szCs w:val="30"/>
            </w:rPr>
          </w:pPr>
          <w:r>
            <w:rPr>
              <w:rFonts w:eastAsia="仿宋_GB2312"/>
              <w:sz w:val="30"/>
              <w:szCs w:val="30"/>
            </w:rPr>
            <w:t>九、一般公共预算财政拨款项目支出决算表</w:t>
          </w:r>
          <w:r>
            <w:ptab w:relativeTo="margin" w:alignment="right" w:leader="dot"/>
          </w:r>
          <w:r>
            <w:t>19</w:t>
          </w:r>
        </w:p>
        <w:p>
          <w:pPr>
            <w:pStyle w:val="11"/>
            <w:adjustRightInd w:val="0"/>
            <w:snapToGrid w:val="0"/>
            <w:spacing w:line="600" w:lineRule="exact"/>
            <w:jc w:val="left"/>
            <w:rPr>
              <w:rFonts w:eastAsia="仿宋_GB2312"/>
              <w:sz w:val="30"/>
              <w:szCs w:val="30"/>
            </w:rPr>
          </w:pPr>
          <w:r>
            <w:rPr>
              <w:rFonts w:eastAsia="仿宋_GB2312"/>
              <w:sz w:val="30"/>
              <w:szCs w:val="30"/>
            </w:rPr>
            <w:t>十、一般公共预算财政拨款“三公”经费支出决算表</w:t>
          </w:r>
          <w:r>
            <w:ptab w:relativeTo="margin" w:alignment="right" w:leader="dot"/>
          </w:r>
          <w:r>
            <w:t>19</w:t>
          </w:r>
        </w:p>
        <w:p>
          <w:pPr>
            <w:pStyle w:val="11"/>
            <w:adjustRightInd w:val="0"/>
            <w:snapToGrid w:val="0"/>
            <w:spacing w:line="600" w:lineRule="exact"/>
            <w:jc w:val="left"/>
            <w:rPr>
              <w:rFonts w:eastAsia="仿宋_GB2312"/>
              <w:sz w:val="30"/>
              <w:szCs w:val="30"/>
            </w:rPr>
          </w:pPr>
          <w:r>
            <w:rPr>
              <w:rFonts w:eastAsia="仿宋_GB2312"/>
              <w:sz w:val="30"/>
              <w:szCs w:val="30"/>
            </w:rPr>
            <w:t>十一、政府性基金预算财政拨款收入支出决算表</w:t>
          </w:r>
          <w:r>
            <w:ptab w:relativeTo="margin" w:alignment="right" w:leader="dot"/>
          </w:r>
          <w:r>
            <w:t>19</w:t>
          </w:r>
        </w:p>
        <w:p>
          <w:pPr>
            <w:pStyle w:val="11"/>
            <w:adjustRightInd w:val="0"/>
            <w:snapToGrid w:val="0"/>
            <w:spacing w:line="600" w:lineRule="exact"/>
            <w:jc w:val="left"/>
            <w:rPr>
              <w:rFonts w:eastAsia="仿宋_GB2312"/>
              <w:sz w:val="30"/>
              <w:szCs w:val="30"/>
            </w:rPr>
          </w:pPr>
          <w:r>
            <w:rPr>
              <w:rFonts w:eastAsia="仿宋_GB2312"/>
              <w:sz w:val="30"/>
              <w:szCs w:val="30"/>
            </w:rPr>
            <w:t>十二、政府性基金预算财政拨款“三公”经费支出决算表</w:t>
          </w:r>
          <w:r>
            <w:ptab w:relativeTo="margin" w:alignment="right" w:leader="dot"/>
          </w:r>
          <w:r>
            <w:t>19</w:t>
          </w:r>
        </w:p>
        <w:p>
          <w:pPr>
            <w:pStyle w:val="11"/>
            <w:adjustRightInd w:val="0"/>
            <w:snapToGrid w:val="0"/>
            <w:spacing w:line="600" w:lineRule="exact"/>
            <w:jc w:val="left"/>
            <w:rPr>
              <w:rFonts w:eastAsia="仿宋_GB2312"/>
              <w:sz w:val="30"/>
              <w:szCs w:val="30"/>
            </w:rPr>
          </w:pPr>
          <w:r>
            <w:rPr>
              <w:rFonts w:eastAsia="仿宋_GB2312"/>
              <w:sz w:val="30"/>
              <w:szCs w:val="30"/>
            </w:rPr>
            <w:t>十三、国有资本经营预算财政拨款收入支出决算表</w:t>
          </w:r>
          <w:r>
            <w:ptab w:relativeTo="margin" w:alignment="right" w:leader="dot"/>
          </w:r>
          <w:r>
            <w:t>19</w:t>
          </w:r>
        </w:p>
        <w:p>
          <w:pPr>
            <w:pStyle w:val="11"/>
            <w:adjustRightInd w:val="0"/>
            <w:snapToGrid w:val="0"/>
            <w:spacing w:line="560" w:lineRule="exact"/>
            <w:jc w:val="left"/>
            <w:rPr>
              <w:rFonts w:eastAsia="仿宋_GB2312"/>
              <w:sz w:val="30"/>
              <w:szCs w:val="30"/>
            </w:rPr>
          </w:pPr>
          <w:r>
            <w:rPr>
              <w:rFonts w:eastAsia="仿宋_GB2312"/>
              <w:sz w:val="30"/>
              <w:szCs w:val="30"/>
            </w:rPr>
            <w:t>十四、国有资本经营预算财政拨款支出决算表</w:t>
          </w:r>
          <w:r>
            <w:ptab w:relativeTo="margin" w:alignment="right" w:leader="dot"/>
          </w:r>
          <w:r>
            <w:t>19</w:t>
          </w:r>
        </w:p>
      </w:sdtContent>
    </w:sdt>
    <w:p>
      <w:pPr>
        <w:pStyle w:val="2"/>
        <w:spacing w:before="93"/>
        <w:rPr>
          <w:rFonts w:ascii="Times New Roman"/>
        </w:rPr>
      </w:pPr>
    </w:p>
    <w:p>
      <w:pPr>
        <w:pStyle w:val="2"/>
        <w:spacing w:before="93"/>
        <w:rPr>
          <w:rFonts w:ascii="Times New Roman"/>
        </w:rPr>
        <w:sectPr>
          <w:headerReference r:id="rId3" w:type="default"/>
          <w:pgSz w:w="11906" w:h="16838"/>
          <w:pgMar w:top="2098" w:right="1474" w:bottom="1985" w:left="1588" w:header="851" w:footer="1418" w:gutter="0"/>
          <w:pgNumType w:start="1"/>
          <w:cols w:space="425" w:num="1"/>
          <w:titlePg/>
          <w:docGrid w:type="lines" w:linePitch="312" w:charSpace="0"/>
        </w:sectPr>
      </w:pPr>
    </w:p>
    <w:p>
      <w:pPr>
        <w:pStyle w:val="3"/>
        <w:jc w:val="center"/>
        <w:rPr>
          <w:rFonts w:eastAsia="黑体"/>
          <w:bCs w:val="0"/>
        </w:rPr>
      </w:pPr>
      <w:bookmarkStart w:id="12" w:name="_Toc15396599"/>
      <w:bookmarkStart w:id="13" w:name="_Toc15377196"/>
      <w:r>
        <w:rPr>
          <w:rFonts w:eastAsia="黑体"/>
          <w:b w:val="0"/>
        </w:rPr>
        <w:t>第一部分 单位</w:t>
      </w:r>
      <w:r>
        <w:rPr>
          <w:rStyle w:val="24"/>
          <w:rFonts w:eastAsia="黑体"/>
          <w:b w:val="0"/>
          <w:bCs w:val="0"/>
        </w:rPr>
        <w:t>概况</w:t>
      </w:r>
      <w:bookmarkEnd w:id="12"/>
      <w:bookmarkEnd w:id="13"/>
    </w:p>
    <w:p>
      <w:pPr>
        <w:pStyle w:val="4"/>
        <w:spacing w:before="0" w:after="0" w:line="600" w:lineRule="exact"/>
        <w:ind w:firstLine="640" w:firstLineChars="200"/>
        <w:rPr>
          <w:rStyle w:val="25"/>
          <w:rFonts w:ascii="Times New Roman" w:hAnsi="Times New Roman" w:eastAsia="黑体" w:cs="Times New Roman"/>
          <w:b w:val="0"/>
          <w:bCs w:val="0"/>
        </w:rPr>
      </w:pPr>
      <w:bookmarkStart w:id="14" w:name="_Toc15396600"/>
      <w:bookmarkStart w:id="15" w:name="_Toc15377197"/>
      <w:r>
        <w:rPr>
          <w:rStyle w:val="25"/>
          <w:rFonts w:ascii="Times New Roman" w:hAnsi="Times New Roman" w:eastAsia="黑体" w:cs="Times New Roman"/>
          <w:b w:val="0"/>
          <w:bCs w:val="0"/>
        </w:rPr>
        <w:t>一、职能简介</w:t>
      </w:r>
    </w:p>
    <w:p>
      <w:pPr>
        <w:spacing w:line="600" w:lineRule="exact"/>
        <w:ind w:firstLine="640" w:firstLineChars="200"/>
      </w:pPr>
      <w:r>
        <w:rPr>
          <w:rFonts w:eastAsia="仿宋_GB2312"/>
          <w:color w:val="000000"/>
          <w:sz w:val="32"/>
          <w:szCs w:val="32"/>
        </w:rPr>
        <w:t>依据国家和我省人事考试法规、政策、规划，制定我省人事考试工作计划和出台各项人事考试政策，组织实施全省公务员、事业单位公开招录（聘）用考试和专业技术人员资格考试，负责考试信息发布、考试报名、命题、制卷、考务组织、阅卷、提供考试成绩查询及统计分析等工作，承担相应考试基础建设和科研工作，负责考试测评理论、方法、手段及应用课题研究等。</w:t>
      </w:r>
    </w:p>
    <w:p>
      <w:pPr>
        <w:pStyle w:val="4"/>
        <w:spacing w:before="0" w:after="0" w:line="600" w:lineRule="exact"/>
        <w:ind w:firstLine="640" w:firstLineChars="200"/>
        <w:rPr>
          <w:rFonts w:ascii="Times New Roman" w:hAnsi="Times New Roman" w:eastAsia="黑体" w:cs="Times New Roman"/>
          <w:b w:val="0"/>
        </w:rPr>
      </w:pPr>
      <w:r>
        <w:rPr>
          <w:rFonts w:ascii="Times New Roman" w:hAnsi="Times New Roman" w:eastAsia="黑体" w:cs="Times New Roman"/>
          <w:b w:val="0"/>
        </w:rPr>
        <w:t>二、2021年重点工作</w:t>
      </w:r>
      <w:bookmarkEnd w:id="14"/>
      <w:bookmarkEnd w:id="15"/>
      <w:r>
        <w:rPr>
          <w:rFonts w:ascii="Times New Roman" w:hAnsi="Times New Roman" w:eastAsia="黑体" w:cs="Times New Roman"/>
          <w:b w:val="0"/>
        </w:rPr>
        <w:t>完成情况</w:t>
      </w:r>
    </w:p>
    <w:p>
      <w:pPr>
        <w:spacing w:line="600" w:lineRule="exact"/>
        <w:ind w:firstLine="640" w:firstLineChars="200"/>
        <w:rPr>
          <w:rFonts w:eastAsia="仿宋_GB2312"/>
          <w:sz w:val="32"/>
          <w:szCs w:val="32"/>
        </w:rPr>
      </w:pPr>
      <w:r>
        <w:rPr>
          <w:rFonts w:eastAsia="仿宋_GB2312"/>
          <w:sz w:val="32"/>
          <w:szCs w:val="32"/>
        </w:rPr>
        <w:t>2021年，我省共组织各类人事考试56项，共计307.3万科次。其中：公务员、事业单位招录（聘）及社会化代理考试17项，122万科次；专业技术资格和职（执）业资格考试39项，185.3万科次。笔试命题制卷29套，面试命</w:t>
      </w:r>
      <w:bookmarkStart w:id="71" w:name="_GoBack"/>
      <w:bookmarkEnd w:id="71"/>
      <w:r>
        <w:rPr>
          <w:rFonts w:eastAsia="仿宋_GB2312"/>
          <w:sz w:val="32"/>
          <w:szCs w:val="32"/>
        </w:rPr>
        <w:t>题制卷31套。共发放各类职业资格证书共计12.3万余本。各项人事考试工作总体平稳顺利。</w:t>
      </w:r>
    </w:p>
    <w:p>
      <w:pPr>
        <w:spacing w:line="600" w:lineRule="exact"/>
        <w:ind w:firstLine="640" w:firstLineChars="200"/>
        <w:jc w:val="left"/>
        <w:rPr>
          <w:rFonts w:eastAsia="楷体_GB2312"/>
          <w:sz w:val="32"/>
          <w:szCs w:val="32"/>
        </w:rPr>
      </w:pPr>
      <w:r>
        <w:rPr>
          <w:rFonts w:eastAsia="楷体_GB2312"/>
          <w:sz w:val="32"/>
          <w:szCs w:val="32"/>
        </w:rPr>
        <w:t>（一）慎终如始抓好风险防控，确保人事考试工作行稳致远</w:t>
      </w:r>
    </w:p>
    <w:p>
      <w:pPr>
        <w:spacing w:line="580" w:lineRule="exact"/>
        <w:ind w:firstLine="642" w:firstLineChars="200"/>
        <w:rPr>
          <w:rFonts w:eastAsia="仿宋_GB2312"/>
          <w:sz w:val="32"/>
          <w:szCs w:val="32"/>
        </w:rPr>
      </w:pPr>
      <w:r>
        <w:rPr>
          <w:rFonts w:eastAsia="仿宋_GB2312"/>
          <w:b/>
          <w:bCs/>
          <w:sz w:val="32"/>
          <w:szCs w:val="32"/>
        </w:rPr>
        <w:t>一是</w:t>
      </w:r>
      <w:r>
        <w:rPr>
          <w:rFonts w:eastAsia="仿宋_GB2312"/>
          <w:sz w:val="32"/>
          <w:szCs w:val="32"/>
        </w:rPr>
        <w:t>强化组织保障。召开全省人事考试工作会议，贯彻落实全国人事考试工作视频会精神，对2021年全省人事考试工作作出安排部署并提出工作要求；召开多次考务工作部署视频会议，对上、下半年全省公开考试录用公务员笔试等重大考试期间的疫情防控、交通保障、无线电信</w:t>
      </w:r>
      <w:r>
        <w:rPr>
          <w:rFonts w:eastAsia="仿宋_GB2312"/>
          <w:sz w:val="32"/>
          <w:szCs w:val="32"/>
          <w:lang w:val="zh-CN"/>
        </w:rPr>
        <w:t>号排查、打击高科技作弊、考务组织等事项进行重点部署。</w:t>
      </w:r>
      <w:r>
        <w:rPr>
          <w:rFonts w:eastAsia="仿宋_GB2312"/>
          <w:b/>
          <w:bCs/>
          <w:sz w:val="32"/>
          <w:szCs w:val="32"/>
        </w:rPr>
        <w:t>二是</w:t>
      </w:r>
      <w:r>
        <w:rPr>
          <w:rFonts w:eastAsia="仿宋_GB2312"/>
          <w:sz w:val="32"/>
          <w:szCs w:val="32"/>
        </w:rPr>
        <w:t>联防联动形成合力。积极协调公安、无线电管理等部门，加强对考试期间高科技作弊行为的监测和打击，净化考试环境。2021年共查处全省公务员、事业单位招录（聘）考试违纪违规考生63人，查处专业技术资格考试违纪违规考生284人。</w:t>
      </w:r>
      <w:r>
        <w:rPr>
          <w:rFonts w:eastAsia="仿宋_GB2312"/>
          <w:b/>
          <w:sz w:val="32"/>
          <w:szCs w:val="32"/>
        </w:rPr>
        <w:t>三是</w:t>
      </w:r>
      <w:r>
        <w:rPr>
          <w:rFonts w:eastAsia="仿宋_GB2312"/>
          <w:sz w:val="32"/>
          <w:szCs w:val="32"/>
        </w:rPr>
        <w:t>疫情防控常抓不懈。根据我省疫情防控形势，精准制定疫情防控工作方案，明确各个环节防控要求，确保疫情防控万无一失。今年，累计委托公安部门进行大数据比对130余万人次，逐一核实排查来自国内高、中风险地区或具有国（境）外旅居史的考生，安排专人对接，实现精准防控；分阶段、有计划地在报名网站、主流媒体发布考试期间疫情防控公告28个，并向考生发送疫情防控提示短信累计30万余条；全省各级卫生健康部门累计派出医务人员1000余名。通过周密部署、严防死守，全省无一例考务工作人员和考生因考试感染新冠肺炎。</w:t>
      </w:r>
    </w:p>
    <w:p>
      <w:pPr>
        <w:spacing w:line="560" w:lineRule="exact"/>
        <w:ind w:firstLine="735"/>
        <w:rPr>
          <w:rFonts w:eastAsia="楷体_GB2312"/>
          <w:sz w:val="32"/>
          <w:szCs w:val="32"/>
        </w:rPr>
      </w:pPr>
      <w:r>
        <w:rPr>
          <w:rFonts w:eastAsia="楷体_GB2312"/>
          <w:sz w:val="32"/>
          <w:szCs w:val="32"/>
        </w:rPr>
        <w:t>（二）提档升级推进川渝合作，提升人事考试工作科学化水平</w:t>
      </w:r>
    </w:p>
    <w:p>
      <w:pPr>
        <w:spacing w:line="560" w:lineRule="exact"/>
        <w:ind w:firstLine="735"/>
        <w:rPr>
          <w:rFonts w:eastAsia="仿宋_GB2312"/>
          <w:sz w:val="32"/>
          <w:szCs w:val="32"/>
        </w:rPr>
      </w:pPr>
      <w:r>
        <w:rPr>
          <w:rFonts w:eastAsia="仿宋_GB2312"/>
          <w:b/>
          <w:sz w:val="32"/>
          <w:szCs w:val="32"/>
          <w:lang w:val="zh-CN"/>
        </w:rPr>
        <w:t>一是</w:t>
      </w:r>
      <w:r>
        <w:rPr>
          <w:rFonts w:eastAsia="仿宋_GB2312"/>
          <w:sz w:val="32"/>
          <w:szCs w:val="32"/>
        </w:rPr>
        <w:t>配合业务主管部门重新梳理制定全省事业单位公开招聘工作人员《综合知识》科目考试大纲。</w:t>
      </w:r>
      <w:r>
        <w:rPr>
          <w:rFonts w:eastAsia="仿宋_GB2312"/>
          <w:b/>
          <w:sz w:val="32"/>
          <w:szCs w:val="32"/>
        </w:rPr>
        <w:t>二是</w:t>
      </w:r>
      <w:r>
        <w:rPr>
          <w:rFonts w:eastAsia="仿宋_GB2312"/>
          <w:sz w:val="32"/>
          <w:szCs w:val="32"/>
        </w:rPr>
        <w:t>承办2021年全国人事考试命题协作机制集中审题工作，并选派命题专家参与《行政职业能力测验》和《申论》科目命审题研讨会及审题验收工作。</w:t>
      </w:r>
      <w:r>
        <w:rPr>
          <w:rFonts w:eastAsia="仿宋_GB2312"/>
          <w:b/>
          <w:color w:val="000000"/>
          <w:kern w:val="0"/>
          <w:sz w:val="32"/>
          <w:szCs w:val="32"/>
        </w:rPr>
        <w:t>三是</w:t>
      </w:r>
      <w:r>
        <w:rPr>
          <w:rFonts w:eastAsia="仿宋_GB2312"/>
          <w:sz w:val="32"/>
          <w:szCs w:val="32"/>
        </w:rPr>
        <w:t>开展</w:t>
      </w:r>
      <w:r>
        <w:rPr>
          <w:rFonts w:eastAsia="仿宋_GB2312"/>
          <w:sz w:val="32"/>
          <w:szCs w:val="32"/>
          <w:lang w:val="zh-CN"/>
        </w:rPr>
        <w:t>命题、阅卷科学化水平研究，</w:t>
      </w:r>
      <w:r>
        <w:rPr>
          <w:rFonts w:eastAsia="仿宋_GB2312"/>
          <w:sz w:val="32"/>
          <w:szCs w:val="32"/>
        </w:rPr>
        <w:t>在2021年度选调生面试中新增结构化小组面试题型，对定向乡镇公务员招考的《公共基础知识》科目试卷进行分析，形成了具有一定水平的试卷分析报告</w:t>
      </w:r>
      <w:r>
        <w:rPr>
          <w:rFonts w:eastAsia="仿宋_GB2312"/>
          <w:sz w:val="32"/>
          <w:szCs w:val="32"/>
          <w:lang w:val="zh-CN"/>
        </w:rPr>
        <w:t>。</w:t>
      </w:r>
      <w:r>
        <w:rPr>
          <w:rFonts w:eastAsia="仿宋_GB2312"/>
          <w:b/>
          <w:color w:val="000000"/>
          <w:kern w:val="0"/>
          <w:sz w:val="32"/>
          <w:szCs w:val="32"/>
        </w:rPr>
        <w:t>四是</w:t>
      </w:r>
      <w:r>
        <w:rPr>
          <w:rFonts w:eastAsia="仿宋_GB2312"/>
          <w:color w:val="000000"/>
          <w:kern w:val="0"/>
          <w:sz w:val="32"/>
          <w:szCs w:val="32"/>
        </w:rPr>
        <w:t>建立命审题与题库管理系统，规范试题命制、加工和使用过程。</w:t>
      </w:r>
      <w:r>
        <w:rPr>
          <w:rFonts w:eastAsia="仿宋_GB2312"/>
          <w:b/>
          <w:sz w:val="32"/>
          <w:szCs w:val="32"/>
          <w:lang w:val="zh-CN"/>
        </w:rPr>
        <w:t>五是</w:t>
      </w:r>
      <w:r>
        <w:rPr>
          <w:rFonts w:eastAsia="仿宋_GB2312"/>
          <w:sz w:val="32"/>
          <w:szCs w:val="32"/>
        </w:rPr>
        <w:t>深化川渝人事考试命题协作机制，与重庆市人事考试中心举办人事考试命题工作交流会2次，互派专家54人次，互派工作人员参与命审题工作4次，两地共享命题专家资源6人。</w:t>
      </w:r>
    </w:p>
    <w:p>
      <w:pPr>
        <w:spacing w:line="560" w:lineRule="exact"/>
        <w:ind w:firstLine="735"/>
        <w:rPr>
          <w:rFonts w:eastAsia="楷体_GB2312"/>
          <w:sz w:val="32"/>
          <w:szCs w:val="32"/>
        </w:rPr>
      </w:pPr>
      <w:r>
        <w:rPr>
          <w:rFonts w:eastAsia="楷体_GB2312"/>
          <w:sz w:val="32"/>
          <w:szCs w:val="32"/>
        </w:rPr>
        <w:t>（三）多措并举为民服务，促进人事考试工作智能化发展</w:t>
      </w:r>
    </w:p>
    <w:p>
      <w:pPr>
        <w:spacing w:line="560" w:lineRule="exact"/>
        <w:ind w:firstLine="735"/>
        <w:rPr>
          <w:rFonts w:eastAsia="仿宋_GB2312"/>
          <w:sz w:val="32"/>
          <w:szCs w:val="32"/>
        </w:rPr>
      </w:pPr>
      <w:r>
        <w:rPr>
          <w:rFonts w:eastAsia="仿宋_GB2312"/>
          <w:b/>
          <w:color w:val="000000"/>
          <w:sz w:val="32"/>
          <w:szCs w:val="32"/>
        </w:rPr>
        <w:t>一是</w:t>
      </w:r>
      <w:r>
        <w:rPr>
          <w:rFonts w:eastAsia="仿宋_GB2312"/>
          <w:color w:val="000000"/>
          <w:sz w:val="32"/>
          <w:szCs w:val="32"/>
        </w:rPr>
        <w:t>全面推行专业技术人员资格考试报名证明事项告知承诺制，实现近70万名</w:t>
      </w:r>
      <w:r>
        <w:rPr>
          <w:rFonts w:eastAsia="仿宋_GB2312"/>
          <w:sz w:val="32"/>
          <w:szCs w:val="32"/>
        </w:rPr>
        <w:t>资格考试考生</w:t>
      </w:r>
      <w:r>
        <w:rPr>
          <w:rFonts w:eastAsia="仿宋_GB2312"/>
          <w:color w:val="000000"/>
          <w:sz w:val="32"/>
          <w:szCs w:val="32"/>
        </w:rPr>
        <w:t>报名零跑路。全面推行电子发票业务，考生可直接在网站上打印发票，让考生少跑路、零跑路，有效促进应试人员和人事考试机构工作人员的“双减负”。</w:t>
      </w:r>
      <w:r>
        <w:rPr>
          <w:rFonts w:eastAsia="仿宋_GB2312"/>
          <w:b/>
          <w:color w:val="000000"/>
          <w:sz w:val="32"/>
          <w:szCs w:val="32"/>
        </w:rPr>
        <w:t>二是</w:t>
      </w:r>
      <w:r>
        <w:rPr>
          <w:rFonts w:eastAsia="仿宋_GB2312"/>
          <w:color w:val="000000"/>
          <w:sz w:val="32"/>
          <w:szCs w:val="32"/>
        </w:rPr>
        <w:t>开通四川省专业技术人员资格电子证书系统，实现我省组织的专业技术资格考试证书在线查询核验及电子证书下载打印。</w:t>
      </w:r>
      <w:r>
        <w:rPr>
          <w:rFonts w:eastAsia="仿宋_GB2312"/>
          <w:b/>
          <w:color w:val="000000"/>
          <w:sz w:val="32"/>
          <w:szCs w:val="32"/>
        </w:rPr>
        <w:t>三是</w:t>
      </w:r>
      <w:r>
        <w:rPr>
          <w:rFonts w:eastAsia="仿宋_GB2312"/>
          <w:color w:val="000000"/>
          <w:sz w:val="32"/>
          <w:szCs w:val="32"/>
        </w:rPr>
        <w:t>积极做好全国人事考试智能客服系统试点工作，有效解决</w:t>
      </w:r>
      <w:r>
        <w:rPr>
          <w:rFonts w:eastAsia="仿宋_GB2312"/>
          <w:sz w:val="32"/>
          <w:szCs w:val="32"/>
        </w:rPr>
        <w:t>考生电话咨询等待时间过长等问题，为考生提供更方便快捷的服务。</w:t>
      </w:r>
    </w:p>
    <w:p>
      <w:pPr>
        <w:pStyle w:val="4"/>
        <w:spacing w:before="0" w:after="0" w:line="600" w:lineRule="exact"/>
        <w:ind w:firstLine="640" w:firstLineChars="200"/>
        <w:rPr>
          <w:rFonts w:ascii="Times New Roman" w:hAnsi="Times New Roman" w:eastAsia="黑体" w:cs="Times New Roman"/>
          <w:b w:val="0"/>
        </w:rPr>
      </w:pPr>
      <w:r>
        <w:rPr>
          <w:rFonts w:ascii="Times New Roman" w:hAnsi="Times New Roman" w:eastAsia="黑体" w:cs="Times New Roman"/>
          <w:b w:val="0"/>
        </w:rPr>
        <w:t>三、机构设置情况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四川省人事考试中心由6个内设部门组成，分别是：综合部、资格考试部、招录考试部、信息技术部、财务部、证书部。</w:t>
      </w:r>
    </w:p>
    <w:p>
      <w:pPr>
        <w:pStyle w:val="2"/>
      </w:pPr>
    </w:p>
    <w:p>
      <w:pPr>
        <w:widowControl/>
        <w:jc w:val="left"/>
        <w:rPr>
          <w:rFonts w:eastAsia="仿宋"/>
          <w:kern w:val="0"/>
          <w:sz w:val="32"/>
          <w:szCs w:val="32"/>
        </w:rPr>
      </w:pPr>
      <w:r>
        <w:rPr>
          <w:rFonts w:eastAsia="仿宋"/>
          <w:kern w:val="0"/>
          <w:sz w:val="32"/>
          <w:szCs w:val="32"/>
        </w:rPr>
        <w:br w:type="page"/>
      </w:r>
    </w:p>
    <w:p>
      <w:pPr>
        <w:pStyle w:val="3"/>
        <w:ind w:firstLine="880" w:firstLineChars="200"/>
        <w:jc w:val="center"/>
        <w:rPr>
          <w:rStyle w:val="24"/>
          <w:rFonts w:eastAsia="黑体"/>
          <w:b w:val="0"/>
          <w:bCs/>
        </w:rPr>
      </w:pPr>
      <w:bookmarkStart w:id="16" w:name="_Toc15377204"/>
      <w:bookmarkStart w:id="17" w:name="_Toc15396602"/>
      <w:r>
        <w:rPr>
          <w:rFonts w:eastAsia="黑体"/>
          <w:b w:val="0"/>
        </w:rPr>
        <w:t>第二部分 2021年度</w:t>
      </w:r>
      <w:r>
        <w:rPr>
          <w:rStyle w:val="24"/>
          <w:rFonts w:eastAsia="黑体"/>
          <w:b w:val="0"/>
          <w:bCs/>
        </w:rPr>
        <w:t>单位决算情况说明</w:t>
      </w:r>
      <w:bookmarkEnd w:id="16"/>
      <w:bookmarkEnd w:id="17"/>
    </w:p>
    <w:p/>
    <w:p>
      <w:pPr>
        <w:pStyle w:val="23"/>
        <w:numPr>
          <w:ilvl w:val="0"/>
          <w:numId w:val="1"/>
        </w:numPr>
        <w:spacing w:line="600" w:lineRule="exact"/>
        <w:ind w:firstLineChars="0"/>
        <w:outlineLvl w:val="1"/>
        <w:rPr>
          <w:rStyle w:val="25"/>
          <w:rFonts w:ascii="Times New Roman" w:hAnsi="Times New Roman" w:eastAsia="黑体" w:cs="Times New Roman"/>
          <w:b w:val="0"/>
        </w:rPr>
      </w:pPr>
      <w:bookmarkStart w:id="18" w:name="_Toc15396603"/>
      <w:bookmarkStart w:id="19" w:name="_Toc15377205"/>
      <w:r>
        <w:rPr>
          <w:rFonts w:eastAsia="黑体"/>
          <w:sz w:val="32"/>
          <w:szCs w:val="32"/>
        </w:rPr>
        <w:t>收</w:t>
      </w:r>
      <w:r>
        <w:rPr>
          <w:rStyle w:val="25"/>
          <w:rFonts w:ascii="Times New Roman" w:hAnsi="Times New Roman" w:eastAsia="黑体" w:cs="Times New Roman"/>
          <w:b w:val="0"/>
        </w:rPr>
        <w:t>入支出决算总体情况说明</w:t>
      </w:r>
      <w:bookmarkEnd w:id="18"/>
      <w:bookmarkEnd w:id="19"/>
    </w:p>
    <w:p>
      <w:pPr>
        <w:ind w:firstLine="640" w:firstLineChars="200"/>
        <w:rPr>
          <w:rFonts w:eastAsia="仿宋_GB2312"/>
          <w:sz w:val="32"/>
          <w:szCs w:val="32"/>
        </w:rPr>
      </w:pPr>
      <w:r>
        <w:rPr>
          <w:rFonts w:eastAsia="仿宋_GB2312"/>
          <w:sz w:val="32"/>
          <w:szCs w:val="32"/>
        </w:rPr>
        <w:t>2021年度收、支总计13937.51万元。与2020年相比，收、支总计各减少4400.19万元，下降24%。主要变动原因是受新冠肺炎疫情影响，部分考试取消或延期，人事考试考点工作经费、考试考务费减少。</w:t>
      </w:r>
    </w:p>
    <w:p>
      <w:pPr>
        <w:pStyle w:val="2"/>
        <w:spacing w:before="93"/>
        <w:rPr>
          <w:rFonts w:ascii="Times New Roman" w:eastAsia="仿宋"/>
          <w:sz w:val="32"/>
          <w:szCs w:val="32"/>
        </w:rPr>
      </w:pPr>
      <w:r>
        <w:rPr>
          <w:rFonts w:ascii="Times New Roman" w:eastAsia="仿宋"/>
          <w:sz w:val="32"/>
          <w:szCs w:val="32"/>
        </w:rPr>
        <w:drawing>
          <wp:inline distT="0" distB="0" distL="0" distR="0">
            <wp:extent cx="5271770" cy="298196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spacing w:before="93"/>
        <w:jc w:val="center"/>
        <w:rPr>
          <w:rFonts w:ascii="Times New Roman" w:eastAsia="仿宋"/>
          <w:sz w:val="28"/>
          <w:szCs w:val="28"/>
        </w:rPr>
      </w:pPr>
      <w:r>
        <w:rPr>
          <w:rFonts w:ascii="Times New Roman" w:eastAsia="仿宋"/>
          <w:sz w:val="28"/>
          <w:szCs w:val="28"/>
        </w:rPr>
        <w:t>图1：收、支决算总计变动情况图</w:t>
      </w:r>
    </w:p>
    <w:p>
      <w:pPr>
        <w:pStyle w:val="23"/>
        <w:numPr>
          <w:ilvl w:val="0"/>
          <w:numId w:val="1"/>
        </w:numPr>
        <w:spacing w:line="600" w:lineRule="exact"/>
        <w:ind w:firstLineChars="0"/>
        <w:outlineLvl w:val="1"/>
        <w:rPr>
          <w:rStyle w:val="25"/>
          <w:rFonts w:ascii="Times New Roman" w:hAnsi="Times New Roman" w:eastAsia="黑体" w:cs="Times New Roman"/>
          <w:b w:val="0"/>
        </w:rPr>
      </w:pPr>
      <w:bookmarkStart w:id="20" w:name="_Toc15396604"/>
      <w:bookmarkStart w:id="21" w:name="_Toc15377206"/>
      <w:r>
        <w:rPr>
          <w:rFonts w:eastAsia="黑体"/>
          <w:sz w:val="32"/>
          <w:szCs w:val="32"/>
        </w:rPr>
        <w:t>收</w:t>
      </w:r>
      <w:r>
        <w:rPr>
          <w:rStyle w:val="25"/>
          <w:rFonts w:ascii="Times New Roman" w:hAnsi="Times New Roman" w:eastAsia="黑体" w:cs="Times New Roman"/>
          <w:b w:val="0"/>
        </w:rPr>
        <w:t>入决算情况说明</w:t>
      </w:r>
      <w:bookmarkEnd w:id="20"/>
      <w:bookmarkEnd w:id="21"/>
    </w:p>
    <w:p>
      <w:pPr>
        <w:spacing w:line="600" w:lineRule="exact"/>
        <w:ind w:firstLine="640" w:firstLineChars="200"/>
        <w:outlineLvl w:val="1"/>
        <w:rPr>
          <w:rFonts w:eastAsia="仿宋_GB2312"/>
          <w:sz w:val="32"/>
          <w:szCs w:val="32"/>
        </w:rPr>
      </w:pPr>
      <w:r>
        <w:rPr>
          <w:rFonts w:eastAsia="仿宋_GB2312"/>
          <w:sz w:val="32"/>
          <w:szCs w:val="32"/>
        </w:rPr>
        <w:t>2021年本年收入合计13937.51万元，其中：一般公共预算财政拨款收入13937.51万元，占100%。</w:t>
      </w:r>
    </w:p>
    <w:p>
      <w:pPr>
        <w:pStyle w:val="2"/>
        <w:spacing w:before="93"/>
        <w:jc w:val="center"/>
        <w:rPr>
          <w:rFonts w:ascii="Times New Roman"/>
        </w:rPr>
      </w:pPr>
      <w:r>
        <w:rPr>
          <w:rFonts w:ascii="Times New Roman"/>
        </w:rPr>
        <w:drawing>
          <wp:inline distT="0" distB="0" distL="0" distR="0">
            <wp:extent cx="3042285" cy="1804035"/>
            <wp:effectExtent l="0" t="0" r="0" b="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center"/>
        <w:rPr>
          <w:rFonts w:eastAsia="仿宋"/>
          <w:sz w:val="32"/>
          <w:szCs w:val="32"/>
        </w:rPr>
      </w:pPr>
      <w:r>
        <w:rPr>
          <w:rFonts w:eastAsia="仿宋"/>
          <w:sz w:val="32"/>
          <w:szCs w:val="32"/>
        </w:rPr>
        <w:t>图2：收入决算结构图</w:t>
      </w:r>
    </w:p>
    <w:p>
      <w:pPr>
        <w:pStyle w:val="23"/>
        <w:numPr>
          <w:ilvl w:val="0"/>
          <w:numId w:val="1"/>
        </w:numPr>
        <w:spacing w:line="600" w:lineRule="exact"/>
        <w:ind w:firstLineChars="0"/>
        <w:outlineLvl w:val="1"/>
        <w:rPr>
          <w:rStyle w:val="25"/>
          <w:rFonts w:ascii="Times New Roman" w:hAnsi="Times New Roman" w:eastAsia="黑体" w:cs="Times New Roman"/>
          <w:b w:val="0"/>
        </w:rPr>
      </w:pPr>
      <w:bookmarkStart w:id="22" w:name="_Toc15377207"/>
      <w:bookmarkStart w:id="23" w:name="_Toc15396605"/>
      <w:r>
        <w:rPr>
          <w:rFonts w:eastAsia="黑体"/>
          <w:sz w:val="32"/>
          <w:szCs w:val="32"/>
        </w:rPr>
        <w:t>支</w:t>
      </w:r>
      <w:r>
        <w:rPr>
          <w:rStyle w:val="25"/>
          <w:rFonts w:ascii="Times New Roman" w:hAnsi="Times New Roman" w:eastAsia="黑体" w:cs="Times New Roman"/>
          <w:b w:val="0"/>
        </w:rPr>
        <w:t>出决算情况说明</w:t>
      </w:r>
      <w:bookmarkEnd w:id="22"/>
      <w:bookmarkEnd w:id="23"/>
    </w:p>
    <w:p>
      <w:pPr>
        <w:spacing w:line="600" w:lineRule="exact"/>
        <w:ind w:firstLine="640" w:firstLineChars="200"/>
        <w:outlineLvl w:val="1"/>
        <w:rPr>
          <w:rFonts w:eastAsia="仿宋_GB2312"/>
          <w:sz w:val="32"/>
          <w:szCs w:val="32"/>
        </w:rPr>
      </w:pPr>
      <w:r>
        <w:rPr>
          <w:rFonts w:eastAsia="仿宋_GB2312"/>
          <w:sz w:val="32"/>
          <w:szCs w:val="32"/>
        </w:rPr>
        <w:t>2021年本年支出合计13937.51万元，其中：基本支出406万元，占2.91%；项目支出13531.51万元，占97.09%。</w:t>
      </w:r>
    </w:p>
    <w:p>
      <w:pPr>
        <w:pStyle w:val="2"/>
        <w:spacing w:before="93"/>
        <w:jc w:val="center"/>
        <w:rPr>
          <w:rFonts w:ascii="Times New Roman"/>
        </w:rPr>
      </w:pPr>
      <w:r>
        <w:rPr>
          <w:rFonts w:ascii="Times New Roman"/>
        </w:rPr>
        <w:drawing>
          <wp:inline distT="0" distB="0" distL="0" distR="0">
            <wp:extent cx="4572000" cy="2743200"/>
            <wp:effectExtent l="19050" t="0" r="0" b="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jc w:val="center"/>
        <w:rPr>
          <w:rFonts w:eastAsia="仿宋"/>
          <w:sz w:val="32"/>
          <w:szCs w:val="32"/>
        </w:rPr>
      </w:pPr>
      <w:r>
        <w:rPr>
          <w:rFonts w:eastAsia="仿宋"/>
          <w:sz w:val="32"/>
          <w:szCs w:val="32"/>
        </w:rPr>
        <w:t>图3：支出决算结构图</w:t>
      </w:r>
    </w:p>
    <w:p>
      <w:pPr>
        <w:spacing w:line="600" w:lineRule="exact"/>
        <w:ind w:firstLine="640" w:firstLineChars="200"/>
        <w:outlineLvl w:val="1"/>
        <w:rPr>
          <w:rStyle w:val="25"/>
          <w:rFonts w:ascii="Times New Roman" w:hAnsi="Times New Roman" w:eastAsia="黑体" w:cs="Times New Roman"/>
          <w:b w:val="0"/>
        </w:rPr>
      </w:pPr>
      <w:bookmarkStart w:id="24" w:name="_Toc15377208"/>
      <w:bookmarkStart w:id="25" w:name="_Toc15396606"/>
      <w:r>
        <w:rPr>
          <w:rFonts w:eastAsia="黑体"/>
          <w:sz w:val="32"/>
          <w:szCs w:val="32"/>
        </w:rPr>
        <w:t>四、财</w:t>
      </w:r>
      <w:r>
        <w:rPr>
          <w:rStyle w:val="25"/>
          <w:rFonts w:ascii="Times New Roman" w:hAnsi="Times New Roman" w:eastAsia="黑体" w:cs="Times New Roman"/>
          <w:b w:val="0"/>
        </w:rPr>
        <w:t>政拨款收入支出决算总体情况说明</w:t>
      </w:r>
      <w:bookmarkEnd w:id="24"/>
      <w:bookmarkEnd w:id="25"/>
    </w:p>
    <w:p>
      <w:pPr>
        <w:spacing w:line="600" w:lineRule="exact"/>
        <w:ind w:firstLine="640"/>
        <w:rPr>
          <w:rFonts w:eastAsia="仿宋_GB2312"/>
          <w:sz w:val="32"/>
          <w:szCs w:val="32"/>
        </w:rPr>
      </w:pPr>
      <w:r>
        <w:rPr>
          <w:rFonts w:eastAsia="仿宋_GB2312"/>
          <w:sz w:val="32"/>
          <w:szCs w:val="32"/>
        </w:rPr>
        <w:t>2021年财政拨款收、支总计13937.51万元。与2020年相比，财政拨款收、支总计各减少4400.19万元，下降24%。主要变动原因是受新冠肺炎疫情影响，部分考试取消或延期，人事考试考点工作经费、考试考务费减少。</w:t>
      </w:r>
    </w:p>
    <w:p>
      <w:pPr>
        <w:pStyle w:val="2"/>
        <w:spacing w:before="93"/>
        <w:rPr>
          <w:rFonts w:ascii="Times New Roman"/>
        </w:rPr>
      </w:pPr>
      <w:r>
        <w:rPr>
          <w:rFonts w:ascii="Times New Roman"/>
        </w:rPr>
        <w:drawing>
          <wp:inline distT="0" distB="0" distL="0" distR="0">
            <wp:extent cx="4735195" cy="2045970"/>
            <wp:effectExtent l="0" t="0" r="0" b="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560" w:firstLineChars="200"/>
        <w:jc w:val="center"/>
        <w:rPr>
          <w:rFonts w:eastAsia="仿宋"/>
          <w:sz w:val="28"/>
          <w:szCs w:val="28"/>
        </w:rPr>
      </w:pPr>
      <w:r>
        <w:rPr>
          <w:rFonts w:eastAsia="仿宋"/>
          <w:sz w:val="28"/>
          <w:szCs w:val="28"/>
        </w:rPr>
        <w:t>图4：财政拨款收、支决算总计变动情况</w:t>
      </w:r>
    </w:p>
    <w:p>
      <w:pPr>
        <w:spacing w:line="560" w:lineRule="exact"/>
        <w:ind w:firstLine="640" w:firstLineChars="200"/>
        <w:outlineLvl w:val="1"/>
        <w:rPr>
          <w:rStyle w:val="25"/>
          <w:rFonts w:ascii="Times New Roman" w:hAnsi="Times New Roman" w:eastAsia="黑体" w:cs="Times New Roman"/>
          <w:b w:val="0"/>
        </w:rPr>
      </w:pPr>
      <w:bookmarkStart w:id="26" w:name="_Toc15396607"/>
      <w:bookmarkStart w:id="27" w:name="_Toc15377209"/>
      <w:r>
        <w:rPr>
          <w:rFonts w:eastAsia="黑体"/>
          <w:sz w:val="32"/>
          <w:szCs w:val="32"/>
        </w:rPr>
        <w:t>五、一</w:t>
      </w:r>
      <w:r>
        <w:rPr>
          <w:rStyle w:val="25"/>
          <w:rFonts w:ascii="Times New Roman" w:hAnsi="Times New Roman" w:eastAsia="黑体" w:cs="Times New Roman"/>
          <w:b w:val="0"/>
        </w:rPr>
        <w:t>般公共预算财政拨款支出决算情况说明</w:t>
      </w:r>
      <w:bookmarkEnd w:id="26"/>
      <w:bookmarkEnd w:id="27"/>
    </w:p>
    <w:p>
      <w:pPr>
        <w:spacing w:line="560" w:lineRule="exact"/>
        <w:ind w:firstLine="640" w:firstLineChars="200"/>
        <w:outlineLvl w:val="2"/>
        <w:rPr>
          <w:rFonts w:eastAsia="楷体_GB2312"/>
          <w:sz w:val="32"/>
          <w:szCs w:val="32"/>
        </w:rPr>
      </w:pPr>
      <w:bookmarkStart w:id="28" w:name="_Toc15377210"/>
      <w:r>
        <w:rPr>
          <w:rFonts w:eastAsia="楷体_GB2312"/>
          <w:sz w:val="32"/>
          <w:szCs w:val="32"/>
        </w:rPr>
        <w:t>（一）一般公共预算财政拨款支出决算总体情况</w:t>
      </w:r>
      <w:bookmarkEnd w:id="28"/>
    </w:p>
    <w:p>
      <w:pPr>
        <w:spacing w:line="560" w:lineRule="exact"/>
        <w:ind w:firstLine="640" w:firstLineChars="200"/>
        <w:rPr>
          <w:rFonts w:eastAsia="仿宋_GB2312"/>
          <w:sz w:val="32"/>
          <w:szCs w:val="32"/>
        </w:rPr>
      </w:pPr>
      <w:r>
        <w:rPr>
          <w:rFonts w:eastAsia="仿宋_GB2312"/>
          <w:sz w:val="32"/>
          <w:szCs w:val="32"/>
        </w:rPr>
        <w:t>2021年一般公共预算财政拨款支出13937.51万元，占本年支出合计的100%。与2020年相比，一般公共预算财政拨款支出减少4400.19万元，下降24%。主要变动原因是受新冠肺炎疫情影响，部分考试取消或延期，人事考试考点工作经费、考试考务费减少。</w:t>
      </w:r>
    </w:p>
    <w:p>
      <w:pPr>
        <w:pStyle w:val="2"/>
        <w:spacing w:before="93"/>
        <w:rPr>
          <w:rFonts w:ascii="Times New Roman"/>
        </w:rPr>
      </w:pPr>
      <w:r>
        <w:rPr>
          <w:rFonts w:ascii="Times New Roman"/>
        </w:rPr>
        <w:drawing>
          <wp:inline distT="0" distB="0" distL="0" distR="0">
            <wp:extent cx="4201795" cy="1545590"/>
            <wp:effectExtent l="0" t="0" r="0" b="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560" w:firstLineChars="200"/>
        <w:jc w:val="center"/>
        <w:rPr>
          <w:rFonts w:eastAsia="仿宋_GB2312"/>
          <w:sz w:val="28"/>
          <w:szCs w:val="28"/>
        </w:rPr>
      </w:pPr>
      <w:r>
        <w:rPr>
          <w:rFonts w:eastAsia="仿宋_GB2312"/>
          <w:sz w:val="28"/>
          <w:szCs w:val="28"/>
        </w:rPr>
        <w:t>图5：一般公共预算财政拨款支出决算变动情况</w:t>
      </w:r>
    </w:p>
    <w:p>
      <w:pPr>
        <w:spacing w:line="600" w:lineRule="exact"/>
        <w:ind w:firstLine="640" w:firstLineChars="200"/>
        <w:outlineLvl w:val="2"/>
        <w:rPr>
          <w:rFonts w:eastAsia="楷体_GB2312"/>
          <w:sz w:val="32"/>
          <w:szCs w:val="32"/>
        </w:rPr>
      </w:pPr>
      <w:bookmarkStart w:id="29" w:name="_Toc15377211"/>
      <w:r>
        <w:rPr>
          <w:rFonts w:eastAsia="楷体_GB2312"/>
          <w:sz w:val="32"/>
          <w:szCs w:val="32"/>
        </w:rPr>
        <w:t>（二）一般公共预算财政拨款支出决算结构情况</w:t>
      </w:r>
      <w:bookmarkEnd w:id="29"/>
    </w:p>
    <w:p>
      <w:pPr>
        <w:spacing w:line="600" w:lineRule="exact"/>
        <w:ind w:firstLine="640"/>
        <w:rPr>
          <w:rFonts w:eastAsia="仿宋_GB2312"/>
          <w:b/>
          <w:sz w:val="32"/>
          <w:szCs w:val="32"/>
        </w:rPr>
      </w:pPr>
      <w:r>
        <w:rPr>
          <w:rFonts w:eastAsia="仿宋_GB2312"/>
          <w:sz w:val="32"/>
          <w:szCs w:val="32"/>
        </w:rPr>
        <w:t>2021年一般公共预算财政拨款支出13937.51万元，主要用于以下方面:</w:t>
      </w:r>
      <w:r>
        <w:rPr>
          <w:rFonts w:eastAsia="仿宋_GB2312"/>
          <w:b/>
          <w:sz w:val="32"/>
          <w:szCs w:val="32"/>
        </w:rPr>
        <w:t>教育（类）</w:t>
      </w:r>
      <w:r>
        <w:rPr>
          <w:rFonts w:eastAsia="仿宋_GB2312"/>
          <w:sz w:val="32"/>
          <w:szCs w:val="32"/>
        </w:rPr>
        <w:t>支出6.13万元，占0.04%；</w:t>
      </w:r>
      <w:r>
        <w:rPr>
          <w:rFonts w:eastAsia="仿宋_GB2312"/>
          <w:b/>
          <w:sz w:val="32"/>
          <w:szCs w:val="32"/>
        </w:rPr>
        <w:t>社会保障和就业（类）</w:t>
      </w:r>
      <w:r>
        <w:rPr>
          <w:rFonts w:eastAsia="仿宋_GB2312"/>
          <w:sz w:val="32"/>
          <w:szCs w:val="32"/>
        </w:rPr>
        <w:t>支出13843.06万元，占99.32%；</w:t>
      </w:r>
      <w:r>
        <w:rPr>
          <w:rFonts w:eastAsia="仿宋_GB2312"/>
          <w:b/>
          <w:bCs/>
          <w:sz w:val="32"/>
          <w:szCs w:val="32"/>
        </w:rPr>
        <w:t>卫生健康</w:t>
      </w:r>
      <w:r>
        <w:rPr>
          <w:rFonts w:eastAsia="仿宋_GB2312"/>
          <w:b/>
          <w:sz w:val="32"/>
          <w:szCs w:val="32"/>
        </w:rPr>
        <w:t>（类）</w:t>
      </w:r>
      <w:r>
        <w:rPr>
          <w:rFonts w:eastAsia="仿宋_GB2312"/>
          <w:bCs/>
          <w:sz w:val="32"/>
          <w:szCs w:val="32"/>
        </w:rPr>
        <w:t>支出</w:t>
      </w:r>
      <w:r>
        <w:rPr>
          <w:rFonts w:eastAsia="仿宋_GB2312"/>
          <w:sz w:val="32"/>
          <w:szCs w:val="32"/>
        </w:rPr>
        <w:t>37.09万元，占0.27%；</w:t>
      </w:r>
      <w:r>
        <w:rPr>
          <w:rFonts w:eastAsia="仿宋_GB2312"/>
          <w:b/>
          <w:bCs/>
          <w:sz w:val="32"/>
          <w:szCs w:val="32"/>
        </w:rPr>
        <w:t>住房保障（类）</w:t>
      </w:r>
      <w:r>
        <w:rPr>
          <w:rFonts w:eastAsia="仿宋_GB2312"/>
          <w:bCs/>
          <w:sz w:val="32"/>
          <w:szCs w:val="32"/>
        </w:rPr>
        <w:t>支出</w:t>
      </w:r>
      <w:r>
        <w:rPr>
          <w:rFonts w:eastAsia="仿宋_GB2312"/>
          <w:sz w:val="32"/>
          <w:szCs w:val="32"/>
        </w:rPr>
        <w:t>51.23万元，占0.37%。</w:t>
      </w:r>
    </w:p>
    <w:p>
      <w:pPr>
        <w:pStyle w:val="2"/>
        <w:spacing w:before="93"/>
        <w:jc w:val="center"/>
        <w:rPr>
          <w:rFonts w:ascii="Times New Roman"/>
        </w:rPr>
      </w:pPr>
      <w:r>
        <w:rPr>
          <w:rFonts w:ascii="Times New Roman"/>
        </w:rPr>
        <w:drawing>
          <wp:inline distT="0" distB="0" distL="0" distR="0">
            <wp:extent cx="4572000" cy="3019425"/>
            <wp:effectExtent l="19050" t="0" r="0" b="0"/>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560" w:firstLineChars="200"/>
        <w:jc w:val="center"/>
        <w:rPr>
          <w:rFonts w:eastAsia="仿宋_GB2312"/>
          <w:sz w:val="28"/>
          <w:szCs w:val="28"/>
        </w:rPr>
      </w:pPr>
      <w:r>
        <w:rPr>
          <w:rFonts w:eastAsia="仿宋_GB2312"/>
          <w:sz w:val="28"/>
          <w:szCs w:val="28"/>
        </w:rPr>
        <w:t>图6：一般公共预算财政拨款支出决算结构</w:t>
      </w:r>
    </w:p>
    <w:p>
      <w:pPr>
        <w:spacing w:line="600" w:lineRule="exact"/>
        <w:ind w:firstLine="640" w:firstLineChars="200"/>
        <w:outlineLvl w:val="2"/>
        <w:rPr>
          <w:rFonts w:eastAsia="楷体_GB2312"/>
          <w:sz w:val="32"/>
          <w:szCs w:val="32"/>
        </w:rPr>
      </w:pPr>
      <w:bookmarkStart w:id="30" w:name="_Toc15377212"/>
      <w:r>
        <w:rPr>
          <w:rFonts w:eastAsia="楷体_GB2312"/>
          <w:sz w:val="32"/>
          <w:szCs w:val="32"/>
        </w:rPr>
        <w:t>（三）一般公共预算财政拨款支出决算具体情况</w:t>
      </w:r>
      <w:bookmarkEnd w:id="30"/>
    </w:p>
    <w:p>
      <w:pPr>
        <w:spacing w:line="600" w:lineRule="exact"/>
        <w:ind w:firstLine="642" w:firstLineChars="200"/>
        <w:outlineLvl w:val="2"/>
        <w:rPr>
          <w:rFonts w:eastAsia="仿宋_GB2312"/>
          <w:sz w:val="32"/>
          <w:szCs w:val="32"/>
        </w:rPr>
      </w:pPr>
      <w:bookmarkStart w:id="31" w:name="_Toc15377213"/>
      <w:bookmarkStart w:id="32" w:name="_Toc15377444"/>
      <w:bookmarkStart w:id="33" w:name="_Toc15378460"/>
      <w:r>
        <w:rPr>
          <w:rFonts w:eastAsia="仿宋_GB2312"/>
          <w:b/>
          <w:sz w:val="32"/>
          <w:szCs w:val="32"/>
        </w:rPr>
        <w:t>2021年一般公共预算支出决算数为13937.51万元</w:t>
      </w:r>
      <w:r>
        <w:rPr>
          <w:rFonts w:eastAsia="仿宋_GB2312"/>
          <w:sz w:val="32"/>
          <w:szCs w:val="32"/>
        </w:rPr>
        <w:t>，</w:t>
      </w:r>
      <w:r>
        <w:rPr>
          <w:rStyle w:val="14"/>
          <w:rFonts w:eastAsia="仿宋_GB2312"/>
          <w:bCs/>
          <w:sz w:val="32"/>
          <w:szCs w:val="32"/>
        </w:rPr>
        <w:t>完成预算96.53%。其中：</w:t>
      </w:r>
      <w:bookmarkEnd w:id="31"/>
      <w:bookmarkEnd w:id="32"/>
      <w:bookmarkEnd w:id="33"/>
    </w:p>
    <w:p>
      <w:pPr>
        <w:spacing w:line="600" w:lineRule="exact"/>
        <w:ind w:firstLine="642" w:firstLineChars="200"/>
        <w:rPr>
          <w:rStyle w:val="14"/>
          <w:rFonts w:eastAsia="仿宋_GB2312"/>
          <w:bCs/>
        </w:rPr>
      </w:pPr>
      <w:r>
        <w:rPr>
          <w:rStyle w:val="14"/>
          <w:rFonts w:eastAsia="仿宋_GB2312"/>
          <w:bCs/>
          <w:sz w:val="32"/>
          <w:szCs w:val="32"/>
        </w:rPr>
        <w:t>1.教育（类）进修及培训（款）培训支出（项）:</w:t>
      </w:r>
      <w:r>
        <w:rPr>
          <w:rStyle w:val="14"/>
          <w:rFonts w:eastAsia="仿宋_GB2312"/>
          <w:b w:val="0"/>
          <w:bCs/>
          <w:sz w:val="32"/>
          <w:szCs w:val="32"/>
        </w:rPr>
        <w:t>支出决算为6.13万元，完成预算92.88%，决算数小于预算数的主要原因是</w:t>
      </w:r>
      <w:r>
        <w:rPr>
          <w:rFonts w:eastAsia="仿宋_GB2312"/>
          <w:color w:val="000000"/>
          <w:sz w:val="32"/>
          <w:szCs w:val="32"/>
        </w:rPr>
        <w:t>厉行节约，压减了</w:t>
      </w:r>
      <w:r>
        <w:rPr>
          <w:rFonts w:eastAsia="仿宋_GB2312"/>
          <w:sz w:val="32"/>
          <w:szCs w:val="32"/>
        </w:rPr>
        <w:t>培训支出</w:t>
      </w:r>
      <w:r>
        <w:rPr>
          <w:rStyle w:val="14"/>
          <w:rFonts w:eastAsia="仿宋_GB2312"/>
          <w:b w:val="0"/>
          <w:bCs/>
          <w:sz w:val="32"/>
          <w:szCs w:val="32"/>
        </w:rPr>
        <w:t>。</w:t>
      </w:r>
    </w:p>
    <w:p>
      <w:pPr>
        <w:spacing w:line="600" w:lineRule="exact"/>
        <w:ind w:firstLine="642" w:firstLineChars="200"/>
        <w:rPr>
          <w:rStyle w:val="14"/>
          <w:rFonts w:eastAsia="仿宋_GB2312"/>
          <w:b w:val="0"/>
          <w:bCs/>
          <w:sz w:val="32"/>
          <w:szCs w:val="32"/>
        </w:rPr>
      </w:pPr>
      <w:r>
        <w:rPr>
          <w:rStyle w:val="14"/>
          <w:rFonts w:eastAsia="仿宋_GB2312"/>
          <w:bCs/>
          <w:sz w:val="32"/>
          <w:szCs w:val="32"/>
        </w:rPr>
        <w:t>2.社会保障和就业（类）人力资源和社会保障管理事务（款）事业运行（项）:</w:t>
      </w:r>
      <w:r>
        <w:rPr>
          <w:rStyle w:val="14"/>
          <w:rFonts w:eastAsia="仿宋_GB2312"/>
          <w:b w:val="0"/>
          <w:bCs/>
          <w:sz w:val="32"/>
          <w:szCs w:val="32"/>
        </w:rPr>
        <w:t>支出决算为237.65万元，完成预算92.64%，决算数小于预算数的主要原因是贯彻落实中央和省委省政府厉行节约要求，加强单位日常经费管理。</w:t>
      </w:r>
    </w:p>
    <w:p>
      <w:pPr>
        <w:spacing w:line="600" w:lineRule="exact"/>
        <w:ind w:firstLine="642" w:firstLineChars="200"/>
        <w:rPr>
          <w:rStyle w:val="14"/>
          <w:rFonts w:eastAsia="仿宋_GB2312"/>
          <w:b w:val="0"/>
          <w:bCs/>
          <w:sz w:val="32"/>
          <w:szCs w:val="32"/>
        </w:rPr>
      </w:pPr>
      <w:r>
        <w:rPr>
          <w:rStyle w:val="14"/>
          <w:rFonts w:eastAsia="仿宋_GB2312"/>
          <w:bCs/>
          <w:sz w:val="32"/>
          <w:szCs w:val="32"/>
        </w:rPr>
        <w:t xml:space="preserve"> 社会保障和就业（类）人力资源和社会保障管理事务（款）其他人力资源和社会保障管理事务支出（项）:</w:t>
      </w:r>
      <w:r>
        <w:rPr>
          <w:rStyle w:val="14"/>
          <w:rFonts w:eastAsia="仿宋_GB2312"/>
          <w:b w:val="0"/>
          <w:bCs/>
          <w:sz w:val="32"/>
          <w:szCs w:val="32"/>
        </w:rPr>
        <w:t>支出决算为13563.95万元，完成预算96.59%，决算数与预算数基本持平。</w:t>
      </w:r>
    </w:p>
    <w:p>
      <w:pPr>
        <w:spacing w:line="600" w:lineRule="exact"/>
        <w:ind w:firstLine="642" w:firstLineChars="200"/>
        <w:rPr>
          <w:rStyle w:val="14"/>
          <w:rFonts w:eastAsia="仿宋_GB2312"/>
          <w:b w:val="0"/>
          <w:bCs/>
          <w:sz w:val="32"/>
          <w:szCs w:val="32"/>
        </w:rPr>
      </w:pPr>
      <w:r>
        <w:rPr>
          <w:rStyle w:val="14"/>
          <w:rFonts w:eastAsia="仿宋_GB2312"/>
          <w:bCs/>
          <w:sz w:val="32"/>
          <w:szCs w:val="32"/>
        </w:rPr>
        <w:t>社会保障和就业（类）行政事业单位养老支出（款）事业单位离退休（项）:</w:t>
      </w:r>
      <w:r>
        <w:rPr>
          <w:rStyle w:val="14"/>
          <w:rFonts w:eastAsia="仿宋_GB2312"/>
          <w:b w:val="0"/>
          <w:bCs/>
          <w:sz w:val="32"/>
          <w:szCs w:val="32"/>
        </w:rPr>
        <w:t>支出决算为4.47万元，完成预算100%。</w:t>
      </w:r>
    </w:p>
    <w:p>
      <w:pPr>
        <w:spacing w:line="600" w:lineRule="exact"/>
        <w:ind w:firstLine="642" w:firstLineChars="200"/>
        <w:rPr>
          <w:rStyle w:val="14"/>
          <w:rFonts w:eastAsia="仿宋_GB2312"/>
          <w:b w:val="0"/>
          <w:bCs/>
          <w:sz w:val="32"/>
          <w:szCs w:val="32"/>
        </w:rPr>
      </w:pPr>
      <w:r>
        <w:rPr>
          <w:rStyle w:val="14"/>
          <w:rFonts w:eastAsia="仿宋_GB2312"/>
          <w:bCs/>
          <w:sz w:val="32"/>
          <w:szCs w:val="32"/>
        </w:rPr>
        <w:t>社会保障和就业（类）行政事业单位养老支出（款）机关事业单位基本养老保险缴费支出（项）:</w:t>
      </w:r>
      <w:r>
        <w:rPr>
          <w:rStyle w:val="14"/>
          <w:rFonts w:eastAsia="仿宋_GB2312"/>
          <w:b w:val="0"/>
          <w:bCs/>
          <w:sz w:val="32"/>
          <w:szCs w:val="32"/>
        </w:rPr>
        <w:t>支出决算为24.63万元，完成预算97.93%，决算数与预算数基本持平。</w:t>
      </w:r>
    </w:p>
    <w:p>
      <w:pPr>
        <w:spacing w:line="600" w:lineRule="exact"/>
        <w:ind w:firstLine="642" w:firstLineChars="200"/>
        <w:rPr>
          <w:rStyle w:val="14"/>
          <w:rFonts w:eastAsia="仿宋_GB2312"/>
          <w:b w:val="0"/>
          <w:bCs/>
          <w:sz w:val="32"/>
          <w:szCs w:val="32"/>
        </w:rPr>
      </w:pPr>
      <w:r>
        <w:rPr>
          <w:rStyle w:val="14"/>
          <w:rFonts w:eastAsia="仿宋_GB2312"/>
          <w:bCs/>
          <w:sz w:val="32"/>
          <w:szCs w:val="32"/>
        </w:rPr>
        <w:t>社会保障和就业（类）行政事业单位养老支出（款）机关事业单位职业年金缴费支出（项）:</w:t>
      </w:r>
      <w:r>
        <w:rPr>
          <w:rStyle w:val="14"/>
          <w:rFonts w:eastAsia="仿宋_GB2312"/>
          <w:b w:val="0"/>
          <w:bCs/>
          <w:sz w:val="32"/>
          <w:szCs w:val="32"/>
        </w:rPr>
        <w:t>支出决算为12.36万元，完成预算93%，决算数小于预算数的主要原因是人员变动所致。</w:t>
      </w:r>
    </w:p>
    <w:p>
      <w:pPr>
        <w:spacing w:line="600" w:lineRule="exact"/>
        <w:ind w:firstLine="642" w:firstLineChars="200"/>
        <w:rPr>
          <w:rFonts w:eastAsia="仿宋_GB2312"/>
          <w:b/>
          <w:sz w:val="32"/>
          <w:szCs w:val="32"/>
        </w:rPr>
      </w:pPr>
      <w:r>
        <w:rPr>
          <w:rStyle w:val="14"/>
          <w:rFonts w:eastAsia="仿宋_GB2312"/>
          <w:bCs/>
          <w:sz w:val="32"/>
          <w:szCs w:val="32"/>
        </w:rPr>
        <w:t>3.</w:t>
      </w:r>
      <w:r>
        <w:rPr>
          <w:rFonts w:eastAsia="仿宋_GB2312"/>
          <w:b/>
          <w:bCs/>
          <w:sz w:val="32"/>
          <w:szCs w:val="32"/>
        </w:rPr>
        <w:t>卫生健康</w:t>
      </w:r>
      <w:r>
        <w:rPr>
          <w:rStyle w:val="14"/>
          <w:rFonts w:eastAsia="仿宋_GB2312"/>
          <w:bCs/>
          <w:sz w:val="32"/>
          <w:szCs w:val="32"/>
        </w:rPr>
        <w:t>（类）行政事业单位医疗（款）事业单位医疗（项）:</w:t>
      </w:r>
      <w:r>
        <w:rPr>
          <w:rStyle w:val="14"/>
          <w:rFonts w:eastAsia="仿宋_GB2312"/>
          <w:b w:val="0"/>
          <w:bCs/>
          <w:sz w:val="32"/>
          <w:szCs w:val="32"/>
        </w:rPr>
        <w:t>支出决算为37.09万元，完成预算98.62%，决算数与预算数基本持平。</w:t>
      </w:r>
    </w:p>
    <w:p>
      <w:pPr>
        <w:spacing w:line="600" w:lineRule="exact"/>
        <w:ind w:firstLine="642" w:firstLineChars="200"/>
        <w:rPr>
          <w:rStyle w:val="14"/>
          <w:rFonts w:eastAsia="仿宋_GB2312"/>
          <w:b w:val="0"/>
          <w:bCs/>
          <w:sz w:val="32"/>
          <w:szCs w:val="32"/>
        </w:rPr>
      </w:pPr>
      <w:r>
        <w:rPr>
          <w:rStyle w:val="14"/>
          <w:rFonts w:eastAsia="仿宋_GB2312"/>
          <w:bCs/>
          <w:sz w:val="32"/>
          <w:szCs w:val="32"/>
        </w:rPr>
        <w:t>4.</w:t>
      </w:r>
      <w:r>
        <w:rPr>
          <w:rFonts w:eastAsia="仿宋_GB2312"/>
          <w:b/>
          <w:bCs/>
          <w:sz w:val="32"/>
          <w:szCs w:val="32"/>
        </w:rPr>
        <w:t>住房保障</w:t>
      </w:r>
      <w:r>
        <w:rPr>
          <w:rStyle w:val="14"/>
          <w:rFonts w:eastAsia="仿宋_GB2312"/>
          <w:bCs/>
          <w:sz w:val="32"/>
          <w:szCs w:val="32"/>
        </w:rPr>
        <w:t>（类）住房改革支出（款）住房公积金（项）:</w:t>
      </w:r>
      <w:r>
        <w:rPr>
          <w:rStyle w:val="14"/>
          <w:rFonts w:eastAsia="仿宋_GB2312"/>
          <w:b w:val="0"/>
          <w:bCs/>
          <w:sz w:val="32"/>
          <w:szCs w:val="32"/>
        </w:rPr>
        <w:t>支出决算为39.95万元，完成预算97.58%，决算数与预算数基本持平。</w:t>
      </w:r>
    </w:p>
    <w:p>
      <w:pPr>
        <w:pStyle w:val="2"/>
        <w:spacing w:before="93"/>
        <w:rPr>
          <w:rFonts w:ascii="Times New Roman"/>
        </w:rPr>
      </w:pPr>
      <w:r>
        <w:rPr>
          <w:rFonts w:ascii="Times New Roman"/>
          <w:b/>
          <w:bCs/>
          <w:sz w:val="32"/>
          <w:szCs w:val="32"/>
        </w:rPr>
        <w:t xml:space="preserve">     住房保障</w:t>
      </w:r>
      <w:r>
        <w:rPr>
          <w:rStyle w:val="14"/>
          <w:rFonts w:ascii="Times New Roman"/>
          <w:bCs/>
          <w:sz w:val="32"/>
          <w:szCs w:val="32"/>
        </w:rPr>
        <w:t>（类）住房改革支出（款）购房补贴（项）:</w:t>
      </w:r>
      <w:r>
        <w:rPr>
          <w:rStyle w:val="14"/>
          <w:rFonts w:ascii="Times New Roman"/>
          <w:b w:val="0"/>
          <w:bCs/>
          <w:sz w:val="32"/>
          <w:szCs w:val="32"/>
        </w:rPr>
        <w:t>支出决算为11.28万元，完成预算100%。</w:t>
      </w:r>
    </w:p>
    <w:p>
      <w:pPr>
        <w:tabs>
          <w:tab w:val="right" w:pos="8306"/>
        </w:tabs>
        <w:spacing w:line="600" w:lineRule="exact"/>
        <w:ind w:firstLine="640"/>
        <w:outlineLvl w:val="1"/>
        <w:rPr>
          <w:rStyle w:val="25"/>
          <w:rFonts w:ascii="Times New Roman" w:hAnsi="Times New Roman" w:cs="Times New Roman"/>
        </w:rPr>
      </w:pPr>
      <w:bookmarkStart w:id="34" w:name="_Toc15377214"/>
      <w:bookmarkStart w:id="35" w:name="_Toc15396608"/>
      <w:r>
        <w:rPr>
          <w:rFonts w:eastAsia="黑体"/>
          <w:sz w:val="32"/>
          <w:szCs w:val="32"/>
        </w:rPr>
        <w:t>六</w:t>
      </w:r>
      <w:r>
        <w:rPr>
          <w:rFonts w:eastAsia="黑体"/>
          <w:b/>
          <w:sz w:val="32"/>
          <w:szCs w:val="32"/>
        </w:rPr>
        <w:t>、</w:t>
      </w:r>
      <w:r>
        <w:rPr>
          <w:rFonts w:eastAsia="黑体"/>
          <w:sz w:val="32"/>
          <w:szCs w:val="32"/>
        </w:rPr>
        <w:t>一</w:t>
      </w:r>
      <w:r>
        <w:rPr>
          <w:rStyle w:val="25"/>
          <w:rFonts w:ascii="Times New Roman" w:hAnsi="Times New Roman" w:eastAsia="黑体" w:cs="Times New Roman"/>
          <w:b w:val="0"/>
        </w:rPr>
        <w:t>般公共预算财政拨款基本支出决算情况说明</w:t>
      </w:r>
      <w:bookmarkEnd w:id="34"/>
      <w:bookmarkEnd w:id="35"/>
      <w:r>
        <w:rPr>
          <w:rStyle w:val="25"/>
          <w:rFonts w:ascii="Times New Roman" w:hAnsi="Times New Roman" w:eastAsia="黑体" w:cs="Times New Roman"/>
          <w:b w:val="0"/>
        </w:rPr>
        <w:tab/>
      </w:r>
    </w:p>
    <w:p>
      <w:pPr>
        <w:spacing w:line="600" w:lineRule="exact"/>
        <w:ind w:firstLine="645"/>
        <w:rPr>
          <w:rFonts w:eastAsia="仿宋_GB2312"/>
          <w:sz w:val="32"/>
          <w:szCs w:val="32"/>
        </w:rPr>
      </w:pPr>
      <w:r>
        <w:rPr>
          <w:rFonts w:eastAsia="仿宋_GB2312"/>
          <w:sz w:val="32"/>
          <w:szCs w:val="32"/>
        </w:rPr>
        <w:t>2021年一般公共预算财政拨款基本支出406万元，其中：</w:t>
      </w:r>
    </w:p>
    <w:p>
      <w:pPr>
        <w:spacing w:line="600" w:lineRule="exact"/>
        <w:ind w:firstLine="645"/>
        <w:rPr>
          <w:rFonts w:eastAsia="仿宋_GB2312"/>
          <w:sz w:val="32"/>
          <w:szCs w:val="32"/>
        </w:rPr>
      </w:pPr>
      <w:r>
        <w:rPr>
          <w:rFonts w:eastAsia="仿宋_GB2312"/>
          <w:sz w:val="32"/>
          <w:szCs w:val="32"/>
        </w:rPr>
        <w:t>人员经费338.72万元，主要包括：基本工资、津贴补贴、绩效工资、机关事业单位基本养老保险缴费、职业年金缴费、职工基本医疗保险缴费、其他社会保障缴费、其他工资福利支出、奖励金、住房公积金、其他对个人和家庭的补助支出。</w:t>
      </w:r>
    </w:p>
    <w:p>
      <w:pPr>
        <w:spacing w:line="600" w:lineRule="exact"/>
        <w:ind w:firstLine="645"/>
        <w:rPr>
          <w:rFonts w:eastAsia="仿宋_GB2312"/>
          <w:sz w:val="32"/>
          <w:szCs w:val="32"/>
        </w:rPr>
      </w:pPr>
      <w:r>
        <w:rPr>
          <w:rFonts w:eastAsia="仿宋_GB2312"/>
          <w:sz w:val="32"/>
          <w:szCs w:val="32"/>
        </w:rPr>
        <w:t>公用经费67.28万元，主要包括：办公费、手续费、水费、电费、邮电费、物业管理费、差旅费、会议费、培训费、公务接待费、工会经费、福利费、公务用车运行维护费、其他交通费、其他商品和服务支出。</w:t>
      </w:r>
    </w:p>
    <w:p>
      <w:pPr>
        <w:spacing w:line="600" w:lineRule="exact"/>
        <w:ind w:firstLine="640"/>
        <w:outlineLvl w:val="1"/>
        <w:rPr>
          <w:rStyle w:val="25"/>
          <w:rFonts w:ascii="Times New Roman" w:hAnsi="Times New Roman" w:eastAsia="黑体" w:cs="Times New Roman"/>
          <w:b w:val="0"/>
        </w:rPr>
      </w:pPr>
      <w:bookmarkStart w:id="36" w:name="_Toc15377215"/>
      <w:bookmarkStart w:id="37" w:name="_Toc15396609"/>
      <w:r>
        <w:rPr>
          <w:rFonts w:eastAsia="黑体"/>
          <w:sz w:val="32"/>
          <w:szCs w:val="32"/>
        </w:rPr>
        <w:t>七、</w:t>
      </w:r>
      <w:r>
        <w:rPr>
          <w:rStyle w:val="25"/>
          <w:rFonts w:ascii="Times New Roman" w:hAnsi="Times New Roman" w:eastAsia="黑体" w:cs="Times New Roman"/>
        </w:rPr>
        <w:t>“</w:t>
      </w:r>
      <w:r>
        <w:rPr>
          <w:rStyle w:val="25"/>
          <w:rFonts w:ascii="Times New Roman" w:hAnsi="Times New Roman" w:eastAsia="黑体" w:cs="Times New Roman"/>
          <w:b w:val="0"/>
        </w:rPr>
        <w:t>三公”经费财政拨款支出决算情况说明</w:t>
      </w:r>
      <w:bookmarkEnd w:id="36"/>
      <w:bookmarkEnd w:id="37"/>
    </w:p>
    <w:p>
      <w:pPr>
        <w:spacing w:line="600" w:lineRule="exact"/>
        <w:ind w:firstLine="640"/>
        <w:outlineLvl w:val="2"/>
        <w:rPr>
          <w:rFonts w:eastAsia="楷体_GB2312"/>
          <w:sz w:val="32"/>
          <w:szCs w:val="32"/>
        </w:rPr>
      </w:pPr>
      <w:bookmarkStart w:id="38" w:name="_Toc15377216"/>
      <w:r>
        <w:rPr>
          <w:rFonts w:eastAsia="楷体_GB2312"/>
          <w:sz w:val="32"/>
          <w:szCs w:val="32"/>
        </w:rPr>
        <w:t>（一）“三公”经费财政拨款支出决算总体情况说明</w:t>
      </w:r>
      <w:bookmarkEnd w:id="38"/>
    </w:p>
    <w:p>
      <w:pPr>
        <w:spacing w:line="600" w:lineRule="exact"/>
        <w:ind w:firstLine="640"/>
        <w:rPr>
          <w:rFonts w:eastAsia="仿宋_GB2312"/>
          <w:sz w:val="32"/>
          <w:szCs w:val="32"/>
        </w:rPr>
      </w:pPr>
      <w:r>
        <w:rPr>
          <w:rFonts w:eastAsia="仿宋_GB2312"/>
          <w:sz w:val="32"/>
          <w:szCs w:val="32"/>
        </w:rPr>
        <w:t>2021年“三公”经费财政拨款支出决算为6.53万元，完成预算59.91%，决算数小于预算数的主要原因是继续认真贯彻落实中央八项规定及省委省政府十项规定要求，厉行节约，从严控制“三公”经费支出，全年实际支出比预算有所节约。</w:t>
      </w:r>
    </w:p>
    <w:p>
      <w:pPr>
        <w:spacing w:line="600" w:lineRule="exact"/>
        <w:ind w:firstLine="640"/>
        <w:outlineLvl w:val="2"/>
        <w:rPr>
          <w:rFonts w:eastAsia="楷体_GB2312"/>
          <w:sz w:val="32"/>
          <w:szCs w:val="32"/>
        </w:rPr>
      </w:pPr>
      <w:bookmarkStart w:id="39" w:name="_Toc15377217"/>
      <w:r>
        <w:rPr>
          <w:rFonts w:eastAsia="楷体_GB2312"/>
          <w:sz w:val="32"/>
          <w:szCs w:val="32"/>
        </w:rPr>
        <w:t>（二）“三公”经费财政拨款支出决算具体情况说明</w:t>
      </w:r>
      <w:bookmarkEnd w:id="39"/>
    </w:p>
    <w:p>
      <w:pPr>
        <w:spacing w:line="600" w:lineRule="exact"/>
        <w:ind w:firstLine="640"/>
        <w:rPr>
          <w:rFonts w:eastAsia="仿宋_GB2312"/>
          <w:sz w:val="32"/>
          <w:szCs w:val="32"/>
        </w:rPr>
      </w:pPr>
      <w:r>
        <w:rPr>
          <w:rFonts w:eastAsia="仿宋_GB2312"/>
          <w:sz w:val="32"/>
          <w:szCs w:val="32"/>
        </w:rPr>
        <w:t>2021年“三公”经费财政拨款支出决算中，因公出国（境）经费支出决算0万元，占0%；公务用车购置及运行维护费支出决算6.28万元，占96.17%；公务接待费支出决算0.25万元，占3.83%。具体情况如下：</w:t>
      </w:r>
    </w:p>
    <w:p>
      <w:pPr>
        <w:pStyle w:val="2"/>
        <w:spacing w:before="93"/>
        <w:jc w:val="center"/>
        <w:rPr>
          <w:rFonts w:ascii="Times New Roman"/>
        </w:rPr>
      </w:pPr>
      <w:r>
        <w:rPr>
          <w:rFonts w:ascii="Times New Roman"/>
        </w:rPr>
        <w:drawing>
          <wp:inline distT="0" distB="0" distL="0" distR="0">
            <wp:extent cx="4572000" cy="3171825"/>
            <wp:effectExtent l="19050" t="0" r="0" b="0"/>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jc w:val="center"/>
        <w:rPr>
          <w:rFonts w:eastAsia="仿宋_GB2312"/>
          <w:sz w:val="28"/>
          <w:szCs w:val="28"/>
        </w:rPr>
      </w:pPr>
      <w:r>
        <w:rPr>
          <w:rFonts w:eastAsia="仿宋_GB2312"/>
          <w:sz w:val="28"/>
          <w:szCs w:val="28"/>
        </w:rPr>
        <w:t>图7：“三公”经费财政拨款支出结构</w:t>
      </w:r>
    </w:p>
    <w:p>
      <w:pPr>
        <w:spacing w:line="556" w:lineRule="exact"/>
        <w:ind w:firstLine="640"/>
        <w:rPr>
          <w:rFonts w:eastAsia="仿宋_GB2312"/>
          <w:b/>
          <w:sz w:val="32"/>
          <w:szCs w:val="32"/>
        </w:rPr>
      </w:pPr>
      <w:r>
        <w:rPr>
          <w:rFonts w:eastAsia="仿宋_GB2312"/>
          <w:b/>
          <w:sz w:val="32"/>
          <w:szCs w:val="32"/>
        </w:rPr>
        <w:t>1.因公出国（境）经费支出</w:t>
      </w:r>
      <w:r>
        <w:rPr>
          <w:rFonts w:eastAsia="仿宋_GB2312"/>
          <w:sz w:val="32"/>
          <w:szCs w:val="32"/>
        </w:rPr>
        <w:t>0万元，</w:t>
      </w:r>
      <w:r>
        <w:rPr>
          <w:rStyle w:val="14"/>
          <w:rFonts w:eastAsia="仿宋_GB2312"/>
          <w:b w:val="0"/>
          <w:bCs/>
          <w:sz w:val="32"/>
          <w:szCs w:val="32"/>
        </w:rPr>
        <w:t>完成预算100%。</w:t>
      </w:r>
      <w:r>
        <w:rPr>
          <w:rFonts w:eastAsia="仿宋_GB2312"/>
          <w:sz w:val="32"/>
          <w:szCs w:val="32"/>
        </w:rPr>
        <w:t>全年安排因公出国（境）团组0次，出国（境）0人。因公出国（境）支出决算与2020年持平。</w:t>
      </w:r>
    </w:p>
    <w:p>
      <w:pPr>
        <w:spacing w:line="556" w:lineRule="exact"/>
        <w:ind w:firstLine="640"/>
        <w:rPr>
          <w:rFonts w:eastAsia="仿宋_GB2312"/>
          <w:sz w:val="32"/>
          <w:szCs w:val="32"/>
        </w:rPr>
      </w:pPr>
      <w:r>
        <w:rPr>
          <w:rFonts w:eastAsia="仿宋_GB2312"/>
          <w:b/>
          <w:sz w:val="32"/>
          <w:szCs w:val="32"/>
        </w:rPr>
        <w:t>2.公务用车购置及运行维护费支出</w:t>
      </w:r>
      <w:r>
        <w:rPr>
          <w:rFonts w:eastAsia="仿宋_GB2312"/>
          <w:sz w:val="32"/>
          <w:szCs w:val="32"/>
        </w:rPr>
        <w:t>6.28万元，</w:t>
      </w:r>
      <w:r>
        <w:rPr>
          <w:rStyle w:val="14"/>
          <w:rFonts w:eastAsia="仿宋_GB2312"/>
          <w:b w:val="0"/>
          <w:bCs/>
          <w:sz w:val="32"/>
          <w:szCs w:val="32"/>
        </w:rPr>
        <w:t>完成预算79.49%。</w:t>
      </w:r>
      <w:r>
        <w:rPr>
          <w:rFonts w:eastAsia="仿宋_GB2312"/>
          <w:sz w:val="32"/>
          <w:szCs w:val="32"/>
        </w:rPr>
        <w:t>公务用车购置及运行维护费支出决算比2020年减少1.94万元，下降23.6%。主要原因是受新冠肺炎疫情影响，公务出行减少，相应减少公务车使用相关支出。</w:t>
      </w:r>
    </w:p>
    <w:p>
      <w:pPr>
        <w:spacing w:line="556" w:lineRule="exact"/>
        <w:ind w:firstLine="640" w:firstLineChars="20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0万元。全年按规定更新购置公务用车0辆。截至2021年12月底，单位共有公务用车2辆，其中：轿车1辆、载客汽车1辆。</w:t>
      </w:r>
    </w:p>
    <w:p>
      <w:pPr>
        <w:spacing w:line="556" w:lineRule="exact"/>
        <w:ind w:firstLine="640"/>
        <w:rPr>
          <w:rFonts w:eastAsia="仿宋_GB2312"/>
          <w:sz w:val="32"/>
          <w:szCs w:val="32"/>
        </w:rPr>
      </w:pPr>
      <w:r>
        <w:rPr>
          <w:rFonts w:eastAsia="仿宋_GB2312"/>
          <w:b/>
          <w:sz w:val="32"/>
          <w:szCs w:val="32"/>
        </w:rPr>
        <w:t>公务用车运行维护费支出</w:t>
      </w:r>
      <w:r>
        <w:rPr>
          <w:rFonts w:eastAsia="仿宋_GB2312"/>
          <w:sz w:val="32"/>
          <w:szCs w:val="32"/>
        </w:rPr>
        <w:t>6.28万元。主要用于执行公务活动、运送人事考试试卷等所需的公务用车燃料费、维修费、过路过桥费、保险费等支出。</w:t>
      </w:r>
    </w:p>
    <w:p>
      <w:pPr>
        <w:spacing w:line="556" w:lineRule="exact"/>
        <w:ind w:firstLine="640"/>
        <w:rPr>
          <w:rFonts w:eastAsia="仿宋_GB2312"/>
          <w:sz w:val="32"/>
          <w:szCs w:val="32"/>
        </w:rPr>
      </w:pPr>
      <w:r>
        <w:rPr>
          <w:rFonts w:eastAsia="仿宋_GB2312"/>
          <w:b/>
          <w:sz w:val="32"/>
          <w:szCs w:val="32"/>
        </w:rPr>
        <w:t>3.公务接待费支出</w:t>
      </w:r>
      <w:r>
        <w:rPr>
          <w:rFonts w:eastAsia="仿宋_GB2312"/>
          <w:sz w:val="32"/>
          <w:szCs w:val="32"/>
        </w:rPr>
        <w:t>0.25万元，</w:t>
      </w:r>
      <w:r>
        <w:rPr>
          <w:rStyle w:val="14"/>
          <w:rFonts w:eastAsia="仿宋_GB2312"/>
          <w:b w:val="0"/>
          <w:bCs/>
          <w:sz w:val="32"/>
          <w:szCs w:val="32"/>
        </w:rPr>
        <w:t>完成预算8.33%。</w:t>
      </w:r>
      <w:r>
        <w:rPr>
          <w:rFonts w:eastAsia="仿宋_GB2312"/>
          <w:sz w:val="32"/>
          <w:szCs w:val="32"/>
        </w:rPr>
        <w:t>公务接待费支出决算比2020年增加0.01万元，增长4.17%。主要原因是根据实际工作，接待批次及人次增加。其中：</w:t>
      </w:r>
    </w:p>
    <w:p>
      <w:pPr>
        <w:spacing w:line="556" w:lineRule="exact"/>
        <w:ind w:firstLine="640"/>
        <w:rPr>
          <w:rFonts w:eastAsia="仿宋_GB2312"/>
          <w:sz w:val="32"/>
          <w:szCs w:val="32"/>
        </w:rPr>
      </w:pPr>
      <w:r>
        <w:rPr>
          <w:rFonts w:eastAsia="仿宋_GB2312"/>
          <w:b/>
          <w:sz w:val="32"/>
          <w:szCs w:val="32"/>
        </w:rPr>
        <w:t>国内公务接待支出</w:t>
      </w:r>
      <w:r>
        <w:rPr>
          <w:rFonts w:eastAsia="仿宋_GB2312"/>
          <w:sz w:val="32"/>
          <w:szCs w:val="32"/>
        </w:rPr>
        <w:t>0.25万元，主要用于上级部门、外省部门等来川指导、调研工作发生的用餐费等。国内公务接待3批次，12人次（不包括陪同人员），共计支出0.25万元，具体内容包括：接待外省部门来川调研命题、考务管理等工作支出0.07万元；接待上级部门来川指导考试考务工作支出0.07万元；接待外省部门来川调研人事考试信息化建设、公务员考试等工作支出0.11万元。</w:t>
      </w:r>
    </w:p>
    <w:p>
      <w:pPr>
        <w:spacing w:line="556" w:lineRule="exact"/>
        <w:ind w:firstLine="642" w:firstLineChars="200"/>
        <w:rPr>
          <w:rFonts w:eastAsia="仿宋_GB2312"/>
          <w:sz w:val="32"/>
          <w:szCs w:val="32"/>
        </w:rPr>
      </w:pPr>
      <w:r>
        <w:rPr>
          <w:rFonts w:eastAsia="仿宋_GB2312"/>
          <w:b/>
          <w:sz w:val="32"/>
          <w:szCs w:val="32"/>
        </w:rPr>
        <w:t>外事接待支出</w:t>
      </w:r>
      <w:r>
        <w:rPr>
          <w:rFonts w:eastAsia="仿宋_GB2312"/>
          <w:sz w:val="32"/>
          <w:szCs w:val="32"/>
        </w:rPr>
        <w:t>0万元，外事接待0批次，0人，共计支出0万元。</w:t>
      </w:r>
      <w:bookmarkStart w:id="40" w:name="_Toc15377218"/>
      <w:bookmarkStart w:id="41" w:name="_Toc15396610"/>
    </w:p>
    <w:p>
      <w:pPr>
        <w:spacing w:line="556" w:lineRule="exact"/>
        <w:ind w:firstLine="640"/>
        <w:outlineLvl w:val="1"/>
        <w:rPr>
          <w:rStyle w:val="25"/>
          <w:rFonts w:ascii="Times New Roman" w:hAnsi="Times New Roman" w:eastAsia="黑体" w:cs="Times New Roman"/>
        </w:rPr>
      </w:pPr>
      <w:r>
        <w:rPr>
          <w:rFonts w:eastAsia="黑体"/>
          <w:sz w:val="32"/>
          <w:szCs w:val="32"/>
        </w:rPr>
        <w:t>八、</w:t>
      </w:r>
      <w:r>
        <w:rPr>
          <w:rStyle w:val="25"/>
          <w:rFonts w:ascii="Times New Roman" w:hAnsi="Times New Roman" w:eastAsia="黑体" w:cs="Times New Roman"/>
          <w:b w:val="0"/>
        </w:rPr>
        <w:t>政府性基金预算支出决算情况说明</w:t>
      </w:r>
      <w:bookmarkEnd w:id="40"/>
      <w:bookmarkEnd w:id="41"/>
    </w:p>
    <w:p>
      <w:pPr>
        <w:spacing w:line="556" w:lineRule="exact"/>
        <w:ind w:firstLine="640"/>
        <w:rPr>
          <w:rFonts w:eastAsia="仿宋_GB2312"/>
          <w:sz w:val="32"/>
          <w:szCs w:val="32"/>
        </w:rPr>
      </w:pPr>
      <w:r>
        <w:rPr>
          <w:rFonts w:eastAsia="仿宋_GB2312"/>
          <w:sz w:val="32"/>
          <w:szCs w:val="32"/>
        </w:rPr>
        <w:t>2021年政府性基金预算财政拨款支出0万元。</w:t>
      </w:r>
    </w:p>
    <w:p>
      <w:pPr>
        <w:numPr>
          <w:ilvl w:val="0"/>
          <w:numId w:val="2"/>
        </w:numPr>
        <w:spacing w:line="556" w:lineRule="exact"/>
        <w:ind w:firstLine="640"/>
        <w:outlineLvl w:val="1"/>
        <w:rPr>
          <w:rStyle w:val="25"/>
          <w:rFonts w:ascii="Times New Roman" w:hAnsi="Times New Roman" w:eastAsia="黑体" w:cs="Times New Roman"/>
          <w:b w:val="0"/>
        </w:rPr>
      </w:pPr>
      <w:bookmarkStart w:id="42" w:name="_Toc15396611"/>
      <w:bookmarkStart w:id="43" w:name="_Toc15377219"/>
      <w:r>
        <w:rPr>
          <w:rStyle w:val="25"/>
          <w:rFonts w:ascii="Times New Roman" w:hAnsi="Times New Roman" w:eastAsia="黑体" w:cs="Times New Roman"/>
          <w:b w:val="0"/>
        </w:rPr>
        <w:t>国有资本经营预算支出决算情况说明</w:t>
      </w:r>
      <w:bookmarkEnd w:id="42"/>
      <w:bookmarkEnd w:id="43"/>
    </w:p>
    <w:p>
      <w:pPr>
        <w:spacing w:line="556" w:lineRule="exact"/>
        <w:ind w:firstLine="640"/>
        <w:rPr>
          <w:rFonts w:eastAsia="仿宋_GB2312"/>
          <w:sz w:val="32"/>
          <w:szCs w:val="32"/>
        </w:rPr>
      </w:pPr>
      <w:r>
        <w:rPr>
          <w:rFonts w:eastAsia="仿宋_GB2312"/>
          <w:sz w:val="32"/>
          <w:szCs w:val="32"/>
        </w:rPr>
        <w:t>2021年国有资本经营预算财政拨款支出0万元。</w:t>
      </w:r>
    </w:p>
    <w:p>
      <w:pPr>
        <w:numPr>
          <w:ilvl w:val="0"/>
          <w:numId w:val="2"/>
        </w:numPr>
        <w:spacing w:line="556" w:lineRule="exact"/>
        <w:ind w:firstLine="640"/>
        <w:outlineLvl w:val="1"/>
        <w:rPr>
          <w:rStyle w:val="25"/>
          <w:rFonts w:ascii="Times New Roman" w:hAnsi="Times New Roman" w:eastAsia="黑体" w:cs="Times New Roman"/>
          <w:b w:val="0"/>
        </w:rPr>
      </w:pPr>
      <w:bookmarkStart w:id="44" w:name="_Toc15377221"/>
      <w:bookmarkStart w:id="45" w:name="_Toc15396612"/>
      <w:r>
        <w:rPr>
          <w:rStyle w:val="25"/>
          <w:rFonts w:ascii="Times New Roman" w:hAnsi="Times New Roman" w:eastAsia="黑体" w:cs="Times New Roman"/>
          <w:b w:val="0"/>
        </w:rPr>
        <w:t>其他重要事项的情况说明</w:t>
      </w:r>
      <w:bookmarkEnd w:id="44"/>
      <w:bookmarkEnd w:id="45"/>
    </w:p>
    <w:p>
      <w:pPr>
        <w:spacing w:line="556" w:lineRule="exact"/>
        <w:ind w:firstLine="640" w:firstLineChars="200"/>
        <w:outlineLvl w:val="2"/>
        <w:rPr>
          <w:rFonts w:eastAsia="楷体_GB2312"/>
          <w:sz w:val="32"/>
          <w:szCs w:val="32"/>
        </w:rPr>
      </w:pPr>
      <w:bookmarkStart w:id="46" w:name="_Toc15377222"/>
      <w:r>
        <w:rPr>
          <w:rFonts w:eastAsia="楷体_GB2312"/>
          <w:sz w:val="32"/>
          <w:szCs w:val="32"/>
        </w:rPr>
        <w:t>（一）机关运行经费支出情况</w:t>
      </w:r>
      <w:bookmarkEnd w:id="46"/>
    </w:p>
    <w:p>
      <w:pPr>
        <w:spacing w:line="556" w:lineRule="exact"/>
        <w:ind w:firstLine="640" w:firstLineChars="200"/>
        <w:rPr>
          <w:rFonts w:eastAsia="仿宋_GB2312"/>
          <w:sz w:val="32"/>
          <w:szCs w:val="32"/>
        </w:rPr>
      </w:pPr>
      <w:r>
        <w:rPr>
          <w:rFonts w:eastAsia="仿宋_GB2312"/>
          <w:sz w:val="32"/>
          <w:szCs w:val="32"/>
        </w:rPr>
        <w:t>省人事考试中心为事业单位，未开支机关运行经费。</w:t>
      </w:r>
    </w:p>
    <w:p>
      <w:pPr>
        <w:autoSpaceDE w:val="0"/>
        <w:autoSpaceDN w:val="0"/>
        <w:adjustRightInd w:val="0"/>
        <w:spacing w:line="556" w:lineRule="exact"/>
        <w:ind w:firstLine="640" w:firstLineChars="200"/>
        <w:jc w:val="left"/>
        <w:outlineLvl w:val="2"/>
        <w:rPr>
          <w:rFonts w:eastAsia="楷体_GB2312"/>
          <w:sz w:val="32"/>
          <w:szCs w:val="32"/>
        </w:rPr>
      </w:pPr>
      <w:bookmarkStart w:id="47" w:name="_Toc15377223"/>
      <w:r>
        <w:rPr>
          <w:rFonts w:eastAsia="楷体_GB2312"/>
          <w:sz w:val="32"/>
          <w:szCs w:val="32"/>
        </w:rPr>
        <w:t>（二）政府采购支出情况</w:t>
      </w:r>
      <w:bookmarkEnd w:id="47"/>
    </w:p>
    <w:p>
      <w:pPr>
        <w:spacing w:line="556" w:lineRule="exact"/>
        <w:ind w:firstLine="640" w:firstLineChars="200"/>
        <w:rPr>
          <w:rFonts w:eastAsia="仿宋_GB2312"/>
          <w:sz w:val="32"/>
          <w:szCs w:val="32"/>
        </w:rPr>
      </w:pPr>
      <w:r>
        <w:rPr>
          <w:rFonts w:eastAsia="仿宋_GB2312"/>
          <w:sz w:val="32"/>
          <w:szCs w:val="32"/>
        </w:rPr>
        <w:t>2021年，省人事考试中心政府采购支出总额114.98万元，其中：政府采购货物支出15.82万元、政府采购工程支出0万元、政府采购服务支出99.16万元。主要用于办公设备购置，公务用车燃油、保险、维修服务，四川省人事考试报名系统安全、运维服务等。授予中小企业合同金额54万元，占政府采购支出总额的46.96%，其中：授予小微企业合同金额0万元，占政府采购支出总额的0%。</w:t>
      </w:r>
    </w:p>
    <w:p>
      <w:pPr>
        <w:autoSpaceDE w:val="0"/>
        <w:autoSpaceDN w:val="0"/>
        <w:adjustRightInd w:val="0"/>
        <w:spacing w:line="556" w:lineRule="exact"/>
        <w:ind w:firstLine="640" w:firstLineChars="200"/>
        <w:jc w:val="left"/>
        <w:outlineLvl w:val="2"/>
        <w:rPr>
          <w:rFonts w:eastAsia="楷体_GB2312"/>
          <w:sz w:val="32"/>
          <w:szCs w:val="32"/>
        </w:rPr>
      </w:pPr>
      <w:bookmarkStart w:id="48" w:name="_Toc15377224"/>
      <w:r>
        <w:rPr>
          <w:rFonts w:eastAsia="楷体_GB2312"/>
          <w:sz w:val="32"/>
          <w:szCs w:val="32"/>
        </w:rPr>
        <w:t>（三）国有资产占有使用情况</w:t>
      </w:r>
      <w:bookmarkEnd w:id="48"/>
    </w:p>
    <w:p>
      <w:pPr>
        <w:autoSpaceDE w:val="0"/>
        <w:autoSpaceDN w:val="0"/>
        <w:adjustRightInd w:val="0"/>
        <w:spacing w:line="556" w:lineRule="exact"/>
        <w:ind w:firstLine="640" w:firstLineChars="200"/>
        <w:jc w:val="left"/>
        <w:rPr>
          <w:rFonts w:eastAsia="仿宋_GB2312"/>
          <w:sz w:val="32"/>
          <w:szCs w:val="32"/>
        </w:rPr>
      </w:pPr>
      <w:r>
        <w:rPr>
          <w:rFonts w:eastAsia="仿宋_GB2312"/>
          <w:sz w:val="32"/>
          <w:szCs w:val="32"/>
        </w:rPr>
        <w:t>截至2021年12月31日，省人事考试中心共有车辆2辆，其中：其他用车2辆。其他用车主要是用于执行公务活动、运送人事考试试卷等。单价50万元以上通用设备0台（套），单价100万元以上专用设备0台（套）。</w:t>
      </w:r>
    </w:p>
    <w:p>
      <w:pPr>
        <w:autoSpaceDE w:val="0"/>
        <w:autoSpaceDN w:val="0"/>
        <w:adjustRightInd w:val="0"/>
        <w:spacing w:line="556" w:lineRule="exact"/>
        <w:ind w:firstLine="640" w:firstLineChars="200"/>
        <w:jc w:val="left"/>
        <w:outlineLvl w:val="2"/>
        <w:rPr>
          <w:rFonts w:eastAsia="楷体_GB2312"/>
          <w:sz w:val="32"/>
          <w:szCs w:val="32"/>
        </w:rPr>
      </w:pPr>
      <w:r>
        <w:rPr>
          <w:rFonts w:eastAsia="楷体_GB2312"/>
          <w:sz w:val="32"/>
          <w:szCs w:val="32"/>
        </w:rPr>
        <w:t>（四）预算绩效管理情况</w:t>
      </w:r>
    </w:p>
    <w:p>
      <w:pPr>
        <w:spacing w:line="556" w:lineRule="exact"/>
        <w:ind w:firstLine="640" w:firstLineChars="200"/>
        <w:rPr>
          <w:rFonts w:eastAsia="仿宋_GB2312"/>
          <w:sz w:val="32"/>
          <w:szCs w:val="32"/>
        </w:rPr>
      </w:pPr>
      <w:r>
        <w:rPr>
          <w:rFonts w:eastAsia="仿宋_GB2312"/>
          <w:sz w:val="32"/>
          <w:szCs w:val="32"/>
        </w:rPr>
        <w:t>根据预算绩效管理要求，本单位在2021年度预算编制阶段，组织对考点工作经费、考试考务费2个项目开展了预算事前绩效评估，对3个项目编制了绩效目标，预算执行过程中，选取3个项目开展绩效监控，年终执行完毕后，对3个项目开展了绩效自评，2021年特定目标类部门预算项目绩效目标自评表见附件（第四部分）。</w:t>
      </w:r>
    </w:p>
    <w:p>
      <w:pPr>
        <w:widowControl/>
        <w:jc w:val="left"/>
        <w:rPr>
          <w:rFonts w:eastAsia="仿宋_GB2312"/>
          <w:b/>
          <w:sz w:val="32"/>
          <w:szCs w:val="32"/>
        </w:rPr>
      </w:pPr>
      <w:r>
        <w:rPr>
          <w:rFonts w:eastAsia="仿宋_GB2312"/>
          <w:b/>
          <w:sz w:val="32"/>
          <w:szCs w:val="32"/>
        </w:rPr>
        <w:br w:type="page"/>
      </w:r>
    </w:p>
    <w:p>
      <w:pPr>
        <w:widowControl/>
        <w:jc w:val="left"/>
        <w:rPr>
          <w:rFonts w:eastAsia="仿宋_GB2312"/>
          <w:b/>
          <w:sz w:val="32"/>
          <w:szCs w:val="32"/>
        </w:rPr>
      </w:pPr>
    </w:p>
    <w:p>
      <w:pPr>
        <w:numPr>
          <w:ilvl w:val="0"/>
          <w:numId w:val="3"/>
        </w:numPr>
        <w:spacing w:line="600" w:lineRule="exact"/>
        <w:ind w:firstLine="660" w:firstLineChars="150"/>
        <w:jc w:val="center"/>
        <w:outlineLvl w:val="0"/>
        <w:rPr>
          <w:rStyle w:val="24"/>
          <w:rFonts w:eastAsia="黑体"/>
          <w:b w:val="0"/>
        </w:rPr>
      </w:pPr>
      <w:bookmarkStart w:id="49" w:name="_Toc15377225"/>
      <w:bookmarkStart w:id="50" w:name="_Toc15396613"/>
      <w:r>
        <w:rPr>
          <w:rFonts w:eastAsia="黑体"/>
          <w:sz w:val="44"/>
          <w:szCs w:val="44"/>
        </w:rPr>
        <w:t>名</w:t>
      </w:r>
      <w:r>
        <w:rPr>
          <w:rStyle w:val="24"/>
          <w:rFonts w:eastAsia="黑体"/>
          <w:b w:val="0"/>
        </w:rPr>
        <w:t>词解释</w:t>
      </w:r>
      <w:bookmarkEnd w:id="49"/>
      <w:bookmarkEnd w:id="50"/>
    </w:p>
    <w:p>
      <w:pPr>
        <w:spacing w:line="600" w:lineRule="exact"/>
        <w:jc w:val="left"/>
        <w:rPr>
          <w:b/>
          <w:sz w:val="44"/>
          <w:szCs w:val="44"/>
        </w:rPr>
      </w:pPr>
    </w:p>
    <w:p>
      <w:pPr>
        <w:pStyle w:val="22"/>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1.财政拨款收入：指单位从同级财政部门取得的财政预算资金。</w:t>
      </w:r>
    </w:p>
    <w:p>
      <w:pPr>
        <w:pStyle w:val="22"/>
        <w:spacing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2.事业收入：指事业单位开展专业业务活动及辅助活动取得的收入。</w:t>
      </w:r>
    </w:p>
    <w:p>
      <w:pPr>
        <w:pStyle w:val="22"/>
        <w:spacing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3.经营收入：指事业单位在专业业务活动及其辅助活动之外开展非独立核算经营活动取得的收入。</w:t>
      </w:r>
    </w:p>
    <w:p>
      <w:pPr>
        <w:pStyle w:val="22"/>
        <w:spacing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4.其他收入：指单位取得的除上述收入以外的各项收入。主要是利息收入等。</w:t>
      </w:r>
    </w:p>
    <w:p>
      <w:pPr>
        <w:pStyle w:val="22"/>
        <w:spacing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5.使用非财政拨款结余：指事业单位使用以前年度积累的非财政拨款结余弥补当年收支差额的金额。</w:t>
      </w:r>
    </w:p>
    <w:p>
      <w:pPr>
        <w:pStyle w:val="22"/>
        <w:spacing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6.年初结转和结余：指以前年度尚未完成、结转到本年按有关规定继续使用的资金。</w:t>
      </w:r>
    </w:p>
    <w:p>
      <w:pPr>
        <w:pStyle w:val="22"/>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2"/>
          <w:sz w:val="32"/>
          <w:szCs w:val="32"/>
        </w:rPr>
        <w:t>7.</w:t>
      </w:r>
      <w:r>
        <w:rPr>
          <w:rFonts w:ascii="Times New Roman" w:hAnsi="Times New Roman" w:eastAsia="仿宋_GB2312" w:cs="Times New Roman"/>
          <w:sz w:val="32"/>
          <w:szCs w:val="32"/>
        </w:rPr>
        <w:t>结余分配：指事业单位按照会计制度规定缴纳的所得税、提取的专用结余以及转入非财政拨款结余的金额等。</w:t>
      </w:r>
    </w:p>
    <w:p>
      <w:pPr>
        <w:pStyle w:val="22"/>
        <w:spacing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sz w:val="32"/>
          <w:szCs w:val="32"/>
        </w:rPr>
        <w:t>8.年末结转和结余：指单位按有关规定结转到下年或以后年度继续使用的资金。</w:t>
      </w:r>
    </w:p>
    <w:p>
      <w:pPr>
        <w:ind w:firstLine="640" w:firstLineChars="200"/>
        <w:rPr>
          <w:rFonts w:eastAsia="仿宋_GB2312"/>
          <w:color w:val="000000"/>
          <w:sz w:val="32"/>
          <w:szCs w:val="32"/>
        </w:rPr>
      </w:pPr>
      <w:r>
        <w:rPr>
          <w:rFonts w:eastAsia="仿宋_GB2312"/>
          <w:color w:val="000000"/>
          <w:sz w:val="32"/>
          <w:szCs w:val="32"/>
        </w:rPr>
        <w:t>9.教育（类）进修及培训（款）培训支出（项）：指</w:t>
      </w:r>
      <w:r>
        <w:rPr>
          <w:rFonts w:eastAsia="仿宋_GB2312"/>
          <w:sz w:val="32"/>
          <w:szCs w:val="32"/>
        </w:rPr>
        <w:t>单位安排的用于培训的支出</w:t>
      </w:r>
      <w:r>
        <w:rPr>
          <w:rFonts w:eastAsia="仿宋_GB2312"/>
          <w:color w:val="000000"/>
          <w:sz w:val="32"/>
          <w:szCs w:val="32"/>
        </w:rPr>
        <w:t>。</w:t>
      </w:r>
    </w:p>
    <w:p>
      <w:pPr>
        <w:ind w:firstLine="640" w:firstLineChars="200"/>
        <w:rPr>
          <w:rFonts w:eastAsia="仿宋_GB2312"/>
          <w:sz w:val="32"/>
          <w:szCs w:val="32"/>
        </w:rPr>
      </w:pPr>
      <w:r>
        <w:rPr>
          <w:rFonts w:eastAsia="仿宋_GB2312"/>
          <w:sz w:val="32"/>
          <w:szCs w:val="32"/>
        </w:rPr>
        <w:t>10.社会保障和就业（类）人力资源和社会保障管理事务（款）事业运行（项）：指事业单位的基本支出。</w:t>
      </w:r>
    </w:p>
    <w:p>
      <w:pPr>
        <w:pStyle w:val="2"/>
        <w:spacing w:before="93"/>
        <w:rPr>
          <w:rFonts w:ascii="Times New Roman"/>
          <w:sz w:val="32"/>
          <w:szCs w:val="32"/>
        </w:rPr>
      </w:pPr>
      <w:r>
        <w:rPr>
          <w:rFonts w:ascii="Times New Roman"/>
          <w:sz w:val="32"/>
          <w:szCs w:val="32"/>
        </w:rPr>
        <w:t xml:space="preserve">    </w:t>
      </w:r>
      <w:r>
        <w:rPr>
          <w:rFonts w:ascii="Times New Roman"/>
          <w:kern w:val="2"/>
          <w:sz w:val="32"/>
          <w:szCs w:val="32"/>
        </w:rPr>
        <w:t>11.</w:t>
      </w:r>
      <w:r>
        <w:rPr>
          <w:rFonts w:ascii="Times New Roman"/>
          <w:sz w:val="32"/>
          <w:szCs w:val="32"/>
        </w:rPr>
        <w:t>社会保障和就业（类）人力资源和社会保障管理事务（款）其他人力资源和社会保障管理事务支出（项）：指其他所属事业单位的用于人力资源和社会保障管理事务方面的支出。</w:t>
      </w:r>
    </w:p>
    <w:p>
      <w:pPr>
        <w:pStyle w:val="2"/>
        <w:spacing w:before="93"/>
        <w:rPr>
          <w:rFonts w:ascii="Times New Roman"/>
        </w:rPr>
      </w:pPr>
      <w:r>
        <w:rPr>
          <w:rFonts w:ascii="Times New Roman"/>
          <w:sz w:val="32"/>
          <w:szCs w:val="32"/>
        </w:rPr>
        <w:t xml:space="preserve">    </w:t>
      </w:r>
      <w:r>
        <w:rPr>
          <w:rFonts w:ascii="Times New Roman"/>
          <w:kern w:val="2"/>
          <w:sz w:val="32"/>
          <w:szCs w:val="32"/>
        </w:rPr>
        <w:t>12.</w:t>
      </w:r>
      <w:r>
        <w:rPr>
          <w:rFonts w:ascii="Times New Roman"/>
          <w:sz w:val="32"/>
          <w:szCs w:val="32"/>
        </w:rPr>
        <w:t>社会保障和就业（类）</w:t>
      </w:r>
      <w:r>
        <w:rPr>
          <w:rFonts w:ascii="Times New Roman"/>
          <w:color w:val="000000"/>
          <w:sz w:val="32"/>
          <w:szCs w:val="32"/>
        </w:rPr>
        <w:t>行政事业单位养老支出</w:t>
      </w:r>
      <w:r>
        <w:rPr>
          <w:rFonts w:ascii="Times New Roman"/>
          <w:sz w:val="32"/>
          <w:szCs w:val="32"/>
        </w:rPr>
        <w:t>（款）事业单位离退休（项）：指反映事业单位开支的离退休经费。</w:t>
      </w:r>
    </w:p>
    <w:p>
      <w:pPr>
        <w:ind w:firstLine="640" w:firstLineChars="200"/>
        <w:rPr>
          <w:rFonts w:eastAsia="仿宋_GB2312"/>
          <w:color w:val="000000"/>
          <w:sz w:val="32"/>
          <w:szCs w:val="32"/>
        </w:rPr>
      </w:pPr>
      <w:r>
        <w:rPr>
          <w:rFonts w:eastAsia="仿宋_GB2312"/>
          <w:color w:val="000000"/>
          <w:sz w:val="32"/>
          <w:szCs w:val="32"/>
        </w:rPr>
        <w:t>13.社会保障和就业（类）行政事业单位养老支出（款）机关事业单位基本养老保险缴费支出（项）：指机关事业单位实施养老保险制度由单位缴纳的基本养老保险费支出。</w:t>
      </w:r>
    </w:p>
    <w:p>
      <w:pPr>
        <w:ind w:firstLine="640" w:firstLineChars="200"/>
        <w:rPr>
          <w:rFonts w:eastAsia="仿宋_GB2312"/>
          <w:color w:val="000000"/>
          <w:sz w:val="32"/>
          <w:szCs w:val="32"/>
        </w:rPr>
      </w:pPr>
      <w:r>
        <w:rPr>
          <w:rFonts w:eastAsia="仿宋_GB2312"/>
          <w:sz w:val="32"/>
          <w:szCs w:val="32"/>
        </w:rPr>
        <w:t>14.</w:t>
      </w:r>
      <w:r>
        <w:rPr>
          <w:rFonts w:eastAsia="仿宋_GB2312"/>
          <w:color w:val="000000"/>
          <w:sz w:val="32"/>
          <w:szCs w:val="32"/>
        </w:rPr>
        <w:t>社会保障和就业（类）行政事业单位养老支出（款）机关事业单位职业年金缴费支出（项）：指机关事业单位实施养老保险制度由单位实际缴纳的职业年金支出。</w:t>
      </w:r>
    </w:p>
    <w:p>
      <w:pPr>
        <w:pStyle w:val="2"/>
        <w:spacing w:before="93"/>
        <w:rPr>
          <w:rFonts w:ascii="Times New Roman"/>
          <w:color w:val="000000"/>
          <w:kern w:val="2"/>
          <w:sz w:val="32"/>
          <w:szCs w:val="32"/>
        </w:rPr>
      </w:pPr>
      <w:r>
        <w:rPr>
          <w:rFonts w:ascii="Times New Roman"/>
          <w:color w:val="000000"/>
          <w:kern w:val="2"/>
          <w:sz w:val="32"/>
          <w:szCs w:val="32"/>
        </w:rPr>
        <w:t xml:space="preserve">    15.卫生健康（类）行政事业单位医疗（款）事业单位医疗（项）：</w:t>
      </w:r>
      <w:r>
        <w:rPr>
          <w:rFonts w:ascii="Times New Roman"/>
          <w:color w:val="000000"/>
          <w:sz w:val="32"/>
          <w:szCs w:val="32"/>
        </w:rPr>
        <w:t>指财政部门安排的事业单位基本医疗保险缴费经费。</w:t>
      </w:r>
    </w:p>
    <w:p>
      <w:pPr>
        <w:ind w:firstLine="640" w:firstLineChars="200"/>
        <w:rPr>
          <w:rFonts w:eastAsia="仿宋_GB2312"/>
          <w:color w:val="000000"/>
          <w:sz w:val="32"/>
          <w:szCs w:val="32"/>
        </w:rPr>
      </w:pPr>
      <w:r>
        <w:rPr>
          <w:rFonts w:eastAsia="仿宋_GB2312"/>
          <w:color w:val="000000"/>
          <w:sz w:val="32"/>
          <w:szCs w:val="32"/>
        </w:rPr>
        <w:t>16.住房保障（类）住房改革支出（款）住房公积金（项）：指行政事业单位按人力资源社会保障部、财政部规定的基本工资和津贴补贴以及规定比例为职工缴纳的住房公积金。</w:t>
      </w:r>
    </w:p>
    <w:p>
      <w:pPr>
        <w:ind w:firstLine="640" w:firstLineChars="200"/>
        <w:rPr>
          <w:rFonts w:eastAsia="仿宋_GB2312"/>
          <w:color w:val="000000"/>
          <w:sz w:val="32"/>
          <w:szCs w:val="32"/>
        </w:rPr>
      </w:pPr>
      <w:r>
        <w:rPr>
          <w:rFonts w:eastAsia="仿宋_GB2312"/>
          <w:color w:val="000000"/>
          <w:sz w:val="32"/>
          <w:szCs w:val="32"/>
        </w:rPr>
        <w:t>17.住房保障（类）住房改革支出（款）购房补贴（项）：指按房改政策规定，行政事业单位向符合条件职工发放的用于购买住房的补贴。</w:t>
      </w:r>
    </w:p>
    <w:p>
      <w:pPr>
        <w:ind w:firstLine="640" w:firstLineChars="200"/>
        <w:rPr>
          <w:rFonts w:eastAsia="仿宋_GB2312"/>
          <w:color w:val="000000"/>
          <w:sz w:val="32"/>
          <w:szCs w:val="32"/>
        </w:rPr>
      </w:pPr>
      <w:r>
        <w:rPr>
          <w:rFonts w:eastAsia="仿宋_GB2312"/>
          <w:color w:val="000000"/>
          <w:sz w:val="32"/>
          <w:szCs w:val="32"/>
        </w:rPr>
        <w:t>18.基本支出：指为保障机构正常运转、完成日常工作任务而发生的人员支出和公用支出。</w:t>
      </w:r>
    </w:p>
    <w:p>
      <w:pPr>
        <w:pStyle w:val="22"/>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19.项目支出：指在基本支出之外为完成特定行政任务和事业发展目标所发生的支出。</w:t>
      </w:r>
    </w:p>
    <w:p>
      <w:pPr>
        <w:pStyle w:val="22"/>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20.经营支出：指事业单位在专业业务活动及其辅助活动之外开展非独立核算经营活动发生的支出。</w:t>
      </w:r>
    </w:p>
    <w:p>
      <w:pPr>
        <w:pStyle w:val="2"/>
        <w:spacing w:before="93"/>
        <w:rPr>
          <w:rFonts w:ascii="Times New Roman"/>
        </w:rPr>
      </w:pPr>
      <w:r>
        <w:rPr>
          <w:rFonts w:ascii="Times New Roman"/>
          <w:sz w:val="32"/>
          <w:szCs w:val="32"/>
        </w:rPr>
        <w:t xml:space="preserve">    21.“三公”经费：指单位用财政拨款安排的因公出国（境）经费、公务用车购置及运行费和公务接待费。其中，因公出国（境）经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Fonts w:eastAsia="黑体"/>
          <w:bCs/>
          <w:kern w:val="44"/>
          <w:sz w:val="44"/>
          <w:szCs w:val="44"/>
        </w:rPr>
      </w:pPr>
      <w:bookmarkStart w:id="51" w:name="_Toc15377226"/>
      <w:r>
        <w:rPr>
          <w:b/>
          <w:sz w:val="44"/>
          <w:szCs w:val="44"/>
        </w:rPr>
        <w:br w:type="page"/>
      </w:r>
      <w:bookmarkStart w:id="52" w:name="_Toc15396614"/>
      <w:r>
        <w:rPr>
          <w:rFonts w:eastAsia="黑体"/>
          <w:sz w:val="44"/>
          <w:szCs w:val="44"/>
        </w:rPr>
        <w:t>第</w:t>
      </w:r>
      <w:r>
        <w:rPr>
          <w:rStyle w:val="24"/>
          <w:rFonts w:eastAsia="黑体"/>
          <w:b w:val="0"/>
        </w:rPr>
        <w:t>四部分 附件</w:t>
      </w:r>
    </w:p>
    <w:p>
      <w:pPr>
        <w:spacing w:line="600" w:lineRule="exact"/>
        <w:jc w:val="center"/>
        <w:outlineLvl w:val="0"/>
        <w:rPr>
          <w:rFonts w:eastAsia="黑体"/>
          <w:bCs/>
          <w:kern w:val="44"/>
          <w:sz w:val="44"/>
          <w:szCs w:val="44"/>
        </w:rPr>
      </w:pPr>
      <w:r>
        <w:drawing>
          <wp:anchor distT="0" distB="0" distL="114300" distR="114300" simplePos="0" relativeHeight="251655168" behindDoc="0" locked="0" layoutInCell="1" allowOverlap="1">
            <wp:simplePos x="0" y="0"/>
            <wp:positionH relativeFrom="column">
              <wp:posOffset>-504825</wp:posOffset>
            </wp:positionH>
            <wp:positionV relativeFrom="page">
              <wp:posOffset>2162175</wp:posOffset>
            </wp:positionV>
            <wp:extent cx="6584950" cy="5165090"/>
            <wp:effectExtent l="0" t="0" r="6350" b="16510"/>
            <wp:wrapTopAndBottom/>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14"/>
                    <a:stretch>
                      <a:fillRect/>
                    </a:stretch>
                  </pic:blipFill>
                  <pic:spPr>
                    <a:xfrm>
                      <a:off x="0" y="0"/>
                      <a:ext cx="6584950" cy="5165090"/>
                    </a:xfrm>
                    <a:prstGeom prst="rect">
                      <a:avLst/>
                    </a:prstGeom>
                    <a:noFill/>
                    <a:ln>
                      <a:noFill/>
                    </a:ln>
                  </pic:spPr>
                </pic:pic>
              </a:graphicData>
            </a:graphic>
          </wp:anchor>
        </w:drawing>
      </w:r>
      <w:r>
        <w:rPr>
          <w:b/>
          <w:sz w:val="44"/>
          <w:szCs w:val="44"/>
        </w:rPr>
        <w:br w:type="page"/>
      </w:r>
      <w:bookmarkStart w:id="53" w:name="_Toc112248264"/>
      <w:bookmarkStart w:id="54" w:name="_Toc112237404"/>
      <w:bookmarkStart w:id="55" w:name="_Toc112248329"/>
      <w:bookmarkStart w:id="56" w:name="_Toc112248420"/>
    </w:p>
    <w:bookmarkEnd w:id="53"/>
    <w:bookmarkEnd w:id="54"/>
    <w:bookmarkEnd w:id="55"/>
    <w:bookmarkEnd w:id="56"/>
    <w:p>
      <w:pPr>
        <w:widowControl/>
        <w:jc w:val="left"/>
        <w:rPr>
          <w:b/>
          <w:sz w:val="44"/>
          <w:szCs w:val="44"/>
        </w:rPr>
      </w:pPr>
    </w:p>
    <w:bookmarkEnd w:id="52"/>
    <w:p>
      <w:pPr>
        <w:widowControl/>
        <w:jc w:val="left"/>
      </w:pPr>
      <w:bookmarkStart w:id="57" w:name="_Toc15396618"/>
      <w:r>
        <w:drawing>
          <wp:anchor distT="0" distB="0" distL="114300" distR="114300" simplePos="0" relativeHeight="251657216" behindDoc="0" locked="0" layoutInCell="1" allowOverlap="1">
            <wp:simplePos x="0" y="0"/>
            <wp:positionH relativeFrom="column">
              <wp:posOffset>-552450</wp:posOffset>
            </wp:positionH>
            <wp:positionV relativeFrom="page">
              <wp:posOffset>2265045</wp:posOffset>
            </wp:positionV>
            <wp:extent cx="6421755" cy="5256530"/>
            <wp:effectExtent l="0" t="0" r="17145" b="1270"/>
            <wp:wrapTopAndBottom/>
            <wp:docPr id="3"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true"/>
                    </pic:cNvPicPr>
                  </pic:nvPicPr>
                  <pic:blipFill>
                    <a:blip r:embed="rId15"/>
                    <a:stretch>
                      <a:fillRect/>
                    </a:stretch>
                  </pic:blipFill>
                  <pic:spPr>
                    <a:xfrm>
                      <a:off x="0" y="0"/>
                      <a:ext cx="6421755" cy="5256530"/>
                    </a:xfrm>
                    <a:prstGeom prst="rect">
                      <a:avLst/>
                    </a:prstGeom>
                    <a:noFill/>
                    <a:ln>
                      <a:noFill/>
                    </a:ln>
                  </pic:spPr>
                </pic:pic>
              </a:graphicData>
            </a:graphic>
          </wp:anchor>
        </w:drawing>
      </w:r>
      <w:r>
        <w:br w:type="page"/>
      </w:r>
    </w:p>
    <w:p>
      <w:pPr>
        <w:pStyle w:val="2"/>
        <w:spacing w:before="93"/>
        <w:rPr>
          <w:rFonts w:ascii="Times New Roman"/>
        </w:rPr>
      </w:pPr>
    </w:p>
    <w:p>
      <w:pPr>
        <w:widowControl/>
        <w:jc w:val="left"/>
        <w:rPr>
          <w:rFonts w:eastAsia="仿宋_GB2312"/>
          <w:kern w:val="0"/>
          <w:sz w:val="30"/>
        </w:rPr>
      </w:pPr>
      <w:r>
        <w:drawing>
          <wp:anchor distT="0" distB="0" distL="114300" distR="114300" simplePos="0" relativeHeight="251659264" behindDoc="0" locked="0" layoutInCell="1" allowOverlap="1">
            <wp:simplePos x="0" y="0"/>
            <wp:positionH relativeFrom="column">
              <wp:posOffset>-333375</wp:posOffset>
            </wp:positionH>
            <wp:positionV relativeFrom="page">
              <wp:posOffset>1851660</wp:posOffset>
            </wp:positionV>
            <wp:extent cx="6263005" cy="5898515"/>
            <wp:effectExtent l="0" t="0" r="4445" b="6985"/>
            <wp:wrapTopAndBottom/>
            <wp:docPr id="4"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true"/>
                    </pic:cNvPicPr>
                  </pic:nvPicPr>
                  <pic:blipFill>
                    <a:blip r:embed="rId16"/>
                    <a:stretch>
                      <a:fillRect/>
                    </a:stretch>
                  </pic:blipFill>
                  <pic:spPr>
                    <a:xfrm>
                      <a:off x="0" y="0"/>
                      <a:ext cx="6263005" cy="5898515"/>
                    </a:xfrm>
                    <a:prstGeom prst="rect">
                      <a:avLst/>
                    </a:prstGeom>
                    <a:noFill/>
                    <a:ln>
                      <a:noFill/>
                    </a:ln>
                  </pic:spPr>
                </pic:pic>
              </a:graphicData>
            </a:graphic>
          </wp:anchor>
        </w:drawing>
      </w:r>
    </w:p>
    <w:p>
      <w:pPr>
        <w:rPr>
          <w:rFonts w:eastAsia="黑体"/>
          <w:sz w:val="44"/>
          <w:szCs w:val="44"/>
        </w:rPr>
      </w:pPr>
      <w:r>
        <w:rPr>
          <w:rFonts w:eastAsia="黑体"/>
          <w:sz w:val="44"/>
          <w:szCs w:val="44"/>
        </w:rPr>
        <w:br w:type="page"/>
      </w:r>
    </w:p>
    <w:p>
      <w:pPr>
        <w:spacing w:line="600" w:lineRule="exact"/>
        <w:jc w:val="center"/>
        <w:outlineLvl w:val="0"/>
        <w:rPr>
          <w:rStyle w:val="24"/>
          <w:rFonts w:eastAsia="黑体"/>
          <w:b w:val="0"/>
        </w:rPr>
      </w:pPr>
      <w:r>
        <w:rPr>
          <w:rFonts w:eastAsia="黑体"/>
          <w:sz w:val="44"/>
          <w:szCs w:val="44"/>
        </w:rPr>
        <w:t>第</w:t>
      </w:r>
      <w:r>
        <w:rPr>
          <w:rStyle w:val="24"/>
          <w:rFonts w:eastAsia="黑体"/>
          <w:b w:val="0"/>
        </w:rPr>
        <w:t>五部分 附表</w:t>
      </w:r>
      <w:bookmarkEnd w:id="51"/>
      <w:bookmarkEnd w:id="57"/>
      <w:bookmarkStart w:id="58" w:name="_Toc15396619"/>
    </w:p>
    <w:p>
      <w:pPr>
        <w:pStyle w:val="2"/>
        <w:spacing w:before="93"/>
        <w:rPr>
          <w:rFonts w:ascii="Times New Roman"/>
        </w:rPr>
      </w:pPr>
    </w:p>
    <w:p>
      <w:pPr>
        <w:pStyle w:val="4"/>
        <w:spacing w:before="0" w:after="0"/>
        <w:rPr>
          <w:rFonts w:ascii="Times New Roman" w:hAnsi="Times New Roman" w:eastAsia="仿宋" w:cs="Times New Roman"/>
        </w:rPr>
      </w:pPr>
      <w:r>
        <w:rPr>
          <w:rFonts w:ascii="Times New Roman" w:hAnsi="Times New Roman" w:eastAsia="仿宋" w:cs="Times New Roman"/>
          <w:b w:val="0"/>
        </w:rPr>
        <w:t>一、收</w:t>
      </w:r>
      <w:r>
        <w:rPr>
          <w:rStyle w:val="25"/>
          <w:rFonts w:ascii="Times New Roman" w:hAnsi="Times New Roman" w:eastAsia="仿宋" w:cs="Times New Roman"/>
          <w:b w:val="0"/>
          <w:bCs w:val="0"/>
        </w:rPr>
        <w:t>入支出决算总表</w:t>
      </w:r>
      <w:bookmarkEnd w:id="58"/>
    </w:p>
    <w:p>
      <w:pPr>
        <w:pStyle w:val="4"/>
        <w:spacing w:before="0" w:after="0"/>
        <w:rPr>
          <w:rFonts w:ascii="Times New Roman" w:hAnsi="Times New Roman" w:eastAsia="仿宋" w:cs="Times New Roman"/>
        </w:rPr>
      </w:pPr>
      <w:bookmarkStart w:id="59" w:name="_Toc15396620"/>
      <w:r>
        <w:rPr>
          <w:rFonts w:ascii="Times New Roman" w:hAnsi="Times New Roman" w:eastAsia="仿宋" w:cs="Times New Roman"/>
          <w:b w:val="0"/>
        </w:rPr>
        <w:t>二、收</w:t>
      </w:r>
      <w:r>
        <w:rPr>
          <w:rStyle w:val="25"/>
          <w:rFonts w:ascii="Times New Roman" w:hAnsi="Times New Roman" w:eastAsia="仿宋" w:cs="Times New Roman"/>
          <w:b w:val="0"/>
          <w:bCs w:val="0"/>
        </w:rPr>
        <w:t>入决算表</w:t>
      </w:r>
      <w:bookmarkEnd w:id="59"/>
    </w:p>
    <w:p>
      <w:pPr>
        <w:pStyle w:val="4"/>
        <w:spacing w:before="0" w:after="0"/>
        <w:rPr>
          <w:rFonts w:ascii="Times New Roman" w:hAnsi="Times New Roman" w:eastAsia="仿宋" w:cs="Times New Roman"/>
        </w:rPr>
      </w:pPr>
      <w:bookmarkStart w:id="60" w:name="_Toc15396621"/>
      <w:r>
        <w:rPr>
          <w:rStyle w:val="25"/>
          <w:rFonts w:ascii="Times New Roman" w:hAnsi="Times New Roman" w:eastAsia="仿宋" w:cs="Times New Roman"/>
          <w:b w:val="0"/>
          <w:bCs w:val="0"/>
        </w:rPr>
        <w:t>三、</w:t>
      </w:r>
      <w:r>
        <w:rPr>
          <w:rFonts w:ascii="Times New Roman" w:hAnsi="Times New Roman" w:eastAsia="仿宋" w:cs="Times New Roman"/>
          <w:b w:val="0"/>
        </w:rPr>
        <w:t>支</w:t>
      </w:r>
      <w:r>
        <w:rPr>
          <w:rStyle w:val="25"/>
          <w:rFonts w:ascii="Times New Roman" w:hAnsi="Times New Roman" w:eastAsia="仿宋" w:cs="Times New Roman"/>
          <w:b w:val="0"/>
          <w:bCs w:val="0"/>
        </w:rPr>
        <w:t>出决算表</w:t>
      </w:r>
      <w:bookmarkEnd w:id="60"/>
    </w:p>
    <w:p>
      <w:pPr>
        <w:pStyle w:val="4"/>
        <w:spacing w:before="0" w:after="0"/>
        <w:rPr>
          <w:rFonts w:ascii="Times New Roman" w:hAnsi="Times New Roman" w:eastAsia="仿宋" w:cs="Times New Roman"/>
          <w:b w:val="0"/>
        </w:rPr>
      </w:pPr>
      <w:bookmarkStart w:id="61" w:name="_Toc15396622"/>
      <w:r>
        <w:rPr>
          <w:rStyle w:val="25"/>
          <w:rFonts w:ascii="Times New Roman" w:hAnsi="Times New Roman" w:eastAsia="仿宋" w:cs="Times New Roman"/>
          <w:b w:val="0"/>
          <w:bCs w:val="0"/>
        </w:rPr>
        <w:t>四、</w:t>
      </w:r>
      <w:r>
        <w:rPr>
          <w:rFonts w:ascii="Times New Roman" w:hAnsi="Times New Roman" w:eastAsia="仿宋" w:cs="Times New Roman"/>
          <w:b w:val="0"/>
        </w:rPr>
        <w:t>财</w:t>
      </w:r>
      <w:r>
        <w:rPr>
          <w:rStyle w:val="25"/>
          <w:rFonts w:ascii="Times New Roman" w:hAnsi="Times New Roman" w:eastAsia="仿宋" w:cs="Times New Roman"/>
          <w:b w:val="0"/>
          <w:bCs w:val="0"/>
        </w:rPr>
        <w:t>政拨款收入支出决算总表</w:t>
      </w:r>
      <w:bookmarkEnd w:id="61"/>
    </w:p>
    <w:p>
      <w:pPr>
        <w:pStyle w:val="4"/>
        <w:spacing w:before="0" w:after="0"/>
        <w:rPr>
          <w:rStyle w:val="25"/>
          <w:rFonts w:ascii="Times New Roman" w:hAnsi="Times New Roman" w:eastAsia="仿宋" w:cs="Times New Roman"/>
          <w:b w:val="0"/>
          <w:bCs w:val="0"/>
        </w:rPr>
      </w:pPr>
      <w:bookmarkStart w:id="62" w:name="_Toc15396623"/>
      <w:r>
        <w:rPr>
          <w:rStyle w:val="25"/>
          <w:rFonts w:ascii="Times New Roman" w:hAnsi="Times New Roman" w:eastAsia="仿宋" w:cs="Times New Roman"/>
          <w:b w:val="0"/>
          <w:bCs w:val="0"/>
        </w:rPr>
        <w:t>五、</w:t>
      </w:r>
      <w:r>
        <w:rPr>
          <w:rFonts w:ascii="Times New Roman" w:hAnsi="Times New Roman" w:eastAsia="仿宋" w:cs="Times New Roman"/>
          <w:b w:val="0"/>
        </w:rPr>
        <w:t>财</w:t>
      </w:r>
      <w:r>
        <w:rPr>
          <w:rStyle w:val="25"/>
          <w:rFonts w:ascii="Times New Roman" w:hAnsi="Times New Roman" w:eastAsia="仿宋" w:cs="Times New Roman"/>
          <w:b w:val="0"/>
          <w:bCs w:val="0"/>
        </w:rPr>
        <w:t>政拨款支出决算明细表</w:t>
      </w:r>
      <w:bookmarkEnd w:id="62"/>
      <w:bookmarkStart w:id="63" w:name="_Toc15396624"/>
    </w:p>
    <w:p>
      <w:pPr>
        <w:pStyle w:val="4"/>
        <w:spacing w:before="0" w:after="0"/>
        <w:rPr>
          <w:rFonts w:ascii="Times New Roman" w:hAnsi="Times New Roman" w:eastAsia="仿宋" w:cs="Times New Roman"/>
        </w:rPr>
      </w:pPr>
      <w:r>
        <w:rPr>
          <w:rStyle w:val="25"/>
          <w:rFonts w:ascii="Times New Roman" w:hAnsi="Times New Roman" w:eastAsia="仿宋" w:cs="Times New Roman"/>
          <w:b w:val="0"/>
          <w:bCs w:val="0"/>
        </w:rPr>
        <w:t>六、</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般公共预算财政拨款支出决算表</w:t>
      </w:r>
      <w:bookmarkEnd w:id="63"/>
    </w:p>
    <w:p>
      <w:pPr>
        <w:pStyle w:val="4"/>
        <w:spacing w:before="0" w:after="0"/>
        <w:rPr>
          <w:rFonts w:ascii="Times New Roman" w:hAnsi="Times New Roman" w:eastAsia="仿宋" w:cs="Times New Roman"/>
        </w:rPr>
      </w:pPr>
      <w:bookmarkStart w:id="64" w:name="_Toc15396625"/>
      <w:r>
        <w:rPr>
          <w:rStyle w:val="25"/>
          <w:rFonts w:ascii="Times New Roman" w:hAnsi="Times New Roman" w:eastAsia="仿宋" w:cs="Times New Roman"/>
          <w:b w:val="0"/>
          <w:bCs w:val="0"/>
        </w:rPr>
        <w:t>七、</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般公共预算财政拨款支出决算明细表</w:t>
      </w:r>
      <w:bookmarkEnd w:id="64"/>
    </w:p>
    <w:p>
      <w:pPr>
        <w:pStyle w:val="4"/>
        <w:spacing w:before="0" w:after="0"/>
        <w:rPr>
          <w:rFonts w:ascii="Times New Roman" w:hAnsi="Times New Roman" w:eastAsia="仿宋" w:cs="Times New Roman"/>
        </w:rPr>
      </w:pPr>
      <w:bookmarkStart w:id="65" w:name="_Toc15396626"/>
      <w:r>
        <w:rPr>
          <w:rStyle w:val="25"/>
          <w:rFonts w:ascii="Times New Roman" w:hAnsi="Times New Roman" w:eastAsia="仿宋" w:cs="Times New Roman"/>
          <w:b w:val="0"/>
          <w:bCs w:val="0"/>
        </w:rPr>
        <w:t>八、</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般公共预算财政拨款基本支出决算表</w:t>
      </w:r>
      <w:bookmarkEnd w:id="65"/>
    </w:p>
    <w:p>
      <w:pPr>
        <w:pStyle w:val="4"/>
        <w:spacing w:before="0" w:after="0"/>
        <w:rPr>
          <w:rFonts w:ascii="Times New Roman" w:hAnsi="Times New Roman" w:eastAsia="仿宋" w:cs="Times New Roman"/>
        </w:rPr>
      </w:pPr>
      <w:bookmarkStart w:id="66" w:name="_Toc15396627"/>
      <w:r>
        <w:rPr>
          <w:rStyle w:val="25"/>
          <w:rFonts w:ascii="Times New Roman" w:hAnsi="Times New Roman" w:eastAsia="仿宋" w:cs="Times New Roman"/>
          <w:b w:val="0"/>
          <w:bCs w:val="0"/>
        </w:rPr>
        <w:t>九、</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般公共预算财政拨款项目支出决算表</w:t>
      </w:r>
      <w:bookmarkEnd w:id="66"/>
    </w:p>
    <w:p>
      <w:pPr>
        <w:pStyle w:val="4"/>
        <w:spacing w:before="0" w:after="0"/>
        <w:rPr>
          <w:rFonts w:ascii="Times New Roman" w:hAnsi="Times New Roman" w:eastAsia="仿宋" w:cs="Times New Roman"/>
        </w:rPr>
      </w:pPr>
      <w:bookmarkStart w:id="67" w:name="_Toc15396628"/>
      <w:r>
        <w:rPr>
          <w:rStyle w:val="25"/>
          <w:rFonts w:ascii="Times New Roman" w:hAnsi="Times New Roman" w:eastAsia="仿宋" w:cs="Times New Roman"/>
          <w:b w:val="0"/>
          <w:bCs w:val="0"/>
        </w:rPr>
        <w:t>十、</w:t>
      </w:r>
      <w:r>
        <w:rPr>
          <w:rFonts w:ascii="Times New Roman" w:hAnsi="Times New Roman" w:eastAsia="仿宋" w:cs="Times New Roman"/>
          <w:b w:val="0"/>
        </w:rPr>
        <w:t>一</w:t>
      </w:r>
      <w:r>
        <w:rPr>
          <w:rStyle w:val="25"/>
          <w:rFonts w:ascii="Times New Roman" w:hAnsi="Times New Roman" w:eastAsia="仿宋" w:cs="Times New Roman"/>
          <w:b w:val="0"/>
          <w:bCs w:val="0"/>
        </w:rPr>
        <w:t>般公共预算财政拨款“三公”经费支出决算表</w:t>
      </w:r>
      <w:bookmarkEnd w:id="67"/>
    </w:p>
    <w:p>
      <w:pPr>
        <w:pStyle w:val="4"/>
        <w:spacing w:before="0" w:after="0"/>
        <w:rPr>
          <w:rFonts w:ascii="Times New Roman" w:hAnsi="Times New Roman" w:eastAsia="仿宋" w:cs="Times New Roman"/>
        </w:rPr>
      </w:pPr>
      <w:bookmarkStart w:id="68" w:name="_Toc15396629"/>
      <w:r>
        <w:rPr>
          <w:rStyle w:val="25"/>
          <w:rFonts w:ascii="Times New Roman" w:hAnsi="Times New Roman" w:eastAsia="仿宋" w:cs="Times New Roman"/>
          <w:b w:val="0"/>
          <w:bCs w:val="0"/>
        </w:rPr>
        <w:t>十一、</w:t>
      </w:r>
      <w:r>
        <w:rPr>
          <w:rFonts w:ascii="Times New Roman" w:hAnsi="Times New Roman" w:eastAsia="仿宋" w:cs="Times New Roman"/>
          <w:b w:val="0"/>
        </w:rPr>
        <w:t>政</w:t>
      </w:r>
      <w:r>
        <w:rPr>
          <w:rStyle w:val="25"/>
          <w:rFonts w:ascii="Times New Roman" w:hAnsi="Times New Roman" w:eastAsia="仿宋" w:cs="Times New Roman"/>
          <w:b w:val="0"/>
          <w:bCs w:val="0"/>
        </w:rPr>
        <w:t>府性基金预算财政拨款收入支出决算表</w:t>
      </w:r>
      <w:bookmarkEnd w:id="68"/>
    </w:p>
    <w:p>
      <w:pPr>
        <w:pStyle w:val="4"/>
        <w:spacing w:before="0" w:after="0"/>
        <w:rPr>
          <w:rFonts w:ascii="Times New Roman" w:hAnsi="Times New Roman" w:eastAsia="仿宋" w:cs="Times New Roman"/>
        </w:rPr>
      </w:pPr>
      <w:bookmarkStart w:id="69" w:name="_Toc15396630"/>
      <w:r>
        <w:rPr>
          <w:rStyle w:val="25"/>
          <w:rFonts w:ascii="Times New Roman" w:hAnsi="Times New Roman" w:eastAsia="仿宋" w:cs="Times New Roman"/>
          <w:b w:val="0"/>
          <w:bCs w:val="0"/>
        </w:rPr>
        <w:t>十二、</w:t>
      </w:r>
      <w:r>
        <w:rPr>
          <w:rFonts w:ascii="Times New Roman" w:hAnsi="Times New Roman" w:eastAsia="仿宋" w:cs="Times New Roman"/>
          <w:b w:val="0"/>
        </w:rPr>
        <w:t>政</w:t>
      </w:r>
      <w:r>
        <w:rPr>
          <w:rStyle w:val="25"/>
          <w:rFonts w:ascii="Times New Roman" w:hAnsi="Times New Roman" w:eastAsia="仿宋" w:cs="Times New Roman"/>
          <w:b w:val="0"/>
          <w:bCs w:val="0"/>
        </w:rPr>
        <w:t>府性基金预算财政拨款“三公”经费支出决算表</w:t>
      </w:r>
      <w:bookmarkEnd w:id="69"/>
    </w:p>
    <w:p>
      <w:pPr>
        <w:pStyle w:val="4"/>
        <w:spacing w:before="0" w:after="0"/>
        <w:rPr>
          <w:rStyle w:val="25"/>
          <w:rFonts w:ascii="Times New Roman" w:hAnsi="Times New Roman" w:eastAsia="仿宋" w:cs="Times New Roman"/>
          <w:b w:val="0"/>
          <w:bCs w:val="0"/>
        </w:rPr>
      </w:pPr>
      <w:bookmarkStart w:id="70" w:name="_Toc15396631"/>
      <w:r>
        <w:rPr>
          <w:rStyle w:val="25"/>
          <w:rFonts w:ascii="Times New Roman" w:hAnsi="Times New Roman" w:eastAsia="仿宋" w:cs="Times New Roman"/>
          <w:b w:val="0"/>
          <w:bCs w:val="0"/>
        </w:rPr>
        <w:t>十三、</w:t>
      </w:r>
      <w:r>
        <w:rPr>
          <w:rFonts w:ascii="Times New Roman" w:hAnsi="Times New Roman" w:eastAsia="仿宋" w:cs="Times New Roman"/>
          <w:b w:val="0"/>
        </w:rPr>
        <w:t>国</w:t>
      </w:r>
      <w:r>
        <w:rPr>
          <w:rStyle w:val="25"/>
          <w:rFonts w:ascii="Times New Roman" w:hAnsi="Times New Roman" w:eastAsia="仿宋" w:cs="Times New Roman"/>
          <w:b w:val="0"/>
          <w:bCs w:val="0"/>
        </w:rPr>
        <w:t>有资本经营预算财政拨款收入支出决算表</w:t>
      </w:r>
      <w:bookmarkEnd w:id="70"/>
    </w:p>
    <w:p>
      <w:pPr>
        <w:rPr>
          <w:rFonts w:eastAsia="仿宋"/>
        </w:rPr>
      </w:pPr>
      <w:r>
        <w:rPr>
          <w:rStyle w:val="25"/>
          <w:rFonts w:ascii="Times New Roman" w:hAnsi="Times New Roman" w:eastAsia="仿宋" w:cs="Times New Roman"/>
          <w:b w:val="0"/>
          <w:bCs w:val="0"/>
        </w:rPr>
        <w:t>十四、国有资本经营预算财政拨款支出决算表</w:t>
      </w:r>
    </w:p>
    <w:p>
      <w:pPr>
        <w:rPr>
          <w:rFonts w:eastAsia="仿宋"/>
        </w:rPr>
      </w:pPr>
    </w:p>
    <w:sectPr>
      <w:footerReference r:id="rId5" w:type="first"/>
      <w:footerReference r:id="rId4" w:type="default"/>
      <w:pgSz w:w="11906" w:h="16838"/>
      <w:pgMar w:top="2098" w:right="1474" w:bottom="1985" w:left="1588" w:header="851" w:footer="1418"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25E10"/>
    <w:rsid w:val="00044C05"/>
    <w:rsid w:val="000468DB"/>
    <w:rsid w:val="00054F3E"/>
    <w:rsid w:val="0006487A"/>
    <w:rsid w:val="00065F8F"/>
    <w:rsid w:val="00070A43"/>
    <w:rsid w:val="000768F2"/>
    <w:rsid w:val="0009184B"/>
    <w:rsid w:val="00093538"/>
    <w:rsid w:val="00094236"/>
    <w:rsid w:val="0009593C"/>
    <w:rsid w:val="00097322"/>
    <w:rsid w:val="000A6A92"/>
    <w:rsid w:val="000B047F"/>
    <w:rsid w:val="000B3F18"/>
    <w:rsid w:val="000B5923"/>
    <w:rsid w:val="000B5A48"/>
    <w:rsid w:val="000B6FF3"/>
    <w:rsid w:val="000C3467"/>
    <w:rsid w:val="000C3CA6"/>
    <w:rsid w:val="000D1267"/>
    <w:rsid w:val="000D1D50"/>
    <w:rsid w:val="000D482E"/>
    <w:rsid w:val="000D5782"/>
    <w:rsid w:val="000E4434"/>
    <w:rsid w:val="000E6613"/>
    <w:rsid w:val="000E7119"/>
    <w:rsid w:val="000F678D"/>
    <w:rsid w:val="00104D8B"/>
    <w:rsid w:val="00104FF4"/>
    <w:rsid w:val="00106C52"/>
    <w:rsid w:val="00114E9B"/>
    <w:rsid w:val="00142216"/>
    <w:rsid w:val="00142603"/>
    <w:rsid w:val="00144D6A"/>
    <w:rsid w:val="0014729F"/>
    <w:rsid w:val="00147B05"/>
    <w:rsid w:val="00157BAB"/>
    <w:rsid w:val="001654D1"/>
    <w:rsid w:val="00174518"/>
    <w:rsid w:val="0018106D"/>
    <w:rsid w:val="001877A7"/>
    <w:rsid w:val="00187807"/>
    <w:rsid w:val="00191536"/>
    <w:rsid w:val="00196687"/>
    <w:rsid w:val="001A4FC0"/>
    <w:rsid w:val="001C0962"/>
    <w:rsid w:val="001C74EE"/>
    <w:rsid w:val="001D7531"/>
    <w:rsid w:val="001E737D"/>
    <w:rsid w:val="001F0592"/>
    <w:rsid w:val="001F7506"/>
    <w:rsid w:val="002006CD"/>
    <w:rsid w:val="00202B36"/>
    <w:rsid w:val="00204B7A"/>
    <w:rsid w:val="00204CDE"/>
    <w:rsid w:val="0021101A"/>
    <w:rsid w:val="00220536"/>
    <w:rsid w:val="00232DA2"/>
    <w:rsid w:val="00235629"/>
    <w:rsid w:val="00235670"/>
    <w:rsid w:val="00236287"/>
    <w:rsid w:val="00236C6A"/>
    <w:rsid w:val="00260C38"/>
    <w:rsid w:val="002616C0"/>
    <w:rsid w:val="0026476B"/>
    <w:rsid w:val="00265372"/>
    <w:rsid w:val="002662AA"/>
    <w:rsid w:val="002675BB"/>
    <w:rsid w:val="00277BD9"/>
    <w:rsid w:val="00280496"/>
    <w:rsid w:val="00281B7D"/>
    <w:rsid w:val="0028702C"/>
    <w:rsid w:val="00294DC9"/>
    <w:rsid w:val="00295495"/>
    <w:rsid w:val="002A31DE"/>
    <w:rsid w:val="002B2613"/>
    <w:rsid w:val="002B618B"/>
    <w:rsid w:val="002B7FEF"/>
    <w:rsid w:val="002C436D"/>
    <w:rsid w:val="002D5CA5"/>
    <w:rsid w:val="002D6D05"/>
    <w:rsid w:val="002F1818"/>
    <w:rsid w:val="002F567B"/>
    <w:rsid w:val="003216A9"/>
    <w:rsid w:val="00335A74"/>
    <w:rsid w:val="00346588"/>
    <w:rsid w:val="00354C3F"/>
    <w:rsid w:val="0036561B"/>
    <w:rsid w:val="0037013F"/>
    <w:rsid w:val="00380C92"/>
    <w:rsid w:val="003A484F"/>
    <w:rsid w:val="003A4883"/>
    <w:rsid w:val="003A675E"/>
    <w:rsid w:val="003B0BE0"/>
    <w:rsid w:val="003B0C1B"/>
    <w:rsid w:val="003B688C"/>
    <w:rsid w:val="003C0291"/>
    <w:rsid w:val="003C39AE"/>
    <w:rsid w:val="003C6675"/>
    <w:rsid w:val="003C7B60"/>
    <w:rsid w:val="003D0C0F"/>
    <w:rsid w:val="003D1FB2"/>
    <w:rsid w:val="003D66DA"/>
    <w:rsid w:val="003E1310"/>
    <w:rsid w:val="003E6F55"/>
    <w:rsid w:val="003F56E8"/>
    <w:rsid w:val="0040403D"/>
    <w:rsid w:val="00406254"/>
    <w:rsid w:val="004223DE"/>
    <w:rsid w:val="00431311"/>
    <w:rsid w:val="00434489"/>
    <w:rsid w:val="00437085"/>
    <w:rsid w:val="00443880"/>
    <w:rsid w:val="004464F4"/>
    <w:rsid w:val="00450685"/>
    <w:rsid w:val="00471401"/>
    <w:rsid w:val="00473F31"/>
    <w:rsid w:val="0048263A"/>
    <w:rsid w:val="00487E5D"/>
    <w:rsid w:val="0049632D"/>
    <w:rsid w:val="004A711F"/>
    <w:rsid w:val="004B199D"/>
    <w:rsid w:val="004B4690"/>
    <w:rsid w:val="004E0A2D"/>
    <w:rsid w:val="004E206B"/>
    <w:rsid w:val="004E6DF7"/>
    <w:rsid w:val="004F0FBD"/>
    <w:rsid w:val="00505A47"/>
    <w:rsid w:val="00512FDA"/>
    <w:rsid w:val="00520DA0"/>
    <w:rsid w:val="005664BB"/>
    <w:rsid w:val="00566FFA"/>
    <w:rsid w:val="0057481D"/>
    <w:rsid w:val="00574F6A"/>
    <w:rsid w:val="0058486E"/>
    <w:rsid w:val="00585B33"/>
    <w:rsid w:val="0059014D"/>
    <w:rsid w:val="005B5C64"/>
    <w:rsid w:val="005C5337"/>
    <w:rsid w:val="005C6BD0"/>
    <w:rsid w:val="005D1C8B"/>
    <w:rsid w:val="005D468D"/>
    <w:rsid w:val="005D5CED"/>
    <w:rsid w:val="005F1A4C"/>
    <w:rsid w:val="00603A80"/>
    <w:rsid w:val="00605688"/>
    <w:rsid w:val="006070AF"/>
    <w:rsid w:val="00607E6C"/>
    <w:rsid w:val="006101B1"/>
    <w:rsid w:val="00614E44"/>
    <w:rsid w:val="00617EB6"/>
    <w:rsid w:val="0062270A"/>
    <w:rsid w:val="00622830"/>
    <w:rsid w:val="00623DA0"/>
    <w:rsid w:val="00630AEF"/>
    <w:rsid w:val="006325F8"/>
    <w:rsid w:val="00633463"/>
    <w:rsid w:val="00634C9A"/>
    <w:rsid w:val="006440E4"/>
    <w:rsid w:val="0066343B"/>
    <w:rsid w:val="00664777"/>
    <w:rsid w:val="006748A4"/>
    <w:rsid w:val="00681A31"/>
    <w:rsid w:val="00683E73"/>
    <w:rsid w:val="0068589F"/>
    <w:rsid w:val="00693FB9"/>
    <w:rsid w:val="006A3141"/>
    <w:rsid w:val="006A5E34"/>
    <w:rsid w:val="006A68A7"/>
    <w:rsid w:val="006B2422"/>
    <w:rsid w:val="006B2B9A"/>
    <w:rsid w:val="006B7304"/>
    <w:rsid w:val="006C1937"/>
    <w:rsid w:val="006D01BB"/>
    <w:rsid w:val="006F020C"/>
    <w:rsid w:val="006F18EE"/>
    <w:rsid w:val="007127B7"/>
    <w:rsid w:val="00714BEB"/>
    <w:rsid w:val="0071798E"/>
    <w:rsid w:val="007279D3"/>
    <w:rsid w:val="007416B6"/>
    <w:rsid w:val="00746F48"/>
    <w:rsid w:val="0075404D"/>
    <w:rsid w:val="00756464"/>
    <w:rsid w:val="0076182A"/>
    <w:rsid w:val="00767B7E"/>
    <w:rsid w:val="007770C3"/>
    <w:rsid w:val="0078365C"/>
    <w:rsid w:val="00784D24"/>
    <w:rsid w:val="00785FBA"/>
    <w:rsid w:val="00786E4A"/>
    <w:rsid w:val="007875EB"/>
    <w:rsid w:val="0079426B"/>
    <w:rsid w:val="007B3DAE"/>
    <w:rsid w:val="007C1654"/>
    <w:rsid w:val="007D1682"/>
    <w:rsid w:val="007D312A"/>
    <w:rsid w:val="007D3F19"/>
    <w:rsid w:val="007E23B0"/>
    <w:rsid w:val="007E23E5"/>
    <w:rsid w:val="007E4520"/>
    <w:rsid w:val="007F1991"/>
    <w:rsid w:val="007F2C2F"/>
    <w:rsid w:val="007F55FC"/>
    <w:rsid w:val="007F5665"/>
    <w:rsid w:val="00800112"/>
    <w:rsid w:val="008054C9"/>
    <w:rsid w:val="00805B54"/>
    <w:rsid w:val="00813348"/>
    <w:rsid w:val="008253BB"/>
    <w:rsid w:val="00830C2C"/>
    <w:rsid w:val="0083706E"/>
    <w:rsid w:val="008408F6"/>
    <w:rsid w:val="008423A5"/>
    <w:rsid w:val="00850625"/>
    <w:rsid w:val="00853718"/>
    <w:rsid w:val="00855221"/>
    <w:rsid w:val="00860645"/>
    <w:rsid w:val="00864FE0"/>
    <w:rsid w:val="00871F71"/>
    <w:rsid w:val="00872FD8"/>
    <w:rsid w:val="00885AF4"/>
    <w:rsid w:val="008860E7"/>
    <w:rsid w:val="008939CD"/>
    <w:rsid w:val="008B768C"/>
    <w:rsid w:val="008B7718"/>
    <w:rsid w:val="008C4DB1"/>
    <w:rsid w:val="008C4EAF"/>
    <w:rsid w:val="008C5176"/>
    <w:rsid w:val="008C52E5"/>
    <w:rsid w:val="008C7FD0"/>
    <w:rsid w:val="008E1DE7"/>
    <w:rsid w:val="008E707C"/>
    <w:rsid w:val="0090013C"/>
    <w:rsid w:val="00900B08"/>
    <w:rsid w:val="00902155"/>
    <w:rsid w:val="00902FA3"/>
    <w:rsid w:val="00923564"/>
    <w:rsid w:val="0092392E"/>
    <w:rsid w:val="009315F9"/>
    <w:rsid w:val="00933499"/>
    <w:rsid w:val="00935C98"/>
    <w:rsid w:val="00936B8E"/>
    <w:rsid w:val="00946945"/>
    <w:rsid w:val="00951248"/>
    <w:rsid w:val="0095152F"/>
    <w:rsid w:val="00954C49"/>
    <w:rsid w:val="00955E37"/>
    <w:rsid w:val="00957608"/>
    <w:rsid w:val="0097099F"/>
    <w:rsid w:val="00971997"/>
    <w:rsid w:val="00971FFC"/>
    <w:rsid w:val="0098055D"/>
    <w:rsid w:val="00981279"/>
    <w:rsid w:val="0098660A"/>
    <w:rsid w:val="009931C3"/>
    <w:rsid w:val="009A500F"/>
    <w:rsid w:val="009B2C43"/>
    <w:rsid w:val="009B4EAE"/>
    <w:rsid w:val="009B7573"/>
    <w:rsid w:val="009C22F4"/>
    <w:rsid w:val="009C2A4B"/>
    <w:rsid w:val="009C2E98"/>
    <w:rsid w:val="009C7AE1"/>
    <w:rsid w:val="009D3447"/>
    <w:rsid w:val="009D4711"/>
    <w:rsid w:val="009F1185"/>
    <w:rsid w:val="009F18CD"/>
    <w:rsid w:val="009F2A13"/>
    <w:rsid w:val="009F7527"/>
    <w:rsid w:val="00A04EB0"/>
    <w:rsid w:val="00A07954"/>
    <w:rsid w:val="00A12DB9"/>
    <w:rsid w:val="00A13C98"/>
    <w:rsid w:val="00A13CC1"/>
    <w:rsid w:val="00A16847"/>
    <w:rsid w:val="00A237D8"/>
    <w:rsid w:val="00A268C4"/>
    <w:rsid w:val="00A307CD"/>
    <w:rsid w:val="00A331C8"/>
    <w:rsid w:val="00A402A2"/>
    <w:rsid w:val="00A40A00"/>
    <w:rsid w:val="00A4142F"/>
    <w:rsid w:val="00A422EB"/>
    <w:rsid w:val="00A45BB7"/>
    <w:rsid w:val="00A45C4B"/>
    <w:rsid w:val="00A524CD"/>
    <w:rsid w:val="00A56DF2"/>
    <w:rsid w:val="00A56E6E"/>
    <w:rsid w:val="00A60156"/>
    <w:rsid w:val="00A67AB5"/>
    <w:rsid w:val="00A733B2"/>
    <w:rsid w:val="00A741C2"/>
    <w:rsid w:val="00A91760"/>
    <w:rsid w:val="00A93B00"/>
    <w:rsid w:val="00A93C21"/>
    <w:rsid w:val="00A97CE6"/>
    <w:rsid w:val="00AA1886"/>
    <w:rsid w:val="00AB083D"/>
    <w:rsid w:val="00AB64C9"/>
    <w:rsid w:val="00AC2791"/>
    <w:rsid w:val="00AC3C6A"/>
    <w:rsid w:val="00AD0633"/>
    <w:rsid w:val="00AD5620"/>
    <w:rsid w:val="00AD656B"/>
    <w:rsid w:val="00AD7C1B"/>
    <w:rsid w:val="00AE16BA"/>
    <w:rsid w:val="00AE1EBE"/>
    <w:rsid w:val="00AE6A10"/>
    <w:rsid w:val="00B03C9D"/>
    <w:rsid w:val="00B060AE"/>
    <w:rsid w:val="00B10517"/>
    <w:rsid w:val="00B14E76"/>
    <w:rsid w:val="00B161B8"/>
    <w:rsid w:val="00B2048C"/>
    <w:rsid w:val="00B21869"/>
    <w:rsid w:val="00B310B9"/>
    <w:rsid w:val="00B35F3F"/>
    <w:rsid w:val="00B36CBB"/>
    <w:rsid w:val="00B425E0"/>
    <w:rsid w:val="00B440AA"/>
    <w:rsid w:val="00B44B70"/>
    <w:rsid w:val="00B53C56"/>
    <w:rsid w:val="00B57DAF"/>
    <w:rsid w:val="00B70976"/>
    <w:rsid w:val="00B73544"/>
    <w:rsid w:val="00B77EA6"/>
    <w:rsid w:val="00B81598"/>
    <w:rsid w:val="00B841F1"/>
    <w:rsid w:val="00B94469"/>
    <w:rsid w:val="00B944D6"/>
    <w:rsid w:val="00BB0F7D"/>
    <w:rsid w:val="00BB2EAE"/>
    <w:rsid w:val="00BB4DF0"/>
    <w:rsid w:val="00BC289F"/>
    <w:rsid w:val="00BC2D50"/>
    <w:rsid w:val="00BC5361"/>
    <w:rsid w:val="00BC5460"/>
    <w:rsid w:val="00BC6B50"/>
    <w:rsid w:val="00BD0E25"/>
    <w:rsid w:val="00BD7D1F"/>
    <w:rsid w:val="00BE1587"/>
    <w:rsid w:val="00BF5BD6"/>
    <w:rsid w:val="00C03E31"/>
    <w:rsid w:val="00C13FC9"/>
    <w:rsid w:val="00C1416F"/>
    <w:rsid w:val="00C245EB"/>
    <w:rsid w:val="00C250F2"/>
    <w:rsid w:val="00C2789C"/>
    <w:rsid w:val="00C33E72"/>
    <w:rsid w:val="00C354B2"/>
    <w:rsid w:val="00C35554"/>
    <w:rsid w:val="00C41E0B"/>
    <w:rsid w:val="00C42709"/>
    <w:rsid w:val="00C5122E"/>
    <w:rsid w:val="00C533CC"/>
    <w:rsid w:val="00C5751C"/>
    <w:rsid w:val="00C61BFC"/>
    <w:rsid w:val="00C61D94"/>
    <w:rsid w:val="00C62B85"/>
    <w:rsid w:val="00C65438"/>
    <w:rsid w:val="00C66431"/>
    <w:rsid w:val="00C72DB8"/>
    <w:rsid w:val="00C86833"/>
    <w:rsid w:val="00C86E93"/>
    <w:rsid w:val="00C87FD8"/>
    <w:rsid w:val="00C91381"/>
    <w:rsid w:val="00C91CBB"/>
    <w:rsid w:val="00CA0D10"/>
    <w:rsid w:val="00CB4E70"/>
    <w:rsid w:val="00CB6FF4"/>
    <w:rsid w:val="00CC09B6"/>
    <w:rsid w:val="00CC666F"/>
    <w:rsid w:val="00CD1E3F"/>
    <w:rsid w:val="00CE022D"/>
    <w:rsid w:val="00CE44F6"/>
    <w:rsid w:val="00CE49DA"/>
    <w:rsid w:val="00CE7B61"/>
    <w:rsid w:val="00D00095"/>
    <w:rsid w:val="00D02C8A"/>
    <w:rsid w:val="00D114F0"/>
    <w:rsid w:val="00D20620"/>
    <w:rsid w:val="00D254F7"/>
    <w:rsid w:val="00D26091"/>
    <w:rsid w:val="00D2685C"/>
    <w:rsid w:val="00D26D30"/>
    <w:rsid w:val="00D32AEB"/>
    <w:rsid w:val="00D34E7C"/>
    <w:rsid w:val="00D35489"/>
    <w:rsid w:val="00D36AFE"/>
    <w:rsid w:val="00D41EFF"/>
    <w:rsid w:val="00D46A42"/>
    <w:rsid w:val="00D51276"/>
    <w:rsid w:val="00D5190C"/>
    <w:rsid w:val="00D645C6"/>
    <w:rsid w:val="00D7035F"/>
    <w:rsid w:val="00DA634F"/>
    <w:rsid w:val="00DA65AC"/>
    <w:rsid w:val="00DB1913"/>
    <w:rsid w:val="00DC410D"/>
    <w:rsid w:val="00DC5A81"/>
    <w:rsid w:val="00DC68CA"/>
    <w:rsid w:val="00DC7CBA"/>
    <w:rsid w:val="00DD57CD"/>
    <w:rsid w:val="00DD73B7"/>
    <w:rsid w:val="00DE0B93"/>
    <w:rsid w:val="00DE54A6"/>
    <w:rsid w:val="00DF28BC"/>
    <w:rsid w:val="00DF34B9"/>
    <w:rsid w:val="00DF3B1E"/>
    <w:rsid w:val="00E01053"/>
    <w:rsid w:val="00E07ACF"/>
    <w:rsid w:val="00E331A1"/>
    <w:rsid w:val="00E33202"/>
    <w:rsid w:val="00E3357D"/>
    <w:rsid w:val="00E336A9"/>
    <w:rsid w:val="00E4550B"/>
    <w:rsid w:val="00E4701E"/>
    <w:rsid w:val="00E472B1"/>
    <w:rsid w:val="00E476FD"/>
    <w:rsid w:val="00E50624"/>
    <w:rsid w:val="00E568DF"/>
    <w:rsid w:val="00E64269"/>
    <w:rsid w:val="00E82267"/>
    <w:rsid w:val="00E853CE"/>
    <w:rsid w:val="00E85DE0"/>
    <w:rsid w:val="00E867B6"/>
    <w:rsid w:val="00E95350"/>
    <w:rsid w:val="00EA010F"/>
    <w:rsid w:val="00EA52E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45992"/>
    <w:rsid w:val="00F602DF"/>
    <w:rsid w:val="00F61194"/>
    <w:rsid w:val="00F70716"/>
    <w:rsid w:val="00F754A1"/>
    <w:rsid w:val="00F81FD9"/>
    <w:rsid w:val="00F841AA"/>
    <w:rsid w:val="00F84A94"/>
    <w:rsid w:val="00F87E96"/>
    <w:rsid w:val="00FA23E8"/>
    <w:rsid w:val="00FD2612"/>
    <w:rsid w:val="00FD3CC1"/>
    <w:rsid w:val="00FF1E02"/>
    <w:rsid w:val="00FF30B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7E3936"/>
    <w:rsid w:val="2ABE7A3E"/>
    <w:rsid w:val="2EFA178C"/>
    <w:rsid w:val="30B46D73"/>
    <w:rsid w:val="319F7F4E"/>
    <w:rsid w:val="35F432C3"/>
    <w:rsid w:val="38FB213F"/>
    <w:rsid w:val="39AE70AB"/>
    <w:rsid w:val="3C0C0783"/>
    <w:rsid w:val="3F9F3A96"/>
    <w:rsid w:val="493C27E9"/>
    <w:rsid w:val="496F39ED"/>
    <w:rsid w:val="49FF41D3"/>
    <w:rsid w:val="4BE068DB"/>
    <w:rsid w:val="4BF6002B"/>
    <w:rsid w:val="4ECE2238"/>
    <w:rsid w:val="51DB4B86"/>
    <w:rsid w:val="55333C3E"/>
    <w:rsid w:val="55856D40"/>
    <w:rsid w:val="569520FC"/>
    <w:rsid w:val="64CA39A1"/>
    <w:rsid w:val="6C4A05C8"/>
    <w:rsid w:val="72734D90"/>
    <w:rsid w:val="79E7B28D"/>
    <w:rsid w:val="7A9E0877"/>
    <w:rsid w:val="7F9F20EE"/>
    <w:rsid w:val="9E3A10E2"/>
    <w:rsid w:val="DD4F7D47"/>
    <w:rsid w:val="F2E1F9D4"/>
    <w:rsid w:val="F67F5113"/>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TOC 标题3"/>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36130;&#21153;@\&#20915;&#31639;\2021&#24180;&#20915;&#31639;&#20844;&#24320;\&#35745;&#31639;&#25968;&#2545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36130;&#21153;@\&#20915;&#31639;\2021&#24180;&#20915;&#31639;&#20844;&#24320;\&#35745;&#31639;&#25968;&#2545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36130;&#21153;@\&#20915;&#31639;\2021&#24180;&#20915;&#31639;&#20844;&#24320;\&#35745;&#31639;&#25968;&#25454;.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36130;&#21153;@\&#20915;&#31639;\2021&#24180;&#20915;&#31639;&#20844;&#24320;\&#35745;&#31639;&#25968;&#25454;.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36130;&#21153;@\&#20915;&#31639;\2021&#24180;&#20915;&#31639;&#20844;&#24320;\&#35745;&#31639;&#25968;&#2545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36130;&#21153;@\&#20915;&#31639;\2021&#24180;&#20915;&#31639;&#20844;&#24320;\&#35745;&#31639;&#25968;&#2545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36130;&#21153;@\&#20915;&#31639;\2021&#24180;&#20915;&#31639;&#20844;&#24320;\&#35745;&#31639;&#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978616775447596"/>
          <c:y val="0.0701633415860451"/>
          <c:w val="0.872248557762767"/>
          <c:h val="0.806630298663649"/>
        </c:manualLayout>
      </c:layout>
      <c:barChart>
        <c:barDir val="col"/>
        <c:grouping val="clustered"/>
        <c:varyColors val="false"/>
        <c:ser>
          <c:idx val="0"/>
          <c:order val="0"/>
          <c:invertIfNegative val="false"/>
          <c:dLbls>
            <c:dLbl>
              <c:idx val="0"/>
              <c:layout>
                <c:manualLayout>
                  <c:x val="0"/>
                  <c:y val="-0.0695652173913044"/>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
                  <c:y val="-0.0772946859903385"/>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Sheet1!$B$1:$C$1</c:f>
              <c:strCache>
                <c:ptCount val="2"/>
                <c:pt idx="0">
                  <c:v>2020年</c:v>
                </c:pt>
                <c:pt idx="1">
                  <c:v>2021年</c:v>
                </c:pt>
              </c:strCache>
            </c:strRef>
          </c:cat>
          <c:val>
            <c:numRef>
              <c:f>Sheet1!$B$2:$C$2</c:f>
              <c:numCache>
                <c:formatCode>General</c:formatCode>
                <c:ptCount val="2"/>
                <c:pt idx="0">
                  <c:v>18337.7</c:v>
                </c:pt>
                <c:pt idx="1">
                  <c:v>13937.51</c:v>
                </c:pt>
              </c:numCache>
            </c:numRef>
          </c:val>
        </c:ser>
        <c:dLbls>
          <c:showLegendKey val="false"/>
          <c:showVal val="true"/>
          <c:showCatName val="false"/>
          <c:showSerName val="false"/>
          <c:showPercent val="false"/>
          <c:showBubbleSize val="false"/>
        </c:dLbls>
        <c:gapWidth val="75"/>
        <c:overlap val="40"/>
        <c:axId val="368945232"/>
        <c:axId val="234899216"/>
      </c:barChart>
      <c:catAx>
        <c:axId val="368945232"/>
        <c:scaling>
          <c:orientation val="minMax"/>
        </c:scaling>
        <c:delete val="false"/>
        <c:axPos val="b"/>
        <c:numFmt formatCode="General" sourceLinked="fals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34899216"/>
        <c:crosses val="autoZero"/>
        <c:auto val="true"/>
        <c:lblAlgn val="ctr"/>
        <c:lblOffset val="100"/>
        <c:noMultiLvlLbl val="false"/>
      </c:catAx>
      <c:valAx>
        <c:axId val="234899216"/>
        <c:scaling>
          <c:orientation val="minMax"/>
        </c:scaling>
        <c:delete val="false"/>
        <c:axPos val="l"/>
        <c:majorGridlines/>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68945232"/>
        <c:crosses val="autoZero"/>
        <c:crossBetween val="between"/>
      </c:valAx>
    </c:plotArea>
    <c:plotVisOnly val="true"/>
    <c:dispBlanksAs val="gap"/>
    <c:showDLblsOverMax val="false"/>
  </c:chart>
  <c:spPr>
    <a:ln w="9525" cap="flat" cmpd="sng" algn="ctr">
      <a:noFill/>
      <a:prstDash val="solid"/>
      <a:round/>
    </a:ln>
  </c:spPr>
  <c:txPr>
    <a:bodyPr/>
    <a:lstStyle/>
    <a:p>
      <a:pPr>
        <a:defRPr lang="zh-CN"/>
      </a:pPr>
    </a:p>
  </c:txPr>
  <c:externalData r:id="rId1">
    <c:autoUpdate val="false"/>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588051415301328"/>
          <c:y val="0.000910710465022177"/>
          <c:w val="0.938888888888891"/>
          <c:h val="0.898148148148148"/>
        </c:manualLayout>
      </c:layout>
      <c:pieChart>
        <c:varyColors val="true"/>
        <c:ser>
          <c:idx val="0"/>
          <c:order val="0"/>
          <c:tx>
            <c:strRef>
              <c:f>Sheet1!$C$1</c:f>
              <c:strCache>
                <c:ptCount val="1"/>
                <c:pt idx="0">
                  <c:v>2021年</c:v>
                </c:pt>
              </c:strCache>
            </c:strRef>
          </c:tx>
          <c:explosion val="17"/>
          <c:dPt>
            <c:idx val="0"/>
            <c:bubble3D val="false"/>
          </c:dPt>
          <c:dLbls>
            <c:delete val="true"/>
          </c:dLbls>
          <c:val>
            <c:numRef>
              <c:f>Sheet1!$C$2</c:f>
              <c:numCache>
                <c:formatCode>General</c:formatCode>
                <c:ptCount val="1"/>
                <c:pt idx="0">
                  <c:v>13937.51</c:v>
                </c:pt>
              </c:numCache>
            </c:numRef>
          </c:val>
        </c:ser>
        <c:dLbls>
          <c:showLegendKey val="false"/>
          <c:showVal val="false"/>
          <c:showCatName val="false"/>
          <c:showSerName val="false"/>
          <c:showPercent val="false"/>
          <c:showBubbleSize val="false"/>
          <c:showLeaderLines val="true"/>
        </c:dLbls>
        <c:firstSliceAng val="15"/>
      </c:pieChart>
      <c:spPr>
        <a:noFill/>
        <a:ln>
          <a:noFill/>
        </a:ln>
        <a:effectLst/>
      </c:spPr>
    </c:plotArea>
    <c:plotVisOnly val="true"/>
    <c:dispBlanksAs val="gap"/>
    <c:showDLblsOverMax val="false"/>
  </c:chart>
  <c:spPr>
    <a:ln w="9525" cap="flat" cmpd="sng" algn="ctr">
      <a:noFill/>
      <a:prstDash val="solid"/>
      <a:round/>
    </a:ln>
  </c:spPr>
  <c:txPr>
    <a:bodyPr/>
    <a:lstStyle/>
    <a:p>
      <a:pPr>
        <a:defRPr lang="zh-CN"/>
      </a:pPr>
    </a:p>
  </c:txPr>
  <c:externalData r:id="rId1">
    <c:autoUpdate val="false"/>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34"/>
    </mc:Choice>
    <mc:Fallback>
      <c:style val="34"/>
    </mc:Fallback>
  </mc:AlternateContent>
  <c:chart>
    <c:autoTitleDeleted val="true"/>
    <c:plotArea>
      <c:layout/>
      <c:pieChart>
        <c:varyColors val="true"/>
        <c:ser>
          <c:idx val="0"/>
          <c:order val="0"/>
          <c:explosion val="25"/>
          <c:dPt>
            <c:idx val="0"/>
            <c:bubble3D val="false"/>
          </c:dPt>
          <c:dPt>
            <c:idx val="1"/>
            <c:bubble3D val="false"/>
          </c:dPt>
          <c:dLbls>
            <c:dLbl>
              <c:idx val="0"/>
              <c:layout>
                <c:manualLayout>
                  <c:x val="0.117413495188101"/>
                  <c:y val="0.0428240740740741"/>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dk1"/>
                        </a:solidFill>
                        <a:latin typeface="+mn-lt"/>
                        <a:ea typeface="+mn-ea"/>
                        <a:cs typeface="+mn-cs"/>
                      </a:defRPr>
                    </a:pPr>
                    <a:r>
                      <a:rPr lang="zh-CN" altLang="en-US"/>
                      <a:t>基本支出
</a:t>
                    </a:r>
                    <a:r>
                      <a:rPr lang="en-US" altLang="zh-CN"/>
                      <a:t>2.91%</a:t>
                    </a:r>
                    <a:endParaRPr lang="en-US" altLang="zh-CN"/>
                  </a:p>
                </c:rich>
              </c:tx>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1"/>
              <c:layout>
                <c:manualLayout>
                  <c:x val="0.0957028652668422"/>
                  <c:y val="-0.339328521434823"/>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dk1"/>
                        </a:solidFill>
                        <a:latin typeface="+mn-lt"/>
                        <a:ea typeface="+mn-ea"/>
                        <a:cs typeface="+mn-cs"/>
                      </a:defRPr>
                    </a:pPr>
                    <a:r>
                      <a:rPr lang="zh-CN" altLang="en-US"/>
                      <a:t>项目支出
</a:t>
                    </a:r>
                    <a:r>
                      <a:rPr lang="en-US" altLang="zh-CN"/>
                      <a:t>97.09%</a:t>
                    </a:r>
                    <a:endParaRPr lang="en-US" altLang="zh-CN"/>
                  </a:p>
                </c:rich>
              </c:tx>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dk1"/>
                    </a:solidFill>
                    <a:latin typeface="+mn-lt"/>
                    <a:ea typeface="+mn-ea"/>
                    <a:cs typeface="+mn-cs"/>
                  </a:defRPr>
                </a:pPr>
              </a:p>
            </c:txPr>
            <c:dLblPos val="bestFit"/>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Sheet1!$A$4:$A$5</c:f>
              <c:strCache>
                <c:ptCount val="2"/>
                <c:pt idx="0">
                  <c:v>基本支出</c:v>
                </c:pt>
                <c:pt idx="1">
                  <c:v>项目支出</c:v>
                </c:pt>
              </c:strCache>
            </c:strRef>
          </c:cat>
          <c:val>
            <c:numRef>
              <c:f>Sheet1!$C$4:$C$5</c:f>
              <c:numCache>
                <c:formatCode>General</c:formatCode>
                <c:ptCount val="2"/>
                <c:pt idx="0">
                  <c:v>406</c:v>
                </c:pt>
                <c:pt idx="1">
                  <c:v>13531.51</c:v>
                </c:pt>
              </c:numCache>
            </c:numRef>
          </c:val>
        </c:ser>
        <c:dLbls>
          <c:showLegendKey val="false"/>
          <c:showVal val="false"/>
          <c:showCatName val="true"/>
          <c:showSerName val="false"/>
          <c:showPercent val="true"/>
          <c:showBubbleSize val="false"/>
          <c:showLeaderLines val="true"/>
        </c:dLbls>
        <c:firstSliceAng val="15"/>
      </c:pieChart>
      <c:spPr>
        <a:noFill/>
        <a:ln>
          <a:noFill/>
        </a:ln>
        <a:effectLst/>
      </c:spPr>
    </c:plotArea>
    <c:plotVisOnly val="true"/>
    <c:dispBlanksAs val="gap"/>
    <c:showDLblsOverMax val="false"/>
  </c:chart>
  <c:spPr>
    <a:ln w="9525" cap="flat" cmpd="sng" algn="ctr">
      <a:noFill/>
      <a:prstDash val="solid"/>
      <a:round/>
    </a:ln>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978228431775912"/>
          <c:y val="0.070163465041475"/>
          <c:w val="0.872248557762767"/>
          <c:h val="0.806630298663649"/>
        </c:manualLayout>
      </c:layout>
      <c:barChart>
        <c:barDir val="col"/>
        <c:grouping val="clustered"/>
        <c:varyColors val="false"/>
        <c:ser>
          <c:idx val="0"/>
          <c:order val="0"/>
          <c:invertIfNegative val="false"/>
          <c:dLbls>
            <c:dLbl>
              <c:idx val="0"/>
              <c:layout>
                <c:manualLayout>
                  <c:x val="0"/>
                  <c:y val="-0.0695652173913044"/>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
                  <c:y val="-0.0772946859903385"/>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Sheet1!$B$1:$C$1</c:f>
              <c:strCache>
                <c:ptCount val="2"/>
                <c:pt idx="0">
                  <c:v>2020年</c:v>
                </c:pt>
                <c:pt idx="1">
                  <c:v>2021年</c:v>
                </c:pt>
              </c:strCache>
            </c:strRef>
          </c:cat>
          <c:val>
            <c:numRef>
              <c:f>Sheet1!$B$2:$C$2</c:f>
              <c:numCache>
                <c:formatCode>General</c:formatCode>
                <c:ptCount val="2"/>
                <c:pt idx="0">
                  <c:v>18337.7</c:v>
                </c:pt>
                <c:pt idx="1">
                  <c:v>13937.51</c:v>
                </c:pt>
              </c:numCache>
            </c:numRef>
          </c:val>
        </c:ser>
        <c:dLbls>
          <c:showLegendKey val="false"/>
          <c:showVal val="true"/>
          <c:showCatName val="false"/>
          <c:showSerName val="false"/>
          <c:showPercent val="false"/>
          <c:showBubbleSize val="false"/>
        </c:dLbls>
        <c:gapWidth val="75"/>
        <c:overlap val="40"/>
        <c:axId val="367937800"/>
        <c:axId val="371623288"/>
      </c:barChart>
      <c:catAx>
        <c:axId val="367937800"/>
        <c:scaling>
          <c:orientation val="minMax"/>
        </c:scaling>
        <c:delete val="false"/>
        <c:axPos val="b"/>
        <c:numFmt formatCode="General" sourceLinked="fals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71623288"/>
        <c:crosses val="autoZero"/>
        <c:auto val="true"/>
        <c:lblAlgn val="ctr"/>
        <c:lblOffset val="100"/>
        <c:noMultiLvlLbl val="false"/>
      </c:catAx>
      <c:valAx>
        <c:axId val="371623288"/>
        <c:scaling>
          <c:orientation val="minMax"/>
        </c:scaling>
        <c:delete val="false"/>
        <c:axPos val="l"/>
        <c:majorGridlines/>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67937800"/>
        <c:crosses val="autoZero"/>
        <c:crossBetween val="between"/>
      </c:valAx>
    </c:plotArea>
    <c:plotVisOnly val="true"/>
    <c:dispBlanksAs val="gap"/>
    <c:showDLblsOverMax val="false"/>
  </c:chart>
  <c:spPr>
    <a:ln w="9525" cap="flat" cmpd="sng" algn="ctr">
      <a:noFill/>
      <a:prstDash val="solid"/>
      <a:round/>
    </a:ln>
  </c:spPr>
  <c:txPr>
    <a:bodyPr/>
    <a:lstStyle/>
    <a:p>
      <a:pPr>
        <a:defRPr lang="zh-CN"/>
      </a:pPr>
    </a:p>
  </c:txPr>
  <c:externalData r:id="rId1">
    <c:autoUpdate val="false"/>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916544315209334"/>
          <c:y val="0.0701634844664025"/>
          <c:w val="0.872248557762767"/>
          <c:h val="0.806630298663649"/>
        </c:manualLayout>
      </c:layout>
      <c:barChart>
        <c:barDir val="col"/>
        <c:grouping val="clustered"/>
        <c:varyColors val="false"/>
        <c:ser>
          <c:idx val="0"/>
          <c:order val="0"/>
          <c:invertIfNegative val="false"/>
          <c:dLbls>
            <c:dLbl>
              <c:idx val="0"/>
              <c:layout>
                <c:manualLayout>
                  <c:x val="0"/>
                  <c:y val="-0.0695652173913044"/>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
                  <c:y val="-0.0772946859903385"/>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Sheet1!$B$1:$C$1</c:f>
              <c:strCache>
                <c:ptCount val="2"/>
                <c:pt idx="0">
                  <c:v>2020年</c:v>
                </c:pt>
                <c:pt idx="1">
                  <c:v>2021年</c:v>
                </c:pt>
              </c:strCache>
            </c:strRef>
          </c:cat>
          <c:val>
            <c:numRef>
              <c:f>Sheet1!$B$2:$C$2</c:f>
              <c:numCache>
                <c:formatCode>General</c:formatCode>
                <c:ptCount val="2"/>
                <c:pt idx="0">
                  <c:v>18337.7</c:v>
                </c:pt>
                <c:pt idx="1">
                  <c:v>13937.51</c:v>
                </c:pt>
              </c:numCache>
            </c:numRef>
          </c:val>
        </c:ser>
        <c:dLbls>
          <c:showLegendKey val="false"/>
          <c:showVal val="true"/>
          <c:showCatName val="false"/>
          <c:showSerName val="false"/>
          <c:showPercent val="false"/>
          <c:showBubbleSize val="false"/>
        </c:dLbls>
        <c:gapWidth val="75"/>
        <c:overlap val="40"/>
        <c:axId val="367931528"/>
        <c:axId val="222321656"/>
      </c:barChart>
      <c:catAx>
        <c:axId val="367931528"/>
        <c:scaling>
          <c:orientation val="minMax"/>
        </c:scaling>
        <c:delete val="false"/>
        <c:axPos val="b"/>
        <c:numFmt formatCode="General" sourceLinked="fals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22321656"/>
        <c:crosses val="autoZero"/>
        <c:auto val="true"/>
        <c:lblAlgn val="ctr"/>
        <c:lblOffset val="100"/>
        <c:noMultiLvlLbl val="false"/>
      </c:catAx>
      <c:valAx>
        <c:axId val="222321656"/>
        <c:scaling>
          <c:orientation val="minMax"/>
        </c:scaling>
        <c:delete val="false"/>
        <c:axPos val="l"/>
        <c:majorGridlines/>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67931528"/>
        <c:crosses val="autoZero"/>
        <c:crossBetween val="between"/>
      </c:valAx>
    </c:plotArea>
    <c:plotVisOnly val="true"/>
    <c:dispBlanksAs val="gap"/>
    <c:showDLblsOverMax val="false"/>
  </c:chart>
  <c:spPr>
    <a:ln w="9525" cap="flat" cmpd="sng" algn="ctr">
      <a:noFill/>
      <a:prstDash val="solid"/>
      <a:round/>
    </a:ln>
  </c:spPr>
  <c:txPr>
    <a:bodyPr/>
    <a:lstStyle/>
    <a:p>
      <a:pPr>
        <a:defRPr lang="zh-CN"/>
      </a:pPr>
    </a:p>
  </c:txPr>
  <c:externalData r:id="rId1">
    <c:autoUpdate val="false"/>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25"/>
          <c:dPt>
            <c:idx val="0"/>
            <c:bubble3D val="false"/>
          </c:dPt>
          <c:dPt>
            <c:idx val="1"/>
            <c:bubble3D val="false"/>
          </c:dPt>
          <c:dPt>
            <c:idx val="2"/>
            <c:bubble3D val="false"/>
          </c:dPt>
          <c:dPt>
            <c:idx val="3"/>
            <c:bubble3D val="false"/>
          </c:dPt>
          <c:dLbls>
            <c:dLbl>
              <c:idx val="0"/>
              <c:layout>
                <c:manualLayout>
                  <c:x val="0.207290682414699"/>
                  <c:y val="0.0550187535706302"/>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zh-CN" altLang="en-US"/>
                      <a:t>教育支出
</a:t>
                    </a:r>
                    <a:r>
                      <a:rPr lang="en-US" altLang="zh-CN"/>
                      <a:t>0.04%</a:t>
                    </a:r>
                    <a:endParaRPr lang="en-US" altLang="zh-CN"/>
                  </a:p>
                </c:rich>
              </c:tx>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zh-CN" altLang="en-US"/>
                      <a:t>社会保障和就业支出
</a:t>
                    </a:r>
                    <a:r>
                      <a:rPr lang="en-US" altLang="zh-CN"/>
                      <a:t>99.32%</a:t>
                    </a:r>
                    <a:endParaRPr lang="en-US" altLang="zh-CN"/>
                  </a:p>
                </c:rich>
              </c:tx>
              <c:dLblPos val="bestFit"/>
              <c:showLegendKey val="false"/>
              <c:showVal val="false"/>
              <c:showCatName val="true"/>
              <c:showSerName val="false"/>
              <c:showPercent val="true"/>
              <c:showBubbleSize val="false"/>
              <c:separator>
</c:separator>
              <c:extLst>
                <c:ext xmlns:c15="http://schemas.microsoft.com/office/drawing/2012/chart" uri="{CE6537A1-D6FC-4f65-9D91-7224C49458BB}"/>
              </c:extLst>
            </c:dLbl>
            <c:dLbl>
              <c:idx val="2"/>
              <c:layout>
                <c:manualLayout>
                  <c:x val="-0.328085958005251"/>
                  <c:y val="0.0659722222222222"/>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zh-CN" altLang="en-US"/>
                      <a:t>卫生健康支出
</a:t>
                    </a:r>
                    <a:r>
                      <a:rPr lang="en-US" altLang="zh-CN"/>
                      <a:t>0.27%</a:t>
                    </a:r>
                    <a:endParaRPr lang="en-US" altLang="zh-CN"/>
                  </a:p>
                </c:rich>
              </c:tx>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3"/>
              <c:layout>
                <c:manualLayout>
                  <c:x val="0.00993503937007879"/>
                  <c:y val="-0.0276449986338459"/>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zh-CN" altLang="en-US"/>
                      <a:t>住房保障支出
</a:t>
                    </a:r>
                    <a:r>
                      <a:rPr lang="en-US" altLang="zh-CN"/>
                      <a:t>0.37%</a:t>
                    </a:r>
                    <a:endParaRPr lang="en-US" altLang="zh-CN"/>
                  </a:p>
                </c:rich>
              </c:tx>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Sheet1!$B$11:$B$14</c:f>
              <c:strCache>
                <c:ptCount val="4"/>
                <c:pt idx="0">
                  <c:v>教育支出</c:v>
                </c:pt>
                <c:pt idx="1">
                  <c:v>社会保障和就业支出</c:v>
                </c:pt>
                <c:pt idx="2">
                  <c:v>卫生健康支出</c:v>
                </c:pt>
                <c:pt idx="3">
                  <c:v>住房保障支出</c:v>
                </c:pt>
              </c:strCache>
            </c:strRef>
          </c:cat>
          <c:val>
            <c:numRef>
              <c:f>Sheet1!$C$11:$C$14</c:f>
              <c:numCache>
                <c:formatCode>General</c:formatCode>
                <c:ptCount val="4"/>
                <c:pt idx="0">
                  <c:v>6.13</c:v>
                </c:pt>
                <c:pt idx="1">
                  <c:v>13843.06</c:v>
                </c:pt>
                <c:pt idx="2">
                  <c:v>37.09</c:v>
                </c:pt>
                <c:pt idx="3">
                  <c:v>51.23</c:v>
                </c:pt>
              </c:numCache>
            </c:numRef>
          </c:val>
        </c:ser>
        <c:dLbls>
          <c:showLegendKey val="false"/>
          <c:showVal val="false"/>
          <c:showCatName val="true"/>
          <c:showSerName val="false"/>
          <c:showPercent val="true"/>
          <c:showBubbleSize val="false"/>
          <c:showLeaderLines val="true"/>
        </c:dLbls>
        <c:firstSliceAng val="15"/>
      </c:pieChart>
      <c:spPr>
        <a:noFill/>
        <a:ln>
          <a:noFill/>
        </a:ln>
        <a:effectLst/>
      </c:spPr>
    </c:plotArea>
    <c:plotVisOnly val="true"/>
    <c:dispBlanksAs val="gap"/>
    <c:showDLblsOverMax val="false"/>
  </c:chart>
  <c:spPr>
    <a:ln w="9525" cap="flat" cmpd="sng" algn="ctr">
      <a:noFill/>
      <a:prstDash val="solid"/>
      <a:round/>
    </a:ln>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3"/>
    </mc:Choice>
    <mc:Fallback>
      <c:style val="3"/>
    </mc:Fallback>
  </mc:AlternateContent>
  <c:chart>
    <c:autoTitleDeleted val="true"/>
    <c:plotArea>
      <c:layout>
        <c:manualLayout>
          <c:layoutTarget val="inner"/>
          <c:xMode val="edge"/>
          <c:yMode val="edge"/>
          <c:x val="0.0847222222222227"/>
          <c:y val="0.194632112427388"/>
          <c:w val="0.813888888888891"/>
          <c:h val="0.7869119513214"/>
        </c:manualLayout>
      </c:layout>
      <c:pieChart>
        <c:varyColors val="true"/>
        <c:ser>
          <c:idx val="0"/>
          <c:order val="0"/>
          <c:explosion val="0"/>
          <c:dPt>
            <c:idx val="0"/>
            <c:bubble3D val="false"/>
          </c:dPt>
          <c:dPt>
            <c:idx val="1"/>
            <c:bubble3D val="false"/>
          </c:dPt>
          <c:dPt>
            <c:idx val="2"/>
            <c:bubble3D val="false"/>
          </c:dPt>
          <c:dLbls>
            <c:dLbl>
              <c:idx val="0"/>
              <c:layout>
                <c:manualLayout>
                  <c:x val="0.0434017935258093"/>
                  <c:y val="-0.0419502967534465"/>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1"/>
              <c:layout>
                <c:manualLayout>
                  <c:x val="-0.110143263342082"/>
                  <c:y val="-0.245425267787474"/>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zh-CN" altLang="en-US"/>
                      <a:t>公务用车购置及运行维护费
</a:t>
                    </a:r>
                    <a:r>
                      <a:rPr lang="en-US" altLang="zh-CN"/>
                      <a:t>96.17%</a:t>
                    </a:r>
                    <a:endParaRPr lang="en-US" altLang="zh-CN"/>
                  </a:p>
                </c:rich>
              </c:tx>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2"/>
              <c:layout>
                <c:manualLayout>
                  <c:x val="-0.136701443569554"/>
                  <c:y val="0.0243055555555556"/>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zh-CN" altLang="en-US"/>
                      <a:t>公务接待费
</a:t>
                    </a:r>
                    <a:r>
                      <a:rPr lang="en-US" altLang="zh-CN"/>
                      <a:t>3.83%</a:t>
                    </a:r>
                    <a:endParaRPr lang="en-US" altLang="zh-CN"/>
                  </a:p>
                </c:rich>
              </c:tx>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Sheet1!$A$54:$A$56</c:f>
              <c:strCache>
                <c:ptCount val="3"/>
                <c:pt idx="0">
                  <c:v>因公出国（境）费</c:v>
                </c:pt>
                <c:pt idx="1">
                  <c:v>公务用车购置及运行维护费</c:v>
                </c:pt>
                <c:pt idx="2">
                  <c:v>公务接待费</c:v>
                </c:pt>
              </c:strCache>
            </c:strRef>
          </c:cat>
          <c:val>
            <c:numRef>
              <c:f>Sheet1!$B$54:$B$56</c:f>
              <c:numCache>
                <c:formatCode>General</c:formatCode>
                <c:ptCount val="3"/>
                <c:pt idx="0">
                  <c:v>0</c:v>
                </c:pt>
                <c:pt idx="1">
                  <c:v>6.28</c:v>
                </c:pt>
                <c:pt idx="2">
                  <c:v>0.25</c:v>
                </c:pt>
              </c:numCache>
            </c:numRef>
          </c:val>
        </c:ser>
        <c:dLbls>
          <c:showLegendKey val="false"/>
          <c:showVal val="false"/>
          <c:showCatName val="true"/>
          <c:showSerName val="false"/>
          <c:showPercent val="true"/>
          <c:showBubbleSize val="false"/>
          <c:showLeaderLines val="true"/>
        </c:dLbls>
        <c:firstSliceAng val="15"/>
      </c:pieChart>
      <c:spPr>
        <a:noFill/>
        <a:ln>
          <a:noFill/>
        </a:ln>
        <a:effectLst/>
      </c:spPr>
    </c:plotArea>
    <c:plotVisOnly val="true"/>
    <c:dispBlanksAs val="gap"/>
    <c:showDLblsOverMax val="false"/>
  </c:chart>
  <c:spPr>
    <a:ln w="9525" cap="flat" cmpd="sng" algn="ctr">
      <a:noFill/>
      <a:prstDash val="solid"/>
      <a:round/>
    </a:ln>
  </c:spPr>
  <c:txPr>
    <a:bodyPr/>
    <a:lstStyle/>
    <a:p>
      <a:pPr>
        <a:defRPr lang="zh-CN"/>
      </a:pPr>
    </a:p>
  </c:txPr>
  <c:externalData r:id="rId1">
    <c:autoUpdate val="false"/>
  </c:externalData>
</c:chartSpace>
</file>

<file path=word/drawings/drawing1.xml><?xml version="1.0" encoding="utf-8"?>
<c:userShapes xmlns:c="http://schemas.openxmlformats.org/drawingml/2006/chart">
  <cdr:relSizeAnchor xmlns:cdr="http://schemas.openxmlformats.org/drawingml/2006/chartDrawing">
    <cdr:from>
      <cdr:x>0.77327</cdr:x>
      <cdr:y>0</cdr:y>
    </cdr:from>
    <cdr:to>
      <cdr:x>0.9577</cdr:x>
      <cdr:y>0.07516</cdr:y>
    </cdr:to>
    <cdr:sp>
      <cdr:nvSpPr>
        <cdr:cNvPr id="2" name="矩形 1"/>
        <cdr:cNvSpPr/>
      </cdr:nvSpPr>
      <cdr:spPr xmlns:a="http://schemas.openxmlformats.org/drawingml/2006/main">
        <a:xfrm xmlns:a="http://schemas.openxmlformats.org/drawingml/2006/main">
          <a:off x="4352926" y="0"/>
          <a:ext cx="1038225" cy="219074"/>
        </a:xfrm>
        <a:prstGeom xmlns:a="http://schemas.openxmlformats.org/drawingml/2006/main" prst="rect">
          <a:avLst/>
        </a:prstGeom>
      </cdr:spPr>
      <cdr:txBody xmlns:a="http://schemas.openxmlformats.org/drawingml/2006/main">
        <a:bodyPr vert="horz" wrap="square" lIns="45720" tIns="45720" rIns="45720" bIns="45720" rtlCol="0" anchor="t" anchorCtr="false">
          <a:normAutofit/>
        </a:bodyPr>
        <a:lstStyle/>
        <a:p>
          <a:r>
            <a:rPr lang="zh-CN" altLang="en-US" sz="900"/>
            <a:t>单位：万元</a:t>
          </a:r>
          <a:endParaRPr lang="zh-CN" altLang="en-US" sz="900"/>
        </a:p>
      </cdr:txBody>
    </cdr:sp>
  </cdr:relSizeAnchor>
</c:userShapes>
</file>

<file path=word/drawings/drawing2.xml><?xml version="1.0" encoding="utf-8"?>
<c:userShapes xmlns:c="http://schemas.openxmlformats.org/drawingml/2006/chart">
  <cdr:relSizeAnchor xmlns:cdr="http://schemas.openxmlformats.org/drawingml/2006/chartDrawing">
    <cdr:from>
      <cdr:x>0.77327</cdr:x>
      <cdr:y>0</cdr:y>
    </cdr:from>
    <cdr:to>
      <cdr:x>0.9577</cdr:x>
      <cdr:y>0.07516</cdr:y>
    </cdr:to>
    <cdr:sp>
      <cdr:nvSpPr>
        <cdr:cNvPr id="2" name="矩形 1"/>
        <cdr:cNvSpPr/>
      </cdr:nvSpPr>
      <cdr:spPr xmlns:a="http://schemas.openxmlformats.org/drawingml/2006/main">
        <a:xfrm xmlns:a="http://schemas.openxmlformats.org/drawingml/2006/main">
          <a:off x="4352926" y="0"/>
          <a:ext cx="1038225" cy="219074"/>
        </a:xfrm>
        <a:prstGeom xmlns:a="http://schemas.openxmlformats.org/drawingml/2006/main" prst="rect">
          <a:avLst/>
        </a:prstGeom>
      </cdr:spPr>
      <cdr:txBody xmlns:a="http://schemas.openxmlformats.org/drawingml/2006/main">
        <a:bodyPr vert="horz" wrap="square" lIns="45720" tIns="45720" rIns="45720" bIns="45720" rtlCol="0" anchor="t" anchorCtr="false">
          <a:normAutofit/>
        </a:bodyPr>
        <a:lstStyle/>
        <a:p>
          <a:r>
            <a:rPr lang="zh-CN" altLang="en-US" sz="900"/>
            <a:t>单位：万元</a:t>
          </a:r>
          <a:endParaRPr lang="zh-CN" altLang="en-US" sz="900"/>
        </a:p>
      </cdr:txBody>
    </cdr:sp>
  </cdr:relSizeAnchor>
</c:userShapes>
</file>

<file path=word/drawings/drawing3.xml><?xml version="1.0" encoding="utf-8"?>
<c:userShapes xmlns:c="http://schemas.openxmlformats.org/drawingml/2006/chart">
  <cdr:relSizeAnchor xmlns:cdr="http://schemas.openxmlformats.org/drawingml/2006/chartDrawing">
    <cdr:from>
      <cdr:x>0.74375</cdr:x>
      <cdr:y>0.04514</cdr:y>
    </cdr:from>
    <cdr:to>
      <cdr:x>0.98125</cdr:x>
      <cdr:y>0.14236</cdr:y>
    </cdr:to>
    <cdr:sp>
      <cdr:nvSpPr>
        <cdr:cNvPr id="2" name="矩形 1"/>
        <cdr:cNvSpPr/>
      </cdr:nvSpPr>
      <cdr:spPr xmlns:a="http://schemas.openxmlformats.org/drawingml/2006/main">
        <a:xfrm xmlns:a="http://schemas.openxmlformats.org/drawingml/2006/main">
          <a:off x="3400426" y="123825"/>
          <a:ext cx="1085850" cy="266700"/>
        </a:xfrm>
        <a:prstGeom xmlns:a="http://schemas.openxmlformats.org/drawingml/2006/main" prst="rect">
          <a:avLst/>
        </a:prstGeom>
      </cdr:spPr>
      <cdr:txBody xmlns:a="http://schemas.openxmlformats.org/drawingml/2006/main">
        <a:bodyPr vert="horz" wrap="square" lIns="45720" tIns="45720" rIns="45720" bIns="45720" rtlCol="0" anchor="t" anchorCtr="false">
          <a:normAutofit/>
        </a:bodyPr>
        <a:lstStyle/>
        <a:p>
          <a:endParaRPr lang="zh-CN" altLang="en-US" sz="1100"/>
        </a:p>
      </cdr:txBody>
    </cdr:sp>
  </cdr:relSizeAnchor>
  <cdr:relSizeAnchor xmlns:cdr="http://schemas.openxmlformats.org/drawingml/2006/chartDrawing">
    <cdr:from>
      <cdr:x>0.20833</cdr:x>
      <cdr:y>0.31944</cdr:y>
    </cdr:from>
    <cdr:to>
      <cdr:x>0.86875</cdr:x>
      <cdr:y>0.63194</cdr:y>
    </cdr:to>
    <cdr:sp>
      <cdr:nvSpPr>
        <cdr:cNvPr id="3" name="矩形 2"/>
        <cdr:cNvSpPr/>
      </cdr:nvSpPr>
      <cdr:spPr xmlns:a="http://schemas.openxmlformats.org/drawingml/2006/main">
        <a:xfrm xmlns:a="http://schemas.openxmlformats.org/drawingml/2006/main">
          <a:off x="952500" y="876300"/>
          <a:ext cx="3019425" cy="857250"/>
        </a:xfrm>
        <a:prstGeom xmlns:a="http://schemas.openxmlformats.org/drawingml/2006/main" prst="rect">
          <a:avLst/>
        </a:prstGeom>
      </cdr:spPr>
      <cdr:txBody xmlns:a="http://schemas.openxmlformats.org/drawingml/2006/main">
        <a:bodyPr vert="horz" wrap="square" lIns="45720" tIns="45720" rIns="45720" bIns="45720" rtlCol="0" anchor="t" anchorCtr="false">
          <a:normAutofit/>
        </a:bodyPr>
        <a:lstStyle/>
        <a:p>
          <a:endParaRPr lang="zh-CN" altLang="en-US" sz="1100"/>
        </a:p>
      </cdr:txBody>
    </cdr:sp>
  </cdr:relSizeAnchor>
  <cdr:relSizeAnchor xmlns:cdr="http://schemas.openxmlformats.org/drawingml/2006/chartDrawing">
    <cdr:from>
      <cdr:x>0.3</cdr:x>
      <cdr:y>0.28472</cdr:y>
    </cdr:from>
    <cdr:to>
      <cdr:x>0.80208</cdr:x>
      <cdr:y>0.59028</cdr:y>
    </cdr:to>
    <cdr:sp>
      <cdr:nvSpPr>
        <cdr:cNvPr id="4" name="矩形 3"/>
        <cdr:cNvSpPr/>
      </cdr:nvSpPr>
      <cdr:spPr xmlns:a="http://schemas.openxmlformats.org/drawingml/2006/main">
        <a:xfrm xmlns:a="http://schemas.openxmlformats.org/drawingml/2006/main">
          <a:off x="1371600" y="781050"/>
          <a:ext cx="2295525" cy="838200"/>
        </a:xfrm>
        <a:prstGeom xmlns:a="http://schemas.openxmlformats.org/drawingml/2006/main" prst="rect">
          <a:avLst/>
        </a:prstGeom>
      </cdr:spPr>
      <cdr:txBody xmlns:a="http://schemas.openxmlformats.org/drawingml/2006/main">
        <a:bodyPr vert="horz" wrap="square" lIns="45720" tIns="45720" rIns="45720" bIns="45720" rtlCol="0" anchor="t" anchorCtr="false">
          <a:normAutofit/>
        </a:bodyPr>
        <a:lstStyle/>
        <a:p>
          <a:endParaRPr lang="zh-CN" altLang="en-US" sz="1100"/>
        </a:p>
      </cdr:txBody>
    </cdr:sp>
  </cdr:relSizeAnchor>
  <cdr:relSizeAnchor xmlns:cdr="http://schemas.openxmlformats.org/drawingml/2006/chartDrawing">
    <cdr:from>
      <cdr:x>0.25833</cdr:x>
      <cdr:y>0.2813</cdr:y>
    </cdr:from>
    <cdr:to>
      <cdr:x>0.8625</cdr:x>
      <cdr:y>0.63358</cdr:y>
    </cdr:to>
    <cdr:sp>
      <cdr:nvSpPr>
        <cdr:cNvPr id="5" name="矩形 4"/>
        <cdr:cNvSpPr/>
      </cdr:nvSpPr>
      <cdr:spPr xmlns:a="http://schemas.openxmlformats.org/drawingml/2006/main">
        <a:xfrm xmlns:a="http://schemas.openxmlformats.org/drawingml/2006/main">
          <a:off x="785913" y="507475"/>
          <a:ext cx="1838058" cy="635525"/>
        </a:xfrm>
        <a:prstGeom xmlns:a="http://schemas.openxmlformats.org/drawingml/2006/main" prst="rect">
          <a:avLst/>
        </a:prstGeom>
        <a:noFill/>
      </cdr:spPr>
      <cdr:txBody xmlns:a="http://schemas.openxmlformats.org/drawingml/2006/main">
        <a:bodyPr vert="horz" wrap="square" lIns="45720" tIns="45720" rIns="45720" bIns="45720" rtlCol="0" anchor="t" anchorCtr="false">
          <a:normAutofit/>
        </a:bodyPr>
        <a:lstStyle/>
        <a:p>
          <a:r>
            <a:rPr lang="zh-CN" altLang="en-US" sz="1100">
              <a:solidFill>
                <a:schemeClr val="bg1"/>
              </a:solidFill>
              <a:latin typeface="+mn-lt"/>
              <a:ea typeface="+mn-ea"/>
              <a:cs typeface="+mn-cs"/>
            </a:rPr>
            <a:t>一般公共预算财政拨款收入</a:t>
          </a:r>
          <a:r>
            <a:rPr lang="en-US" sz="1100">
              <a:solidFill>
                <a:schemeClr val="bg1"/>
              </a:solidFill>
              <a:latin typeface="+mn-lt"/>
              <a:ea typeface="+mn-ea"/>
              <a:cs typeface="+mn-cs"/>
            </a:rPr>
            <a:t>13937.51</a:t>
          </a:r>
          <a:r>
            <a:rPr lang="zh-CN" altLang="en-US" sz="1100">
              <a:solidFill>
                <a:schemeClr val="bg1"/>
              </a:solidFill>
              <a:latin typeface="+mn-lt"/>
              <a:ea typeface="+mn-ea"/>
              <a:cs typeface="+mn-cs"/>
            </a:rPr>
            <a:t>万元，占本年收入合计</a:t>
          </a:r>
          <a:r>
            <a:rPr lang="en-US" sz="1100">
              <a:solidFill>
                <a:schemeClr val="bg1"/>
              </a:solidFill>
              <a:latin typeface="+mn-lt"/>
              <a:ea typeface="+mn-ea"/>
              <a:cs typeface="+mn-cs"/>
            </a:rPr>
            <a:t>100%</a:t>
          </a:r>
          <a:endParaRPr lang="zh-CN" altLang="en-US" sz="1100">
            <a:solidFill>
              <a:schemeClr val="bg1"/>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0.77327</cdr:x>
      <cdr:y>0</cdr:y>
    </cdr:from>
    <cdr:to>
      <cdr:x>0.9577</cdr:x>
      <cdr:y>0.07516</cdr:y>
    </cdr:to>
    <cdr:sp>
      <cdr:nvSpPr>
        <cdr:cNvPr id="2" name="矩形 1"/>
        <cdr:cNvSpPr/>
      </cdr:nvSpPr>
      <cdr:spPr xmlns:a="http://schemas.openxmlformats.org/drawingml/2006/main">
        <a:xfrm xmlns:a="http://schemas.openxmlformats.org/drawingml/2006/main">
          <a:off x="4352926" y="0"/>
          <a:ext cx="1038225" cy="219074"/>
        </a:xfrm>
        <a:prstGeom xmlns:a="http://schemas.openxmlformats.org/drawingml/2006/main" prst="rect">
          <a:avLst/>
        </a:prstGeom>
      </cdr:spPr>
      <cdr:txBody xmlns:a="http://schemas.openxmlformats.org/drawingml/2006/main">
        <a:bodyPr vert="horz" wrap="square" lIns="45720" tIns="45720" rIns="45720" bIns="45720" rtlCol="0" anchor="t" anchorCtr="false">
          <a:normAutofit/>
        </a:bodyPr>
        <a:lstStyle/>
        <a:p>
          <a:r>
            <a:rPr lang="zh-CN" altLang="en-US" sz="900"/>
            <a:t>单位：万元</a:t>
          </a:r>
          <a:endParaRPr lang="zh-CN" altLang="en-US"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1043</Words>
  <Characters>5951</Characters>
  <Lines>49</Lines>
  <Paragraphs>13</Paragraphs>
  <TotalTime>1</TotalTime>
  <ScaleCrop>false</ScaleCrop>
  <LinksUpToDate>false</LinksUpToDate>
  <CharactersWithSpaces>6981</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2020-08-05T17:49:00Z</dcterms:created>
  <dc:creator>曹颖</dc:creator>
  <cp:lastModifiedBy>user</cp:lastModifiedBy>
  <cp:lastPrinted>2022-09-01T00:11:00Z</cp:lastPrinted>
  <dcterms:modified xsi:type="dcterms:W3CDTF">2022-11-14T10:31:22Z</dcterms:modified>
  <dc:title>四川省***</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