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_GBK"/>
          <w:sz w:val="72"/>
          <w:szCs w:val="72"/>
        </w:rPr>
      </w:pPr>
      <w:bookmarkStart w:id="1" w:name="_Toc15377425"/>
      <w:bookmarkStart w:id="2" w:name="_Toc15396475"/>
      <w:bookmarkStart w:id="3" w:name="_Toc15377193"/>
      <w:bookmarkStart w:id="4" w:name="_Toc15396597"/>
      <w:bookmarkStart w:id="5" w:name="_Toc112421765"/>
      <w:bookmarkStart w:id="6" w:name="_Toc15378441"/>
      <w:r>
        <w:rPr>
          <w:rFonts w:eastAsia="方正小标宋_GBK"/>
          <w:sz w:val="72"/>
          <w:szCs w:val="72"/>
        </w:rPr>
        <w:t>2021年度</w:t>
      </w:r>
      <w:bookmarkEnd w:id="1"/>
      <w:bookmarkEnd w:id="2"/>
      <w:bookmarkEnd w:id="3"/>
      <w:bookmarkEnd w:id="4"/>
      <w:bookmarkEnd w:id="5"/>
      <w:bookmarkEnd w:id="6"/>
    </w:p>
    <w:p>
      <w:pPr>
        <w:adjustRightInd w:val="0"/>
        <w:snapToGrid w:val="0"/>
        <w:spacing w:line="360" w:lineRule="auto"/>
        <w:jc w:val="center"/>
        <w:outlineLvl w:val="0"/>
        <w:rPr>
          <w:rFonts w:eastAsia="方正小标宋_GBK"/>
          <w:sz w:val="72"/>
          <w:szCs w:val="72"/>
        </w:rPr>
      </w:pPr>
      <w:bookmarkStart w:id="7" w:name="_Toc15396476"/>
      <w:bookmarkStart w:id="8" w:name="_Toc15396598"/>
      <w:bookmarkStart w:id="9" w:name="_Toc112421766"/>
      <w:bookmarkStart w:id="10" w:name="_Toc15378442"/>
      <w:bookmarkStart w:id="11" w:name="_Toc15377194"/>
      <w:bookmarkStart w:id="12" w:name="_Toc15377426"/>
      <w:r>
        <w:rPr>
          <w:rFonts w:eastAsia="方正小标宋_GBK"/>
          <w:sz w:val="72"/>
          <w:szCs w:val="72"/>
        </w:rPr>
        <w:t>四川省</w:t>
      </w:r>
      <w:bookmarkEnd w:id="0"/>
      <w:bookmarkStart w:id="13" w:name="_Toc15306268"/>
      <w:r>
        <w:rPr>
          <w:rFonts w:eastAsia="方正小标宋_GBK"/>
          <w:sz w:val="72"/>
          <w:szCs w:val="72"/>
        </w:rPr>
        <w:t>人力资源和社会保障信息中心</w:t>
      </w:r>
    </w:p>
    <w:p>
      <w:pPr>
        <w:adjustRightInd w:val="0"/>
        <w:snapToGrid w:val="0"/>
        <w:spacing w:line="360" w:lineRule="auto"/>
        <w:jc w:val="center"/>
        <w:outlineLvl w:val="0"/>
        <w:rPr>
          <w:rFonts w:eastAsia="方正小标宋_GBK"/>
          <w:sz w:val="72"/>
          <w:szCs w:val="72"/>
        </w:rPr>
      </w:pPr>
      <w:r>
        <w:rPr>
          <w:rFonts w:eastAsia="方正小标宋_GBK"/>
          <w:sz w:val="72"/>
          <w:szCs w:val="72"/>
        </w:rPr>
        <w:t>单位决算</w:t>
      </w:r>
      <w:bookmarkEnd w:id="7"/>
      <w:bookmarkEnd w:id="8"/>
      <w:bookmarkEnd w:id="9"/>
      <w:bookmarkEnd w:id="10"/>
      <w:bookmarkEnd w:id="11"/>
      <w:bookmarkEnd w:id="12"/>
      <w:bookmarkEnd w:id="13"/>
    </w:p>
    <w:p>
      <w:pPr>
        <w:adjustRightInd w:val="0"/>
        <w:snapToGrid w:val="0"/>
        <w:spacing w:line="360" w:lineRule="auto"/>
        <w:jc w:val="center"/>
        <w:outlineLvl w:val="0"/>
        <w:rPr>
          <w:rFonts w:eastAsia="方正小标宋简体"/>
          <w:sz w:val="52"/>
          <w:szCs w:val="52"/>
        </w:rPr>
      </w:pPr>
    </w:p>
    <w:p>
      <w:pPr>
        <w:widowControl/>
        <w:jc w:val="center"/>
        <w:rPr>
          <w:rFonts w:eastAsia="黑体"/>
          <w:sz w:val="48"/>
          <w:szCs w:val="48"/>
        </w:rPr>
      </w:pPr>
      <w:r>
        <w:rPr>
          <w:rFonts w:eastAsia="方正小标宋简体"/>
          <w:sz w:val="36"/>
          <w:szCs w:val="36"/>
        </w:rPr>
        <w:br w:type="page"/>
      </w:r>
      <w:bookmarkStart w:id="113" w:name="_GoBack"/>
      <w:bookmarkEnd w:id="113"/>
      <w:r>
        <w:rPr>
          <w:rFonts w:eastAsia="黑体"/>
          <w:sz w:val="48"/>
          <w:szCs w:val="48"/>
        </w:rPr>
        <w:t>目  录</w:t>
      </w:r>
    </w:p>
    <w:p>
      <w:pPr>
        <w:widowControl/>
        <w:jc w:val="center"/>
        <w:rPr>
          <w:rFonts w:eastAsia="黑体"/>
          <w:sz w:val="28"/>
          <w:szCs w:val="28"/>
        </w:rPr>
      </w:pPr>
    </w:p>
    <w:p>
      <w:pPr>
        <w:pStyle w:val="10"/>
        <w:rPr>
          <w:rFonts w:ascii="Times New Roman" w:hAnsi="Times New Roman" w:eastAsia="仿宋_GB2312"/>
        </w:rPr>
      </w:pPr>
      <w:r>
        <w:rPr>
          <w:rFonts w:ascii="Times New Roman" w:hAnsi="Times New Roman" w:eastAsia="仿宋_GB2312"/>
        </w:rPr>
        <w:t>公开时间：2022年9月</w:t>
      </w:r>
      <w:r>
        <w:rPr>
          <w:rFonts w:hint="eastAsia" w:ascii="Times New Roman" w:hAnsi="Times New Roman" w:eastAsia="仿宋_GB2312"/>
          <w:lang w:val="en-US" w:eastAsia="zh-CN"/>
        </w:rPr>
        <w:t>16</w:t>
      </w:r>
      <w:r>
        <w:rPr>
          <w:rFonts w:ascii="Times New Roman" w:hAnsi="Times New Roman" w:eastAsia="仿宋_GB2312"/>
        </w:rPr>
        <w:t>日</w:t>
      </w:r>
    </w:p>
    <w:sdt>
      <w:sdtPr>
        <w:rPr>
          <w:rFonts w:ascii="Times New Roman" w:hAnsi="Times New Roman" w:eastAsia="宋体" w:cs="Times New Roman"/>
          <w:color w:val="auto"/>
          <w:kern w:val="2"/>
          <w:sz w:val="21"/>
          <w:szCs w:val="24"/>
          <w:lang w:val="zh-CN"/>
        </w:rPr>
        <w:id w:val="-1821415900"/>
        <w:docPartObj>
          <w:docPartGallery w:val="Table of Contents"/>
          <w:docPartUnique/>
        </w:docPartObj>
      </w:sdtPr>
      <w:sdtEndPr>
        <w:rPr>
          <w:rFonts w:ascii="Times New Roman" w:hAnsi="Times New Roman" w:eastAsia="宋体" w:cs="Times New Roman"/>
          <w:b/>
          <w:bCs/>
          <w:color w:val="auto"/>
          <w:kern w:val="2"/>
          <w:sz w:val="32"/>
          <w:szCs w:val="32"/>
          <w:lang w:val="zh-CN"/>
        </w:rPr>
      </w:sdtEndPr>
      <w:sdtContent>
        <w:p>
          <w:pPr>
            <w:pStyle w:val="30"/>
            <w:spacing w:line="600" w:lineRule="exact"/>
            <w:rPr>
              <w:rFonts w:ascii="Times New Roman" w:hAnsi="Times New Roman" w:eastAsia="仿宋_GB2312" w:cs="Times New Roman"/>
              <w:color w:val="auto"/>
              <w:kern w:val="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TOC \o "1-3" \h \z \u </w:instrText>
          </w:r>
          <w:r>
            <w:rPr>
              <w:rFonts w:ascii="Times New Roman" w:hAnsi="Times New Roman" w:eastAsia="仿宋_GB2312" w:cs="Times New Roman"/>
            </w:rPr>
            <w:fldChar w:fldCharType="separate"/>
          </w:r>
        </w:p>
        <w:p>
          <w:pPr>
            <w:pStyle w:val="10"/>
            <w:spacing w:line="600" w:lineRule="exact"/>
            <w:jc w:val="left"/>
            <w:rPr>
              <w:rFonts w:ascii="Times New Roman" w:hAnsi="Times New Roman" w:eastAsia="仿宋_GB2312"/>
              <w:sz w:val="32"/>
              <w:szCs w:val="32"/>
            </w:rPr>
          </w:pPr>
          <w:r>
            <w:fldChar w:fldCharType="begin"/>
          </w:r>
          <w:r>
            <w:instrText xml:space="preserve"> HYPERLINK \l "_Toc112421767" </w:instrText>
          </w:r>
          <w:r>
            <w:fldChar w:fldCharType="separate"/>
          </w:r>
          <w:r>
            <w:rPr>
              <w:rFonts w:hint="eastAsia" w:ascii="黑体" w:hAnsi="黑体" w:eastAsia="黑体" w:cs="黑体"/>
              <w:sz w:val="32"/>
              <w:szCs w:val="32"/>
            </w:rPr>
            <w:t>第一部分 单位概况</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_Toc112421767 \h </w:instrText>
          </w:r>
          <w:r>
            <w:rPr>
              <w:rFonts w:ascii="Times New Roman" w:hAnsi="Times New Roman" w:eastAsia="仿宋_GB2312"/>
              <w:sz w:val="32"/>
              <w:szCs w:val="32"/>
            </w:rPr>
            <w:fldChar w:fldCharType="separate"/>
          </w:r>
          <w:r>
            <w:rPr>
              <w:rFonts w:ascii="Times New Roman" w:hAnsi="Times New Roman" w:eastAsia="仿宋_GB2312"/>
              <w:sz w:val="32"/>
              <w:szCs w:val="32"/>
            </w:rPr>
            <w:t>1</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"_Toc112421768" </w:instrText>
          </w:r>
          <w:r>
            <w:fldChar w:fldCharType="separate"/>
          </w:r>
          <w:r>
            <w:rPr>
              <w:rFonts w:eastAsia="仿宋_GB2312"/>
              <w:sz w:val="32"/>
              <w:szCs w:val="32"/>
            </w:rPr>
            <w:t>一、职能简介</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_Toc112421768 \h </w:instrText>
          </w:r>
          <w:r>
            <w:rPr>
              <w:rFonts w:eastAsia="仿宋_GB2312"/>
              <w:sz w:val="32"/>
              <w:szCs w:val="32"/>
            </w:rPr>
            <w:fldChar w:fldCharType="separate"/>
          </w:r>
          <w:r>
            <w:rPr>
              <w:rFonts w:eastAsia="仿宋_GB2312"/>
              <w:sz w:val="32"/>
              <w:szCs w:val="32"/>
            </w:rPr>
            <w:t>1</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"_Toc112421769" </w:instrText>
          </w:r>
          <w:r>
            <w:fldChar w:fldCharType="separate"/>
          </w:r>
          <w:r>
            <w:rPr>
              <w:rFonts w:eastAsia="仿宋_GB2312"/>
              <w:sz w:val="32"/>
              <w:szCs w:val="32"/>
            </w:rPr>
            <w:t>二、2021年重点工作完成情况</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_Toc112421769 \h </w:instrText>
          </w:r>
          <w:r>
            <w:rPr>
              <w:rFonts w:eastAsia="仿宋_GB2312"/>
              <w:sz w:val="32"/>
              <w:szCs w:val="32"/>
            </w:rPr>
            <w:fldChar w:fldCharType="separate"/>
          </w:r>
          <w:r>
            <w:rPr>
              <w:rFonts w:eastAsia="仿宋_GB2312"/>
              <w:sz w:val="32"/>
              <w:szCs w:val="32"/>
            </w:rPr>
            <w:t>2</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"_Toc112421769" </w:instrText>
          </w:r>
          <w:r>
            <w:fldChar w:fldCharType="separate"/>
          </w:r>
          <w:r>
            <w:rPr>
              <w:rFonts w:hint="eastAsia" w:eastAsia="仿宋_GB2312"/>
              <w:sz w:val="32"/>
              <w:szCs w:val="32"/>
              <w:lang w:eastAsia="zh-CN"/>
            </w:rPr>
            <w:t>三</w:t>
          </w:r>
          <w:r>
            <w:rPr>
              <w:rFonts w:eastAsia="仿宋_GB2312"/>
              <w:sz w:val="32"/>
              <w:szCs w:val="32"/>
            </w:rPr>
            <w:t>、</w:t>
          </w:r>
          <w:r>
            <w:rPr>
              <w:rStyle w:val="15"/>
              <w:rFonts w:hint="eastAsia" w:ascii="宋体" w:hAnsi="宋体"/>
              <w:sz w:val="28"/>
              <w:szCs w:val="28"/>
              <w:u w:val="none"/>
            </w:rPr>
            <w:t>机构设置情况</w:t>
          </w:r>
          <w:r>
            <w:rPr>
              <w:rFonts w:eastAsia="仿宋_GB2312"/>
              <w:sz w:val="32"/>
              <w:szCs w:val="32"/>
            </w:rPr>
            <w:tab/>
          </w:r>
          <w:r>
            <w:rPr>
              <w:rFonts w:hint="eastAsia" w:eastAsia="仿宋_GB2312"/>
              <w:sz w:val="32"/>
              <w:szCs w:val="32"/>
              <w:lang w:val="en-US" w:eastAsia="zh-CN"/>
            </w:rPr>
            <w:t>4</w:t>
          </w:r>
          <w:r>
            <w:rPr>
              <w:rFonts w:eastAsia="仿宋_GB2312"/>
              <w:sz w:val="32"/>
              <w:szCs w:val="32"/>
            </w:rPr>
            <w:fldChar w:fldCharType="end"/>
          </w:r>
        </w:p>
        <w:p>
          <w:pPr>
            <w:pStyle w:val="10"/>
            <w:adjustRightInd w:val="0"/>
            <w:snapToGrid w:val="0"/>
            <w:spacing w:before="0" w:line="600" w:lineRule="exact"/>
            <w:jc w:val="left"/>
            <w:rPr>
              <w:rFonts w:ascii="Times New Roman" w:hAnsi="Times New Roman" w:eastAsia="仿宋_GB2312"/>
              <w:sz w:val="32"/>
              <w:szCs w:val="32"/>
            </w:rPr>
          </w:pPr>
          <w:r>
            <w:fldChar w:fldCharType="begin"/>
          </w:r>
          <w:r>
            <w:instrText xml:space="preserve"> HYPERLINK \l "_Toc112421770" </w:instrText>
          </w:r>
          <w:r>
            <w:fldChar w:fldCharType="separate"/>
          </w:r>
          <w:r>
            <w:rPr>
              <w:rFonts w:hint="eastAsia" w:ascii="黑体" w:hAnsi="黑体" w:eastAsia="黑体" w:cs="黑体"/>
              <w:sz w:val="32"/>
              <w:szCs w:val="32"/>
            </w:rPr>
            <w:t>第二部分 2021年度单位决算情况说明</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_Toc112421770 \h </w:instrText>
          </w:r>
          <w:r>
            <w:rPr>
              <w:rFonts w:ascii="Times New Roman" w:hAnsi="Times New Roman" w:eastAsia="仿宋_GB2312"/>
              <w:sz w:val="32"/>
              <w:szCs w:val="32"/>
            </w:rPr>
            <w:fldChar w:fldCharType="separate"/>
          </w:r>
          <w:r>
            <w:rPr>
              <w:rFonts w:ascii="Times New Roman" w:hAnsi="Times New Roman" w:eastAsia="仿宋_GB2312"/>
              <w:sz w:val="32"/>
              <w:szCs w:val="32"/>
            </w:rPr>
            <w:t>5</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"_Toc112421771" </w:instrText>
          </w:r>
          <w:r>
            <w:fldChar w:fldCharType="separate"/>
          </w:r>
          <w:r>
            <w:rPr>
              <w:rFonts w:eastAsia="仿宋_GB2312"/>
              <w:sz w:val="32"/>
              <w:szCs w:val="32"/>
            </w:rPr>
            <w:t>一、收入支出决算总体情况说明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_Toc112421771 \h </w:instrText>
          </w:r>
          <w:r>
            <w:rPr>
              <w:rFonts w:eastAsia="仿宋_GB2312"/>
              <w:sz w:val="32"/>
              <w:szCs w:val="32"/>
            </w:rPr>
            <w:fldChar w:fldCharType="separate"/>
          </w:r>
          <w:r>
            <w:rPr>
              <w:rFonts w:eastAsia="仿宋_GB2312"/>
              <w:sz w:val="32"/>
              <w:szCs w:val="32"/>
            </w:rPr>
            <w:t>5</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"_Toc112421772" </w:instrText>
          </w:r>
          <w:r>
            <w:fldChar w:fldCharType="separate"/>
          </w:r>
          <w:r>
            <w:rPr>
              <w:rFonts w:eastAsia="仿宋_GB2312"/>
              <w:sz w:val="32"/>
              <w:szCs w:val="32"/>
            </w:rPr>
            <w:t>二、收入决算情况说明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_Toc112421772 \h </w:instrText>
          </w:r>
          <w:r>
            <w:rPr>
              <w:rFonts w:eastAsia="仿宋_GB2312"/>
              <w:sz w:val="32"/>
              <w:szCs w:val="32"/>
            </w:rPr>
            <w:fldChar w:fldCharType="separate"/>
          </w:r>
          <w:r>
            <w:rPr>
              <w:rFonts w:eastAsia="仿宋_GB2312"/>
              <w:sz w:val="32"/>
              <w:szCs w:val="32"/>
            </w:rPr>
            <w:t>5</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"_Toc112421774" </w:instrText>
          </w:r>
          <w:r>
            <w:fldChar w:fldCharType="separate"/>
          </w:r>
          <w:r>
            <w:rPr>
              <w:rFonts w:eastAsia="仿宋_GB2312"/>
              <w:sz w:val="32"/>
              <w:szCs w:val="32"/>
            </w:rPr>
            <w:t>三、支出决算情况说明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_Toc112421774 \h </w:instrText>
          </w:r>
          <w:r>
            <w:rPr>
              <w:rFonts w:eastAsia="仿宋_GB2312"/>
              <w:sz w:val="32"/>
              <w:szCs w:val="32"/>
            </w:rPr>
            <w:fldChar w:fldCharType="separate"/>
          </w:r>
          <w:r>
            <w:rPr>
              <w:rFonts w:eastAsia="仿宋_GB2312"/>
              <w:sz w:val="32"/>
              <w:szCs w:val="32"/>
            </w:rPr>
            <w:t>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"_Toc112421776" </w:instrText>
          </w:r>
          <w:r>
            <w:fldChar w:fldCharType="separate"/>
          </w:r>
          <w:r>
            <w:rPr>
              <w:rFonts w:eastAsia="仿宋_GB2312"/>
              <w:sz w:val="32"/>
              <w:szCs w:val="32"/>
            </w:rPr>
            <w:t>四、财政拨款收入支出决算总体情况说明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_Toc112421776 \h </w:instrText>
          </w:r>
          <w:r>
            <w:rPr>
              <w:rFonts w:eastAsia="仿宋_GB2312"/>
              <w:sz w:val="32"/>
              <w:szCs w:val="32"/>
            </w:rPr>
            <w:fldChar w:fldCharType="separate"/>
          </w:r>
          <w:r>
            <w:rPr>
              <w:rFonts w:eastAsia="仿宋_GB2312"/>
              <w:sz w:val="32"/>
              <w:szCs w:val="32"/>
            </w:rPr>
            <w:t>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"_Toc112421777" </w:instrText>
          </w:r>
          <w:r>
            <w:fldChar w:fldCharType="separate"/>
          </w:r>
          <w:r>
            <w:rPr>
              <w:rFonts w:eastAsia="仿宋_GB2312"/>
              <w:sz w:val="32"/>
              <w:szCs w:val="32"/>
            </w:rPr>
            <w:t>五、一般公共预算财政拨款支出决算情况说明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_Toc112421777 \h </w:instrText>
          </w:r>
          <w:r>
            <w:rPr>
              <w:rFonts w:eastAsia="仿宋_GB2312"/>
              <w:sz w:val="32"/>
              <w:szCs w:val="32"/>
            </w:rPr>
            <w:fldChar w:fldCharType="separate"/>
          </w:r>
          <w:r>
            <w:rPr>
              <w:rFonts w:eastAsia="仿宋_GB2312"/>
              <w:sz w:val="32"/>
              <w:szCs w:val="32"/>
            </w:rPr>
            <w:t>7</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"_Toc112421782" </w:instrText>
          </w:r>
          <w:r>
            <w:fldChar w:fldCharType="separate"/>
          </w:r>
          <w:r>
            <w:rPr>
              <w:rFonts w:eastAsia="仿宋_GB2312"/>
              <w:sz w:val="32"/>
              <w:szCs w:val="32"/>
            </w:rPr>
            <w:t>六、一般公共预算财政拨款基本支出决算情况说明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_Toc112421782 \h </w:instrText>
          </w:r>
          <w:r>
            <w:rPr>
              <w:rFonts w:eastAsia="仿宋_GB2312"/>
              <w:sz w:val="32"/>
              <w:szCs w:val="32"/>
            </w:rPr>
            <w:fldChar w:fldCharType="separate"/>
          </w:r>
          <w:r>
            <w:rPr>
              <w:rFonts w:eastAsia="仿宋_GB2312"/>
              <w:sz w:val="32"/>
              <w:szCs w:val="32"/>
            </w:rPr>
            <w:t>9</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"_Toc112421783" </w:instrText>
          </w:r>
          <w:r>
            <w:fldChar w:fldCharType="separate"/>
          </w:r>
          <w:r>
            <w:rPr>
              <w:rFonts w:eastAsia="仿宋_GB2312"/>
              <w:sz w:val="32"/>
              <w:szCs w:val="32"/>
            </w:rPr>
            <w:t>七、“三公”经费财政拨款支出决算情况说明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_Toc112421783 \h </w:instrText>
          </w:r>
          <w:r>
            <w:rPr>
              <w:rFonts w:eastAsia="仿宋_GB2312"/>
              <w:sz w:val="32"/>
              <w:szCs w:val="32"/>
            </w:rPr>
            <w:fldChar w:fldCharType="separate"/>
          </w:r>
          <w:r>
            <w:rPr>
              <w:rFonts w:eastAsia="仿宋_GB2312"/>
              <w:sz w:val="32"/>
              <w:szCs w:val="32"/>
            </w:rPr>
            <w:t>10</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"_Toc112421786" </w:instrText>
          </w:r>
          <w:r>
            <w:fldChar w:fldCharType="separate"/>
          </w:r>
          <w:r>
            <w:rPr>
              <w:rFonts w:eastAsia="仿宋_GB2312"/>
              <w:sz w:val="32"/>
              <w:szCs w:val="32"/>
            </w:rPr>
            <w:t>八、政府性基金预算支出决算情况说明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_Toc112421786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"_Toc112421787" </w:instrText>
          </w:r>
          <w:r>
            <w:fldChar w:fldCharType="separate"/>
          </w:r>
          <w:r>
            <w:rPr>
              <w:rFonts w:eastAsia="仿宋_GB2312"/>
              <w:sz w:val="32"/>
              <w:szCs w:val="32"/>
            </w:rPr>
            <w:t>九、国有资本经营预算支出决算情况说明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_Toc112421787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"_Toc112421788" </w:instrText>
          </w:r>
          <w:r>
            <w:fldChar w:fldCharType="separate"/>
          </w:r>
          <w:r>
            <w:rPr>
              <w:rFonts w:eastAsia="仿宋_GB2312"/>
              <w:sz w:val="32"/>
              <w:szCs w:val="32"/>
            </w:rPr>
            <w:t>十、其他重要事项的情况说明</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_Toc112421788 \h </w:instrText>
          </w:r>
          <w:r>
            <w:rPr>
              <w:rFonts w:eastAsia="仿宋_GB2312"/>
              <w:sz w:val="32"/>
              <w:szCs w:val="32"/>
            </w:rPr>
            <w:fldChar w:fldCharType="separate"/>
          </w:r>
          <w:r>
            <w:rPr>
              <w:rFonts w:eastAsia="仿宋_GB2312"/>
              <w:sz w:val="32"/>
              <w:szCs w:val="32"/>
            </w:rPr>
            <w:t>11</w:t>
          </w:r>
          <w:r>
            <w:rPr>
              <w:rFonts w:eastAsia="仿宋_GB2312"/>
              <w:sz w:val="32"/>
              <w:szCs w:val="32"/>
            </w:rPr>
            <w:fldChar w:fldCharType="end"/>
          </w:r>
          <w:r>
            <w:rPr>
              <w:rFonts w:eastAsia="仿宋_GB2312"/>
              <w:sz w:val="32"/>
              <w:szCs w:val="32"/>
            </w:rPr>
            <w:fldChar w:fldCharType="end"/>
          </w:r>
        </w:p>
        <w:p>
          <w:pPr>
            <w:pStyle w:val="10"/>
            <w:adjustRightInd w:val="0"/>
            <w:snapToGrid w:val="0"/>
            <w:spacing w:before="0" w:line="600" w:lineRule="exact"/>
            <w:jc w:val="left"/>
            <w:rPr>
              <w:rFonts w:ascii="Times New Roman" w:hAnsi="Times New Roman" w:eastAsia="仿宋_GB2312"/>
              <w:sz w:val="32"/>
              <w:szCs w:val="32"/>
            </w:rPr>
          </w:pPr>
          <w:r>
            <w:fldChar w:fldCharType="begin"/>
          </w:r>
          <w:r>
            <w:instrText xml:space="preserve"> HYPERLINK \l "_Toc112421793" </w:instrText>
          </w:r>
          <w:r>
            <w:fldChar w:fldCharType="separate"/>
          </w:r>
          <w:r>
            <w:rPr>
              <w:rFonts w:hint="eastAsia" w:ascii="黑体" w:hAnsi="黑体" w:eastAsia="黑体" w:cs="黑体"/>
              <w:sz w:val="32"/>
              <w:szCs w:val="32"/>
            </w:rPr>
            <w:t>第三部分 名词解释</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_Toc112421793 \h </w:instrText>
          </w:r>
          <w:r>
            <w:rPr>
              <w:rFonts w:ascii="Times New Roman" w:hAnsi="Times New Roman" w:eastAsia="仿宋_GB2312"/>
              <w:sz w:val="32"/>
              <w:szCs w:val="32"/>
            </w:rPr>
            <w:fldChar w:fldCharType="separate"/>
          </w:r>
          <w:r>
            <w:rPr>
              <w:rFonts w:ascii="Times New Roman" w:hAnsi="Times New Roman" w:eastAsia="仿宋_GB2312"/>
              <w:sz w:val="32"/>
              <w:szCs w:val="32"/>
            </w:rPr>
            <w:t>12</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10"/>
            <w:adjustRightInd w:val="0"/>
            <w:snapToGrid w:val="0"/>
            <w:spacing w:before="0" w:line="600" w:lineRule="exact"/>
            <w:jc w:val="left"/>
            <w:rPr>
              <w:rFonts w:ascii="Times New Roman" w:hAnsi="Times New Roman" w:eastAsia="仿宋_GB2312"/>
              <w:sz w:val="32"/>
              <w:szCs w:val="32"/>
            </w:rPr>
          </w:pPr>
          <w:r>
            <w:fldChar w:fldCharType="begin"/>
          </w:r>
          <w:r>
            <w:instrText xml:space="preserve"> HYPERLINK \l "_Toc112421794" </w:instrText>
          </w:r>
          <w:r>
            <w:fldChar w:fldCharType="separate"/>
          </w:r>
          <w:r>
            <w:rPr>
              <w:rFonts w:hint="eastAsia" w:ascii="黑体" w:hAnsi="黑体" w:eastAsia="黑体" w:cs="黑体"/>
              <w:sz w:val="32"/>
              <w:szCs w:val="32"/>
            </w:rPr>
            <w:t>第四部分 附件</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_Toc112421794 \h </w:instrText>
          </w:r>
          <w:r>
            <w:rPr>
              <w:rFonts w:ascii="Times New Roman" w:hAnsi="Times New Roman" w:eastAsia="仿宋_GB2312"/>
              <w:sz w:val="32"/>
              <w:szCs w:val="32"/>
            </w:rPr>
            <w:fldChar w:fldCharType="separate"/>
          </w:r>
          <w:r>
            <w:rPr>
              <w:rFonts w:ascii="Times New Roman" w:hAnsi="Times New Roman" w:eastAsia="仿宋_GB2312"/>
              <w:sz w:val="32"/>
              <w:szCs w:val="32"/>
            </w:rPr>
            <w:t>15</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10"/>
            <w:adjustRightInd w:val="0"/>
            <w:snapToGrid w:val="0"/>
            <w:spacing w:before="0" w:line="600" w:lineRule="exact"/>
            <w:jc w:val="left"/>
            <w:rPr>
              <w:rFonts w:ascii="Times New Roman" w:hAnsi="Times New Roman" w:eastAsia="仿宋_GB2312"/>
              <w:sz w:val="32"/>
              <w:szCs w:val="32"/>
            </w:rPr>
          </w:pPr>
          <w:r>
            <w:fldChar w:fldCharType="begin"/>
          </w:r>
          <w:r>
            <w:instrText xml:space="preserve"> HYPERLINK \l "_Toc112421796" </w:instrText>
          </w:r>
          <w:r>
            <w:fldChar w:fldCharType="separate"/>
          </w:r>
          <w:r>
            <w:rPr>
              <w:rFonts w:hint="eastAsia" w:ascii="黑体" w:hAnsi="黑体" w:eastAsia="黑体" w:cs="黑体"/>
              <w:sz w:val="32"/>
              <w:szCs w:val="32"/>
            </w:rPr>
            <w:t>第五部分 附表</w:t>
          </w:r>
          <w:r>
            <w:rPr>
              <w:rFonts w:ascii="Times New Roman" w:hAnsi="Times New Roman" w:eastAsia="仿宋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_Toc112421796 \h </w:instrText>
          </w:r>
          <w:r>
            <w:rPr>
              <w:rFonts w:ascii="Times New Roman" w:hAnsi="Times New Roman" w:eastAsia="仿宋_GB2312"/>
              <w:sz w:val="32"/>
              <w:szCs w:val="32"/>
            </w:rPr>
            <w:fldChar w:fldCharType="separate"/>
          </w:r>
          <w:r>
            <w:rPr>
              <w:rFonts w:ascii="Times New Roman" w:hAnsi="Times New Roman" w:eastAsia="仿宋_GB2312"/>
              <w:sz w:val="32"/>
              <w:szCs w:val="32"/>
            </w:rPr>
            <w:t>16</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"_Toc112421797" </w:instrText>
          </w:r>
          <w:r>
            <w:fldChar w:fldCharType="separate"/>
          </w:r>
          <w:r>
            <w:rPr>
              <w:rFonts w:eastAsia="仿宋_GB2312"/>
              <w:sz w:val="32"/>
              <w:szCs w:val="32"/>
            </w:rPr>
            <w:t>一、收入支出决算总表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_Toc112421797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"_Toc112421798" </w:instrText>
          </w:r>
          <w:r>
            <w:fldChar w:fldCharType="separate"/>
          </w:r>
          <w:r>
            <w:rPr>
              <w:rFonts w:eastAsia="仿宋_GB2312"/>
              <w:sz w:val="32"/>
              <w:szCs w:val="32"/>
            </w:rPr>
            <w:t>二、收入决算表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_Toc112421798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"_Toc112421799" </w:instrText>
          </w:r>
          <w:r>
            <w:fldChar w:fldCharType="separate"/>
          </w:r>
          <w:r>
            <w:rPr>
              <w:rFonts w:eastAsia="仿宋_GB2312"/>
              <w:sz w:val="32"/>
              <w:szCs w:val="32"/>
            </w:rPr>
            <w:t>三、支出决算表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_Toc112421799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"_Toc112421800" </w:instrText>
          </w:r>
          <w:r>
            <w:fldChar w:fldCharType="separate"/>
          </w:r>
          <w:r>
            <w:rPr>
              <w:rFonts w:eastAsia="仿宋_GB2312"/>
              <w:sz w:val="32"/>
              <w:szCs w:val="32"/>
            </w:rPr>
            <w:t>四、财政拨款收入支出决算总表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_Toc112421800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"_Toc112421801" </w:instrText>
          </w:r>
          <w:r>
            <w:fldChar w:fldCharType="separate"/>
          </w:r>
          <w:r>
            <w:rPr>
              <w:rFonts w:eastAsia="仿宋_GB2312"/>
              <w:sz w:val="32"/>
              <w:szCs w:val="32"/>
            </w:rPr>
            <w:t>五、财政拨款支出决算明细表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_Toc112421801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"_Toc112421802" </w:instrText>
          </w:r>
          <w:r>
            <w:fldChar w:fldCharType="separate"/>
          </w:r>
          <w:r>
            <w:rPr>
              <w:rFonts w:eastAsia="仿宋_GB2312"/>
              <w:sz w:val="32"/>
              <w:szCs w:val="32"/>
            </w:rPr>
            <w:t>六、一般公共预算财政拨款支出决算表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_Toc112421802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"_Toc112421803" </w:instrText>
          </w:r>
          <w:r>
            <w:fldChar w:fldCharType="separate"/>
          </w:r>
          <w:r>
            <w:rPr>
              <w:rFonts w:eastAsia="仿宋_GB2312"/>
              <w:sz w:val="32"/>
              <w:szCs w:val="32"/>
            </w:rPr>
            <w:t>七、一般公共预算财政拨款支出决算明细表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_Toc112421803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"_Toc112421804" </w:instrText>
          </w:r>
          <w:r>
            <w:fldChar w:fldCharType="separate"/>
          </w:r>
          <w:r>
            <w:rPr>
              <w:rFonts w:eastAsia="仿宋_GB2312"/>
              <w:sz w:val="32"/>
              <w:szCs w:val="32"/>
            </w:rPr>
            <w:t>八、一般公共预算财政拨款基本支出决算表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_Toc112421804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"_Toc112421805" </w:instrText>
          </w:r>
          <w:r>
            <w:fldChar w:fldCharType="separate"/>
          </w:r>
          <w:r>
            <w:rPr>
              <w:rFonts w:eastAsia="仿宋_GB2312"/>
              <w:sz w:val="32"/>
              <w:szCs w:val="32"/>
            </w:rPr>
            <w:t>九、一般公共预算财政拨款项目支出决算表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_Toc112421805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"_Toc112421806" </w:instrText>
          </w:r>
          <w:r>
            <w:fldChar w:fldCharType="separate"/>
          </w:r>
          <w:r>
            <w:rPr>
              <w:rFonts w:eastAsia="仿宋_GB2312"/>
              <w:sz w:val="32"/>
              <w:szCs w:val="32"/>
            </w:rPr>
            <w:t>十、一般公共预算财政拨款“三公”经费支出决算表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_Toc112421806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"_Toc112421807" </w:instrText>
          </w:r>
          <w:r>
            <w:fldChar w:fldCharType="separate"/>
          </w:r>
          <w:r>
            <w:rPr>
              <w:rFonts w:eastAsia="仿宋_GB2312"/>
              <w:sz w:val="32"/>
              <w:szCs w:val="32"/>
            </w:rPr>
            <w:t>十一、政府性基金预算财政拨款收入支出决算表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_Toc112421807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"_Toc112421808" </w:instrText>
          </w:r>
          <w:r>
            <w:fldChar w:fldCharType="separate"/>
          </w:r>
          <w:r>
            <w:rPr>
              <w:rFonts w:eastAsia="仿宋_GB2312"/>
              <w:sz w:val="32"/>
              <w:szCs w:val="32"/>
            </w:rPr>
            <w:t>十二、政府性基金预算财政拨款“三公”经费支出决算表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_Toc112421808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"_Toc112421809" </w:instrText>
          </w:r>
          <w:r>
            <w:fldChar w:fldCharType="separate"/>
          </w:r>
          <w:r>
            <w:rPr>
              <w:rFonts w:eastAsia="仿宋_GB2312"/>
              <w:sz w:val="32"/>
              <w:szCs w:val="32"/>
            </w:rPr>
            <w:t>十三、国有资本经营预算财政拨款收入支出决算表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_Toc112421809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pStyle w:val="11"/>
            <w:adjustRightInd w:val="0"/>
            <w:snapToGrid w:val="0"/>
            <w:spacing w:line="600" w:lineRule="exact"/>
            <w:jc w:val="left"/>
            <w:rPr>
              <w:rFonts w:eastAsia="仿宋_GB2312"/>
              <w:sz w:val="32"/>
              <w:szCs w:val="32"/>
            </w:rPr>
          </w:pPr>
          <w:r>
            <w:fldChar w:fldCharType="begin"/>
          </w:r>
          <w:r>
            <w:instrText xml:space="preserve"> HYPERLINK \l "_Toc112421810" </w:instrText>
          </w:r>
          <w:r>
            <w:fldChar w:fldCharType="separate"/>
          </w:r>
          <w:r>
            <w:rPr>
              <w:rFonts w:eastAsia="仿宋_GB2312"/>
              <w:sz w:val="32"/>
              <w:szCs w:val="32"/>
            </w:rPr>
            <w:t>十四、国有资本经营预算财政拨款支出决算表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_Toc112421810 \h </w:instrText>
          </w:r>
          <w:r>
            <w:rPr>
              <w:rFonts w:eastAsia="仿宋_GB2312"/>
              <w:sz w:val="32"/>
              <w:szCs w:val="32"/>
            </w:rPr>
            <w:fldChar w:fldCharType="separate"/>
          </w:r>
          <w:r>
            <w:rPr>
              <w:rFonts w:eastAsia="仿宋_GB2312"/>
              <w:sz w:val="32"/>
              <w:szCs w:val="32"/>
            </w:rPr>
            <w:t>16</w:t>
          </w:r>
          <w:r>
            <w:rPr>
              <w:rFonts w:eastAsia="仿宋_GB2312"/>
              <w:sz w:val="32"/>
              <w:szCs w:val="32"/>
            </w:rPr>
            <w:fldChar w:fldCharType="end"/>
          </w:r>
          <w:r>
            <w:rPr>
              <w:rFonts w:eastAsia="仿宋_GB2312"/>
              <w:sz w:val="32"/>
              <w:szCs w:val="32"/>
            </w:rPr>
            <w:fldChar w:fldCharType="end"/>
          </w:r>
        </w:p>
        <w:p>
          <w:pPr>
            <w:spacing w:line="600" w:lineRule="exact"/>
            <w:rPr>
              <w:sz w:val="32"/>
              <w:szCs w:val="32"/>
            </w:rPr>
          </w:pPr>
          <w:r>
            <w:rPr>
              <w:rFonts w:eastAsia="仿宋_GB2312"/>
              <w:b/>
              <w:bCs/>
              <w:sz w:val="32"/>
              <w:szCs w:val="32"/>
              <w:lang w:val="zh-CN"/>
            </w:rPr>
            <w:fldChar w:fldCharType="end"/>
          </w:r>
        </w:p>
      </w:sdtContent>
    </w:sdt>
    <w:p/>
    <w:p>
      <w:pPr>
        <w:pStyle w:val="2"/>
        <w:spacing w:before="93"/>
        <w:rPr>
          <w:rFonts w:ascii="Times New Roman"/>
        </w:rPr>
      </w:pPr>
    </w:p>
    <w:p>
      <w:pPr>
        <w:pStyle w:val="2"/>
        <w:spacing w:before="93"/>
        <w:rPr>
          <w:rFonts w:ascii="Times New Roman"/>
        </w:rPr>
        <w:sectPr>
          <w:headerReference r:id="rId3" w:type="default"/>
          <w:footerReference r:id="rId4" w:type="default"/>
          <w:pgSz w:w="11906" w:h="16838"/>
          <w:pgMar w:top="2098" w:right="1474" w:bottom="1985" w:left="1588" w:header="851" w:footer="1418" w:gutter="0"/>
          <w:pgNumType w:start="1"/>
          <w:cols w:space="425" w:num="1"/>
          <w:titlePg/>
          <w:docGrid w:type="lines" w:linePitch="312" w:charSpace="0"/>
        </w:sectPr>
      </w:pPr>
    </w:p>
    <w:p>
      <w:pPr>
        <w:pStyle w:val="3"/>
        <w:jc w:val="center"/>
        <w:rPr>
          <w:rStyle w:val="24"/>
          <w:rFonts w:eastAsia="黑体"/>
          <w:b/>
          <w:bCs w:val="0"/>
        </w:rPr>
      </w:pPr>
      <w:bookmarkStart w:id="14" w:name="_Toc112421767"/>
      <w:bookmarkStart w:id="15" w:name="_Toc15377196"/>
      <w:bookmarkStart w:id="16" w:name="_Toc15396599"/>
      <w:r>
        <w:rPr>
          <w:rFonts w:eastAsia="黑体"/>
          <w:b w:val="0"/>
        </w:rPr>
        <w:t>第一部分 单位</w:t>
      </w:r>
      <w:r>
        <w:rPr>
          <w:rStyle w:val="24"/>
          <w:rFonts w:eastAsia="黑体"/>
          <w:b w:val="0"/>
          <w:bCs w:val="0"/>
        </w:rPr>
        <w:t>概况</w:t>
      </w:r>
      <w:bookmarkEnd w:id="14"/>
      <w:bookmarkEnd w:id="15"/>
      <w:bookmarkEnd w:id="16"/>
    </w:p>
    <w:p>
      <w:pPr>
        <w:widowControl/>
        <w:spacing w:line="40" w:lineRule="exact"/>
        <w:jc w:val="left"/>
        <w:rPr>
          <w:rFonts w:eastAsia="黑体"/>
          <w:sz w:val="32"/>
          <w:szCs w:val="32"/>
        </w:rPr>
      </w:pPr>
    </w:p>
    <w:p>
      <w:pPr>
        <w:pStyle w:val="4"/>
        <w:ind w:firstLine="640" w:firstLineChars="200"/>
        <w:rPr>
          <w:rStyle w:val="25"/>
          <w:rFonts w:ascii="Times New Roman" w:hAnsi="Times New Roman" w:eastAsia="黑体" w:cs="Times New Roman"/>
          <w:b w:val="0"/>
          <w:bCs w:val="0"/>
        </w:rPr>
      </w:pPr>
      <w:bookmarkStart w:id="17" w:name="_Toc112421768"/>
      <w:bookmarkStart w:id="18" w:name="_Toc15377197"/>
      <w:bookmarkStart w:id="19" w:name="_Toc15396600"/>
      <w:r>
        <w:rPr>
          <w:rStyle w:val="25"/>
          <w:rFonts w:ascii="Times New Roman" w:hAnsi="Times New Roman" w:eastAsia="黑体" w:cs="Times New Roman"/>
          <w:b w:val="0"/>
          <w:bCs w:val="0"/>
        </w:rPr>
        <w:t>一、职能简介</w:t>
      </w:r>
      <w:bookmarkEnd w:id="17"/>
    </w:p>
    <w:p>
      <w:pPr>
        <w:ind w:firstLine="640" w:firstLineChars="200"/>
      </w:pPr>
      <w:r>
        <w:rPr>
          <w:rFonts w:eastAsia="仿宋_GB2312"/>
          <w:sz w:val="32"/>
          <w:szCs w:val="32"/>
        </w:rPr>
        <w:t>协助厅行政单位开展全省人社信息化建设发展规划和统筹推进；负责相关技术标准、规范起草和实施；负责省人社数据中心基础设施、设备及骨干网络体系、视频会议系统等的建设、管理和运行维护；负责全省人社信息系统安全规划和安全标准的制定，负责网络和信息安全体系的建设、管理和运行维护；负责全省人社各类基础应用平台、全省社保卡信息系统、12333系统的建设、管理和运行维护；负责组织实施省集中业务应用系统的建设、管理和运行维护;负责省人社公共服务信息平台及厅门户网站、网厅、移动端、短信等线上应用渠道建设、管理和运行维护；牵头推进信息数据共享和交换协同；负责人社大数据平台的建设、管理和运行维护，牵头开展人社大数据主题应用开发；负责全省社保卡工作的规划、管理和应用推广，负责省本级社保卡的发行、管理和服务；负责全省12333电话咨询的管理和指导，组织推进线上公共服务；负责对各地人力资源和社会保障信息化的技术管理和指导；负责厅机关办公网络、计算机设施设备运维保障。</w:t>
      </w:r>
    </w:p>
    <w:p>
      <w:pPr>
        <w:pStyle w:val="4"/>
        <w:ind w:firstLine="640" w:firstLineChars="200"/>
        <w:rPr>
          <w:rFonts w:ascii="Times New Roman" w:hAnsi="Times New Roman" w:eastAsia="黑体" w:cs="Times New Roman"/>
          <w:b w:val="0"/>
        </w:rPr>
      </w:pPr>
      <w:bookmarkStart w:id="20" w:name="_Toc112421769"/>
      <w:r>
        <w:rPr>
          <w:rFonts w:ascii="Times New Roman" w:hAnsi="Times New Roman" w:eastAsia="黑体" w:cs="Times New Roman"/>
          <w:b w:val="0"/>
        </w:rPr>
        <w:t>二、2021年重点工作</w:t>
      </w:r>
      <w:bookmarkEnd w:id="18"/>
      <w:bookmarkEnd w:id="19"/>
      <w:r>
        <w:rPr>
          <w:rFonts w:ascii="Times New Roman" w:hAnsi="Times New Roman" w:eastAsia="黑体" w:cs="Times New Roman"/>
          <w:b w:val="0"/>
        </w:rPr>
        <w:t>完成情况</w:t>
      </w:r>
      <w:bookmarkEnd w:id="20"/>
    </w:p>
    <w:p>
      <w:pPr>
        <w:snapToGrid w:val="0"/>
        <w:spacing w:line="600" w:lineRule="exact"/>
        <w:ind w:firstLine="640" w:firstLineChars="200"/>
        <w:rPr>
          <w:rFonts w:eastAsia="仿宋_GB2312"/>
          <w:sz w:val="32"/>
          <w:szCs w:val="32"/>
        </w:rPr>
      </w:pPr>
      <w:r>
        <w:rPr>
          <w:rFonts w:eastAsia="楷体_GB2312"/>
          <w:sz w:val="32"/>
          <w:szCs w:val="32"/>
        </w:rPr>
        <w:t>（一）社保卡居民“一卡通”全国标杆。</w:t>
      </w:r>
      <w:r>
        <w:rPr>
          <w:rFonts w:eastAsia="仿宋_GB2312"/>
          <w:sz w:val="32"/>
          <w:szCs w:val="32"/>
        </w:rPr>
        <w:t>四川社保卡工作在全国树立了标杆，居民“一卡通”工作获得中纪委、财政部、人社部的充分肯定并在全国推广。2021年，不断加强社保卡管理，加快社保卡发行力度，积极创新社保卡服务模式，协调联动线上线下服务格局，进一步深化社保卡居民“一卡通”应用，全力推进“全业务用卡”工作。与教育厅、省银保监合作，在全国率先开展通过社保卡发放奖助学金、农业保险赔付金工作；与文旅厅合作，在全国率先以省级层面全面开展社保卡图书借阅服务工作；发动各地拓展在入场进馆方面的应用，惠及面广，得到群众和领导的一致肯定。截至2021年年底，全省社保卡持卡人数达9125万人，基本达到人手一卡。其中，三代卡发行1724万张，位居全国第二。</w:t>
      </w:r>
    </w:p>
    <w:p>
      <w:pPr>
        <w:snapToGrid w:val="0"/>
        <w:spacing w:line="600" w:lineRule="exact"/>
        <w:ind w:firstLine="640" w:firstLineChars="200"/>
        <w:rPr>
          <w:rFonts w:eastAsia="仿宋_GB2312"/>
          <w:sz w:val="32"/>
          <w:szCs w:val="32"/>
        </w:rPr>
      </w:pPr>
      <w:r>
        <w:rPr>
          <w:rFonts w:eastAsia="楷体_GB2312"/>
          <w:sz w:val="32"/>
          <w:szCs w:val="32"/>
        </w:rPr>
        <w:t>（二）人社公共服务事项全面开花。</w:t>
      </w:r>
      <w:r>
        <w:rPr>
          <w:rFonts w:eastAsia="仿宋_GB2312"/>
          <w:sz w:val="32"/>
          <w:szCs w:val="32"/>
        </w:rPr>
        <w:t>2021年，以省人社公共服务信息平台为枢纽，上联人社部公共服务平台，对接省政务服务平台、省政府政务APP、农民工平台等省级平台，下接12个市（州）公共服务信息平台，形成我省人社公共服务“一窗受理，一号通行、一网通办、一卡通行”的一体化服务格局，支撑参与当地智慧城市建设。2021年，“四川人社”APP、“川小保”微信公众号下载和使用量达140万，线上办件量达2345件；网厅、“四川人社”APP、“川小保”微信公众号、省政府一网通办、川渝通办、人社部公共服务旗舰店、支付宝等渠道上分别上线服务事项220、68、43、129、38、14、13项。</w:t>
      </w:r>
    </w:p>
    <w:p>
      <w:pPr>
        <w:snapToGrid w:val="0"/>
        <w:spacing w:line="600" w:lineRule="exact"/>
        <w:ind w:firstLine="640" w:firstLineChars="200"/>
        <w:rPr>
          <w:rFonts w:eastAsia="仿宋_GB2312"/>
          <w:sz w:val="32"/>
          <w:szCs w:val="32"/>
        </w:rPr>
      </w:pPr>
      <w:r>
        <w:rPr>
          <w:rFonts w:eastAsia="楷体_GB2312"/>
          <w:sz w:val="32"/>
          <w:szCs w:val="32"/>
        </w:rPr>
        <w:t>（三）基础设施保障支撑到位。</w:t>
      </w:r>
      <w:r>
        <w:rPr>
          <w:rFonts w:eastAsia="仿宋_GB2312"/>
          <w:sz w:val="32"/>
          <w:szCs w:val="32"/>
        </w:rPr>
        <w:t>完成身份认证平台、金融交易平台等9个基础支撑平台的省集中统一建设，全省人社信息化一体化格局基本形成；完成省大数据中心的好差评、电子证照对接任务；统筹省集中建设各板块应用的资源需求，保障人社数据中心基础资源和网络的安全平稳运行；完成人社部人社服务大厅实时视频监控接入部监测指挥平台建设试点工作，接入134个试点点位；完成两会、建党100周年、全运会、国庆和十九届六中全会期间网络安全重保工作和做好部—省—市视频会议系统、省政府应急指挥视频会商系统和厅党组及厅务会等重要会议的技术保障工作，重要现场会议及视频会议保障全年235次。</w:t>
      </w:r>
    </w:p>
    <w:p>
      <w:pPr>
        <w:snapToGrid w:val="0"/>
        <w:spacing w:line="600" w:lineRule="exact"/>
        <w:ind w:firstLine="640" w:firstLineChars="200"/>
        <w:rPr>
          <w:rFonts w:eastAsia="仿宋_GB2312"/>
          <w:sz w:val="32"/>
          <w:szCs w:val="32"/>
        </w:rPr>
      </w:pPr>
      <w:r>
        <w:rPr>
          <w:rFonts w:eastAsia="楷体_GB2312"/>
          <w:sz w:val="32"/>
          <w:szCs w:val="32"/>
        </w:rPr>
        <w:t>（四）数据汇聚及共享协同同步推进。</w:t>
      </w:r>
      <w:r>
        <w:rPr>
          <w:rFonts w:eastAsia="仿宋_GB2312"/>
          <w:sz w:val="32"/>
          <w:szCs w:val="32"/>
        </w:rPr>
        <w:t>实现就业、社保等9大省集中信息系统25T数据的统一汇聚。实现公安人口、民政低保特困等9个省级部门36项、10个国家部委56项的线上、线下数据接口共享；获取公安、司法等部门共享数据7746.6万条；完成人社大数据平台建设，对接厅内10多个单位，初步形成数据资产、养老保险、农民工等22个主题分析；创新探索开展人社大数据联合实验室建设，开展数据分析利用，支撑创业贷项目。</w:t>
      </w:r>
    </w:p>
    <w:p>
      <w:pPr>
        <w:snapToGrid w:val="0"/>
        <w:spacing w:line="600" w:lineRule="exact"/>
        <w:ind w:firstLine="640" w:firstLineChars="200"/>
        <w:rPr>
          <w:rFonts w:eastAsia="仿宋_GB2312"/>
          <w:sz w:val="32"/>
          <w:szCs w:val="32"/>
        </w:rPr>
      </w:pPr>
      <w:r>
        <w:rPr>
          <w:rFonts w:eastAsia="楷体_GB2312"/>
          <w:sz w:val="32"/>
          <w:szCs w:val="32"/>
        </w:rPr>
        <w:t>（五）应用系统省集中全力建设。</w:t>
      </w:r>
      <w:r>
        <w:rPr>
          <w:rFonts w:eastAsia="仿宋_GB2312"/>
          <w:sz w:val="32"/>
          <w:szCs w:val="32"/>
        </w:rPr>
        <w:t>完成省级集中系统改造、部省对接和本地历史数据向部级系统入库工作，配合完成社保基础版系统建设和上线，协调开展运维工作；全力推进成都市通过社保共建版、就业3.0实现省集中；在全力保障社保卡系统平稳运行的基础上，完成农业保险赔付、图书馆等27个场景的“一卡通”技术对接；按照金融信息系统标准启动社保卡系统的升级改造工作。</w:t>
      </w:r>
    </w:p>
    <w:p>
      <w:pPr>
        <w:snapToGrid w:val="0"/>
        <w:spacing w:line="600" w:lineRule="exact"/>
        <w:ind w:firstLine="640" w:firstLineChars="200"/>
        <w:rPr>
          <w:rFonts w:eastAsia="仿宋_GB2312"/>
          <w:sz w:val="32"/>
          <w:szCs w:val="32"/>
        </w:rPr>
      </w:pPr>
      <w:r>
        <w:rPr>
          <w:rFonts w:eastAsia="楷体_GB2312"/>
          <w:sz w:val="32"/>
          <w:szCs w:val="32"/>
        </w:rPr>
        <w:t>（六）12333服务能力倍受肯定。</w:t>
      </w:r>
      <w:r>
        <w:rPr>
          <w:rFonts w:eastAsia="仿宋_GB2312"/>
          <w:sz w:val="32"/>
          <w:szCs w:val="32"/>
        </w:rPr>
        <w:t>省本级12333全年来电总量73.37万人次，综合接通率81.74%，“好差评”满意率达99.81%，转办工单办结率98.47%，“厅长信箱”办结率100%，优质高效的咨询服务工作得到群众的高度认可，接群众表扬电话16通。同时，按照国办要求，省本级12333于2021年底按照双号并行的模式整合并入12345热线。</w:t>
      </w:r>
    </w:p>
    <w:p>
      <w:pPr>
        <w:pStyle w:val="4"/>
        <w:ind w:firstLine="640" w:firstLineChars="200"/>
        <w:rPr>
          <w:rFonts w:ascii="Times New Roman" w:hAnsi="Times New Roman" w:eastAsia="黑体" w:cs="Times New Roman"/>
          <w:b w:val="0"/>
        </w:rPr>
      </w:pPr>
      <w:r>
        <w:rPr>
          <w:rFonts w:hint="eastAsia" w:ascii="Times New Roman" w:hAnsi="Times New Roman" w:eastAsia="黑体" w:cs="Times New Roman"/>
          <w:b w:val="0"/>
          <w:lang w:eastAsia="zh-CN"/>
        </w:rPr>
        <w:t>三、机构设置情况</w:t>
      </w:r>
    </w:p>
    <w:p>
      <w:pPr>
        <w:pStyle w:val="2"/>
        <w:ind w:firstLine="640" w:firstLineChars="200"/>
      </w:pPr>
      <w:r>
        <w:rPr>
          <w:rFonts w:hint="eastAsia" w:ascii="仿宋_GB2312" w:eastAsia="仿宋_GB2312"/>
          <w:sz w:val="32"/>
          <w:szCs w:val="32"/>
        </w:rPr>
        <w:t>省人社信息中心由</w:t>
      </w:r>
      <w:r>
        <w:rPr>
          <w:rFonts w:ascii="仿宋_GB2312" w:eastAsia="仿宋_GB2312"/>
          <w:sz w:val="32"/>
          <w:szCs w:val="32"/>
        </w:rPr>
        <w:t>8</w:t>
      </w:r>
      <w:r>
        <w:rPr>
          <w:rFonts w:hint="eastAsia" w:ascii="仿宋_GB2312" w:eastAsia="仿宋_GB2312"/>
          <w:sz w:val="32"/>
          <w:szCs w:val="32"/>
        </w:rPr>
        <w:t>个内设部门组成，分别是</w:t>
      </w:r>
      <w:r>
        <w:rPr>
          <w:rFonts w:hint="eastAsia"/>
          <w:sz w:val="32"/>
          <w:szCs w:val="32"/>
          <w:lang w:eastAsia="zh-CN"/>
        </w:rPr>
        <w:t>：</w:t>
      </w:r>
      <w:r>
        <w:rPr>
          <w:rFonts w:hint="eastAsia" w:ascii="仿宋_GB2312" w:eastAsia="仿宋_GB2312"/>
          <w:sz w:val="32"/>
          <w:szCs w:val="32"/>
        </w:rPr>
        <w:t>综合部、社会保障</w:t>
      </w:r>
      <w:r>
        <w:rPr>
          <w:rFonts w:ascii="仿宋_GB2312" w:eastAsia="仿宋_GB2312"/>
          <w:sz w:val="32"/>
          <w:szCs w:val="32"/>
        </w:rPr>
        <w:t>卡管理部、12333</w:t>
      </w:r>
      <w:r>
        <w:rPr>
          <w:rFonts w:hint="eastAsia" w:ascii="仿宋_GB2312" w:eastAsia="仿宋_GB2312"/>
          <w:sz w:val="32"/>
          <w:szCs w:val="32"/>
        </w:rPr>
        <w:t>服务部</w:t>
      </w:r>
      <w:r>
        <w:rPr>
          <w:rFonts w:ascii="仿宋_GB2312" w:eastAsia="仿宋_GB2312"/>
          <w:sz w:val="32"/>
          <w:szCs w:val="32"/>
        </w:rPr>
        <w:t>、</w:t>
      </w:r>
      <w:r>
        <w:rPr>
          <w:rFonts w:hint="eastAsia" w:ascii="仿宋_GB2312" w:eastAsia="仿宋_GB2312"/>
          <w:sz w:val="32"/>
          <w:szCs w:val="32"/>
        </w:rPr>
        <w:t>架构平台</w:t>
      </w:r>
      <w:r>
        <w:rPr>
          <w:rFonts w:ascii="仿宋_GB2312" w:eastAsia="仿宋_GB2312"/>
          <w:sz w:val="32"/>
          <w:szCs w:val="32"/>
        </w:rPr>
        <w:t>管理部、</w:t>
      </w:r>
      <w:r>
        <w:rPr>
          <w:rFonts w:hint="eastAsia" w:ascii="仿宋_GB2312" w:eastAsia="仿宋_GB2312"/>
          <w:sz w:val="32"/>
          <w:szCs w:val="32"/>
        </w:rPr>
        <w:t>应用系统管理部</w:t>
      </w:r>
      <w:r>
        <w:rPr>
          <w:rFonts w:ascii="仿宋_GB2312" w:eastAsia="仿宋_GB2312"/>
          <w:sz w:val="32"/>
          <w:szCs w:val="32"/>
        </w:rPr>
        <w:t>、服务创新部、数据管理部、</w:t>
      </w:r>
      <w:r>
        <w:rPr>
          <w:rFonts w:hint="eastAsia" w:ascii="仿宋_GB2312" w:eastAsia="仿宋_GB2312"/>
          <w:sz w:val="32"/>
          <w:szCs w:val="32"/>
        </w:rPr>
        <w:t>网络</w:t>
      </w:r>
      <w:r>
        <w:rPr>
          <w:rFonts w:ascii="仿宋_GB2312" w:eastAsia="仿宋_GB2312"/>
          <w:sz w:val="32"/>
          <w:szCs w:val="32"/>
        </w:rPr>
        <w:t>安全及运维管理部</w:t>
      </w:r>
      <w:r>
        <w:rPr>
          <w:rFonts w:hint="eastAsia" w:ascii="仿宋_GB2312" w:eastAsia="仿宋_GB2312"/>
          <w:sz w:val="32"/>
          <w:szCs w:val="32"/>
        </w:rPr>
        <w:t>。</w:t>
      </w:r>
    </w:p>
    <w:p>
      <w:pPr>
        <w:pStyle w:val="2"/>
      </w:pPr>
    </w:p>
    <w:p>
      <w:pPr>
        <w:pStyle w:val="2"/>
      </w:pPr>
    </w:p>
    <w:p>
      <w:pPr>
        <w:widowControl/>
        <w:jc w:val="left"/>
        <w:rPr>
          <w:rFonts w:eastAsia="仿宋_GB2312"/>
          <w:kern w:val="0"/>
          <w:sz w:val="32"/>
          <w:szCs w:val="32"/>
        </w:rPr>
      </w:pPr>
      <w:r>
        <w:rPr>
          <w:rFonts w:eastAsia="仿宋_GB2312"/>
          <w:sz w:val="32"/>
          <w:szCs w:val="32"/>
        </w:rPr>
        <w:br w:type="page"/>
      </w:r>
    </w:p>
    <w:p>
      <w:pPr>
        <w:pStyle w:val="3"/>
        <w:ind w:right="440"/>
        <w:jc w:val="center"/>
        <w:rPr>
          <w:rStyle w:val="24"/>
          <w:rFonts w:eastAsia="黑体"/>
          <w:b w:val="0"/>
          <w:bCs/>
        </w:rPr>
      </w:pPr>
      <w:bookmarkStart w:id="21" w:name="_Toc15377204"/>
      <w:bookmarkStart w:id="22" w:name="_Toc112421770"/>
      <w:bookmarkStart w:id="23" w:name="_Toc15396602"/>
      <w:r>
        <w:rPr>
          <w:rFonts w:eastAsia="黑体"/>
          <w:b w:val="0"/>
        </w:rPr>
        <w:t>第二部分 2021年度</w:t>
      </w:r>
      <w:r>
        <w:rPr>
          <w:rStyle w:val="24"/>
          <w:rFonts w:eastAsia="黑体"/>
          <w:b w:val="0"/>
          <w:bCs/>
        </w:rPr>
        <w:t>单位决算情况说明</w:t>
      </w:r>
      <w:bookmarkEnd w:id="21"/>
      <w:bookmarkEnd w:id="22"/>
      <w:bookmarkEnd w:id="23"/>
    </w:p>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4" w:name="_Toc15396603"/>
      <w:bookmarkStart w:id="25" w:name="_Toc15377205"/>
      <w:bookmarkStart w:id="26" w:name="_Toc112421771"/>
      <w:r>
        <w:rPr>
          <w:rFonts w:eastAsia="黑体"/>
          <w:sz w:val="32"/>
          <w:szCs w:val="32"/>
        </w:rPr>
        <w:t>收</w:t>
      </w:r>
      <w:r>
        <w:rPr>
          <w:rStyle w:val="25"/>
          <w:rFonts w:ascii="Times New Roman" w:hAnsi="Times New Roman" w:eastAsia="黑体" w:cs="Times New Roman"/>
          <w:b w:val="0"/>
        </w:rPr>
        <w:t>入支出决算总体情况说明</w:t>
      </w:r>
      <w:bookmarkEnd w:id="24"/>
      <w:bookmarkEnd w:id="25"/>
      <w:bookmarkEnd w:id="26"/>
    </w:p>
    <w:p>
      <w:pPr>
        <w:spacing w:line="600" w:lineRule="exact"/>
        <w:ind w:firstLine="640" w:firstLineChars="200"/>
        <w:rPr>
          <w:rFonts w:eastAsia="仿宋_GB2312"/>
          <w:sz w:val="32"/>
          <w:szCs w:val="32"/>
        </w:rPr>
      </w:pPr>
      <w:r>
        <w:rPr>
          <w:rFonts w:eastAsia="仿宋_GB2312"/>
          <w:sz w:val="32"/>
          <w:szCs w:val="32"/>
        </w:rPr>
        <w:t>2021年度收、支总计1121.71万元。与2020年相比，收、支总计各减少60.23万元，下降5.1%。主要变动原因是厉行节约及部分用工人员离职，专项劳务费支出减少。</w:t>
      </w:r>
    </w:p>
    <w:p>
      <w:pPr>
        <w:pStyle w:val="2"/>
        <w:spacing w:before="93"/>
        <w:rPr>
          <w:rFonts w:ascii="Times New Roman"/>
        </w:rPr>
      </w:pPr>
      <w:r>
        <w:rPr>
          <w:rFonts w:ascii="Times New Roman"/>
        </w:rPr>
        <w:drawing>
          <wp:inline distT="0" distB="0" distL="0" distR="0">
            <wp:extent cx="5518785" cy="4168775"/>
            <wp:effectExtent l="0" t="0" r="5715" b="31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27" w:name="_Toc15377206"/>
      <w:bookmarkStart w:id="28" w:name="_Toc112421772"/>
      <w:bookmarkStart w:id="29" w:name="_Toc15396604"/>
      <w:r>
        <w:rPr>
          <w:rFonts w:eastAsia="黑体"/>
          <w:sz w:val="32"/>
          <w:szCs w:val="32"/>
        </w:rPr>
        <w:t>收</w:t>
      </w:r>
      <w:r>
        <w:rPr>
          <w:rStyle w:val="25"/>
          <w:rFonts w:ascii="Times New Roman" w:hAnsi="Times New Roman" w:eastAsia="黑体" w:cs="Times New Roman"/>
          <w:b w:val="0"/>
        </w:rPr>
        <w:t>入决算情况说明</w:t>
      </w:r>
      <w:bookmarkEnd w:id="27"/>
      <w:bookmarkEnd w:id="28"/>
      <w:bookmarkEnd w:id="29"/>
    </w:p>
    <w:p>
      <w:pPr>
        <w:spacing w:line="600" w:lineRule="exact"/>
        <w:ind w:firstLine="640" w:firstLineChars="200"/>
        <w:outlineLvl w:val="1"/>
        <w:rPr>
          <w:rFonts w:eastAsia="仿宋_GB2312"/>
          <w:sz w:val="32"/>
          <w:szCs w:val="32"/>
        </w:rPr>
      </w:pPr>
      <w:bookmarkStart w:id="30" w:name="_Toc112421773"/>
      <w:r>
        <w:rPr>
          <w:rFonts w:eastAsia="仿宋_GB2312"/>
          <w:sz w:val="32"/>
          <w:szCs w:val="32"/>
        </w:rPr>
        <w:t>2021年本年收入合计1121.71万元，其中：一般公共预算财政拨款收入1121.71万元，占100%。</w:t>
      </w:r>
      <w:bookmarkEnd w:id="30"/>
    </w:p>
    <w:p>
      <w:pPr>
        <w:pStyle w:val="2"/>
        <w:spacing w:before="93"/>
        <w:rPr>
          <w:rFonts w:ascii="Times New Roman"/>
        </w:rPr>
      </w:pPr>
      <w:r>
        <w:rPr>
          <w:rFonts w:ascii="Times New Roman"/>
        </w:rPr>
        <w:drawing>
          <wp:inline distT="0" distB="0" distL="0" distR="0">
            <wp:extent cx="5274310" cy="2546985"/>
            <wp:effectExtent l="0" t="0" r="2540" b="57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3"/>
        <w:numPr>
          <w:ilvl w:val="0"/>
          <w:numId w:val="1"/>
        </w:numPr>
        <w:spacing w:line="600" w:lineRule="exact"/>
        <w:ind w:firstLineChars="0"/>
        <w:outlineLvl w:val="1"/>
        <w:rPr>
          <w:rStyle w:val="25"/>
          <w:rFonts w:ascii="Times New Roman" w:hAnsi="Times New Roman" w:eastAsia="黑体" w:cs="Times New Roman"/>
          <w:b w:val="0"/>
        </w:rPr>
      </w:pPr>
      <w:bookmarkStart w:id="31" w:name="_Toc15396605"/>
      <w:bookmarkStart w:id="32" w:name="_Toc112421774"/>
      <w:bookmarkStart w:id="33" w:name="_Toc15377207"/>
      <w:r>
        <w:rPr>
          <w:rFonts w:eastAsia="黑体"/>
          <w:sz w:val="32"/>
          <w:szCs w:val="32"/>
        </w:rPr>
        <w:t>支</w:t>
      </w:r>
      <w:r>
        <w:rPr>
          <w:rStyle w:val="25"/>
          <w:rFonts w:ascii="Times New Roman" w:hAnsi="Times New Roman" w:eastAsia="黑体" w:cs="Times New Roman"/>
          <w:b w:val="0"/>
        </w:rPr>
        <w:t>出决算情况说明</w:t>
      </w:r>
      <w:bookmarkEnd w:id="31"/>
      <w:bookmarkEnd w:id="32"/>
      <w:bookmarkEnd w:id="33"/>
    </w:p>
    <w:p>
      <w:pPr>
        <w:spacing w:line="600" w:lineRule="exact"/>
        <w:ind w:firstLine="640" w:firstLineChars="200"/>
        <w:outlineLvl w:val="1"/>
        <w:rPr>
          <w:rFonts w:eastAsia="仿宋_GB2312"/>
          <w:sz w:val="32"/>
          <w:szCs w:val="32"/>
        </w:rPr>
      </w:pPr>
      <w:bookmarkStart w:id="34" w:name="_Toc112421775"/>
      <w:r>
        <w:rPr>
          <w:rFonts w:eastAsia="仿宋_GB2312"/>
          <w:sz w:val="32"/>
          <w:szCs w:val="32"/>
        </w:rPr>
        <w:t>2021年本年支出合计1121.71万元，其中：基本支出404.33万元，占36.05%；项目支出717.38万元，占63.95%。</w:t>
      </w:r>
      <w:bookmarkEnd w:id="34"/>
    </w:p>
    <w:p>
      <w:pPr>
        <w:pStyle w:val="2"/>
        <w:spacing w:before="93"/>
        <w:rPr>
          <w:rFonts w:ascii="Times New Roman"/>
        </w:rPr>
      </w:pPr>
      <w:r>
        <w:rPr>
          <w:rFonts w:ascii="Times New Roman" w:eastAsiaTheme="minorEastAsia"/>
        </w:rPr>
        <w:drawing>
          <wp:inline distT="0" distB="0" distL="114300" distR="114300">
            <wp:extent cx="5080000" cy="2732405"/>
            <wp:effectExtent l="4445" t="4445" r="8255" b="63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5"/>
          <w:rFonts w:ascii="Times New Roman" w:hAnsi="Times New Roman" w:eastAsia="黑体" w:cs="Times New Roman"/>
          <w:b w:val="0"/>
        </w:rPr>
      </w:pPr>
      <w:bookmarkStart w:id="35" w:name="_Toc15396606"/>
      <w:bookmarkStart w:id="36" w:name="_Toc112421776"/>
      <w:bookmarkStart w:id="37" w:name="_Toc15377208"/>
      <w:r>
        <w:rPr>
          <w:rFonts w:eastAsia="黑体"/>
          <w:sz w:val="32"/>
          <w:szCs w:val="32"/>
        </w:rPr>
        <w:t>四、财</w:t>
      </w:r>
      <w:r>
        <w:rPr>
          <w:rStyle w:val="25"/>
          <w:rFonts w:ascii="Times New Roman" w:hAnsi="Times New Roman" w:eastAsia="黑体" w:cs="Times New Roman"/>
          <w:b w:val="0"/>
        </w:rPr>
        <w:t>政拨款收入支出决算总体情况说明</w:t>
      </w:r>
      <w:bookmarkEnd w:id="35"/>
      <w:bookmarkEnd w:id="36"/>
      <w:bookmarkEnd w:id="37"/>
    </w:p>
    <w:p>
      <w:pPr>
        <w:spacing w:line="600" w:lineRule="exact"/>
        <w:ind w:firstLine="640"/>
        <w:rPr>
          <w:rFonts w:eastAsia="仿宋_GB2312"/>
          <w:sz w:val="32"/>
          <w:szCs w:val="32"/>
        </w:rPr>
      </w:pPr>
      <w:r>
        <w:rPr>
          <w:rFonts w:eastAsia="仿宋_GB2312"/>
          <w:sz w:val="32"/>
          <w:szCs w:val="32"/>
        </w:rPr>
        <w:t>2021年财政拨款收、支总计1121.71万元。与2020年相比，财政拨款收、支总计各减少60.23万元，下降5.1%。主要变动原因是厉行节约及部分用工人员离职，专项劳务费支出减少。</w:t>
      </w:r>
    </w:p>
    <w:p>
      <w:pPr>
        <w:pStyle w:val="2"/>
        <w:spacing w:before="93"/>
        <w:rPr>
          <w:rFonts w:ascii="Times New Roman"/>
        </w:rPr>
      </w:pPr>
      <w:r>
        <w:rPr>
          <w:rFonts w:ascii="Times New Roman"/>
        </w:rPr>
        <w:drawing>
          <wp:inline distT="0" distB="0" distL="0" distR="0">
            <wp:extent cx="5274310" cy="2524125"/>
            <wp:effectExtent l="0" t="0" r="254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outlineLvl w:val="1"/>
        <w:rPr>
          <w:rStyle w:val="25"/>
          <w:rFonts w:ascii="Times New Roman" w:hAnsi="Times New Roman" w:eastAsia="黑体" w:cs="Times New Roman"/>
          <w:b w:val="0"/>
        </w:rPr>
      </w:pPr>
      <w:bookmarkStart w:id="38" w:name="_Toc15377209"/>
      <w:bookmarkStart w:id="39" w:name="_Toc15396607"/>
      <w:bookmarkStart w:id="40" w:name="_Toc112421777"/>
      <w:r>
        <w:rPr>
          <w:rFonts w:eastAsia="黑体"/>
          <w:sz w:val="32"/>
          <w:szCs w:val="32"/>
        </w:rPr>
        <w:t>五、</w:t>
      </w:r>
      <w:r>
        <w:rPr>
          <w:rFonts w:eastAsia="黑体"/>
          <w:b/>
          <w:sz w:val="32"/>
          <w:szCs w:val="32"/>
        </w:rPr>
        <w:t>一</w:t>
      </w:r>
      <w:r>
        <w:rPr>
          <w:rStyle w:val="25"/>
          <w:rFonts w:ascii="Times New Roman" w:hAnsi="Times New Roman" w:eastAsia="黑体" w:cs="Times New Roman"/>
          <w:b w:val="0"/>
        </w:rPr>
        <w:t>般公共预算财政拨款支出决算情况说明</w:t>
      </w:r>
      <w:bookmarkEnd w:id="38"/>
      <w:bookmarkEnd w:id="39"/>
      <w:bookmarkEnd w:id="40"/>
    </w:p>
    <w:p>
      <w:pPr>
        <w:spacing w:line="600" w:lineRule="exact"/>
        <w:ind w:firstLine="640" w:firstLineChars="200"/>
        <w:outlineLvl w:val="2"/>
        <w:rPr>
          <w:rFonts w:eastAsia="楷体_GB2312"/>
          <w:bCs/>
          <w:sz w:val="32"/>
          <w:szCs w:val="32"/>
        </w:rPr>
      </w:pPr>
      <w:bookmarkStart w:id="41" w:name="_Toc15377210"/>
      <w:bookmarkStart w:id="42" w:name="_Toc112421778"/>
      <w:r>
        <w:rPr>
          <w:rFonts w:eastAsia="楷体_GB2312"/>
          <w:bCs/>
          <w:sz w:val="32"/>
          <w:szCs w:val="32"/>
        </w:rPr>
        <w:t>（一）一般公共预算财政拨款支出决算总体情况</w:t>
      </w:r>
      <w:bookmarkEnd w:id="41"/>
      <w:bookmarkEnd w:id="42"/>
    </w:p>
    <w:p>
      <w:pPr>
        <w:spacing w:line="600" w:lineRule="exact"/>
        <w:ind w:firstLine="640"/>
        <w:rPr>
          <w:rFonts w:eastAsia="仿宋_GB2312"/>
          <w:sz w:val="32"/>
          <w:szCs w:val="32"/>
        </w:rPr>
      </w:pPr>
      <w:r>
        <w:rPr>
          <w:rFonts w:eastAsia="仿宋_GB2312"/>
          <w:sz w:val="32"/>
          <w:szCs w:val="32"/>
        </w:rPr>
        <w:t>2021年一般公共预算财政拨款支出1121.71万元，占本年支出合计的100%。与2020年相比，一般公共预算财政拨款支出减少60.23万元，下降5.1%。主要变动原因是厉行节约及部分用工人员离职，专项劳务费支出减少。</w:t>
      </w:r>
    </w:p>
    <w:p>
      <w:pPr>
        <w:pStyle w:val="2"/>
        <w:spacing w:before="93"/>
        <w:rPr>
          <w:rFonts w:ascii="Times New Roman"/>
        </w:rPr>
      </w:pPr>
      <w:r>
        <w:rPr>
          <w:rFonts w:ascii="Times New Roman"/>
        </w:rPr>
        <w:drawing>
          <wp:inline distT="0" distB="0" distL="0" distR="0">
            <wp:extent cx="5459095" cy="2330450"/>
            <wp:effectExtent l="4445" t="4445" r="1016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outlineLvl w:val="2"/>
        <w:rPr>
          <w:rFonts w:eastAsia="楷体_GB2312"/>
          <w:bCs/>
          <w:sz w:val="32"/>
          <w:szCs w:val="32"/>
        </w:rPr>
      </w:pPr>
      <w:bookmarkStart w:id="43" w:name="_Toc112421779"/>
      <w:bookmarkStart w:id="44" w:name="_Toc15377211"/>
      <w:r>
        <w:rPr>
          <w:rFonts w:eastAsia="楷体_GB2312"/>
          <w:bCs/>
          <w:sz w:val="32"/>
          <w:szCs w:val="32"/>
        </w:rPr>
        <w:t>（二）一般公共预算财政拨款支出决算结构情况</w:t>
      </w:r>
      <w:bookmarkEnd w:id="43"/>
      <w:bookmarkEnd w:id="44"/>
    </w:p>
    <w:p>
      <w:pPr>
        <w:spacing w:line="600" w:lineRule="exact"/>
        <w:ind w:firstLine="640"/>
        <w:rPr>
          <w:rFonts w:eastAsia="楷体_GB2312"/>
          <w:bCs/>
          <w:sz w:val="32"/>
          <w:szCs w:val="32"/>
        </w:rPr>
      </w:pPr>
      <w:r>
        <w:rPr>
          <w:rFonts w:eastAsia="仿宋_GB2312"/>
          <w:sz w:val="32"/>
          <w:szCs w:val="32"/>
        </w:rPr>
        <w:t>2021年一般公共预算财政拨款支出1121.71万元，主要用于以下方面:</w:t>
      </w:r>
      <w:r>
        <w:rPr>
          <w:rFonts w:eastAsia="仿宋_GB2312"/>
          <w:b/>
          <w:bCs/>
          <w:sz w:val="32"/>
          <w:szCs w:val="32"/>
        </w:rPr>
        <w:t>教育（类）</w:t>
      </w:r>
      <w:r>
        <w:rPr>
          <w:rFonts w:eastAsia="仿宋_GB2312"/>
          <w:sz w:val="32"/>
          <w:szCs w:val="32"/>
        </w:rPr>
        <w:t>支出8.93万元，占0.8%；</w:t>
      </w:r>
      <w:r>
        <w:rPr>
          <w:rFonts w:eastAsia="仿宋_GB2312"/>
          <w:b/>
          <w:bCs/>
          <w:sz w:val="32"/>
          <w:szCs w:val="32"/>
        </w:rPr>
        <w:t>社会保障和就业（类）</w:t>
      </w:r>
      <w:r>
        <w:rPr>
          <w:rFonts w:eastAsia="仿宋_GB2312"/>
          <w:sz w:val="32"/>
          <w:szCs w:val="32"/>
        </w:rPr>
        <w:t>支出1008.38万元，占89.9%；</w:t>
      </w:r>
      <w:r>
        <w:rPr>
          <w:rFonts w:eastAsia="仿宋_GB2312"/>
          <w:b/>
          <w:bCs/>
          <w:sz w:val="32"/>
          <w:szCs w:val="32"/>
        </w:rPr>
        <w:t>卫生健康（类）</w:t>
      </w:r>
      <w:r>
        <w:rPr>
          <w:rFonts w:eastAsia="仿宋_GB2312"/>
          <w:sz w:val="32"/>
          <w:szCs w:val="32"/>
        </w:rPr>
        <w:t>支出24.19万元，占2.16%；</w:t>
      </w:r>
      <w:r>
        <w:rPr>
          <w:rFonts w:eastAsia="仿宋_GB2312"/>
          <w:b/>
          <w:bCs/>
          <w:sz w:val="32"/>
          <w:szCs w:val="32"/>
        </w:rPr>
        <w:t>住房保障（类）</w:t>
      </w:r>
      <w:r>
        <w:rPr>
          <w:rFonts w:eastAsia="仿宋_GB2312"/>
          <w:sz w:val="32"/>
          <w:szCs w:val="32"/>
        </w:rPr>
        <w:t>支出80.21万元，占7.14%。</w:t>
      </w:r>
    </w:p>
    <w:p>
      <w:pPr>
        <w:pStyle w:val="2"/>
        <w:spacing w:before="93"/>
        <w:rPr>
          <w:rFonts w:ascii="Times New Roman"/>
        </w:rPr>
      </w:pPr>
      <w:r>
        <w:rPr>
          <w:rFonts w:ascii="Times New Roman"/>
        </w:rPr>
        <w:drawing>
          <wp:inline distT="0" distB="0" distL="0" distR="0">
            <wp:extent cx="5274310" cy="2157730"/>
            <wp:effectExtent l="0" t="0" r="2540" b="1397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2"/>
        <w:rPr>
          <w:rFonts w:eastAsia="楷体_GB2312"/>
          <w:bCs/>
          <w:sz w:val="32"/>
          <w:szCs w:val="32"/>
        </w:rPr>
      </w:pPr>
      <w:bookmarkStart w:id="45" w:name="_Toc112421780"/>
      <w:bookmarkStart w:id="46" w:name="_Toc15377212"/>
      <w:r>
        <w:rPr>
          <w:rFonts w:eastAsia="楷体_GB2312"/>
          <w:bCs/>
          <w:sz w:val="32"/>
          <w:szCs w:val="32"/>
        </w:rPr>
        <w:t>（三）一般公共预算财政拨款支出决算具体情况</w:t>
      </w:r>
      <w:bookmarkEnd w:id="45"/>
      <w:bookmarkEnd w:id="46"/>
    </w:p>
    <w:p>
      <w:pPr>
        <w:spacing w:line="600" w:lineRule="exact"/>
        <w:ind w:firstLine="642" w:firstLineChars="200"/>
        <w:outlineLvl w:val="2"/>
        <w:rPr>
          <w:rFonts w:eastAsia="仿宋_GB2312"/>
          <w:sz w:val="32"/>
          <w:szCs w:val="32"/>
        </w:rPr>
      </w:pPr>
      <w:bookmarkStart w:id="47" w:name="_Toc112421781"/>
      <w:bookmarkStart w:id="48" w:name="_Toc15378460"/>
      <w:bookmarkStart w:id="49" w:name="_Toc15377444"/>
      <w:bookmarkStart w:id="50" w:name="_Toc15377213"/>
      <w:r>
        <w:rPr>
          <w:rFonts w:eastAsia="楷体_GB2312"/>
          <w:b/>
          <w:bCs w:val="0"/>
          <w:sz w:val="32"/>
          <w:szCs w:val="32"/>
        </w:rPr>
        <w:t>2021年一般公共预算支出决算数为1121.71万元</w:t>
      </w:r>
      <w:r>
        <w:rPr>
          <w:rFonts w:eastAsia="仿宋_GB2312"/>
          <w:b/>
          <w:bCs w:val="0"/>
          <w:sz w:val="32"/>
          <w:szCs w:val="32"/>
        </w:rPr>
        <w:t>，</w:t>
      </w:r>
      <w:r>
        <w:rPr>
          <w:rStyle w:val="14"/>
          <w:rFonts w:eastAsia="仿宋_GB2312"/>
          <w:b/>
          <w:bCs w:val="0"/>
          <w:sz w:val="32"/>
          <w:szCs w:val="32"/>
        </w:rPr>
        <w:t>完成预算</w:t>
      </w:r>
      <w:r>
        <w:rPr>
          <w:rStyle w:val="14"/>
          <w:rFonts w:eastAsia="仿宋_GB2312"/>
          <w:bCs/>
          <w:sz w:val="32"/>
          <w:szCs w:val="32"/>
        </w:rPr>
        <w:t>98.83%。其中：</w:t>
      </w:r>
      <w:bookmarkEnd w:id="47"/>
      <w:bookmarkEnd w:id="48"/>
      <w:bookmarkEnd w:id="49"/>
      <w:bookmarkEnd w:id="50"/>
    </w:p>
    <w:p>
      <w:pPr>
        <w:spacing w:line="600" w:lineRule="exact"/>
        <w:ind w:firstLine="642" w:firstLineChars="200"/>
        <w:rPr>
          <w:rFonts w:eastAsia="楷体_GB2312"/>
          <w:bCs/>
          <w:sz w:val="32"/>
          <w:szCs w:val="32"/>
        </w:rPr>
      </w:pPr>
      <w:r>
        <w:rPr>
          <w:rStyle w:val="14"/>
          <w:rFonts w:eastAsia="仿宋_GB2312"/>
          <w:bCs/>
          <w:sz w:val="32"/>
          <w:szCs w:val="32"/>
        </w:rPr>
        <w:t>1.教育（类）进修及培训（款）培训支出（项）:</w:t>
      </w:r>
      <w:r>
        <w:rPr>
          <w:rStyle w:val="14"/>
          <w:rFonts w:eastAsia="仿宋_GB2312"/>
          <w:b w:val="0"/>
          <w:bCs/>
          <w:sz w:val="32"/>
          <w:szCs w:val="32"/>
        </w:rPr>
        <w:t xml:space="preserve"> 支出决算为8.93万元，完成预算99.25%，</w:t>
      </w:r>
      <w:r>
        <w:rPr>
          <w:rFonts w:eastAsia="仿宋_GB2312"/>
          <w:sz w:val="32"/>
          <w:szCs w:val="32"/>
        </w:rPr>
        <w:t>决算数与预算数基本持平</w:t>
      </w:r>
      <w:r>
        <w:rPr>
          <w:rStyle w:val="14"/>
          <w:rFonts w:eastAsia="仿宋_GB2312"/>
          <w:b w:val="0"/>
          <w:bCs/>
          <w:sz w:val="32"/>
          <w:szCs w:val="32"/>
        </w:rPr>
        <w:t>。</w:t>
      </w:r>
    </w:p>
    <w:p>
      <w:pPr>
        <w:spacing w:line="600" w:lineRule="exact"/>
        <w:ind w:firstLine="642" w:firstLineChars="200"/>
        <w:rPr>
          <w:rStyle w:val="14"/>
          <w:rFonts w:eastAsia="仿宋_GB2312"/>
          <w:b w:val="0"/>
          <w:bCs/>
          <w:sz w:val="32"/>
          <w:szCs w:val="32"/>
        </w:rPr>
      </w:pPr>
      <w:r>
        <w:rPr>
          <w:rStyle w:val="14"/>
          <w:rFonts w:eastAsia="仿宋_GB2312"/>
          <w:bCs/>
          <w:sz w:val="32"/>
          <w:szCs w:val="32"/>
        </w:rPr>
        <w:t>2.社会保障和就业（类）人力资源和社会保障管理事务（款）信息化建设（项）:</w:t>
      </w:r>
      <w:r>
        <w:rPr>
          <w:rStyle w:val="14"/>
          <w:rFonts w:eastAsia="仿宋_GB2312"/>
          <w:b w:val="0"/>
          <w:bCs/>
          <w:sz w:val="32"/>
          <w:szCs w:val="32"/>
        </w:rPr>
        <w:t xml:space="preserve"> 支出决算为284.41万元，完成预算99.33%，</w:t>
      </w:r>
      <w:r>
        <w:rPr>
          <w:rFonts w:eastAsia="仿宋_GB2312"/>
          <w:sz w:val="32"/>
          <w:szCs w:val="32"/>
        </w:rPr>
        <w:t>决算数与预算数基本持平</w:t>
      </w:r>
      <w:r>
        <w:rPr>
          <w:rStyle w:val="14"/>
          <w:rFonts w:eastAsia="仿宋_GB2312"/>
          <w:b w:val="0"/>
          <w:bCs/>
          <w:sz w:val="32"/>
          <w:szCs w:val="32"/>
        </w:rPr>
        <w:t>。</w:t>
      </w:r>
    </w:p>
    <w:p>
      <w:pPr>
        <w:spacing w:line="580" w:lineRule="exact"/>
        <w:ind w:firstLine="420" w:firstLineChars="200"/>
        <w:rPr>
          <w:rFonts w:eastAsia="楷体_GB2312"/>
          <w:bCs/>
          <w:sz w:val="32"/>
          <w:szCs w:val="32"/>
        </w:rPr>
      </w:pPr>
      <w:r>
        <w:t xml:space="preserve">    </w:t>
      </w:r>
      <w:r>
        <w:rPr>
          <w:rStyle w:val="14"/>
          <w:rFonts w:eastAsia="仿宋_GB2312"/>
          <w:bCs/>
          <w:sz w:val="32"/>
          <w:szCs w:val="32"/>
        </w:rPr>
        <w:t>社会保障和就业（类）人力资源和社会保障管理事务（款）其他人力资源和社会保障管理事务支出（项）:</w:t>
      </w:r>
      <w:r>
        <w:rPr>
          <w:rStyle w:val="14"/>
          <w:rFonts w:eastAsia="仿宋_GB2312"/>
          <w:b w:val="0"/>
          <w:bCs/>
          <w:sz w:val="32"/>
          <w:szCs w:val="32"/>
        </w:rPr>
        <w:t xml:space="preserve"> 支出决算为667.36万元，完成预算98.59%，</w:t>
      </w:r>
      <w:r>
        <w:rPr>
          <w:rFonts w:eastAsia="仿宋_GB2312"/>
          <w:sz w:val="32"/>
          <w:szCs w:val="32"/>
        </w:rPr>
        <w:t>决算数与预算数基本持平</w:t>
      </w:r>
      <w:r>
        <w:rPr>
          <w:rStyle w:val="14"/>
          <w:rFonts w:eastAsia="仿宋_GB2312"/>
          <w:b w:val="0"/>
          <w:bCs/>
          <w:sz w:val="32"/>
          <w:szCs w:val="32"/>
        </w:rPr>
        <w:t>。</w:t>
      </w:r>
    </w:p>
    <w:p>
      <w:pPr>
        <w:spacing w:line="580" w:lineRule="exact"/>
        <w:ind w:firstLine="642" w:firstLineChars="200"/>
        <w:rPr>
          <w:rStyle w:val="14"/>
          <w:rFonts w:eastAsia="仿宋_GB2312"/>
          <w:b w:val="0"/>
          <w:bCs/>
          <w:sz w:val="32"/>
          <w:szCs w:val="32"/>
        </w:rPr>
      </w:pPr>
      <w:r>
        <w:rPr>
          <w:rStyle w:val="14"/>
          <w:rFonts w:eastAsia="仿宋_GB2312"/>
          <w:bCs/>
          <w:sz w:val="32"/>
          <w:szCs w:val="32"/>
        </w:rPr>
        <w:t>社会保障和就业（类）行政事业单位养老支出（款）事业单位离退休（项）:</w:t>
      </w:r>
      <w:r>
        <w:rPr>
          <w:rStyle w:val="14"/>
          <w:rFonts w:eastAsia="仿宋_GB2312"/>
          <w:b w:val="0"/>
          <w:bCs/>
          <w:sz w:val="32"/>
          <w:szCs w:val="32"/>
        </w:rPr>
        <w:t xml:space="preserve"> 支出决算为3.08万元，完成预算100%。</w:t>
      </w:r>
    </w:p>
    <w:p>
      <w:pPr>
        <w:spacing w:line="580" w:lineRule="exact"/>
        <w:ind w:firstLine="642" w:firstLineChars="200"/>
        <w:rPr>
          <w:rStyle w:val="14"/>
          <w:rFonts w:eastAsia="仿宋_GB2312"/>
          <w:bCs/>
          <w:sz w:val="32"/>
          <w:szCs w:val="32"/>
        </w:rPr>
      </w:pPr>
      <w:r>
        <w:rPr>
          <w:rStyle w:val="14"/>
          <w:rFonts w:eastAsia="仿宋_GB2312"/>
          <w:bCs/>
          <w:sz w:val="32"/>
          <w:szCs w:val="32"/>
        </w:rPr>
        <w:t>社会保障和就业（类）行政事业单位养老支出（款）机关事业单位基本养老保险缴费支出（项）:</w:t>
      </w:r>
      <w:r>
        <w:rPr>
          <w:rStyle w:val="14"/>
          <w:rFonts w:eastAsia="仿宋_GB2312"/>
          <w:b w:val="0"/>
          <w:bCs/>
          <w:sz w:val="32"/>
          <w:szCs w:val="32"/>
        </w:rPr>
        <w:t>支出决算数为24.11万元，完成预算97.28%，</w:t>
      </w:r>
      <w:r>
        <w:rPr>
          <w:rFonts w:eastAsia="仿宋_GB2312"/>
          <w:sz w:val="32"/>
          <w:szCs w:val="32"/>
        </w:rPr>
        <w:t>决算数与预算数基本持平</w:t>
      </w:r>
      <w:r>
        <w:rPr>
          <w:rStyle w:val="14"/>
          <w:rFonts w:eastAsia="仿宋_GB2312"/>
          <w:b w:val="0"/>
          <w:bCs/>
          <w:sz w:val="32"/>
          <w:szCs w:val="32"/>
        </w:rPr>
        <w:t>。</w:t>
      </w:r>
    </w:p>
    <w:p>
      <w:pPr>
        <w:pStyle w:val="2"/>
        <w:spacing w:before="93"/>
        <w:rPr>
          <w:rFonts w:ascii="Times New Roman"/>
        </w:rPr>
      </w:pPr>
      <w:r>
        <w:rPr>
          <w:rStyle w:val="14"/>
          <w:rFonts w:ascii="Times New Roman"/>
          <w:bCs/>
          <w:sz w:val="32"/>
          <w:szCs w:val="32"/>
        </w:rPr>
        <w:t xml:space="preserve">    社会保障和就业（类）行政事业单位养老支出（款）机关事业单位职业年金缴费支出（项）:</w:t>
      </w:r>
      <w:r>
        <w:rPr>
          <w:rStyle w:val="14"/>
          <w:rFonts w:ascii="Times New Roman"/>
          <w:b w:val="0"/>
          <w:bCs/>
          <w:sz w:val="32"/>
          <w:szCs w:val="32"/>
        </w:rPr>
        <w:t>支出决算数为29.42万元，完成预算98.83%，</w:t>
      </w:r>
      <w:r>
        <w:rPr>
          <w:rFonts w:ascii="Times New Roman"/>
          <w:sz w:val="32"/>
          <w:szCs w:val="32"/>
        </w:rPr>
        <w:t>决算数与预算数基本持平</w:t>
      </w:r>
      <w:r>
        <w:rPr>
          <w:rStyle w:val="14"/>
          <w:rFonts w:ascii="Times New Roman"/>
          <w:b w:val="0"/>
          <w:bCs/>
          <w:sz w:val="32"/>
          <w:szCs w:val="32"/>
        </w:rPr>
        <w:t>。</w:t>
      </w:r>
    </w:p>
    <w:p>
      <w:pPr>
        <w:spacing w:line="580" w:lineRule="exact"/>
        <w:ind w:firstLine="642" w:firstLineChars="200"/>
        <w:rPr>
          <w:rStyle w:val="14"/>
          <w:rFonts w:eastAsia="仿宋_GB2312"/>
          <w:b w:val="0"/>
          <w:bCs/>
          <w:sz w:val="32"/>
          <w:szCs w:val="32"/>
        </w:rPr>
      </w:pPr>
      <w:r>
        <w:rPr>
          <w:rStyle w:val="14"/>
          <w:rFonts w:eastAsia="仿宋_GB2312"/>
          <w:bCs/>
          <w:sz w:val="32"/>
          <w:szCs w:val="32"/>
        </w:rPr>
        <w:t>3.卫生健康（类）行政事业单位医疗（款）事业单位医疗（项）:</w:t>
      </w:r>
      <w:r>
        <w:rPr>
          <w:rStyle w:val="14"/>
          <w:rFonts w:eastAsia="仿宋_GB2312"/>
          <w:b w:val="0"/>
          <w:bCs/>
          <w:sz w:val="32"/>
          <w:szCs w:val="32"/>
        </w:rPr>
        <w:t>支出决算数为24.19万元，完成预算98.55%，</w:t>
      </w:r>
      <w:r>
        <w:rPr>
          <w:rFonts w:eastAsia="仿宋_GB2312"/>
          <w:sz w:val="32"/>
          <w:szCs w:val="32"/>
        </w:rPr>
        <w:t>决算数与预算数基本持平</w:t>
      </w:r>
      <w:r>
        <w:rPr>
          <w:rStyle w:val="14"/>
          <w:rFonts w:eastAsia="仿宋_GB2312"/>
          <w:b w:val="0"/>
          <w:bCs/>
          <w:sz w:val="32"/>
          <w:szCs w:val="32"/>
        </w:rPr>
        <w:t>。</w:t>
      </w:r>
    </w:p>
    <w:p>
      <w:pPr>
        <w:spacing w:line="580" w:lineRule="exact"/>
        <w:ind w:firstLine="642" w:firstLineChars="200"/>
        <w:rPr>
          <w:rFonts w:eastAsia="仿宋_GB2312"/>
          <w:bCs/>
          <w:sz w:val="32"/>
          <w:szCs w:val="32"/>
        </w:rPr>
      </w:pPr>
      <w:r>
        <w:rPr>
          <w:rStyle w:val="14"/>
          <w:rFonts w:eastAsia="仿宋_GB2312"/>
          <w:bCs/>
          <w:sz w:val="32"/>
          <w:szCs w:val="32"/>
        </w:rPr>
        <w:t>4.住房保障（类）住房改革（款）住房公积金（项）:</w:t>
      </w:r>
      <w:r>
        <w:rPr>
          <w:rStyle w:val="14"/>
          <w:rFonts w:eastAsia="仿宋_GB2312"/>
          <w:b w:val="0"/>
          <w:bCs/>
          <w:sz w:val="32"/>
          <w:szCs w:val="32"/>
        </w:rPr>
        <w:t>支出决算数为24.07万元，完成预算98.38%，</w:t>
      </w:r>
      <w:r>
        <w:rPr>
          <w:rFonts w:eastAsia="仿宋_GB2312"/>
          <w:sz w:val="32"/>
          <w:szCs w:val="32"/>
        </w:rPr>
        <w:t>决算数与预算数基本持平</w:t>
      </w:r>
      <w:r>
        <w:rPr>
          <w:rStyle w:val="14"/>
          <w:rFonts w:eastAsia="仿宋_GB2312"/>
          <w:b w:val="0"/>
          <w:bCs/>
          <w:sz w:val="32"/>
          <w:szCs w:val="32"/>
        </w:rPr>
        <w:t>。</w:t>
      </w:r>
    </w:p>
    <w:p>
      <w:pPr>
        <w:spacing w:line="580" w:lineRule="exact"/>
        <w:ind w:firstLine="642" w:firstLineChars="200"/>
        <w:rPr>
          <w:rFonts w:eastAsia="仿宋_GB2312"/>
          <w:bCs/>
          <w:sz w:val="32"/>
          <w:szCs w:val="32"/>
        </w:rPr>
      </w:pPr>
      <w:r>
        <w:rPr>
          <w:rStyle w:val="14"/>
          <w:rFonts w:eastAsia="仿宋_GB2312"/>
          <w:bCs/>
          <w:sz w:val="32"/>
          <w:szCs w:val="32"/>
        </w:rPr>
        <w:t>住房保障（类）住房改革（款）购房补贴（项）:</w:t>
      </w:r>
      <w:r>
        <w:rPr>
          <w:rStyle w:val="14"/>
          <w:rFonts w:eastAsia="仿宋_GB2312"/>
          <w:b w:val="0"/>
          <w:bCs/>
          <w:sz w:val="32"/>
          <w:szCs w:val="32"/>
        </w:rPr>
        <w:t>支出决算为56.14万元，完成预算100%。</w:t>
      </w:r>
    </w:p>
    <w:p>
      <w:pPr>
        <w:tabs>
          <w:tab w:val="right" w:pos="8306"/>
        </w:tabs>
        <w:spacing w:line="600" w:lineRule="exact"/>
        <w:ind w:firstLine="640"/>
        <w:outlineLvl w:val="1"/>
        <w:rPr>
          <w:rStyle w:val="25"/>
          <w:rFonts w:ascii="Times New Roman" w:hAnsi="Times New Roman" w:cs="Times New Roman"/>
        </w:rPr>
      </w:pPr>
      <w:bookmarkStart w:id="51" w:name="_Toc112421782"/>
      <w:bookmarkStart w:id="52" w:name="_Toc15377214"/>
      <w:bookmarkStart w:id="53" w:name="_Toc15396608"/>
      <w:r>
        <w:rPr>
          <w:rFonts w:eastAsia="黑体"/>
          <w:sz w:val="32"/>
          <w:szCs w:val="32"/>
        </w:rPr>
        <w:t>六</w:t>
      </w:r>
      <w:r>
        <w:rPr>
          <w:rFonts w:eastAsia="黑体"/>
          <w:b/>
          <w:sz w:val="32"/>
          <w:szCs w:val="32"/>
        </w:rPr>
        <w:t>、一</w:t>
      </w:r>
      <w:r>
        <w:rPr>
          <w:rStyle w:val="25"/>
          <w:rFonts w:ascii="Times New Roman" w:hAnsi="Times New Roman" w:eastAsia="黑体" w:cs="Times New Roman"/>
          <w:b w:val="0"/>
        </w:rPr>
        <w:t>般公共预算财政拨款基本支出决算情况说明</w:t>
      </w:r>
      <w:bookmarkEnd w:id="51"/>
      <w:bookmarkEnd w:id="52"/>
      <w:bookmarkEnd w:id="53"/>
      <w:r>
        <w:rPr>
          <w:rStyle w:val="25"/>
          <w:rFonts w:ascii="Times New Roman" w:hAnsi="Times New Roman" w:eastAsia="黑体" w:cs="Times New Roman"/>
          <w:b w:val="0"/>
        </w:rPr>
        <w:tab/>
      </w:r>
    </w:p>
    <w:p>
      <w:pPr>
        <w:spacing w:line="600" w:lineRule="exact"/>
        <w:ind w:firstLine="645"/>
        <w:rPr>
          <w:rFonts w:eastAsia="仿宋_GB2312"/>
          <w:sz w:val="32"/>
          <w:szCs w:val="32"/>
        </w:rPr>
      </w:pPr>
      <w:r>
        <w:rPr>
          <w:rFonts w:eastAsia="仿宋_GB2312"/>
          <w:sz w:val="32"/>
          <w:szCs w:val="32"/>
        </w:rPr>
        <w:t>2021年一般公共预算财政拨款基本支出404.33万元，其中：</w:t>
      </w:r>
    </w:p>
    <w:p>
      <w:pPr>
        <w:spacing w:line="600" w:lineRule="exact"/>
        <w:ind w:firstLine="645"/>
        <w:rPr>
          <w:rFonts w:eastAsia="仿宋_GB2312"/>
          <w:sz w:val="32"/>
          <w:szCs w:val="32"/>
        </w:rPr>
      </w:pPr>
      <w:r>
        <w:rPr>
          <w:rFonts w:eastAsia="仿宋_GB2312"/>
          <w:sz w:val="32"/>
          <w:szCs w:val="32"/>
        </w:rPr>
        <w:t>人员经费360.5万元，主要包括：基本工资、津贴补贴、绩效工资、机关事业单位基本养老保险缴费、职业年金缴费、职工基本医疗保险缴费、其他社会保障缴费、其他工资福利支出、奖励金、住房公积金、其他对个人和家庭的补助支出等。</w:t>
      </w:r>
    </w:p>
    <w:p>
      <w:pPr>
        <w:spacing w:line="600" w:lineRule="exact"/>
        <w:ind w:firstLine="645"/>
        <w:rPr>
          <w:rFonts w:eastAsia="仿宋_GB2312"/>
          <w:sz w:val="32"/>
          <w:szCs w:val="32"/>
        </w:rPr>
      </w:pPr>
      <w:r>
        <w:rPr>
          <w:rFonts w:eastAsia="仿宋_GB2312"/>
          <w:sz w:val="32"/>
          <w:szCs w:val="32"/>
        </w:rPr>
        <w:t>公用经费43.83万元，主要包括：办公费、物业管理费、差旅费、维修（护）费、培训费、工会经费、福利费、其他商品和服务支出等。</w:t>
      </w:r>
    </w:p>
    <w:p>
      <w:pPr>
        <w:spacing w:line="600" w:lineRule="exact"/>
        <w:ind w:firstLine="640"/>
        <w:outlineLvl w:val="1"/>
        <w:rPr>
          <w:rStyle w:val="25"/>
          <w:rFonts w:ascii="Times New Roman" w:hAnsi="Times New Roman" w:eastAsia="黑体" w:cs="Times New Roman"/>
          <w:b w:val="0"/>
        </w:rPr>
      </w:pPr>
      <w:bookmarkStart w:id="54" w:name="_Toc112421783"/>
      <w:bookmarkStart w:id="55" w:name="_Toc15377215"/>
      <w:bookmarkStart w:id="56" w:name="_Toc15396609"/>
      <w:r>
        <w:rPr>
          <w:rFonts w:eastAsia="黑体"/>
          <w:sz w:val="32"/>
          <w:szCs w:val="32"/>
        </w:rPr>
        <w:t>七、</w:t>
      </w:r>
      <w:r>
        <w:rPr>
          <w:rStyle w:val="25"/>
          <w:rFonts w:ascii="Times New Roman" w:hAnsi="Times New Roman" w:eastAsia="黑体" w:cs="Times New Roman"/>
        </w:rPr>
        <w:t>“</w:t>
      </w:r>
      <w:r>
        <w:rPr>
          <w:rStyle w:val="25"/>
          <w:rFonts w:ascii="Times New Roman" w:hAnsi="Times New Roman" w:eastAsia="黑体" w:cs="Times New Roman"/>
          <w:b w:val="0"/>
        </w:rPr>
        <w:t>三公”经费财政拨款支出决算情况说明</w:t>
      </w:r>
      <w:bookmarkEnd w:id="54"/>
      <w:bookmarkEnd w:id="55"/>
      <w:bookmarkEnd w:id="56"/>
    </w:p>
    <w:p>
      <w:pPr>
        <w:spacing w:line="600" w:lineRule="exact"/>
        <w:ind w:firstLine="640"/>
        <w:outlineLvl w:val="2"/>
        <w:rPr>
          <w:rFonts w:eastAsia="楷体_GB2312"/>
          <w:bCs/>
          <w:sz w:val="32"/>
          <w:szCs w:val="32"/>
        </w:rPr>
      </w:pPr>
      <w:bookmarkStart w:id="57" w:name="_Toc15377216"/>
      <w:bookmarkStart w:id="58" w:name="_Toc112421784"/>
      <w:r>
        <w:rPr>
          <w:rFonts w:eastAsia="楷体_GB2312"/>
          <w:bCs/>
          <w:sz w:val="32"/>
          <w:szCs w:val="32"/>
        </w:rPr>
        <w:t>（一）“三公”经费财政拨款支出决算总体情况说明</w:t>
      </w:r>
      <w:bookmarkEnd w:id="57"/>
      <w:bookmarkEnd w:id="58"/>
    </w:p>
    <w:p>
      <w:pPr>
        <w:spacing w:line="600" w:lineRule="exact"/>
        <w:ind w:firstLine="640"/>
        <w:rPr>
          <w:rFonts w:eastAsia="仿宋_GB2312"/>
          <w:sz w:val="32"/>
          <w:szCs w:val="32"/>
        </w:rPr>
      </w:pPr>
      <w:r>
        <w:rPr>
          <w:rFonts w:eastAsia="仿宋_GB2312"/>
          <w:sz w:val="32"/>
          <w:szCs w:val="32"/>
        </w:rPr>
        <w:t>2021年“三公”经费财政拨款支出决算为0万元，完成预算0%，决算数小于预算数的主要原因是2021年没有公务接待任务。</w:t>
      </w:r>
    </w:p>
    <w:p>
      <w:pPr>
        <w:spacing w:line="600" w:lineRule="exact"/>
        <w:ind w:firstLine="640"/>
        <w:outlineLvl w:val="2"/>
        <w:rPr>
          <w:rFonts w:eastAsia="楷体_GB2312"/>
          <w:bCs/>
          <w:sz w:val="32"/>
          <w:szCs w:val="32"/>
        </w:rPr>
      </w:pPr>
      <w:bookmarkStart w:id="59" w:name="_Toc15377217"/>
      <w:bookmarkStart w:id="60" w:name="_Toc112421785"/>
      <w:r>
        <w:rPr>
          <w:rFonts w:eastAsia="楷体_GB2312"/>
          <w:bCs/>
          <w:sz w:val="32"/>
          <w:szCs w:val="32"/>
        </w:rPr>
        <w:t>（二）“三公”经费财政拨款支出决算具体情况说明</w:t>
      </w:r>
      <w:bookmarkEnd w:id="59"/>
      <w:bookmarkEnd w:id="60"/>
    </w:p>
    <w:p>
      <w:pPr>
        <w:spacing w:line="600" w:lineRule="exact"/>
        <w:ind w:firstLine="640"/>
        <w:rPr>
          <w:rFonts w:eastAsia="仿宋_GB2312"/>
          <w:sz w:val="32"/>
          <w:szCs w:val="32"/>
        </w:rPr>
      </w:pPr>
      <w:r>
        <w:rPr>
          <w:rFonts w:eastAsia="仿宋_GB2312"/>
          <w:sz w:val="32"/>
          <w:szCs w:val="32"/>
        </w:rPr>
        <w:t>2021年“三公”经费财政拨款支出决算中，因公出国（境）经费支出决算0万元；公务用车购置及运行维护费支出决算0万元；公务接待费支出决算0万元。</w:t>
      </w:r>
    </w:p>
    <w:p>
      <w:pPr>
        <w:spacing w:line="600" w:lineRule="exact"/>
        <w:ind w:firstLine="640"/>
        <w:rPr>
          <w:rFonts w:eastAsia="仿宋_GB2312"/>
          <w:sz w:val="32"/>
          <w:szCs w:val="32"/>
        </w:rPr>
      </w:pPr>
      <w:r>
        <w:rPr>
          <w:rFonts w:eastAsia="楷体_GB2312"/>
          <w:bCs/>
          <w:sz w:val="32"/>
          <w:szCs w:val="32"/>
        </w:rPr>
        <w:t>1</w:t>
      </w:r>
      <w:r>
        <w:rPr>
          <w:rFonts w:eastAsia="仿宋_GB2312"/>
          <w:sz w:val="32"/>
          <w:szCs w:val="32"/>
        </w:rPr>
        <w:t>.</w:t>
      </w:r>
      <w:r>
        <w:rPr>
          <w:rFonts w:eastAsia="仿宋_GB2312"/>
          <w:b/>
          <w:bCs/>
          <w:sz w:val="32"/>
          <w:szCs w:val="32"/>
        </w:rPr>
        <w:t>因公出国（境）</w:t>
      </w:r>
      <w:r>
        <w:rPr>
          <w:rFonts w:eastAsia="仿宋_GB2312"/>
          <w:sz w:val="32"/>
          <w:szCs w:val="32"/>
        </w:rPr>
        <w:t>经费支出0万元，完成预算100%。。全年安排因公出国（境）团组0次，出国（境）0人。因公出国（境）支出决算与2020年持平。</w:t>
      </w:r>
    </w:p>
    <w:p>
      <w:pPr>
        <w:spacing w:line="600" w:lineRule="exact"/>
        <w:ind w:firstLine="640"/>
        <w:rPr>
          <w:rFonts w:eastAsia="仿宋_GB2312"/>
          <w:sz w:val="32"/>
          <w:szCs w:val="32"/>
        </w:rPr>
      </w:pPr>
      <w:r>
        <w:rPr>
          <w:rFonts w:eastAsia="仿宋_GB2312"/>
          <w:sz w:val="32"/>
          <w:szCs w:val="32"/>
        </w:rPr>
        <w:t>2.</w:t>
      </w:r>
      <w:r>
        <w:rPr>
          <w:rFonts w:eastAsia="仿宋_GB2312"/>
          <w:b/>
          <w:bCs/>
          <w:sz w:val="32"/>
          <w:szCs w:val="32"/>
        </w:rPr>
        <w:t>公务用车购置及运行维护费支出</w:t>
      </w:r>
      <w:r>
        <w:rPr>
          <w:rFonts w:eastAsia="仿宋_GB2312"/>
          <w:sz w:val="32"/>
          <w:szCs w:val="32"/>
        </w:rPr>
        <w:t>0万元，完成预算100%。公务用车购置及运行维护费支出决算比2020年减少0.83万元，下降100%。主要原因是事业单位公车改革减少公务用车一辆。</w:t>
      </w:r>
    </w:p>
    <w:p>
      <w:pPr>
        <w:spacing w:line="600" w:lineRule="exact"/>
        <w:ind w:firstLine="640"/>
        <w:rPr>
          <w:rFonts w:eastAsia="仿宋_GB2312"/>
          <w:sz w:val="32"/>
          <w:szCs w:val="32"/>
        </w:rPr>
      </w:pPr>
      <w:r>
        <w:rPr>
          <w:rFonts w:eastAsia="仿宋_GB2312"/>
          <w:sz w:val="32"/>
          <w:szCs w:val="32"/>
        </w:rPr>
        <w:t>其中：</w:t>
      </w:r>
      <w:r>
        <w:rPr>
          <w:rFonts w:eastAsia="仿宋_GB2312"/>
          <w:b/>
          <w:bCs/>
          <w:sz w:val="32"/>
          <w:szCs w:val="32"/>
        </w:rPr>
        <w:t>公务用车购置支出</w:t>
      </w:r>
      <w:r>
        <w:rPr>
          <w:rFonts w:eastAsia="仿宋_GB2312"/>
          <w:sz w:val="32"/>
          <w:szCs w:val="32"/>
        </w:rPr>
        <w:t>0万元。全年按规定更新购置公务用车0辆。截至2021年12月底，单位共有公务用车0辆。</w:t>
      </w:r>
    </w:p>
    <w:p>
      <w:pPr>
        <w:spacing w:line="600" w:lineRule="exact"/>
        <w:ind w:firstLine="640"/>
        <w:rPr>
          <w:rFonts w:eastAsia="仿宋_GB2312"/>
          <w:sz w:val="32"/>
          <w:szCs w:val="32"/>
        </w:rPr>
      </w:pPr>
      <w:r>
        <w:rPr>
          <w:rFonts w:eastAsia="仿宋_GB2312"/>
          <w:b/>
          <w:bCs/>
          <w:sz w:val="32"/>
          <w:szCs w:val="32"/>
        </w:rPr>
        <w:t>公务用车运行维护费支出</w:t>
      </w:r>
      <w:r>
        <w:rPr>
          <w:rFonts w:eastAsia="仿宋_GB2312"/>
          <w:sz w:val="32"/>
          <w:szCs w:val="32"/>
        </w:rPr>
        <w:t>0万元。</w:t>
      </w:r>
    </w:p>
    <w:p>
      <w:pPr>
        <w:spacing w:line="600" w:lineRule="exact"/>
        <w:ind w:firstLine="640"/>
        <w:rPr>
          <w:rFonts w:eastAsia="仿宋_GB2312"/>
          <w:sz w:val="32"/>
          <w:szCs w:val="32"/>
        </w:rPr>
      </w:pPr>
      <w:r>
        <w:rPr>
          <w:rFonts w:eastAsia="仿宋_GB2312"/>
          <w:sz w:val="32"/>
          <w:szCs w:val="32"/>
        </w:rPr>
        <w:t>3.</w:t>
      </w:r>
      <w:r>
        <w:rPr>
          <w:rFonts w:eastAsia="仿宋_GB2312"/>
          <w:b/>
          <w:bCs/>
          <w:sz w:val="32"/>
          <w:szCs w:val="32"/>
        </w:rPr>
        <w:t>公务接待费支出</w:t>
      </w:r>
      <w:r>
        <w:rPr>
          <w:rFonts w:eastAsia="仿宋_GB2312"/>
          <w:sz w:val="32"/>
          <w:szCs w:val="32"/>
        </w:rPr>
        <w:t>0万元，完成预算0%。公务接待费支出决算比2020年减少0.1万元，下降100%。主要原因是厉行节约，公务接待批次减少。</w:t>
      </w:r>
      <w:bookmarkStart w:id="61" w:name="_Toc15377218"/>
      <w:bookmarkStart w:id="62" w:name="_Toc15396610"/>
    </w:p>
    <w:p>
      <w:pPr>
        <w:spacing w:line="600" w:lineRule="exact"/>
        <w:ind w:firstLine="640"/>
        <w:outlineLvl w:val="1"/>
        <w:rPr>
          <w:rStyle w:val="25"/>
          <w:rFonts w:ascii="Times New Roman" w:hAnsi="Times New Roman" w:eastAsia="黑体" w:cs="Times New Roman"/>
        </w:rPr>
      </w:pPr>
      <w:bookmarkStart w:id="63" w:name="_Toc112421786"/>
      <w:r>
        <w:rPr>
          <w:rFonts w:eastAsia="黑体"/>
          <w:sz w:val="32"/>
          <w:szCs w:val="32"/>
        </w:rPr>
        <w:t>八、</w:t>
      </w:r>
      <w:r>
        <w:rPr>
          <w:rStyle w:val="25"/>
          <w:rFonts w:ascii="Times New Roman" w:hAnsi="Times New Roman" w:eastAsia="黑体" w:cs="Times New Roman"/>
          <w:b w:val="0"/>
        </w:rPr>
        <w:t>政府性基金预算支出决算情况说明</w:t>
      </w:r>
      <w:bookmarkEnd w:id="61"/>
      <w:bookmarkEnd w:id="62"/>
      <w:bookmarkEnd w:id="63"/>
    </w:p>
    <w:p>
      <w:pPr>
        <w:spacing w:line="600" w:lineRule="exact"/>
        <w:ind w:firstLine="640"/>
        <w:rPr>
          <w:rFonts w:eastAsia="仿宋_GB2312"/>
          <w:sz w:val="32"/>
          <w:szCs w:val="32"/>
        </w:rPr>
      </w:pPr>
      <w:r>
        <w:rPr>
          <w:rFonts w:eastAsia="仿宋_GB2312"/>
          <w:sz w:val="32"/>
          <w:szCs w:val="32"/>
        </w:rPr>
        <w:t>2021年政府性基金预算财政拨款支出0万元。</w:t>
      </w:r>
    </w:p>
    <w:p>
      <w:pPr>
        <w:numPr>
          <w:ilvl w:val="0"/>
          <w:numId w:val="2"/>
        </w:numPr>
        <w:spacing w:line="600" w:lineRule="exact"/>
        <w:ind w:firstLine="640"/>
        <w:outlineLvl w:val="1"/>
        <w:rPr>
          <w:rStyle w:val="25"/>
          <w:rFonts w:ascii="Times New Roman" w:hAnsi="Times New Roman" w:eastAsia="黑体" w:cs="Times New Roman"/>
          <w:b w:val="0"/>
        </w:rPr>
      </w:pPr>
      <w:bookmarkStart w:id="64" w:name="_Toc112421787"/>
      <w:bookmarkStart w:id="65" w:name="_Toc15396611"/>
      <w:bookmarkStart w:id="66" w:name="_Toc15377219"/>
      <w:r>
        <w:rPr>
          <w:rStyle w:val="25"/>
          <w:rFonts w:ascii="Times New Roman" w:hAnsi="Times New Roman" w:eastAsia="黑体" w:cs="Times New Roman"/>
          <w:b w:val="0"/>
        </w:rPr>
        <w:t>国有资本经营预算支出决算情况说明</w:t>
      </w:r>
      <w:bookmarkEnd w:id="64"/>
      <w:bookmarkEnd w:id="65"/>
      <w:bookmarkEnd w:id="66"/>
    </w:p>
    <w:p>
      <w:pPr>
        <w:spacing w:line="600" w:lineRule="exact"/>
        <w:ind w:firstLine="640"/>
        <w:rPr>
          <w:rFonts w:eastAsia="仿宋_GB2312"/>
          <w:sz w:val="32"/>
          <w:szCs w:val="32"/>
        </w:rPr>
      </w:pPr>
      <w:r>
        <w:rPr>
          <w:rFonts w:eastAsia="仿宋_GB2312"/>
          <w:sz w:val="32"/>
          <w:szCs w:val="32"/>
        </w:rPr>
        <w:t>2021年国有资本经营预算财政拨款支出0万元。</w:t>
      </w:r>
    </w:p>
    <w:p>
      <w:pPr>
        <w:numPr>
          <w:ilvl w:val="0"/>
          <w:numId w:val="2"/>
        </w:numPr>
        <w:spacing w:line="600" w:lineRule="exact"/>
        <w:ind w:firstLine="640"/>
        <w:outlineLvl w:val="1"/>
        <w:rPr>
          <w:rStyle w:val="25"/>
          <w:rFonts w:ascii="Times New Roman" w:hAnsi="Times New Roman" w:eastAsia="黑体" w:cs="Times New Roman"/>
          <w:b w:val="0"/>
        </w:rPr>
      </w:pPr>
      <w:bookmarkStart w:id="67" w:name="_Toc15396612"/>
      <w:bookmarkStart w:id="68" w:name="_Toc15377221"/>
      <w:bookmarkStart w:id="69" w:name="_Toc112421788"/>
      <w:r>
        <w:rPr>
          <w:rStyle w:val="25"/>
          <w:rFonts w:ascii="Times New Roman" w:hAnsi="Times New Roman" w:eastAsia="黑体" w:cs="Times New Roman"/>
          <w:b w:val="0"/>
        </w:rPr>
        <w:t>其他重要事项的情况说明</w:t>
      </w:r>
      <w:bookmarkEnd w:id="67"/>
      <w:bookmarkEnd w:id="68"/>
      <w:bookmarkEnd w:id="69"/>
    </w:p>
    <w:p>
      <w:pPr>
        <w:spacing w:line="600" w:lineRule="exact"/>
        <w:ind w:firstLine="640" w:firstLineChars="200"/>
        <w:outlineLvl w:val="2"/>
        <w:rPr>
          <w:rFonts w:eastAsia="楷体_GB2312"/>
          <w:bCs/>
          <w:sz w:val="32"/>
          <w:szCs w:val="32"/>
        </w:rPr>
      </w:pPr>
      <w:bookmarkStart w:id="70" w:name="_Toc15377222"/>
      <w:bookmarkStart w:id="71" w:name="_Toc112421789"/>
      <w:r>
        <w:rPr>
          <w:rFonts w:eastAsia="楷体_GB2312"/>
          <w:bCs/>
          <w:sz w:val="32"/>
          <w:szCs w:val="32"/>
        </w:rPr>
        <w:t>（一）机关运行经费支出情况</w:t>
      </w:r>
      <w:bookmarkEnd w:id="70"/>
      <w:bookmarkEnd w:id="71"/>
    </w:p>
    <w:p>
      <w:pPr>
        <w:spacing w:line="600" w:lineRule="exact"/>
        <w:ind w:firstLine="640" w:firstLineChars="200"/>
        <w:rPr>
          <w:rFonts w:eastAsia="楷体_GB2312"/>
          <w:bCs/>
          <w:sz w:val="32"/>
          <w:szCs w:val="32"/>
        </w:rPr>
      </w:pPr>
      <w:r>
        <w:rPr>
          <w:rFonts w:eastAsia="仿宋_GB2312"/>
          <w:sz w:val="32"/>
          <w:szCs w:val="32"/>
        </w:rPr>
        <w:t>信息中心为事业单位，未开支机关运行经费。</w:t>
      </w:r>
    </w:p>
    <w:p>
      <w:pPr>
        <w:autoSpaceDE w:val="0"/>
        <w:autoSpaceDN w:val="0"/>
        <w:adjustRightInd w:val="0"/>
        <w:spacing w:line="600" w:lineRule="exact"/>
        <w:ind w:firstLine="640" w:firstLineChars="200"/>
        <w:jc w:val="left"/>
        <w:outlineLvl w:val="2"/>
        <w:rPr>
          <w:rFonts w:eastAsia="楷体_GB2312"/>
          <w:bCs/>
          <w:sz w:val="32"/>
          <w:szCs w:val="32"/>
        </w:rPr>
      </w:pPr>
      <w:bookmarkStart w:id="72" w:name="_Toc112421790"/>
      <w:bookmarkStart w:id="73" w:name="_Toc15377223"/>
      <w:r>
        <w:rPr>
          <w:rFonts w:eastAsia="楷体_GB2312"/>
          <w:bCs/>
          <w:sz w:val="32"/>
          <w:szCs w:val="32"/>
        </w:rPr>
        <w:t>（二）政府采购支出情况</w:t>
      </w:r>
      <w:bookmarkEnd w:id="72"/>
      <w:bookmarkEnd w:id="73"/>
    </w:p>
    <w:p>
      <w:pPr>
        <w:spacing w:line="600" w:lineRule="exact"/>
        <w:ind w:firstLine="640" w:firstLineChars="200"/>
        <w:rPr>
          <w:rFonts w:eastAsia="仿宋_GB2312"/>
          <w:sz w:val="32"/>
          <w:szCs w:val="32"/>
        </w:rPr>
      </w:pPr>
      <w:r>
        <w:rPr>
          <w:rFonts w:eastAsia="仿宋_GB2312"/>
          <w:sz w:val="32"/>
          <w:szCs w:val="32"/>
        </w:rPr>
        <w:t>2021年，信息中心政府采购支出总额0万元。</w:t>
      </w:r>
    </w:p>
    <w:p>
      <w:pPr>
        <w:autoSpaceDE w:val="0"/>
        <w:autoSpaceDN w:val="0"/>
        <w:adjustRightInd w:val="0"/>
        <w:spacing w:line="600" w:lineRule="exact"/>
        <w:ind w:firstLine="640" w:firstLineChars="200"/>
        <w:jc w:val="left"/>
        <w:outlineLvl w:val="2"/>
        <w:rPr>
          <w:rFonts w:eastAsia="楷体_GB2312"/>
          <w:bCs/>
          <w:sz w:val="32"/>
          <w:szCs w:val="32"/>
        </w:rPr>
      </w:pPr>
      <w:bookmarkStart w:id="74" w:name="_Toc15377224"/>
      <w:bookmarkStart w:id="75" w:name="_Toc112421791"/>
      <w:r>
        <w:rPr>
          <w:rFonts w:eastAsia="楷体_GB2312"/>
          <w:bCs/>
          <w:sz w:val="32"/>
          <w:szCs w:val="32"/>
        </w:rPr>
        <w:t>（三）国有资产占有使用情况</w:t>
      </w:r>
      <w:bookmarkEnd w:id="74"/>
      <w:bookmarkEnd w:id="75"/>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截至2021年12月31日，信息中心共有车辆0辆，单价50万元以上通用设备0台（套），单价100万元以上专用设备0台（套）。</w:t>
      </w:r>
    </w:p>
    <w:p>
      <w:pPr>
        <w:autoSpaceDE w:val="0"/>
        <w:autoSpaceDN w:val="0"/>
        <w:adjustRightInd w:val="0"/>
        <w:spacing w:line="600" w:lineRule="exact"/>
        <w:ind w:firstLine="640" w:firstLineChars="200"/>
        <w:jc w:val="left"/>
        <w:outlineLvl w:val="2"/>
        <w:rPr>
          <w:rFonts w:eastAsia="楷体_GB2312"/>
          <w:bCs/>
          <w:sz w:val="32"/>
          <w:szCs w:val="32"/>
        </w:rPr>
      </w:pPr>
      <w:bookmarkStart w:id="76" w:name="_Toc112421792"/>
      <w:r>
        <w:rPr>
          <w:rFonts w:eastAsia="楷体_GB2312"/>
          <w:bCs/>
          <w:sz w:val="32"/>
          <w:szCs w:val="32"/>
        </w:rPr>
        <w:t>（四）预算绩效管理情况</w:t>
      </w:r>
      <w:bookmarkEnd w:id="76"/>
    </w:p>
    <w:p>
      <w:pPr>
        <w:spacing w:before="93" w:line="580" w:lineRule="exact"/>
        <w:ind w:firstLine="640" w:firstLineChars="200"/>
        <w:rPr>
          <w:highlight w:val="yellow"/>
        </w:rPr>
      </w:pPr>
      <w:r>
        <w:rPr>
          <w:rFonts w:eastAsia="仿宋_GB2312"/>
          <w:sz w:val="32"/>
          <w:szCs w:val="32"/>
        </w:rPr>
        <w:t>根据预算绩效管理要求，本单位在2021年度预算编制阶段，未组织开展预算事前绩效评估，对1个项目编制了绩效目标，预算执行过程中，选取1个项目开展绩效监控，年终执行完毕后，对1个项目开展了绩效自评，2021年特定目标类部门预算项目绩效目标自评表见附件（第四部分）。</w:t>
      </w:r>
    </w:p>
    <w:p>
      <w:pPr>
        <w:widowControl/>
        <w:jc w:val="left"/>
        <w:rPr>
          <w:rFonts w:eastAsia="仿宋_GB2312"/>
          <w:b/>
          <w:sz w:val="32"/>
          <w:szCs w:val="32"/>
        </w:rPr>
      </w:pPr>
      <w:r>
        <w:rPr>
          <w:rFonts w:eastAsia="仿宋_GB2312"/>
          <w:b/>
          <w:sz w:val="32"/>
          <w:szCs w:val="32"/>
        </w:rPr>
        <w:br w:type="page"/>
      </w:r>
    </w:p>
    <w:p>
      <w:pPr>
        <w:numPr>
          <w:ilvl w:val="0"/>
          <w:numId w:val="3"/>
        </w:numPr>
        <w:spacing w:line="600" w:lineRule="exact"/>
        <w:ind w:firstLine="660" w:firstLineChars="150"/>
        <w:jc w:val="center"/>
        <w:outlineLvl w:val="0"/>
        <w:rPr>
          <w:rStyle w:val="24"/>
          <w:rFonts w:eastAsia="黑体"/>
          <w:b w:val="0"/>
        </w:rPr>
      </w:pPr>
      <w:bookmarkStart w:id="77" w:name="_Toc15377225"/>
      <w:bookmarkStart w:id="78" w:name="_Toc112421793"/>
      <w:bookmarkStart w:id="79" w:name="_Toc15396613"/>
      <w:r>
        <w:rPr>
          <w:rFonts w:eastAsia="黑体"/>
          <w:sz w:val="44"/>
          <w:szCs w:val="44"/>
        </w:rPr>
        <w:t>名</w:t>
      </w:r>
      <w:r>
        <w:rPr>
          <w:rStyle w:val="24"/>
          <w:rFonts w:eastAsia="黑体"/>
          <w:b w:val="0"/>
        </w:rPr>
        <w:t>词解释</w:t>
      </w:r>
      <w:bookmarkEnd w:id="77"/>
      <w:bookmarkEnd w:id="78"/>
      <w:bookmarkEnd w:id="79"/>
    </w:p>
    <w:p>
      <w:pPr>
        <w:spacing w:line="600" w:lineRule="exact"/>
        <w:jc w:val="left"/>
        <w:rPr>
          <w:b/>
          <w:sz w:val="44"/>
          <w:szCs w:val="44"/>
        </w:rPr>
      </w:pP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4.其他收入：指单位取得的除上述收入以外的各项收入。</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spacing w:line="580" w:lineRule="exact"/>
        <w:ind w:firstLine="640" w:firstLineChars="200"/>
        <w:rPr>
          <w:rFonts w:eastAsia="仿宋_GB2312"/>
          <w:color w:val="000000"/>
          <w:sz w:val="32"/>
          <w:szCs w:val="32"/>
        </w:rPr>
      </w:pPr>
      <w:r>
        <w:rPr>
          <w:rFonts w:eastAsia="仿宋_GB2312"/>
          <w:color w:val="000000"/>
          <w:sz w:val="32"/>
          <w:szCs w:val="32"/>
        </w:rPr>
        <w:t>9.教育（类）进修及培训（款）培训支出（项）：指用于开展全省系统内职工业务培训支出。</w:t>
      </w:r>
    </w:p>
    <w:p>
      <w:pPr>
        <w:spacing w:line="580" w:lineRule="exact"/>
        <w:ind w:firstLine="640" w:firstLineChars="200"/>
        <w:rPr>
          <w:rFonts w:eastAsia="仿宋_GB2312"/>
          <w:color w:val="000000"/>
          <w:sz w:val="32"/>
          <w:szCs w:val="32"/>
        </w:rPr>
      </w:pPr>
      <w:r>
        <w:rPr>
          <w:rFonts w:eastAsia="仿宋_GB2312"/>
          <w:color w:val="000000"/>
          <w:sz w:val="32"/>
          <w:szCs w:val="32"/>
        </w:rPr>
        <w:t>10.社会保障和就业（类）人力资源和社会保障管理事务（款）信息化建设（项）：指用于网络信息安全运维和省数据中心机房、数据库、核心设备日常维护、金保省市主干网网络设备运维、厅机关南北院、信息中心办公网络及计算机安全运维、12333信息系统运维等支出。</w:t>
      </w:r>
    </w:p>
    <w:p>
      <w:pPr>
        <w:pStyle w:val="2"/>
        <w:spacing w:before="93" w:line="580" w:lineRule="exact"/>
        <w:ind w:firstLine="600"/>
        <w:rPr>
          <w:rFonts w:ascii="Times New Roman"/>
          <w:color w:val="000000"/>
          <w:kern w:val="2"/>
          <w:sz w:val="32"/>
          <w:szCs w:val="32"/>
        </w:rPr>
      </w:pPr>
      <w:r>
        <w:rPr>
          <w:rFonts w:ascii="Times New Roman"/>
          <w:color w:val="000000"/>
          <w:kern w:val="2"/>
          <w:sz w:val="32"/>
          <w:szCs w:val="32"/>
        </w:rPr>
        <w:t>社会保障和就业（类）人力资源和社会保障管理事务（款）其他人力资源和社会保障管理事务支出（项）：指用于省人社信息中心中心单位人员工资、日常运转等基本支出以及单位为完成特定事业发展目标而安排的年度项目支出。</w:t>
      </w:r>
    </w:p>
    <w:p>
      <w:pPr>
        <w:pStyle w:val="2"/>
        <w:spacing w:before="93" w:line="580" w:lineRule="exact"/>
        <w:ind w:firstLine="600"/>
        <w:rPr>
          <w:rFonts w:ascii="Times New Roman"/>
          <w:color w:val="000000"/>
          <w:kern w:val="2"/>
          <w:sz w:val="32"/>
          <w:szCs w:val="32"/>
        </w:rPr>
      </w:pPr>
      <w:r>
        <w:rPr>
          <w:rFonts w:ascii="Times New Roman"/>
          <w:bCs/>
          <w:color w:val="000000"/>
          <w:kern w:val="2"/>
          <w:sz w:val="32"/>
          <w:szCs w:val="32"/>
        </w:rPr>
        <w:t>社会保障和就业（类）行政事业单位养老支出（款）事业单位离退休（项）：指用于单位按照规定向退休人员发放一次性补助。</w:t>
      </w:r>
    </w:p>
    <w:p>
      <w:pPr>
        <w:pStyle w:val="2"/>
        <w:spacing w:before="93" w:line="580" w:lineRule="exact"/>
        <w:ind w:firstLine="600"/>
        <w:rPr>
          <w:rFonts w:ascii="Times New Roman"/>
          <w:color w:val="000000"/>
          <w:kern w:val="2"/>
          <w:sz w:val="32"/>
          <w:szCs w:val="32"/>
        </w:rPr>
      </w:pPr>
      <w:r>
        <w:rPr>
          <w:rFonts w:ascii="Times New Roman"/>
          <w:color w:val="000000"/>
          <w:kern w:val="2"/>
          <w:sz w:val="32"/>
          <w:szCs w:val="32"/>
        </w:rPr>
        <w:t>社会保障和就业（类）行政事业单位养老支出（款）机关事业单位基本养老保险缴费支出（项）：指用于单位按照规定标准为职工缴纳的基本养老保险费。</w:t>
      </w:r>
    </w:p>
    <w:p>
      <w:pPr>
        <w:pStyle w:val="2"/>
        <w:spacing w:before="93" w:line="580" w:lineRule="exact"/>
        <w:ind w:firstLine="600"/>
        <w:rPr>
          <w:rFonts w:ascii="Times New Roman"/>
          <w:color w:val="000000"/>
          <w:kern w:val="2"/>
          <w:sz w:val="32"/>
          <w:szCs w:val="32"/>
        </w:rPr>
      </w:pPr>
      <w:r>
        <w:rPr>
          <w:rFonts w:ascii="Times New Roman"/>
          <w:color w:val="000000"/>
          <w:kern w:val="2"/>
          <w:sz w:val="32"/>
          <w:szCs w:val="32"/>
        </w:rPr>
        <w:t>社会保障和就业（类）行政事业单位养老支出（款）机关事业单位职业年金缴费支出（项）：指用于单位按照规定标准为职工缴纳的职业年金。</w:t>
      </w:r>
    </w:p>
    <w:p>
      <w:pPr>
        <w:pStyle w:val="2"/>
        <w:spacing w:before="93" w:line="580" w:lineRule="exact"/>
        <w:ind w:firstLine="600"/>
        <w:rPr>
          <w:rFonts w:ascii="Times New Roman"/>
          <w:color w:val="000000"/>
          <w:kern w:val="2"/>
          <w:sz w:val="32"/>
          <w:szCs w:val="32"/>
        </w:rPr>
      </w:pPr>
      <w:r>
        <w:rPr>
          <w:rFonts w:ascii="Times New Roman"/>
          <w:color w:val="000000"/>
          <w:kern w:val="2"/>
          <w:sz w:val="32"/>
          <w:szCs w:val="32"/>
        </w:rPr>
        <w:t>11.卫生健康（类）行政事业单位医疗（款）事业单位医疗（项）：指用于单位按照规定标准为职工缴纳的基本医疗保险费。</w:t>
      </w:r>
    </w:p>
    <w:p>
      <w:pPr>
        <w:pStyle w:val="2"/>
        <w:spacing w:before="93" w:line="580" w:lineRule="exact"/>
        <w:ind w:firstLine="600"/>
        <w:rPr>
          <w:rFonts w:ascii="Times New Roman"/>
          <w:color w:val="000000"/>
          <w:sz w:val="32"/>
          <w:szCs w:val="32"/>
        </w:rPr>
      </w:pPr>
      <w:r>
        <w:rPr>
          <w:rFonts w:ascii="Times New Roman"/>
          <w:color w:val="000000"/>
          <w:kern w:val="2"/>
          <w:sz w:val="32"/>
          <w:szCs w:val="32"/>
        </w:rPr>
        <w:t>12.</w:t>
      </w:r>
      <w:r>
        <w:rPr>
          <w:rFonts w:ascii="Times New Roman"/>
          <w:color w:val="000000"/>
          <w:sz w:val="32"/>
          <w:szCs w:val="32"/>
        </w:rPr>
        <w:t>住房保障（类）住房改革支出（款）住房公积金（项）：指用于单位按照规定标准为职工缴纳的住房公积金。</w:t>
      </w:r>
    </w:p>
    <w:p>
      <w:pPr>
        <w:pStyle w:val="2"/>
        <w:spacing w:before="93" w:line="580" w:lineRule="exact"/>
        <w:ind w:firstLine="600"/>
        <w:rPr>
          <w:rFonts w:ascii="Times New Roman"/>
          <w:color w:val="000000"/>
          <w:sz w:val="32"/>
          <w:szCs w:val="32"/>
        </w:rPr>
      </w:pPr>
      <w:r>
        <w:rPr>
          <w:rFonts w:ascii="Times New Roman"/>
          <w:color w:val="000000"/>
          <w:sz w:val="32"/>
          <w:szCs w:val="32"/>
        </w:rPr>
        <w:t>住房保障（类）住房改革支出（款）购房补贴（项）：指用于单位按房改政策规定向符合条件的职工发放的用于购买住房的补贴。</w:t>
      </w:r>
    </w:p>
    <w:p>
      <w:pPr>
        <w:spacing w:line="580" w:lineRule="exact"/>
        <w:ind w:firstLine="640" w:firstLineChars="200"/>
        <w:rPr>
          <w:rFonts w:eastAsia="仿宋_GB2312"/>
          <w:color w:val="000000"/>
          <w:sz w:val="32"/>
          <w:szCs w:val="32"/>
        </w:rPr>
      </w:pPr>
      <w:r>
        <w:rPr>
          <w:rFonts w:eastAsia="仿宋_GB2312"/>
          <w:color w:val="000000"/>
          <w:sz w:val="32"/>
          <w:szCs w:val="32"/>
        </w:rPr>
        <w:t>13.基本支出：指为保障机构正常运转、完成日常工作任务而发生的人员支出和公用支出。</w:t>
      </w:r>
    </w:p>
    <w:p>
      <w:pPr>
        <w:spacing w:line="580" w:lineRule="exact"/>
        <w:ind w:firstLine="640" w:firstLineChars="200"/>
        <w:rPr>
          <w:rFonts w:eastAsia="仿宋_GB2312"/>
          <w:color w:val="000000"/>
          <w:sz w:val="32"/>
          <w:szCs w:val="32"/>
        </w:rPr>
      </w:pPr>
      <w:r>
        <w:rPr>
          <w:rFonts w:eastAsia="仿宋_GB2312"/>
          <w:color w:val="000000"/>
          <w:sz w:val="32"/>
          <w:szCs w:val="32"/>
        </w:rPr>
        <w:t xml:space="preserve">14.项目支出：指在基本支出之外为完成特定行政任务和事业发展目标所发生的支出。 </w:t>
      </w:r>
    </w:p>
    <w:p>
      <w:pPr>
        <w:spacing w:line="580" w:lineRule="exact"/>
        <w:ind w:firstLine="640" w:firstLineChars="200"/>
        <w:rPr>
          <w:rFonts w:eastAsia="仿宋_GB2312"/>
          <w:color w:val="000000"/>
          <w:sz w:val="32"/>
          <w:szCs w:val="32"/>
        </w:rPr>
      </w:pPr>
      <w:r>
        <w:rPr>
          <w:rFonts w:eastAsia="仿宋_GB2312"/>
          <w:color w:val="000000"/>
          <w:sz w:val="32"/>
          <w:szCs w:val="32"/>
        </w:rPr>
        <w:t>15.经营支出：指事业单位在专业业务活动及其辅助活动之外开展非独立核算经营活动发生的支出。</w:t>
      </w:r>
    </w:p>
    <w:p>
      <w:pPr>
        <w:pStyle w:val="22"/>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三公”经费：指单位用财政拨款安排的因公出国（境）经费、公务用车购置及运行费和公务接待费。其中，因公出国（境）经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eastAsia="黑体"/>
          <w:b w:val="0"/>
        </w:rPr>
      </w:pPr>
      <w:bookmarkStart w:id="80" w:name="_Toc15377226"/>
      <w:r>
        <w:rPr>
          <w:b/>
          <w:sz w:val="44"/>
          <w:szCs w:val="44"/>
        </w:rPr>
        <w:br w:type="page"/>
      </w:r>
      <w:bookmarkStart w:id="81" w:name="_Toc15396614"/>
      <w:bookmarkStart w:id="82" w:name="_Toc112421794"/>
      <w:r>
        <w:rPr>
          <w:rFonts w:eastAsia="黑体"/>
          <w:sz w:val="44"/>
          <w:szCs w:val="44"/>
        </w:rPr>
        <w:t>第</w:t>
      </w:r>
      <w:r>
        <w:rPr>
          <w:rStyle w:val="24"/>
          <w:rFonts w:eastAsia="黑体"/>
          <w:b w:val="0"/>
        </w:rPr>
        <w:t>四部分 附件</w:t>
      </w:r>
      <w:bookmarkEnd w:id="81"/>
      <w:bookmarkEnd w:id="82"/>
    </w:p>
    <w:p>
      <w:pPr>
        <w:widowControl/>
        <w:textAlignment w:val="center"/>
        <w:rPr>
          <w:b/>
          <w:sz w:val="32"/>
          <w:szCs w:val="32"/>
        </w:rPr>
      </w:pPr>
      <w:bookmarkStart w:id="83" w:name="_Toc112421795"/>
      <w:bookmarkStart w:id="84" w:name="_Toc15396618"/>
      <w:r>
        <w:drawing>
          <wp:anchor distT="0" distB="0" distL="114300" distR="114300" simplePos="0" relativeHeight="251658240" behindDoc="0" locked="0" layoutInCell="1" allowOverlap="1">
            <wp:simplePos x="0" y="0"/>
            <wp:positionH relativeFrom="column">
              <wp:posOffset>-342900</wp:posOffset>
            </wp:positionH>
            <wp:positionV relativeFrom="page">
              <wp:posOffset>2054225</wp:posOffset>
            </wp:positionV>
            <wp:extent cx="6091555" cy="6915150"/>
            <wp:effectExtent l="0" t="0" r="4445" b="0"/>
            <wp:wrapTopAndBottom/>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14"/>
                    <a:stretch>
                      <a:fillRect/>
                    </a:stretch>
                  </pic:blipFill>
                  <pic:spPr>
                    <a:xfrm>
                      <a:off x="0" y="0"/>
                      <a:ext cx="6091555" cy="6915150"/>
                    </a:xfrm>
                    <a:prstGeom prst="rect">
                      <a:avLst/>
                    </a:prstGeom>
                    <a:noFill/>
                    <a:ln>
                      <a:noFill/>
                    </a:ln>
                  </pic:spPr>
                </pic:pic>
              </a:graphicData>
            </a:graphic>
          </wp:anchor>
        </w:drawing>
      </w:r>
      <w:bookmarkEnd w:id="83"/>
      <w:r>
        <w:rPr>
          <w:b/>
          <w:sz w:val="32"/>
          <w:szCs w:val="32"/>
        </w:rPr>
        <w:br w:type="page"/>
      </w:r>
    </w:p>
    <w:p>
      <w:pPr>
        <w:spacing w:line="600" w:lineRule="exact"/>
        <w:jc w:val="center"/>
        <w:outlineLvl w:val="0"/>
        <w:rPr>
          <w:rFonts w:eastAsia="黑体"/>
          <w:sz w:val="44"/>
          <w:szCs w:val="44"/>
        </w:rPr>
      </w:pPr>
      <w:bookmarkStart w:id="85" w:name="_Toc112421796"/>
    </w:p>
    <w:p>
      <w:pPr>
        <w:spacing w:line="600" w:lineRule="exact"/>
        <w:jc w:val="center"/>
        <w:outlineLvl w:val="0"/>
        <w:rPr>
          <w:rStyle w:val="24"/>
          <w:rFonts w:eastAsia="黑体"/>
          <w:b w:val="0"/>
        </w:rPr>
      </w:pPr>
      <w:r>
        <w:rPr>
          <w:rFonts w:eastAsia="黑体"/>
          <w:sz w:val="44"/>
          <w:szCs w:val="44"/>
        </w:rPr>
        <w:t>第</w:t>
      </w:r>
      <w:r>
        <w:rPr>
          <w:rStyle w:val="24"/>
          <w:rFonts w:eastAsia="黑体"/>
          <w:b w:val="0"/>
        </w:rPr>
        <w:t>五部分 附表</w:t>
      </w:r>
      <w:bookmarkEnd w:id="80"/>
      <w:bookmarkEnd w:id="84"/>
      <w:bookmarkEnd w:id="85"/>
      <w:bookmarkStart w:id="86" w:name="_Toc15396619"/>
    </w:p>
    <w:p>
      <w:pPr>
        <w:pStyle w:val="2"/>
        <w:spacing w:before="93"/>
        <w:rPr>
          <w:rFonts w:ascii="Times New Roman"/>
        </w:rPr>
      </w:pPr>
    </w:p>
    <w:p>
      <w:pPr>
        <w:pStyle w:val="4"/>
        <w:spacing w:before="0" w:after="0"/>
        <w:rPr>
          <w:rFonts w:ascii="Times New Roman" w:hAnsi="Times New Roman" w:eastAsia="仿宋_GB2312" w:cs="Times New Roman"/>
        </w:rPr>
      </w:pPr>
      <w:bookmarkStart w:id="87" w:name="_Toc112421797"/>
      <w:r>
        <w:rPr>
          <w:rFonts w:ascii="Times New Roman" w:hAnsi="Times New Roman" w:eastAsia="仿宋_GB2312" w:cs="Times New Roman"/>
          <w:b w:val="0"/>
        </w:rPr>
        <w:t>一、收</w:t>
      </w:r>
      <w:r>
        <w:rPr>
          <w:rStyle w:val="25"/>
          <w:rFonts w:ascii="Times New Roman" w:hAnsi="Times New Roman" w:eastAsia="仿宋_GB2312" w:cs="Times New Roman"/>
          <w:b w:val="0"/>
          <w:bCs w:val="0"/>
        </w:rPr>
        <w:t>入支出决算总表</w:t>
      </w:r>
      <w:bookmarkEnd w:id="86"/>
      <w:bookmarkEnd w:id="87"/>
    </w:p>
    <w:p>
      <w:pPr>
        <w:pStyle w:val="4"/>
        <w:spacing w:before="0" w:after="0"/>
        <w:rPr>
          <w:rFonts w:ascii="Times New Roman" w:hAnsi="Times New Roman" w:eastAsia="仿宋_GB2312" w:cs="Times New Roman"/>
        </w:rPr>
      </w:pPr>
      <w:bookmarkStart w:id="88" w:name="_Toc15396620"/>
      <w:bookmarkStart w:id="89" w:name="_Toc112421798"/>
      <w:r>
        <w:rPr>
          <w:rFonts w:ascii="Times New Roman" w:hAnsi="Times New Roman" w:eastAsia="仿宋_GB2312" w:cs="Times New Roman"/>
          <w:b w:val="0"/>
        </w:rPr>
        <w:t>二、收</w:t>
      </w:r>
      <w:r>
        <w:rPr>
          <w:rStyle w:val="25"/>
          <w:rFonts w:ascii="Times New Roman" w:hAnsi="Times New Roman" w:eastAsia="仿宋_GB2312" w:cs="Times New Roman"/>
          <w:b w:val="0"/>
          <w:bCs w:val="0"/>
        </w:rPr>
        <w:t>入决算表</w:t>
      </w:r>
      <w:bookmarkEnd w:id="88"/>
      <w:bookmarkEnd w:id="89"/>
    </w:p>
    <w:p>
      <w:pPr>
        <w:pStyle w:val="4"/>
        <w:spacing w:before="0" w:after="0"/>
        <w:rPr>
          <w:rFonts w:ascii="Times New Roman" w:hAnsi="Times New Roman" w:eastAsia="仿宋_GB2312" w:cs="Times New Roman"/>
        </w:rPr>
      </w:pPr>
      <w:bookmarkStart w:id="90" w:name="_Toc15396621"/>
      <w:bookmarkStart w:id="91" w:name="_Toc112421799"/>
      <w:r>
        <w:rPr>
          <w:rStyle w:val="25"/>
          <w:rFonts w:ascii="Times New Roman" w:hAnsi="Times New Roman" w:eastAsia="仿宋_GB2312" w:cs="Times New Roman"/>
          <w:b w:val="0"/>
          <w:bCs w:val="0"/>
        </w:rPr>
        <w:t>三、</w:t>
      </w:r>
      <w:r>
        <w:rPr>
          <w:rFonts w:ascii="Times New Roman" w:hAnsi="Times New Roman" w:eastAsia="仿宋_GB2312" w:cs="Times New Roman"/>
          <w:b w:val="0"/>
        </w:rPr>
        <w:t>支</w:t>
      </w:r>
      <w:r>
        <w:rPr>
          <w:rStyle w:val="25"/>
          <w:rFonts w:ascii="Times New Roman" w:hAnsi="Times New Roman" w:eastAsia="仿宋_GB2312" w:cs="Times New Roman"/>
          <w:b w:val="0"/>
          <w:bCs w:val="0"/>
        </w:rPr>
        <w:t>出决算表</w:t>
      </w:r>
      <w:bookmarkEnd w:id="90"/>
      <w:bookmarkEnd w:id="91"/>
    </w:p>
    <w:p>
      <w:pPr>
        <w:pStyle w:val="4"/>
        <w:spacing w:before="0" w:after="0"/>
        <w:rPr>
          <w:rFonts w:ascii="Times New Roman" w:hAnsi="Times New Roman" w:eastAsia="仿宋_GB2312" w:cs="Times New Roman"/>
          <w:b w:val="0"/>
        </w:rPr>
      </w:pPr>
      <w:bookmarkStart w:id="92" w:name="_Toc112421800"/>
      <w:bookmarkStart w:id="93" w:name="_Toc15396622"/>
      <w:r>
        <w:rPr>
          <w:rStyle w:val="25"/>
          <w:rFonts w:ascii="Times New Roman" w:hAnsi="Times New Roman" w:eastAsia="仿宋_GB2312" w:cs="Times New Roman"/>
          <w:b w:val="0"/>
          <w:bCs w:val="0"/>
        </w:rPr>
        <w:t>四、</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政拨款收入支出决算总表</w:t>
      </w:r>
      <w:bookmarkEnd w:id="92"/>
      <w:bookmarkEnd w:id="93"/>
    </w:p>
    <w:p>
      <w:pPr>
        <w:pStyle w:val="4"/>
        <w:spacing w:before="0" w:after="0"/>
        <w:rPr>
          <w:rStyle w:val="25"/>
          <w:rFonts w:ascii="Times New Roman" w:hAnsi="Times New Roman" w:eastAsia="仿宋_GB2312" w:cs="Times New Roman"/>
          <w:b w:val="0"/>
          <w:bCs w:val="0"/>
        </w:rPr>
      </w:pPr>
      <w:bookmarkStart w:id="94" w:name="_Toc112421801"/>
      <w:bookmarkStart w:id="95" w:name="_Toc15396623"/>
      <w:r>
        <w:rPr>
          <w:rStyle w:val="25"/>
          <w:rFonts w:ascii="Times New Roman" w:hAnsi="Times New Roman" w:eastAsia="仿宋_GB2312" w:cs="Times New Roman"/>
          <w:b w:val="0"/>
          <w:bCs w:val="0"/>
        </w:rPr>
        <w:t>五、</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政拨款支出决算明细表</w:t>
      </w:r>
      <w:bookmarkEnd w:id="94"/>
      <w:bookmarkEnd w:id="95"/>
      <w:bookmarkStart w:id="96" w:name="_Toc15396624"/>
    </w:p>
    <w:p>
      <w:pPr>
        <w:pStyle w:val="4"/>
        <w:spacing w:before="0" w:after="0"/>
        <w:rPr>
          <w:rFonts w:ascii="Times New Roman" w:hAnsi="Times New Roman" w:eastAsia="仿宋_GB2312" w:cs="Times New Roman"/>
        </w:rPr>
      </w:pPr>
      <w:bookmarkStart w:id="97" w:name="_Toc112421802"/>
      <w:r>
        <w:rPr>
          <w:rStyle w:val="25"/>
          <w:rFonts w:ascii="Times New Roman" w:hAnsi="Times New Roman" w:eastAsia="仿宋_GB2312" w:cs="Times New Roman"/>
          <w:b w:val="0"/>
          <w:bCs w:val="0"/>
        </w:rPr>
        <w:t>六、</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般公共预算财政拨款支出决算表</w:t>
      </w:r>
      <w:bookmarkEnd w:id="96"/>
      <w:bookmarkEnd w:id="97"/>
    </w:p>
    <w:p>
      <w:pPr>
        <w:pStyle w:val="4"/>
        <w:spacing w:before="0" w:after="0"/>
        <w:rPr>
          <w:rFonts w:ascii="Times New Roman" w:hAnsi="Times New Roman" w:eastAsia="仿宋_GB2312" w:cs="Times New Roman"/>
        </w:rPr>
      </w:pPr>
      <w:bookmarkStart w:id="98" w:name="_Toc15396625"/>
      <w:bookmarkStart w:id="99" w:name="_Toc112421803"/>
      <w:r>
        <w:rPr>
          <w:rStyle w:val="25"/>
          <w:rFonts w:ascii="Times New Roman" w:hAnsi="Times New Roman" w:eastAsia="仿宋_GB2312" w:cs="Times New Roman"/>
          <w:b w:val="0"/>
          <w:bCs w:val="0"/>
        </w:rPr>
        <w:t>七、</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般公共预算财政拨款支出决算明细表</w:t>
      </w:r>
      <w:bookmarkEnd w:id="98"/>
      <w:bookmarkEnd w:id="99"/>
    </w:p>
    <w:p>
      <w:pPr>
        <w:pStyle w:val="4"/>
        <w:spacing w:before="0" w:after="0"/>
        <w:rPr>
          <w:rFonts w:ascii="Times New Roman" w:hAnsi="Times New Roman" w:eastAsia="仿宋_GB2312" w:cs="Times New Roman"/>
        </w:rPr>
      </w:pPr>
      <w:bookmarkStart w:id="100" w:name="_Toc112421804"/>
      <w:bookmarkStart w:id="101" w:name="_Toc15396626"/>
      <w:r>
        <w:rPr>
          <w:rStyle w:val="25"/>
          <w:rFonts w:ascii="Times New Roman" w:hAnsi="Times New Roman" w:eastAsia="仿宋_GB2312" w:cs="Times New Roman"/>
          <w:b w:val="0"/>
          <w:bCs w:val="0"/>
        </w:rPr>
        <w:t>八、</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般公共预算财政拨款基本支出决算表</w:t>
      </w:r>
      <w:bookmarkEnd w:id="100"/>
      <w:bookmarkEnd w:id="101"/>
    </w:p>
    <w:p>
      <w:pPr>
        <w:pStyle w:val="4"/>
        <w:spacing w:before="0" w:after="0"/>
        <w:rPr>
          <w:rFonts w:ascii="Times New Roman" w:hAnsi="Times New Roman" w:eastAsia="仿宋_GB2312" w:cs="Times New Roman"/>
        </w:rPr>
      </w:pPr>
      <w:bookmarkStart w:id="102" w:name="_Toc15396627"/>
      <w:bookmarkStart w:id="103" w:name="_Toc112421805"/>
      <w:r>
        <w:rPr>
          <w:rStyle w:val="25"/>
          <w:rFonts w:ascii="Times New Roman" w:hAnsi="Times New Roman" w:eastAsia="仿宋_GB2312" w:cs="Times New Roman"/>
          <w:b w:val="0"/>
          <w:bCs w:val="0"/>
        </w:rPr>
        <w:t>九、</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般公共预算财政拨款项目支出决算表</w:t>
      </w:r>
      <w:bookmarkEnd w:id="102"/>
      <w:bookmarkEnd w:id="103"/>
    </w:p>
    <w:p>
      <w:pPr>
        <w:pStyle w:val="4"/>
        <w:spacing w:before="0" w:after="0"/>
        <w:rPr>
          <w:rFonts w:ascii="Times New Roman" w:hAnsi="Times New Roman" w:eastAsia="仿宋_GB2312" w:cs="Times New Roman"/>
        </w:rPr>
      </w:pPr>
      <w:bookmarkStart w:id="104" w:name="_Toc15396628"/>
      <w:bookmarkStart w:id="105" w:name="_Toc112421806"/>
      <w:r>
        <w:rPr>
          <w:rStyle w:val="25"/>
          <w:rFonts w:ascii="Times New Roman" w:hAnsi="Times New Roman" w:eastAsia="仿宋_GB2312" w:cs="Times New Roman"/>
          <w:b w:val="0"/>
          <w:bCs w:val="0"/>
        </w:rPr>
        <w:t>十、</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般公共预算财政拨款“三公”经费支出决算表</w:t>
      </w:r>
      <w:bookmarkEnd w:id="104"/>
      <w:bookmarkEnd w:id="105"/>
    </w:p>
    <w:p>
      <w:pPr>
        <w:pStyle w:val="4"/>
        <w:spacing w:before="0" w:after="0"/>
        <w:rPr>
          <w:rFonts w:ascii="Times New Roman" w:hAnsi="Times New Roman" w:eastAsia="仿宋_GB2312" w:cs="Times New Roman"/>
        </w:rPr>
      </w:pPr>
      <w:bookmarkStart w:id="106" w:name="_Toc112421807"/>
      <w:bookmarkStart w:id="107" w:name="_Toc15396629"/>
      <w:r>
        <w:rPr>
          <w:rStyle w:val="25"/>
          <w:rFonts w:ascii="Times New Roman" w:hAnsi="Times New Roman" w:eastAsia="仿宋_GB2312" w:cs="Times New Roman"/>
          <w:b w:val="0"/>
          <w:bCs w:val="0"/>
        </w:rPr>
        <w:t>十一、</w:t>
      </w:r>
      <w:r>
        <w:rPr>
          <w:rFonts w:ascii="Times New Roman" w:hAnsi="Times New Roman" w:eastAsia="仿宋_GB2312" w:cs="Times New Roman"/>
          <w:b w:val="0"/>
        </w:rPr>
        <w:t>政</w:t>
      </w:r>
      <w:r>
        <w:rPr>
          <w:rStyle w:val="25"/>
          <w:rFonts w:ascii="Times New Roman" w:hAnsi="Times New Roman" w:eastAsia="仿宋_GB2312" w:cs="Times New Roman"/>
          <w:b w:val="0"/>
          <w:bCs w:val="0"/>
        </w:rPr>
        <w:t>府性基金预算财政拨款收入支出决算表</w:t>
      </w:r>
      <w:bookmarkEnd w:id="106"/>
      <w:bookmarkEnd w:id="107"/>
    </w:p>
    <w:p>
      <w:pPr>
        <w:pStyle w:val="4"/>
        <w:spacing w:before="0" w:after="0"/>
        <w:rPr>
          <w:rFonts w:ascii="Times New Roman" w:hAnsi="Times New Roman" w:eastAsia="仿宋_GB2312" w:cs="Times New Roman"/>
        </w:rPr>
      </w:pPr>
      <w:bookmarkStart w:id="108" w:name="_Toc112421808"/>
      <w:bookmarkStart w:id="109" w:name="_Toc15396630"/>
      <w:r>
        <w:rPr>
          <w:rStyle w:val="25"/>
          <w:rFonts w:ascii="Times New Roman" w:hAnsi="Times New Roman" w:eastAsia="仿宋_GB2312" w:cs="Times New Roman"/>
          <w:b w:val="0"/>
          <w:bCs w:val="0"/>
        </w:rPr>
        <w:t>十二、</w:t>
      </w:r>
      <w:r>
        <w:rPr>
          <w:rFonts w:ascii="Times New Roman" w:hAnsi="Times New Roman" w:eastAsia="仿宋_GB2312" w:cs="Times New Roman"/>
          <w:b w:val="0"/>
        </w:rPr>
        <w:t>政</w:t>
      </w:r>
      <w:r>
        <w:rPr>
          <w:rStyle w:val="25"/>
          <w:rFonts w:ascii="Times New Roman" w:hAnsi="Times New Roman" w:eastAsia="仿宋_GB2312" w:cs="Times New Roman"/>
          <w:b w:val="0"/>
          <w:bCs w:val="0"/>
        </w:rPr>
        <w:t>府性基金预算财政拨款“三公”经费支出决算表</w:t>
      </w:r>
      <w:bookmarkEnd w:id="108"/>
      <w:bookmarkEnd w:id="109"/>
    </w:p>
    <w:p>
      <w:pPr>
        <w:pStyle w:val="4"/>
        <w:spacing w:before="0" w:after="0"/>
        <w:rPr>
          <w:rStyle w:val="25"/>
          <w:rFonts w:ascii="Times New Roman" w:hAnsi="Times New Roman" w:eastAsia="仿宋_GB2312" w:cs="Times New Roman"/>
          <w:b w:val="0"/>
          <w:bCs w:val="0"/>
        </w:rPr>
      </w:pPr>
      <w:bookmarkStart w:id="110" w:name="_Toc15396631"/>
      <w:bookmarkStart w:id="111" w:name="_Toc112421809"/>
      <w:r>
        <w:rPr>
          <w:rStyle w:val="25"/>
          <w:rFonts w:ascii="Times New Roman" w:hAnsi="Times New Roman" w:eastAsia="仿宋_GB2312" w:cs="Times New Roman"/>
          <w:b w:val="0"/>
          <w:bCs w:val="0"/>
        </w:rPr>
        <w:t>十三、</w:t>
      </w:r>
      <w:r>
        <w:rPr>
          <w:rFonts w:ascii="Times New Roman" w:hAnsi="Times New Roman" w:eastAsia="仿宋_GB2312" w:cs="Times New Roman"/>
          <w:b w:val="0"/>
        </w:rPr>
        <w:t>国</w:t>
      </w:r>
      <w:r>
        <w:rPr>
          <w:rStyle w:val="25"/>
          <w:rFonts w:ascii="Times New Roman" w:hAnsi="Times New Roman" w:eastAsia="仿宋_GB2312" w:cs="Times New Roman"/>
          <w:b w:val="0"/>
          <w:bCs w:val="0"/>
        </w:rPr>
        <w:t>有资本经营预算财政拨款收入支出决算表</w:t>
      </w:r>
      <w:bookmarkEnd w:id="110"/>
      <w:bookmarkEnd w:id="111"/>
    </w:p>
    <w:p>
      <w:pPr>
        <w:rPr>
          <w:rFonts w:eastAsia="仿宋_GB2312"/>
        </w:rPr>
      </w:pPr>
      <w:bookmarkStart w:id="112" w:name="_Toc112421810"/>
      <w:r>
        <w:rPr>
          <w:rStyle w:val="25"/>
          <w:rFonts w:ascii="Times New Roman" w:hAnsi="Times New Roman" w:eastAsia="仿宋_GB2312" w:cs="Times New Roman"/>
          <w:b w:val="0"/>
          <w:bCs w:val="0"/>
        </w:rPr>
        <w:t>十四、国有资本经营预算财政拨款支出决算表</w:t>
      </w:r>
      <w:bookmarkEnd w:id="112"/>
    </w:p>
    <w:sectPr>
      <w:footerReference r:id="rId6" w:type="first"/>
      <w:footerReference r:id="rId5" w:type="default"/>
      <w:pgSz w:w="11906" w:h="16838"/>
      <w:pgMar w:top="2098" w:right="1474" w:bottom="1985" w:left="1588"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60"/>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 </w:t>
    </w:r>
    <w:sdt>
      <w:sdtPr>
        <w:rPr>
          <w:rFonts w:asciiTheme="majorEastAsia" w:hAnsiTheme="majorEastAsia" w:eastAsiaTheme="majorEastAsia"/>
          <w:sz w:val="28"/>
          <w:szCs w:val="28"/>
        </w:rPr>
        <w:id w:val="1088502533"/>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1350640639"/>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 xml:space="preserve"> </w:t>
        </w:r>
        <w:r>
          <w:rPr>
            <w:rFonts w:hint="eastAsia" w:asciiTheme="majorEastAsia" w:hAnsiTheme="majorEastAsia" w:eastAsiaTheme="majorEastAsia"/>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lhZThhN2M1Y2MxZDY1ZTQ2ZDYyZmVmMmI5YzdkOTkifQ=="/>
  </w:docVars>
  <w:rsids>
    <w:rsidRoot w:val="00F1361C"/>
    <w:rsid w:val="000222C6"/>
    <w:rsid w:val="0002549F"/>
    <w:rsid w:val="000468DB"/>
    <w:rsid w:val="0006487A"/>
    <w:rsid w:val="00065F8F"/>
    <w:rsid w:val="00070A43"/>
    <w:rsid w:val="000768F2"/>
    <w:rsid w:val="00090304"/>
    <w:rsid w:val="0009184B"/>
    <w:rsid w:val="00094236"/>
    <w:rsid w:val="0009593C"/>
    <w:rsid w:val="00097322"/>
    <w:rsid w:val="000A6A92"/>
    <w:rsid w:val="000B047F"/>
    <w:rsid w:val="000B5923"/>
    <w:rsid w:val="000B5A48"/>
    <w:rsid w:val="000B6FE5"/>
    <w:rsid w:val="000B6FF3"/>
    <w:rsid w:val="000C3467"/>
    <w:rsid w:val="000C3CA6"/>
    <w:rsid w:val="000D1267"/>
    <w:rsid w:val="000D1D50"/>
    <w:rsid w:val="000D5782"/>
    <w:rsid w:val="000E0E6B"/>
    <w:rsid w:val="000E6613"/>
    <w:rsid w:val="000E7119"/>
    <w:rsid w:val="000F6031"/>
    <w:rsid w:val="00100061"/>
    <w:rsid w:val="0011114D"/>
    <w:rsid w:val="00114E9B"/>
    <w:rsid w:val="00142216"/>
    <w:rsid w:val="00144D6A"/>
    <w:rsid w:val="00144E20"/>
    <w:rsid w:val="0014729F"/>
    <w:rsid w:val="00157BAB"/>
    <w:rsid w:val="001654D1"/>
    <w:rsid w:val="00174518"/>
    <w:rsid w:val="0018106D"/>
    <w:rsid w:val="001877A7"/>
    <w:rsid w:val="00191536"/>
    <w:rsid w:val="00196687"/>
    <w:rsid w:val="001C0962"/>
    <w:rsid w:val="001D0AC2"/>
    <w:rsid w:val="001D7531"/>
    <w:rsid w:val="001E737D"/>
    <w:rsid w:val="001F0592"/>
    <w:rsid w:val="001F7506"/>
    <w:rsid w:val="002006CD"/>
    <w:rsid w:val="00202B36"/>
    <w:rsid w:val="00204B7A"/>
    <w:rsid w:val="00204CDE"/>
    <w:rsid w:val="0021101A"/>
    <w:rsid w:val="00220536"/>
    <w:rsid w:val="002231AB"/>
    <w:rsid w:val="00235629"/>
    <w:rsid w:val="002433C3"/>
    <w:rsid w:val="00260C38"/>
    <w:rsid w:val="002616C0"/>
    <w:rsid w:val="00265372"/>
    <w:rsid w:val="002662AA"/>
    <w:rsid w:val="00280496"/>
    <w:rsid w:val="00294DC9"/>
    <w:rsid w:val="00295495"/>
    <w:rsid w:val="002A31DE"/>
    <w:rsid w:val="002B2613"/>
    <w:rsid w:val="002D6D05"/>
    <w:rsid w:val="002F1818"/>
    <w:rsid w:val="002F567B"/>
    <w:rsid w:val="003204D9"/>
    <w:rsid w:val="003216A9"/>
    <w:rsid w:val="00332F5C"/>
    <w:rsid w:val="00335A74"/>
    <w:rsid w:val="00363201"/>
    <w:rsid w:val="0036561B"/>
    <w:rsid w:val="0037013F"/>
    <w:rsid w:val="0038074D"/>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7B7C"/>
    <w:rsid w:val="00471401"/>
    <w:rsid w:val="00473F31"/>
    <w:rsid w:val="00474C4B"/>
    <w:rsid w:val="0048263A"/>
    <w:rsid w:val="00484592"/>
    <w:rsid w:val="00484C1B"/>
    <w:rsid w:val="00487E5D"/>
    <w:rsid w:val="004A711F"/>
    <w:rsid w:val="004B199D"/>
    <w:rsid w:val="004B4690"/>
    <w:rsid w:val="004E0A2D"/>
    <w:rsid w:val="004E206B"/>
    <w:rsid w:val="004E6DF7"/>
    <w:rsid w:val="004F0FBD"/>
    <w:rsid w:val="00505A47"/>
    <w:rsid w:val="00512FDA"/>
    <w:rsid w:val="00520DA0"/>
    <w:rsid w:val="00545727"/>
    <w:rsid w:val="0056435F"/>
    <w:rsid w:val="005664BB"/>
    <w:rsid w:val="00566FFA"/>
    <w:rsid w:val="0057481D"/>
    <w:rsid w:val="0058486E"/>
    <w:rsid w:val="00585B33"/>
    <w:rsid w:val="0059014D"/>
    <w:rsid w:val="005B5C64"/>
    <w:rsid w:val="005C5337"/>
    <w:rsid w:val="005C6BD0"/>
    <w:rsid w:val="005D1C8B"/>
    <w:rsid w:val="005D468D"/>
    <w:rsid w:val="005D5CED"/>
    <w:rsid w:val="005F1A4C"/>
    <w:rsid w:val="005F4FC0"/>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0C06"/>
    <w:rsid w:val="0076182A"/>
    <w:rsid w:val="00767B7E"/>
    <w:rsid w:val="007770C3"/>
    <w:rsid w:val="00784D24"/>
    <w:rsid w:val="00785FBA"/>
    <w:rsid w:val="00786E4A"/>
    <w:rsid w:val="007875EB"/>
    <w:rsid w:val="0079426B"/>
    <w:rsid w:val="007D1682"/>
    <w:rsid w:val="007D312A"/>
    <w:rsid w:val="007D3F19"/>
    <w:rsid w:val="007E23B0"/>
    <w:rsid w:val="007E23E5"/>
    <w:rsid w:val="007E3D2A"/>
    <w:rsid w:val="007F1991"/>
    <w:rsid w:val="007F2C2F"/>
    <w:rsid w:val="007F55FC"/>
    <w:rsid w:val="007F5665"/>
    <w:rsid w:val="00800112"/>
    <w:rsid w:val="008116AC"/>
    <w:rsid w:val="00813348"/>
    <w:rsid w:val="008253BB"/>
    <w:rsid w:val="0083706E"/>
    <w:rsid w:val="008408F6"/>
    <w:rsid w:val="008423A5"/>
    <w:rsid w:val="00850625"/>
    <w:rsid w:val="00853718"/>
    <w:rsid w:val="00855221"/>
    <w:rsid w:val="00860645"/>
    <w:rsid w:val="00862068"/>
    <w:rsid w:val="00871F71"/>
    <w:rsid w:val="00872FD8"/>
    <w:rsid w:val="00885AF4"/>
    <w:rsid w:val="008939CD"/>
    <w:rsid w:val="008B5265"/>
    <w:rsid w:val="008B768C"/>
    <w:rsid w:val="008C4DB1"/>
    <w:rsid w:val="008C4EAF"/>
    <w:rsid w:val="008C5176"/>
    <w:rsid w:val="008C5AD5"/>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1FCB"/>
    <w:rsid w:val="009931C3"/>
    <w:rsid w:val="009B2C43"/>
    <w:rsid w:val="009B4EAE"/>
    <w:rsid w:val="009B7573"/>
    <w:rsid w:val="009C22F4"/>
    <w:rsid w:val="009C2A4B"/>
    <w:rsid w:val="009C2E98"/>
    <w:rsid w:val="009D3447"/>
    <w:rsid w:val="009D4711"/>
    <w:rsid w:val="009F1185"/>
    <w:rsid w:val="009F18CD"/>
    <w:rsid w:val="009F1D7B"/>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7F4"/>
    <w:rsid w:val="00B81598"/>
    <w:rsid w:val="00B841F1"/>
    <w:rsid w:val="00B944D6"/>
    <w:rsid w:val="00BB4DF0"/>
    <w:rsid w:val="00BC289F"/>
    <w:rsid w:val="00BC2D50"/>
    <w:rsid w:val="00BC5361"/>
    <w:rsid w:val="00BC5460"/>
    <w:rsid w:val="00BC6B50"/>
    <w:rsid w:val="00BD0E25"/>
    <w:rsid w:val="00BD61E3"/>
    <w:rsid w:val="00BF5BD6"/>
    <w:rsid w:val="00C03E31"/>
    <w:rsid w:val="00C15947"/>
    <w:rsid w:val="00C33E72"/>
    <w:rsid w:val="00C354B2"/>
    <w:rsid w:val="00C35554"/>
    <w:rsid w:val="00C42709"/>
    <w:rsid w:val="00C533CC"/>
    <w:rsid w:val="00C5751C"/>
    <w:rsid w:val="00C61BFC"/>
    <w:rsid w:val="00C62B85"/>
    <w:rsid w:val="00C63260"/>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02FB"/>
    <w:rsid w:val="00D51276"/>
    <w:rsid w:val="00D7035F"/>
    <w:rsid w:val="00D9698E"/>
    <w:rsid w:val="00DA634F"/>
    <w:rsid w:val="00DA65AC"/>
    <w:rsid w:val="00DB1913"/>
    <w:rsid w:val="00DC410D"/>
    <w:rsid w:val="00DC5A81"/>
    <w:rsid w:val="00DC68CA"/>
    <w:rsid w:val="00DC7CBA"/>
    <w:rsid w:val="00DD73B7"/>
    <w:rsid w:val="00DF28BC"/>
    <w:rsid w:val="00DF34B9"/>
    <w:rsid w:val="00DF6139"/>
    <w:rsid w:val="00DF6AD4"/>
    <w:rsid w:val="00E01053"/>
    <w:rsid w:val="00E07ACF"/>
    <w:rsid w:val="00E1347A"/>
    <w:rsid w:val="00E31843"/>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36B2"/>
    <w:rsid w:val="00F602DF"/>
    <w:rsid w:val="00F754A1"/>
    <w:rsid w:val="00F77531"/>
    <w:rsid w:val="00F81FD9"/>
    <w:rsid w:val="00F841AA"/>
    <w:rsid w:val="00F84A94"/>
    <w:rsid w:val="00F87E96"/>
    <w:rsid w:val="00FA23E8"/>
    <w:rsid w:val="00FC74A9"/>
    <w:rsid w:val="00FD3CC1"/>
    <w:rsid w:val="00FE7D0A"/>
    <w:rsid w:val="00FF1E02"/>
    <w:rsid w:val="00FF30B4"/>
    <w:rsid w:val="05A1771A"/>
    <w:rsid w:val="072C154A"/>
    <w:rsid w:val="0A2032A3"/>
    <w:rsid w:val="0B8A37D8"/>
    <w:rsid w:val="10C055FF"/>
    <w:rsid w:val="118107EC"/>
    <w:rsid w:val="11DD6519"/>
    <w:rsid w:val="13CB7981"/>
    <w:rsid w:val="16BB723D"/>
    <w:rsid w:val="18015F3F"/>
    <w:rsid w:val="195331B4"/>
    <w:rsid w:val="1BE8440E"/>
    <w:rsid w:val="1D155CEE"/>
    <w:rsid w:val="20F57F95"/>
    <w:rsid w:val="240371BF"/>
    <w:rsid w:val="25C741E6"/>
    <w:rsid w:val="27842671"/>
    <w:rsid w:val="29FD04D3"/>
    <w:rsid w:val="2ABE7A3E"/>
    <w:rsid w:val="2DF1294B"/>
    <w:rsid w:val="2EFA178C"/>
    <w:rsid w:val="2F6C78F6"/>
    <w:rsid w:val="30B46D73"/>
    <w:rsid w:val="319F7F4E"/>
    <w:rsid w:val="39AE70AB"/>
    <w:rsid w:val="3C0C0783"/>
    <w:rsid w:val="3D7E828A"/>
    <w:rsid w:val="3F9F3A96"/>
    <w:rsid w:val="43146042"/>
    <w:rsid w:val="4749504E"/>
    <w:rsid w:val="493C27E9"/>
    <w:rsid w:val="496F39ED"/>
    <w:rsid w:val="49FF41D3"/>
    <w:rsid w:val="4BE068DB"/>
    <w:rsid w:val="4BF6002B"/>
    <w:rsid w:val="4ECE2238"/>
    <w:rsid w:val="51DB4B86"/>
    <w:rsid w:val="55333C3E"/>
    <w:rsid w:val="5E1248E8"/>
    <w:rsid w:val="64CA39A1"/>
    <w:rsid w:val="6C4A05C8"/>
    <w:rsid w:val="72734D90"/>
    <w:rsid w:val="72FF2906"/>
    <w:rsid w:val="78DF72D6"/>
    <w:rsid w:val="79C53F04"/>
    <w:rsid w:val="79E7B28D"/>
    <w:rsid w:val="7BC748D4"/>
    <w:rsid w:val="7E2830EE"/>
    <w:rsid w:val="7EA94314"/>
    <w:rsid w:val="7F9F20EE"/>
    <w:rsid w:val="7FBA7077"/>
    <w:rsid w:val="9E3A10E2"/>
    <w:rsid w:val="F2E1F9D4"/>
    <w:rsid w:val="F77F8C58"/>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标题3"/>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2235;&#24029;&#30465;&#20154;&#21147;&#36164;&#28304;&#21644;&#31038;&#20250;&#20445;&#38556;&#20449;&#24687;&#20013;&#24515;\&#25253;&#21578;\&#20915;&#31639;&#22270;&#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22&#24180;\2021&#24180;&#20915;&#31639;\&#20915;&#31639;&#22270;&#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22&#24180;\&#20915;&#31639;&#20844;&#2432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effectLst/>
              </a:rPr>
              <a:t>图</a:t>
            </a:r>
            <a:r>
              <a:rPr lang="en-US" altLang="zh-CN" sz="1400" b="0" i="0" u="none" strike="noStrike" baseline="0">
                <a:effectLst/>
              </a:rPr>
              <a:t>1</a:t>
            </a:r>
            <a:r>
              <a:rPr lang="zh-CN" altLang="en-US" sz="1400" b="0" i="0" u="none" strike="noStrike" baseline="0">
                <a:effectLst/>
              </a:rPr>
              <a:t>：收、支决算总计变动情况图（单位：万元）</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38631937682571"/>
          <c:y val="0.0225108225108225"/>
        </c:manualLayout>
      </c:layout>
      <c:overlay val="false"/>
      <c:spPr>
        <a:noFill/>
        <a:ln>
          <a:noFill/>
        </a:ln>
        <a:effectLst/>
      </c:spPr>
    </c:title>
    <c:autoTitleDeleted val="false"/>
    <c:plotArea>
      <c:layout/>
      <c:barChart>
        <c:barDir val="col"/>
        <c:grouping val="clustered"/>
        <c:varyColors val="false"/>
        <c:ser>
          <c:idx val="0"/>
          <c:order val="0"/>
          <c:tx>
            <c:strRef>
              <c:f>[决算图表.xls]分析图!$A$21</c:f>
              <c:strCache>
                <c:ptCount val="1"/>
                <c:pt idx="0">
                  <c:v>收入执行</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[决算图表.xls]分析图!$B$20:$D$20</c:f>
              <c:strCache>
                <c:ptCount val="3"/>
                <c:pt idx="0">
                  <c:v>2020年</c:v>
                </c:pt>
                <c:pt idx="1">
                  <c:v>2021年</c:v>
                </c:pt>
                <c:pt idx="2">
                  <c:v>比上年增减</c:v>
                </c:pt>
              </c:strCache>
            </c:strRef>
          </c:cat>
          <c:val>
            <c:numRef>
              <c:f>[决算图表.xls]分析图!$B$21:$D$21</c:f>
              <c:numCache>
                <c:formatCode>#,##0.00</c:formatCode>
                <c:ptCount val="3"/>
                <c:pt idx="0">
                  <c:v>1181.94</c:v>
                </c:pt>
                <c:pt idx="1">
                  <c:v>1121.71</c:v>
                </c:pt>
                <c:pt idx="2" c:formatCode="General">
                  <c:v>-60.23</c:v>
                </c:pt>
              </c:numCache>
            </c:numRef>
          </c:val>
        </c:ser>
        <c:ser>
          <c:idx val="1"/>
          <c:order val="1"/>
          <c:tx>
            <c:strRef>
              <c:f>[决算图表.xls]分析图!$A$22</c:f>
              <c:strCache>
                <c:ptCount val="1"/>
                <c:pt idx="0">
                  <c:v>支出执行</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[决算图表.xls]分析图!$B$20:$D$20</c:f>
              <c:strCache>
                <c:ptCount val="3"/>
                <c:pt idx="0">
                  <c:v>2020年</c:v>
                </c:pt>
                <c:pt idx="1">
                  <c:v>2021年</c:v>
                </c:pt>
                <c:pt idx="2">
                  <c:v>比上年增减</c:v>
                </c:pt>
              </c:strCache>
            </c:strRef>
          </c:cat>
          <c:val>
            <c:numRef>
              <c:f>[决算图表.xls]分析图!$B$22:$D$22</c:f>
              <c:numCache>
                <c:formatCode>#,##0.00</c:formatCode>
                <c:ptCount val="3"/>
                <c:pt idx="0">
                  <c:v>1181.94</c:v>
                </c:pt>
                <c:pt idx="1">
                  <c:v>1121.71</c:v>
                </c:pt>
                <c:pt idx="2" c:formatCode="General">
                  <c:v>-60.23</c:v>
                </c:pt>
              </c:numCache>
            </c:numRef>
          </c:val>
        </c:ser>
        <c:dLbls>
          <c:showLegendKey val="false"/>
          <c:showVal val="false"/>
          <c:showCatName val="false"/>
          <c:showSerName val="false"/>
          <c:showPercent val="false"/>
          <c:showBubbleSize val="false"/>
        </c:dLbls>
        <c:gapWidth val="219"/>
        <c:overlap val="-27"/>
        <c:axId val="779429642"/>
        <c:axId val="526326800"/>
      </c:barChart>
      <c:catAx>
        <c:axId val="779429642"/>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526326800"/>
        <c:crosses val="autoZero"/>
        <c:auto val="true"/>
        <c:lblAlgn val="ctr"/>
        <c:lblOffset val="100"/>
        <c:noMultiLvlLbl val="false"/>
      </c:catAx>
      <c:valAx>
        <c:axId val="52632680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79429642"/>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：收入决算结构图（单位：万元）</a:t>
            </a:r>
            <a:endParaRPr lang="zh-CN" altLang="en-US"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false"/>
      <c:spPr>
        <a:noFill/>
        <a:ln>
          <a:noFill/>
        </a:ln>
        <a:effectLst/>
      </c:spPr>
    </c:title>
    <c:autoTitleDeleted val="false"/>
    <c:plotArea>
      <c:layout>
        <c:manualLayout>
          <c:layoutTarget val="inner"/>
          <c:xMode val="edge"/>
          <c:yMode val="edge"/>
          <c:x val="0.364632340533643"/>
          <c:y val="0.180341855173862"/>
          <c:w val="0.263511625217327"/>
          <c:h val="0.545681266281505"/>
        </c:manualLayout>
      </c:layout>
      <c:pieChart>
        <c:varyColors val="true"/>
        <c:ser>
          <c:idx val="0"/>
          <c:order val="0"/>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dLbl>
              <c:idx val="0"/>
              <c:layout>
                <c:manualLayout>
                  <c:x val="0.0364062787359862"/>
                  <c:y val="-0.0470725190764768"/>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;1,121.71; 100%</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dLbl>
              <c:idx val="1"/>
              <c:layout>
                <c:manualLayout>
                  <c:x val="-0.0325817494982883"/>
                  <c:y val="0.0117610289663814"/>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900" b="0" i="0" u="none" strike="noStrike" baseline="0">
                        <a:solidFill>
                          <a:srgbClr val="333333"/>
                        </a:solidFill>
                        <a:latin typeface="宋体" panose="02010600030101010101" charset="-122"/>
                        <a:ea typeface="宋体" panose="02010600030101010101" charset="-122"/>
                        <a:cs typeface="宋体" panose="02010600030101010101" charset="-122"/>
                      </a:rPr>
                      <a:t>政府性基金预算财政拨款; </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25.79</a:t>
                    </a:r>
                    <a:r>
                      <a:rPr sz="900" b="0" i="0" u="none" strike="noStrike" baseline="0">
                        <a:solidFill>
                          <a:srgbClr val="333333"/>
                        </a:solidFill>
                        <a:latin typeface="宋体" panose="02010600030101010101" charset="-122"/>
                        <a:ea typeface="宋体" panose="02010600030101010101" charset="-122"/>
                        <a:cs typeface="宋体" panose="02010600030101010101" charset="-122"/>
                      </a:rPr>
                      <a:t>; </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6.92</a:t>
                    </a:r>
                    <a:r>
                      <a:rPr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true"/>
            <c:showSerName val="false"/>
            <c:showPercent val="true"/>
            <c:showBubbleSize val="false"/>
            <c:separator>;</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[决算图表.xls]分析图!$B$80:$B$86</c:f>
              <c:strCache>
                <c:ptCount val="7"/>
                <c:pt idx="0">
                  <c:v>一般公共预算财政拨款</c:v>
                </c:pt>
                <c:pt idx="1">
                  <c:v>政府性基金预算财政拨款</c:v>
                </c:pt>
                <c:pt idx="2">
                  <c:v>上级补助收入</c:v>
                </c:pt>
                <c:pt idx="3">
                  <c:v>事业收入</c:v>
                </c:pt>
                <c:pt idx="4">
                  <c:v>经营收入</c:v>
                </c:pt>
                <c:pt idx="5">
                  <c:v>附属单位上缴收入</c:v>
                </c:pt>
                <c:pt idx="6">
                  <c:v>其他收入</c:v>
                </c:pt>
              </c:strCache>
            </c:strRef>
          </c:cat>
          <c:val>
            <c:numRef>
              <c:f>[决算图表.xls]分析图!$C$80:$C$86</c:f>
              <c:numCache>
                <c:formatCode>#,##0.00</c:formatCode>
                <c:ptCount val="7"/>
                <c:pt idx="0">
                  <c:v>1121.71</c:v>
                </c:pt>
              </c:numCache>
            </c:numRef>
          </c:val>
        </c:ser>
        <c:dLbls>
          <c:showLegendKey val="false"/>
          <c:showVal val="false"/>
          <c:showCatName val="false"/>
          <c:showSerName val="false"/>
          <c:showPercent val="false"/>
          <c:showBubbleSize val="false"/>
          <c:showLeaderLines val="true"/>
        </c:dLbls>
        <c:firstSliceAng val="297"/>
      </c:pieChart>
      <c:spPr>
        <a:noFill/>
        <a:ln>
          <a:noFill/>
        </a:ln>
        <a:effectLst/>
      </c:spPr>
    </c:plotArea>
    <c:legend>
      <c:legendPos val="b"/>
      <c:layout>
        <c:manualLayout>
          <c:xMode val="edge"/>
          <c:yMode val="edge"/>
          <c:x val="0.102880415535356"/>
          <c:y val="0.751894402346615"/>
          <c:w val="0.791405973320741"/>
          <c:h val="0.215839648007822"/>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图3：支出决算结构图（单位：万元）</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45"/>
                  <c:y val="-0.0819522855581861"/>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基本支出</a:t>
                    </a:r>
                    <a:r>
                      <a:rPr lang="en-US" altLang="zh-CN"/>
                      <a:t>, 404.33, 36.05%</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dLbl>
              <c:idx val="1"/>
              <c:layout>
                <c:manualLayout>
                  <c:x val="-0.03375"/>
                  <c:y val="0.00546348570387907"/>
                </c:manualLayout>
              </c:layout>
              <c:tx>
                <c:rich>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r>
                      <a:rPr lang="zh-CN" altLang="en-US"/>
                      <a:t>项目支出</a:t>
                    </a:r>
                    <a:r>
                      <a:rPr lang="en-US" altLang="zh-CN"/>
                      <a:t>, 717.38, 63.95%</a:t>
                    </a:r>
                    <a:endParaRPr lang="en-US" altLang="zh-CN"/>
                  </a:p>
                </c:rich>
              </c:tx>
              <c:dLblPos val="bestFit"/>
              <c:showLegendKey val="false"/>
              <c:showVal val="true"/>
              <c:showCatName val="true"/>
              <c:showSerName val="false"/>
              <c:showPercent val="tru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tru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404.33</c:v>
                </c:pt>
                <c:pt idx="1">
                  <c:v>717.38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财政拨款收入、支出决算总计变动情况（单位：万元）</a:t>
            </a:r>
            <a:endParaRPr lang="en-US" altLang="zh-CN"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false"/>
      <c:spPr>
        <a:noFill/>
        <a:ln>
          <a:noFill/>
        </a:ln>
        <a:effectLst/>
      </c:spPr>
    </c:title>
    <c:autoTitleDeleted val="false"/>
    <c:plotArea>
      <c:layout/>
      <c:barChart>
        <c:barDir val="col"/>
        <c:grouping val="clustered"/>
        <c:varyColors val="false"/>
        <c:ser>
          <c:idx val="0"/>
          <c:order val="0"/>
          <c:tx>
            <c:strRef>
              <c:f>[决算图表.xls]分析图!$A$119</c:f>
              <c:strCache>
                <c:ptCount val="1"/>
                <c:pt idx="0">
                  <c:v>收入</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[决算图表.xls]分析图!$B$118:$D$118</c:f>
              <c:strCache>
                <c:ptCount val="3"/>
                <c:pt idx="0">
                  <c:v>2020年</c:v>
                </c:pt>
                <c:pt idx="1">
                  <c:v>2021年</c:v>
                </c:pt>
                <c:pt idx="2">
                  <c:v>比上年增减</c:v>
                </c:pt>
              </c:strCache>
            </c:strRef>
          </c:cat>
          <c:val>
            <c:numRef>
              <c:f>[决算图表.xls]分析图!$B$119:$D$119</c:f>
              <c:numCache>
                <c:formatCode>#,##0.00</c:formatCode>
                <c:ptCount val="3"/>
                <c:pt idx="0">
                  <c:v>1181.94</c:v>
                </c:pt>
                <c:pt idx="1">
                  <c:v>1121.71</c:v>
                </c:pt>
                <c:pt idx="2" c:formatCode="General">
                  <c:v>-60.23</c:v>
                </c:pt>
              </c:numCache>
            </c:numRef>
          </c:val>
        </c:ser>
        <c:ser>
          <c:idx val="1"/>
          <c:order val="1"/>
          <c:tx>
            <c:strRef>
              <c:f>[决算图表.xls]分析图!$A$120</c:f>
              <c:strCache>
                <c:ptCount val="1"/>
                <c:pt idx="0">
                  <c:v>支出</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[决算图表.xls]分析图!$B$118:$D$118</c:f>
              <c:strCache>
                <c:ptCount val="3"/>
                <c:pt idx="0">
                  <c:v>2020年</c:v>
                </c:pt>
                <c:pt idx="1">
                  <c:v>2021年</c:v>
                </c:pt>
                <c:pt idx="2">
                  <c:v>比上年增减</c:v>
                </c:pt>
              </c:strCache>
            </c:strRef>
          </c:cat>
          <c:val>
            <c:numRef>
              <c:f>[决算图表.xls]分析图!$B$120:$D$120</c:f>
              <c:numCache>
                <c:formatCode>#,##0.00</c:formatCode>
                <c:ptCount val="3"/>
                <c:pt idx="0">
                  <c:v>1181.94</c:v>
                </c:pt>
                <c:pt idx="1">
                  <c:v>1121.71</c:v>
                </c:pt>
                <c:pt idx="2" c:formatCode="General">
                  <c:v>-60.23</c:v>
                </c:pt>
              </c:numCache>
            </c:numRef>
          </c:val>
        </c:ser>
        <c:dLbls>
          <c:showLegendKey val="false"/>
          <c:showVal val="false"/>
          <c:showCatName val="false"/>
          <c:showSerName val="false"/>
          <c:showPercent val="false"/>
          <c:showBubbleSize val="false"/>
        </c:dLbls>
        <c:gapWidth val="219"/>
        <c:overlap val="-27"/>
        <c:axId val="938795039"/>
        <c:axId val="929582113"/>
      </c:barChart>
      <c:catAx>
        <c:axId val="938795039"/>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29582113"/>
        <c:crosses val="autoZero"/>
        <c:auto val="true"/>
        <c:lblAlgn val="ctr"/>
        <c:lblOffset val="100"/>
        <c:noMultiLvlLbl val="false"/>
      </c:catAx>
      <c:valAx>
        <c:axId val="929582113"/>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0.00" sourceLinked="true"/>
        <c:majorTickMark val="none"/>
        <c:minorTickMark val="none"/>
        <c:tickLblPos val="nextTo"/>
        <c:spPr>
          <a:noFill/>
          <a:ln w="6350" cap="flat" cmpd="sng" algn="ctr">
            <a:noFill/>
            <a:prstDash val="solid"/>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38795039"/>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r>
              <a:rPr lang="zh-CN" altLang="en-US"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rPr>
              <a:t>一般公共预算财政拨款支出决算变动情况（单位：万元）</a:t>
            </a:r>
            <a:endParaRPr lang="zh-CN" altLang="en-US"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863231398988683"/>
          <c:y val="0.0191780821917808"/>
        </c:manualLayout>
      </c:layout>
      <c:overlay val="false"/>
    </c:title>
    <c:autoTitleDeleted val="false"/>
    <c:plotArea>
      <c:layout/>
      <c:barChart>
        <c:barDir val="col"/>
        <c:grouping val="clustered"/>
        <c:varyColors val="false"/>
        <c:ser>
          <c:idx val="0"/>
          <c:order val="0"/>
          <c:tx>
            <c:strRef>
              <c:f>[决算图表.xls]分析图!$A$104</c:f>
              <c:strCache>
                <c:ptCount val="1"/>
                <c:pt idx="0">
                  <c:v/>
                </c:pt>
              </c:strCache>
            </c:strRef>
          </c:tx>
          <c:spPr>
            <a:solidFill>
              <a:srgbClr val="5B9BD5">
                <a:alpha val="100000"/>
              </a:srgbClr>
            </a:solidFill>
            <a:ln w="3175">
              <a:noFill/>
            </a:ln>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[决算图表.xls]分析图!$B$103:$D$103</c:f>
              <c:strCache>
                <c:ptCount val="3"/>
                <c:pt idx="0">
                  <c:v>2020年</c:v>
                </c:pt>
                <c:pt idx="1">
                  <c:v>2021年</c:v>
                </c:pt>
                <c:pt idx="2">
                  <c:v>比上年增减</c:v>
                </c:pt>
              </c:strCache>
            </c:strRef>
          </c:cat>
          <c:val>
            <c:numRef>
              <c:f>[决算图表.xls]分析图!$B$104:$D$104</c:f>
              <c:numCache>
                <c:formatCode>General</c:formatCode>
                <c:ptCount val="3"/>
              </c:numCache>
            </c:numRef>
          </c:val>
        </c:ser>
        <c:ser>
          <c:idx val="1"/>
          <c:order val="1"/>
          <c:tx>
            <c:strRef>
              <c:f>[决算图表.xls]分析图!$A$105</c:f>
              <c:strCache>
                <c:ptCount val="1"/>
                <c:pt idx="0">
                  <c:v>支出</c:v>
                </c:pt>
              </c:strCache>
            </c:strRef>
          </c:tx>
          <c:spPr>
            <a:solidFill>
              <a:srgbClr val="ED7D31">
                <a:alpha val="100000"/>
              </a:srgbClr>
            </a:solidFill>
            <a:ln w="3175">
              <a:noFill/>
            </a:ln>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[决算图表.xls]分析图!$B$103:$D$103</c:f>
              <c:strCache>
                <c:ptCount val="3"/>
                <c:pt idx="0">
                  <c:v>2020年</c:v>
                </c:pt>
                <c:pt idx="1">
                  <c:v>2021年</c:v>
                </c:pt>
                <c:pt idx="2">
                  <c:v>比上年增减</c:v>
                </c:pt>
              </c:strCache>
            </c:strRef>
          </c:cat>
          <c:val>
            <c:numRef>
              <c:f>[决算图表.xls]分析图!$B$105:$D$105</c:f>
              <c:numCache>
                <c:formatCode>#,##0.00</c:formatCode>
                <c:ptCount val="3"/>
                <c:pt idx="0">
                  <c:v>1181.94</c:v>
                </c:pt>
                <c:pt idx="1">
                  <c:v>1121.71</c:v>
                </c:pt>
                <c:pt idx="2" c:formatCode="General">
                  <c:v>-60.23</c:v>
                </c:pt>
              </c:numCache>
            </c:numRef>
          </c:val>
        </c:ser>
        <c:dLbls>
          <c:showLegendKey val="false"/>
          <c:showVal val="false"/>
          <c:showCatName val="false"/>
          <c:showSerName val="false"/>
          <c:showPercent val="false"/>
          <c:showBubbleSize val="false"/>
        </c:dLbls>
        <c:gapWidth val="219"/>
        <c:overlap val="-27"/>
        <c:axId val="411556301"/>
        <c:axId val="28497160"/>
      </c:barChart>
      <c:catAx>
        <c:axId val="411556301"/>
        <c:scaling>
          <c:orientation val="minMax"/>
        </c:scaling>
        <c:delete val="false"/>
        <c:axPos val="b"/>
        <c:numFmt formatCode="General" sourceLinked="false"/>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28497160"/>
        <c:crosses val="autoZero"/>
        <c:auto val="true"/>
        <c:lblAlgn val="ctr"/>
        <c:lblOffset val="100"/>
        <c:noMultiLvlLbl val="false"/>
      </c:catAx>
      <c:valAx>
        <c:axId val="2849716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ln w="3175" cap="flat" cmpd="sng" algn="ctr">
            <a:noFill/>
            <a:prstDash val="solid"/>
            <a:round/>
          </a:ln>
        </c:spPr>
        <c:txPr>
          <a:bodyPr rot="0" spcFirstLastPara="0" vertOverflow="ellipsis" vert="horz" wrap="square" anchor="ctr" anchorCtr="true"/>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crossAx val="411556301"/>
        <c:crosses val="autoZero"/>
        <c:crossBetween val="between"/>
      </c:valAx>
      <c:spPr>
        <a:noFill/>
        <a:ln>
          <a:noFill/>
        </a:ln>
        <a:effectLst/>
      </c:spPr>
    </c:plotArea>
    <c:legend>
      <c:legendPos val="b"/>
      <c:layout>
        <c:manualLayout>
          <c:xMode val="edge"/>
          <c:yMode val="edge"/>
          <c:x val="0.483928571428571"/>
          <c:y val="0.878052194695175"/>
          <c:w val="0.151785714285714"/>
          <c:h val="0.0731711584832384"/>
        </c:manualLayout>
      </c:layout>
      <c:overlay val="false"/>
      <c:spPr>
        <a:noFill/>
        <a:ln w="3175">
          <a:noFill/>
        </a:ln>
      </c:spPr>
      <c:txPr>
        <a:bodyPr rot="0" spcFirstLastPara="0" vertOverflow="ellipsis" vert="horz" wrap="square" anchor="ctr" anchorCtr="true"/>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rot="0" wrap="square" anchor="ctr" anchorCtr="true"/>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r>
              <a:rPr lang="zh-CN" altLang="zh-CN" sz="1400" b="0" i="0" u="none" strike="noStrike" baseline="0">
                <a:effectLst/>
              </a:rPr>
              <a:t>一般公共预算财政拨款支出决算结构（单位：万元）</a:t>
            </a:r>
            <a:endParaRPr lang="zh-CN" altLang="en-US" sz="1400" b="0" i="0" u="none" strike="noStrike" baseline="0">
              <a:solidFill>
                <a:srgbClr val="333333">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21960028894775"/>
          <c:y val="0.0470865214832254"/>
        </c:manualLayout>
      </c:layout>
      <c:overlay val="false"/>
    </c:title>
    <c:autoTitleDeleted val="false"/>
    <c:plotArea>
      <c:layout>
        <c:manualLayout>
          <c:layoutTarget val="inner"/>
          <c:xMode val="edge"/>
          <c:yMode val="edge"/>
          <c:x val="0.23538118747287"/>
          <c:y val="0.231833910034602"/>
          <c:w val="0.291638477427883"/>
          <c:h val="0.65570141571289"/>
        </c:manualLayout>
      </c:layout>
      <c:pieChart>
        <c:varyColors val="true"/>
        <c:ser>
          <c:idx val="0"/>
          <c:order val="0"/>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manualLayout>
                  <c:x val="0.0322158347717596"/>
                  <c:y val="-0.13359944944547"/>
                </c:manualLayout>
              </c:layout>
              <c:tx>
                <c:rich>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教育支出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 8.93; </a:t>
                    </a:r>
                    <a:r>
                      <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0.80</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dLbl>
              <c:idx val="1"/>
              <c:layout>
                <c:manualLayout>
                  <c:x val="0.00994435894400379"/>
                  <c:y val="-0.134149587436785"/>
                </c:manualLayout>
              </c:layout>
              <c:tx>
                <c:rich>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社会保障和就业支出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 1,008.38; </a:t>
                    </a:r>
                    <a:r>
                      <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89.90</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dLbl>
              <c:idx val="2"/>
              <c:layout>
                <c:manualLayout>
                  <c:x val="0.0268654083331281"/>
                  <c:y val="0.131649094323956"/>
                </c:manualLayout>
              </c:layout>
              <c:tx>
                <c:rich>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卫生健康支出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 24.19; 2</a:t>
                    </a:r>
                    <a:r>
                      <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.16</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dLbl>
              <c:idx val="3"/>
              <c:layout>
                <c:manualLayout>
                  <c:x val="-0.00997475251688111"/>
                  <c:y val="0.0373339903803854"/>
                </c:manualLayout>
              </c:layout>
              <c:tx>
                <c:rich>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sz="900" b="0" i="0" u="none" strike="noStrike" baseline="0">
                        <a:solidFill>
                          <a:srgbClr val="333333"/>
                        </a:solidFill>
                        <a:latin typeface="宋体" panose="02010600030101010101" charset="-122"/>
                        <a:ea typeface="宋体" panose="02010600030101010101" charset="-122"/>
                        <a:cs typeface="宋体" panose="02010600030101010101" charset="-122"/>
                      </a:rPr>
                      <a:t>住房保障支出</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 80.21; 7</a:t>
                    </a:r>
                    <a:r>
                      <a:rPr lang="en-US" altLang="zh-CN" sz="9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.15</a:t>
                    </a:r>
                    <a:r>
                      <a:rPr lang="en-US" altLang="zh-CN" sz="900" b="0" i="0" u="none" strike="noStrike" baseline="0">
                        <a:solidFill>
                          <a:srgbClr val="333333"/>
                        </a:solidFill>
                        <a:latin typeface="宋体" panose="02010600030101010101" charset="-122"/>
                        <a:ea typeface="宋体" panose="02010600030101010101" charset="-122"/>
                        <a:cs typeface="宋体" panose="02010600030101010101" charset="-122"/>
                      </a:rPr>
                      <a:t>%</a:t>
                    </a:r>
                    <a:endParaRPr lang="zh-CN"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numFmt formatCode="General"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true"/>
              <c:showSerName val="false"/>
              <c:showPercent val="true"/>
              <c:showBubbleSize val="false"/>
              <c:separator>;</c:separator>
              <c:extLst>
                <c:ext xmlns:c15="http://schemas.microsoft.com/office/drawing/2012/chart" uri="{CE6537A1-D6FC-4f65-9D91-7224C49458BB}">
                  <c15:layout/>
                </c:ext>
              </c:extLst>
            </c:dLbl>
            <c:numFmt formatCode="General" sourceLinked="fals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alpha val="100000"/>
                      </a:srgbClr>
                    </a:solidFill>
                    <a:latin typeface="宋体" panose="02010600030101010101" charset="-122"/>
                    <a:ea typeface="宋体" panose="02010600030101010101" charset="-122"/>
                    <a:cs typeface="宋体" panose="02010600030101010101" charset="-122"/>
                  </a:defRPr>
                </a:pPr>
              </a:p>
            </c:txPr>
            <c:dLblPos val="bestFit"/>
            <c:showLegendKey val="false"/>
            <c:showVal val="true"/>
            <c:showCatName val="true"/>
            <c:showSerName val="false"/>
            <c:showPercent val="true"/>
            <c:showBubbleSize val="false"/>
            <c:separator>;</c:separator>
            <c:showLeaderLines val="true"/>
            <c:extLst>
              <c:ext xmlns:c15="http://schemas.microsoft.com/office/drawing/2012/chart" uri="{CE6537A1-D6FC-4f65-9D91-7224C49458BB}">
                <c15:layout/>
                <c15:showLeaderLines val="true"/>
                <c15:leaderLines>
                  <c:spPr>
                    <a:ln w="9525" cap="flat" cmpd="sng" algn="ctr">
                      <a:solidFill>
                        <a:srgbClr val="969696">
                          <a:alpha val="100000"/>
                        </a:srgbClr>
                      </a:solidFill>
                      <a:prstDash val="solid"/>
                      <a:round/>
                    </a:ln>
                  </c:spPr>
                </c15:leaderLines>
              </c:ext>
            </c:extLst>
          </c:dLbls>
          <c:cat>
            <c:strRef>
              <c:f>[决算公开图表.xls]功能科目!$C$6:$C$9</c:f>
              <c:strCache>
                <c:ptCount val="4"/>
                <c:pt idx="0">
                  <c:v>教育支出</c:v>
                </c:pt>
                <c:pt idx="1">
                  <c:v>社会保障和就业支出</c:v>
                </c:pt>
                <c:pt idx="2">
                  <c:v>卫生健康支出</c:v>
                </c:pt>
                <c:pt idx="3">
                  <c:v>住房保障支出</c:v>
                </c:pt>
              </c:strCache>
            </c:strRef>
          </c:cat>
          <c:val>
            <c:numRef>
              <c:f>[决算公开图表.xls]功能科目!$D$6:$D$9</c:f>
              <c:numCache>
                <c:formatCode>General</c:formatCode>
                <c:ptCount val="4"/>
                <c:pt idx="0">
                  <c:v>8.93</c:v>
                </c:pt>
                <c:pt idx="1" c:formatCode="#,##0.00">
                  <c:v>1008.38</c:v>
                </c:pt>
                <c:pt idx="2">
                  <c:v>24.19</c:v>
                </c:pt>
                <c:pt idx="3">
                  <c:v>80.21</c:v>
                </c:pt>
              </c:numCache>
            </c:numRef>
          </c:val>
        </c:ser>
        <c:ser>
          <c:idx val="1"/>
          <c:order val="1"/>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[决算公开图表.xls]功能科目!$C$6:$C$9</c:f>
              <c:strCache>
                <c:ptCount val="4"/>
                <c:pt idx="0">
                  <c:v>教育支出</c:v>
                </c:pt>
                <c:pt idx="1">
                  <c:v>社会保障和就业支出</c:v>
                </c:pt>
                <c:pt idx="2">
                  <c:v>卫生健康支出</c:v>
                </c:pt>
                <c:pt idx="3">
                  <c:v>住房保障支出</c:v>
                </c:pt>
              </c:strCache>
            </c:strRef>
          </c:cat>
          <c:val>
            <c:numRef>
              <c:f>[决算公开图表.xls]功能科目!$E$6:$E$9</c:f>
              <c:numCache>
                <c:formatCode>0.00%</c:formatCode>
                <c:ptCount val="4"/>
                <c:pt idx="0">
                  <c:v>0.00796105945386954</c:v>
                </c:pt>
                <c:pt idx="1">
                  <c:v>0.898966756113434</c:v>
                </c:pt>
                <c:pt idx="2">
                  <c:v>0.0215652887109859</c:v>
                </c:pt>
                <c:pt idx="3">
                  <c:v>0.0715068957217106</c:v>
                </c:pt>
              </c:numCache>
            </c:numRef>
          </c:val>
        </c:ser>
        <c:dLbls>
          <c:showLegendKey val="false"/>
          <c:showVal val="false"/>
          <c:showCatName val="false"/>
          <c:showSerName val="false"/>
          <c:showPercent val="false"/>
          <c:showBubbleSize val="false"/>
          <c:showLeaderLines val="true"/>
        </c:dLbls>
        <c:firstSliceAng val="288"/>
      </c:pieChart>
      <c:spPr>
        <a:noFill/>
        <a:ln>
          <a:noFill/>
        </a:ln>
        <a:effectLst/>
      </c:spPr>
    </c:plotArea>
    <c:legend>
      <c:legendPos val="r"/>
      <c:layout>
        <c:manualLayout>
          <c:xMode val="edge"/>
          <c:yMode val="edge"/>
          <c:x val="0.748214285714286"/>
          <c:y val="0.458516200758748"/>
          <c:w val="0.23225"/>
          <c:h val="0.309"/>
        </c:manualLayout>
      </c:layout>
      <c:overlay val="false"/>
      <c:spPr>
        <a:noFill/>
        <a:ln w="3175">
          <a:noFill/>
        </a:ln>
      </c:spPr>
      <c:txPr>
        <a:bodyPr rot="0" spcFirstLastPara="0" vertOverflow="ellipsis" vert="horz" wrap="square" anchor="ctr" anchorCtr="true"/>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rot="0" wrap="square" anchor="ctr" anchorCtr="true"/>
    <a:lstStyle/>
    <a:p>
      <a:pPr>
        <a:defRPr lang="zh-CN"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1301</Words>
  <Characters>7422</Characters>
  <Lines>61</Lines>
  <Paragraphs>17</Paragraphs>
  <TotalTime>1</TotalTime>
  <ScaleCrop>false</ScaleCrop>
  <LinksUpToDate>false</LinksUpToDate>
  <CharactersWithSpaces>8706</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2022-08-19T03:05:00Z</dcterms:created>
  <dc:creator>曹颖</dc:creator>
  <cp:lastModifiedBy>user</cp:lastModifiedBy>
  <cp:lastPrinted>2022-08-07T02:23:00Z</cp:lastPrinted>
  <dcterms:modified xsi:type="dcterms:W3CDTF">2022-11-14T10:17:13Z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8F590B4E21F14761811A7228988186E7</vt:lpwstr>
  </property>
</Properties>
</file>