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小标宋简体"/>
          <w:color w:val="000000"/>
          <w:sz w:val="30"/>
          <w:szCs w:val="30"/>
        </w:rPr>
      </w:pPr>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360" w:lineRule="auto"/>
        <w:jc w:val="center"/>
        <w:outlineLvl w:val="0"/>
        <w:rPr>
          <w:rFonts w:eastAsia="方正小标宋_GBK"/>
          <w:sz w:val="72"/>
          <w:szCs w:val="72"/>
        </w:rPr>
      </w:pPr>
      <w:bookmarkStart w:id="1" w:name="_Toc15396475"/>
      <w:bookmarkStart w:id="2" w:name="_Toc15377193"/>
      <w:bookmarkStart w:id="3" w:name="_Toc13377"/>
      <w:bookmarkStart w:id="4" w:name="_Toc15377425"/>
      <w:bookmarkStart w:id="5" w:name="_Toc13417"/>
      <w:bookmarkStart w:id="6" w:name="_Toc15396597"/>
      <w:bookmarkStart w:id="7" w:name="_Toc275"/>
      <w:bookmarkStart w:id="8" w:name="_Toc15378441"/>
      <w:r>
        <w:rPr>
          <w:rFonts w:eastAsia="方正小标宋_GBK"/>
          <w:sz w:val="72"/>
          <w:szCs w:val="72"/>
        </w:rPr>
        <w:t>2021年度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eastAsia="方正小标宋_GBK"/>
          <w:sz w:val="72"/>
          <w:szCs w:val="72"/>
        </w:rPr>
      </w:pPr>
      <w:bookmarkStart w:id="9" w:name="_Toc5146"/>
      <w:bookmarkStart w:id="10" w:name="_Toc11662"/>
      <w:bookmarkStart w:id="11" w:name="_Toc23056"/>
      <w:bookmarkStart w:id="12" w:name="_Toc15396598"/>
      <w:bookmarkStart w:id="13" w:name="_Toc15378442"/>
      <w:bookmarkStart w:id="14" w:name="_Toc15396476"/>
      <w:bookmarkStart w:id="15" w:name="_Toc15377426"/>
      <w:bookmarkStart w:id="16" w:name="_Toc15377194"/>
      <w:r>
        <w:rPr>
          <w:rFonts w:eastAsia="方正小标宋_GBK"/>
          <w:sz w:val="72"/>
          <w:szCs w:val="72"/>
        </w:rPr>
        <w:t>四川省</w:t>
      </w:r>
      <w:bookmarkEnd w:id="0"/>
      <w:bookmarkStart w:id="17" w:name="_Toc15306268"/>
      <w:r>
        <w:rPr>
          <w:rFonts w:eastAsia="方正小标宋_GBK"/>
          <w:sz w:val="72"/>
          <w:szCs w:val="72"/>
        </w:rPr>
        <w:t>社会保险管理局</w:t>
      </w:r>
      <w:bookmarkEnd w:id="9"/>
      <w:bookmarkEnd w:id="10"/>
      <w:bookmarkEnd w:id="11"/>
    </w:p>
    <w:p>
      <w:pPr>
        <w:adjustRightInd w:val="0"/>
        <w:snapToGrid w:val="0"/>
        <w:spacing w:line="360" w:lineRule="auto"/>
        <w:jc w:val="center"/>
        <w:outlineLvl w:val="0"/>
        <w:rPr>
          <w:rFonts w:eastAsia="方正小标宋_GBK"/>
          <w:sz w:val="72"/>
          <w:szCs w:val="72"/>
        </w:rPr>
      </w:pPr>
      <w:bookmarkStart w:id="18" w:name="_Toc14566"/>
      <w:bookmarkStart w:id="19" w:name="_Toc2950"/>
      <w:bookmarkStart w:id="20" w:name="_Toc15678"/>
      <w:r>
        <w:rPr>
          <w:rFonts w:eastAsia="方正小标宋_GBK"/>
          <w:sz w:val="72"/>
          <w:szCs w:val="72"/>
        </w:rPr>
        <w:t>单位决算</w:t>
      </w:r>
      <w:bookmarkEnd w:id="12"/>
      <w:bookmarkEnd w:id="13"/>
      <w:bookmarkEnd w:id="14"/>
      <w:bookmarkEnd w:id="15"/>
      <w:bookmarkEnd w:id="16"/>
      <w:bookmarkEnd w:id="17"/>
      <w:bookmarkEnd w:id="18"/>
      <w:bookmarkEnd w:id="19"/>
      <w:bookmarkEnd w:id="20"/>
    </w:p>
    <w:p>
      <w:pPr>
        <w:widowControl/>
        <w:jc w:val="center"/>
        <w:rPr>
          <w:rFonts w:eastAsia="方正小标宋简体"/>
          <w:sz w:val="36"/>
          <w:szCs w:val="36"/>
        </w:rPr>
        <w:sectPr>
          <w:headerReference r:id="rId3" w:type="default"/>
          <w:footerReference r:id="rId4" w:type="default"/>
          <w:type w:val="oddPage"/>
          <w:pgSz w:w="11906" w:h="16838"/>
          <w:pgMar w:top="2098" w:right="1474" w:bottom="1985" w:left="1588" w:header="851" w:footer="1418" w:gutter="0"/>
          <w:pgNumType w:start="1"/>
          <w:cols w:space="0" w:num="1"/>
          <w:titlePg/>
          <w:docGrid w:type="lines" w:linePitch="312" w:charSpace="0"/>
        </w:sectPr>
      </w:pPr>
      <w:r>
        <w:rPr>
          <w:rFonts w:eastAsia="方正小标宋简体"/>
          <w:sz w:val="36"/>
          <w:szCs w:val="36"/>
        </w:rPr>
        <w:br w:type="page"/>
      </w:r>
    </w:p>
    <w:p>
      <w:pPr>
        <w:widowControl/>
        <w:jc w:val="center"/>
        <w:rPr>
          <w:rFonts w:eastAsia="黑体"/>
          <w:sz w:val="48"/>
          <w:szCs w:val="48"/>
        </w:rPr>
      </w:pPr>
      <w:r>
        <w:rPr>
          <w:rFonts w:eastAsia="黑体"/>
          <w:sz w:val="48"/>
          <w:szCs w:val="48"/>
        </w:rPr>
        <w:t>目  录</w:t>
      </w:r>
    </w:p>
    <w:p>
      <w:pPr>
        <w:pStyle w:val="2"/>
        <w:spacing w:before="93"/>
        <w:rPr>
          <w:rFonts w:ascii="Times New Roman"/>
          <w:sz w:val="32"/>
          <w:szCs w:val="32"/>
        </w:rPr>
      </w:pPr>
    </w:p>
    <w:p>
      <w:pPr>
        <w:pStyle w:val="11"/>
        <w:spacing w:line="580" w:lineRule="exact"/>
        <w:rPr>
          <w:rFonts w:ascii="Times New Roman" w:hAnsi="Times New Roman" w:eastAsia="仿宋_GB2312"/>
          <w:sz w:val="32"/>
          <w:szCs w:val="32"/>
        </w:rPr>
      </w:pPr>
      <w:r>
        <w:rPr>
          <w:rFonts w:ascii="Times New Roman" w:hAnsi="Times New Roman" w:eastAsia="仿宋_GB2312"/>
          <w:sz w:val="32"/>
          <w:szCs w:val="32"/>
        </w:rPr>
        <w:t>公开时间：2022年9月</w:t>
      </w: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日</w:t>
      </w:r>
    </w:p>
    <w:sdt>
      <w:sdtPr>
        <w:rPr>
          <w:rFonts w:ascii="Times New Roman" w:hAnsi="Times New Roman" w:eastAsia="宋体" w:cs="Times New Roman"/>
          <w:kern w:val="2"/>
          <w:sz w:val="21"/>
          <w:szCs w:val="24"/>
        </w:rPr>
        <w:id w:val="147479235"/>
        <w15:color w:val="DBDBDB"/>
        <w:docPartObj>
          <w:docPartGallery w:val="Table of Contents"/>
          <w:docPartUnique/>
        </w:docPartObj>
      </w:sdtPr>
      <w:sdtEndPr>
        <w:rPr>
          <w:rFonts w:ascii="Times New Roman" w:hAnsi="Times New Roman" w:eastAsia="宋体" w:cs="Times New Roman"/>
          <w:b/>
          <w:kern w:val="2"/>
          <w:sz w:val="30"/>
          <w:szCs w:val="30"/>
        </w:rPr>
      </w:sdtEndPr>
      <w:sdtContent>
        <w:p>
          <w:pPr>
            <w:pStyle w:val="32"/>
            <w:tabs>
              <w:tab w:val="right" w:leader="dot" w:pos="8789"/>
            </w:tabs>
            <w:rPr>
              <w:rFonts w:ascii="Times New Roman" w:hAnsi="Times New Roman" w:cs="Times New Roman"/>
              <w:b/>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TOC \o "1-2" \h \u </w:instrText>
          </w:r>
          <w:r>
            <w:rPr>
              <w:rFonts w:ascii="Times New Roman" w:hAnsi="Times New Roman" w:cs="Times New Roman"/>
              <w:sz w:val="30"/>
              <w:szCs w:val="30"/>
            </w:rPr>
            <w:fldChar w:fldCharType="separate"/>
          </w:r>
        </w:p>
        <w:p>
          <w:pPr>
            <w:pStyle w:val="32"/>
            <w:tabs>
              <w:tab w:val="right" w:leader="dot" w:pos="8789"/>
            </w:tabs>
            <w:jc w:val="center"/>
            <w:rPr>
              <w:rFonts w:ascii="Times New Roman" w:hAnsi="Times New Roman" w:cs="Times New Roman"/>
              <w:bCs/>
              <w:sz w:val="30"/>
              <w:szCs w:val="30"/>
            </w:rPr>
          </w:pPr>
          <w:r>
            <w:fldChar w:fldCharType="begin"/>
          </w:r>
          <w:r>
            <w:instrText xml:space="preserve"> HYPERLINK \l "_Toc15510" </w:instrText>
          </w:r>
          <w:r>
            <w:fldChar w:fldCharType="separate"/>
          </w:r>
          <w:r>
            <w:rPr>
              <w:rFonts w:ascii="Times New Roman" w:hAnsi="Times New Roman" w:eastAsia="黑体" w:cs="Times New Roman"/>
              <w:bCs/>
              <w:sz w:val="30"/>
              <w:szCs w:val="30"/>
            </w:rPr>
            <w:t>第一部分 单位概况</w:t>
          </w:r>
          <w:r>
            <w:rPr>
              <w:rFonts w:ascii="Times New Roman" w:hAnsi="Times New Roman" w:cs="Times New Roman"/>
              <w:bCs/>
              <w:sz w:val="30"/>
              <w:szCs w:val="30"/>
            </w:rPr>
            <w:tab/>
          </w:r>
          <w:r>
            <w:rPr>
              <w:rFonts w:ascii="Times New Roman" w:hAnsi="Times New Roman" w:cs="Times New Roman"/>
              <w:bCs/>
              <w:sz w:val="30"/>
              <w:szCs w:val="30"/>
            </w:rPr>
            <w:fldChar w:fldCharType="begin"/>
          </w:r>
          <w:r>
            <w:rPr>
              <w:rFonts w:ascii="Times New Roman" w:hAnsi="Times New Roman" w:cs="Times New Roman"/>
              <w:bCs/>
              <w:sz w:val="30"/>
              <w:szCs w:val="30"/>
            </w:rPr>
            <w:instrText xml:space="preserve"> PAGEREF _Toc15510 </w:instrText>
          </w:r>
          <w:r>
            <w:rPr>
              <w:rFonts w:ascii="Times New Roman" w:hAnsi="Times New Roman" w:cs="Times New Roman"/>
              <w:bCs/>
              <w:sz w:val="30"/>
              <w:szCs w:val="30"/>
            </w:rPr>
            <w:fldChar w:fldCharType="separate"/>
          </w:r>
          <w:r>
            <w:rPr>
              <w:rFonts w:ascii="Times New Roman" w:hAnsi="Times New Roman" w:cs="Times New Roman"/>
              <w:bCs/>
              <w:sz w:val="30"/>
              <w:szCs w:val="30"/>
            </w:rPr>
            <w:t>1</w:t>
          </w:r>
          <w:r>
            <w:rPr>
              <w:rFonts w:ascii="Times New Roman" w:hAnsi="Times New Roman" w:cs="Times New Roman"/>
              <w:bCs/>
              <w:sz w:val="30"/>
              <w:szCs w:val="30"/>
            </w:rPr>
            <w:fldChar w:fldCharType="end"/>
          </w:r>
          <w:r>
            <w:rPr>
              <w:rFonts w:ascii="Times New Roman" w:hAnsi="Times New Roman" w:cs="Times New Roman"/>
              <w:bCs/>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"_Toc4055" </w:instrText>
          </w:r>
          <w:r>
            <w:fldChar w:fldCharType="separate"/>
          </w:r>
          <w:r>
            <w:rPr>
              <w:rFonts w:ascii="Times New Roman" w:hAnsi="Times New Roman" w:eastAsia="仿宋_GB2312" w:cs="Times New Roman"/>
              <w:sz w:val="30"/>
              <w:szCs w:val="30"/>
            </w:rPr>
            <w:t>一、职能简介</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_Toc4055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"_Toc32361" </w:instrText>
          </w:r>
          <w:r>
            <w:fldChar w:fldCharType="separate"/>
          </w:r>
          <w:r>
            <w:rPr>
              <w:rFonts w:ascii="Times New Roman" w:hAnsi="Times New Roman" w:eastAsia="仿宋_GB2312" w:cs="Times New Roman"/>
              <w:sz w:val="30"/>
              <w:szCs w:val="30"/>
            </w:rPr>
            <w:t>二、2021年重点工作完成情况</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_Toc32361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"_Toc32361" </w:instrText>
          </w:r>
          <w:r>
            <w:fldChar w:fldCharType="separate"/>
          </w:r>
          <w:r>
            <w:rPr>
              <w:rFonts w:hint="eastAsia" w:ascii="Times New Roman" w:hAnsi="Times New Roman" w:eastAsia="仿宋_GB2312" w:cs="Times New Roman"/>
              <w:sz w:val="30"/>
              <w:szCs w:val="30"/>
              <w:lang w:eastAsia="zh-CN"/>
            </w:rPr>
            <w:t>三</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机构设置情况</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fldChar w:fldCharType="end"/>
          </w:r>
        </w:p>
        <w:p>
          <w:pPr>
            <w:pStyle w:val="32"/>
            <w:tabs>
              <w:tab w:val="right" w:leader="dot" w:pos="8789"/>
            </w:tabs>
            <w:rPr>
              <w:rFonts w:ascii="Times New Roman" w:hAnsi="Times New Roman" w:cs="Times New Roman"/>
              <w:bCs/>
              <w:sz w:val="30"/>
              <w:szCs w:val="30"/>
            </w:rPr>
          </w:pPr>
          <w:r>
            <w:fldChar w:fldCharType="begin"/>
          </w:r>
          <w:r>
            <w:instrText xml:space="preserve"> HYPERLINK \l "_Toc9509" </w:instrText>
          </w:r>
          <w:r>
            <w:fldChar w:fldCharType="separate"/>
          </w:r>
          <w:r>
            <w:rPr>
              <w:rFonts w:ascii="Times New Roman" w:hAnsi="Times New Roman" w:eastAsia="黑体" w:cs="Times New Roman"/>
              <w:bCs/>
              <w:sz w:val="30"/>
              <w:szCs w:val="30"/>
            </w:rPr>
            <w:t>第二部分 2021年度单位决算情况说明</w:t>
          </w:r>
          <w:r>
            <w:rPr>
              <w:rFonts w:ascii="Times New Roman" w:hAnsi="Times New Roman" w:cs="Times New Roman"/>
              <w:bCs/>
              <w:sz w:val="30"/>
              <w:szCs w:val="30"/>
            </w:rPr>
            <w:tab/>
          </w:r>
          <w:r>
            <w:rPr>
              <w:rFonts w:ascii="Times New Roman" w:hAnsi="Times New Roman" w:cs="Times New Roman"/>
              <w:bCs/>
              <w:sz w:val="30"/>
              <w:szCs w:val="30"/>
            </w:rPr>
            <w:fldChar w:fldCharType="begin"/>
          </w:r>
          <w:r>
            <w:rPr>
              <w:rFonts w:ascii="Times New Roman" w:hAnsi="Times New Roman" w:cs="Times New Roman"/>
              <w:bCs/>
              <w:sz w:val="30"/>
              <w:szCs w:val="30"/>
            </w:rPr>
            <w:instrText xml:space="preserve"> PAGEREF _Toc9509 </w:instrText>
          </w:r>
          <w:r>
            <w:rPr>
              <w:rFonts w:ascii="Times New Roman" w:hAnsi="Times New Roman" w:cs="Times New Roman"/>
              <w:bCs/>
              <w:sz w:val="30"/>
              <w:szCs w:val="30"/>
            </w:rPr>
            <w:fldChar w:fldCharType="separate"/>
          </w:r>
          <w:r>
            <w:rPr>
              <w:rFonts w:ascii="Times New Roman" w:hAnsi="Times New Roman" w:cs="Times New Roman"/>
              <w:bCs/>
              <w:sz w:val="30"/>
              <w:szCs w:val="30"/>
            </w:rPr>
            <w:t>4</w:t>
          </w:r>
          <w:r>
            <w:rPr>
              <w:rFonts w:ascii="Times New Roman" w:hAnsi="Times New Roman" w:cs="Times New Roman"/>
              <w:bCs/>
              <w:sz w:val="30"/>
              <w:szCs w:val="30"/>
            </w:rPr>
            <w:fldChar w:fldCharType="end"/>
          </w:r>
          <w:r>
            <w:rPr>
              <w:rFonts w:ascii="Times New Roman" w:hAnsi="Times New Roman" w:cs="Times New Roman"/>
              <w:bCs/>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"_Toc5960" </w:instrText>
          </w:r>
          <w:r>
            <w:fldChar w:fldCharType="separate"/>
          </w:r>
          <w:r>
            <w:rPr>
              <w:rFonts w:ascii="Times New Roman" w:hAnsi="Times New Roman" w:eastAsia="仿宋_GB2312" w:cs="Times New Roman"/>
              <w:sz w:val="30"/>
              <w:szCs w:val="30"/>
            </w:rPr>
            <w:t>一、收入支出决算总体情况说明</w:t>
          </w:r>
          <w:r>
            <w:rPr>
              <w:rFonts w:ascii="Times New Roman" w:hAnsi="Times New Roman" w:eastAsia="仿宋_GB2312" w:cs="Times New Roman"/>
              <w:sz w:val="30"/>
              <w:szCs w:val="30"/>
            </w:rPr>
            <w:tab/>
          </w:r>
          <w:bookmarkStart w:id="123" w:name="_GoBack"/>
          <w:bookmarkEnd w:id="123"/>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_Toc5960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"_Toc5327" </w:instrText>
          </w:r>
          <w:r>
            <w:fldChar w:fldCharType="separate"/>
          </w:r>
          <w:r>
            <w:rPr>
              <w:rFonts w:ascii="Times New Roman" w:hAnsi="Times New Roman" w:eastAsia="仿宋_GB2312" w:cs="Times New Roman"/>
              <w:sz w:val="30"/>
              <w:szCs w:val="30"/>
            </w:rPr>
            <w:t>二、收入决算情况说明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_Toc5327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"_Toc19351" </w:instrText>
          </w:r>
          <w:r>
            <w:fldChar w:fldCharType="separate"/>
          </w:r>
          <w:r>
            <w:rPr>
              <w:rFonts w:ascii="Times New Roman" w:hAnsi="Times New Roman" w:eastAsia="仿宋_GB2312" w:cs="Times New Roman"/>
              <w:sz w:val="30"/>
              <w:szCs w:val="30"/>
            </w:rPr>
            <w:t>三、支出决算情况说明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_Toc19351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"_Toc22425" </w:instrText>
          </w:r>
          <w:r>
            <w:fldChar w:fldCharType="separate"/>
          </w:r>
          <w:r>
            <w:rPr>
              <w:rFonts w:ascii="Times New Roman" w:hAnsi="Times New Roman" w:eastAsia="仿宋_GB2312" w:cs="Times New Roman"/>
              <w:sz w:val="30"/>
              <w:szCs w:val="30"/>
            </w:rPr>
            <w:t>四、财政拨款收入支出决算总体情况说明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_Toc22425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"_Toc10037" </w:instrText>
          </w:r>
          <w:r>
            <w:fldChar w:fldCharType="separate"/>
          </w:r>
          <w:r>
            <w:rPr>
              <w:rFonts w:ascii="Times New Roman" w:hAnsi="Times New Roman" w:eastAsia="仿宋_GB2312" w:cs="Times New Roman"/>
              <w:sz w:val="30"/>
              <w:szCs w:val="30"/>
            </w:rPr>
            <w:t>五、一般公共预算财政拨款支出决算情况说明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_Toc10037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"_Toc3943" </w:instrText>
          </w:r>
          <w:r>
            <w:fldChar w:fldCharType="separate"/>
          </w:r>
          <w:r>
            <w:rPr>
              <w:rFonts w:ascii="Times New Roman" w:hAnsi="Times New Roman" w:eastAsia="仿宋_GB2312" w:cs="Times New Roman"/>
              <w:sz w:val="30"/>
              <w:szCs w:val="30"/>
            </w:rPr>
            <w:t>六、一般公共预算财政拨款基本支出决算情况说明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_Toc3943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8</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"_Toc31730" </w:instrText>
          </w:r>
          <w:r>
            <w:fldChar w:fldCharType="separate"/>
          </w:r>
          <w:r>
            <w:rPr>
              <w:rFonts w:ascii="Times New Roman" w:hAnsi="Times New Roman" w:eastAsia="仿宋_GB2312" w:cs="Times New Roman"/>
              <w:sz w:val="30"/>
              <w:szCs w:val="30"/>
            </w:rPr>
            <w:t>七、“三公”经费财政拨款支出决算情况说明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_Toc31730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8</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"_Toc2141" </w:instrText>
          </w:r>
          <w:r>
            <w:fldChar w:fldCharType="separate"/>
          </w:r>
          <w:r>
            <w:rPr>
              <w:rFonts w:ascii="Times New Roman" w:hAnsi="Times New Roman" w:eastAsia="仿宋_GB2312" w:cs="Times New Roman"/>
              <w:sz w:val="30"/>
              <w:szCs w:val="30"/>
            </w:rPr>
            <w:t>八、政府性基金预算支出决算情况说明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_Toc2141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"_Toc26795" </w:instrText>
          </w:r>
          <w:r>
            <w:fldChar w:fldCharType="separate"/>
          </w:r>
          <w:r>
            <w:rPr>
              <w:rFonts w:ascii="Times New Roman" w:hAnsi="Times New Roman" w:eastAsia="仿宋_GB2312" w:cs="Times New Roman"/>
              <w:sz w:val="30"/>
              <w:szCs w:val="30"/>
            </w:rPr>
            <w:t>九、国有资本经营预算支出决算情况说明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_Toc26795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cs="Times New Roman"/>
              <w:sz w:val="30"/>
              <w:szCs w:val="30"/>
            </w:rPr>
          </w:pPr>
          <w:r>
            <w:fldChar w:fldCharType="begin"/>
          </w:r>
          <w:r>
            <w:instrText xml:space="preserve"> HYPERLINK \l "_Toc1029" </w:instrText>
          </w:r>
          <w:r>
            <w:fldChar w:fldCharType="separate"/>
          </w:r>
          <w:r>
            <w:rPr>
              <w:rFonts w:ascii="Times New Roman" w:hAnsi="Times New Roman" w:eastAsia="仿宋_GB2312" w:cs="Times New Roman"/>
              <w:sz w:val="30"/>
              <w:szCs w:val="30"/>
            </w:rPr>
            <w:t>十、其他重要事项的情况说明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_Toc1029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2"/>
            <w:tabs>
              <w:tab w:val="right" w:leader="dot" w:pos="8789"/>
            </w:tabs>
            <w:rPr>
              <w:rFonts w:ascii="Times New Roman" w:hAnsi="Times New Roman" w:cs="Times New Roman"/>
              <w:bCs/>
              <w:sz w:val="30"/>
              <w:szCs w:val="30"/>
            </w:rPr>
          </w:pPr>
          <w:r>
            <w:fldChar w:fldCharType="begin"/>
          </w:r>
          <w:r>
            <w:instrText xml:space="preserve"> HYPERLINK \l "_Toc22106" </w:instrText>
          </w:r>
          <w:r>
            <w:fldChar w:fldCharType="separate"/>
          </w:r>
          <w:r>
            <w:rPr>
              <w:rFonts w:ascii="Times New Roman" w:hAnsi="Times New Roman" w:eastAsia="黑体" w:cs="Times New Roman"/>
              <w:bCs/>
              <w:sz w:val="30"/>
              <w:szCs w:val="30"/>
            </w:rPr>
            <w:t>第三部分 名词解释</w:t>
          </w:r>
          <w:r>
            <w:rPr>
              <w:rFonts w:ascii="Times New Roman" w:hAnsi="Times New Roman" w:cs="Times New Roman"/>
              <w:bCs/>
              <w:sz w:val="30"/>
              <w:szCs w:val="30"/>
            </w:rPr>
            <w:tab/>
          </w:r>
          <w:r>
            <w:rPr>
              <w:rFonts w:ascii="Times New Roman" w:hAnsi="Times New Roman" w:cs="Times New Roman"/>
              <w:bCs/>
              <w:sz w:val="30"/>
              <w:szCs w:val="30"/>
            </w:rPr>
            <w:fldChar w:fldCharType="begin"/>
          </w:r>
          <w:r>
            <w:rPr>
              <w:rFonts w:ascii="Times New Roman" w:hAnsi="Times New Roman" w:cs="Times New Roman"/>
              <w:bCs/>
              <w:sz w:val="30"/>
              <w:szCs w:val="30"/>
            </w:rPr>
            <w:instrText xml:space="preserve"> PAGEREF _Toc22106 </w:instrText>
          </w:r>
          <w:r>
            <w:rPr>
              <w:rFonts w:ascii="Times New Roman" w:hAnsi="Times New Roman" w:cs="Times New Roman"/>
              <w:bCs/>
              <w:sz w:val="30"/>
              <w:szCs w:val="30"/>
            </w:rPr>
            <w:fldChar w:fldCharType="separate"/>
          </w:r>
          <w:r>
            <w:rPr>
              <w:rFonts w:ascii="Times New Roman" w:hAnsi="Times New Roman" w:cs="Times New Roman"/>
              <w:bCs/>
              <w:sz w:val="30"/>
              <w:szCs w:val="30"/>
            </w:rPr>
            <w:t>12</w:t>
          </w:r>
          <w:r>
            <w:rPr>
              <w:rFonts w:ascii="Times New Roman" w:hAnsi="Times New Roman" w:cs="Times New Roman"/>
              <w:bCs/>
              <w:sz w:val="30"/>
              <w:szCs w:val="30"/>
            </w:rPr>
            <w:fldChar w:fldCharType="end"/>
          </w:r>
          <w:r>
            <w:rPr>
              <w:rFonts w:ascii="Times New Roman" w:hAnsi="Times New Roman" w:cs="Times New Roman"/>
              <w:bCs/>
              <w:sz w:val="30"/>
              <w:szCs w:val="30"/>
            </w:rPr>
            <w:fldChar w:fldCharType="end"/>
          </w:r>
        </w:p>
        <w:p>
          <w:pPr>
            <w:pStyle w:val="32"/>
            <w:tabs>
              <w:tab w:val="right" w:leader="dot" w:pos="8789"/>
            </w:tabs>
            <w:rPr>
              <w:rFonts w:ascii="Times New Roman" w:hAnsi="Times New Roman" w:cs="Times New Roman"/>
              <w:bCs/>
              <w:sz w:val="30"/>
              <w:szCs w:val="30"/>
            </w:rPr>
          </w:pPr>
          <w:r>
            <w:fldChar w:fldCharType="begin"/>
          </w:r>
          <w:r>
            <w:instrText xml:space="preserve"> HYPERLINK \l "_Toc9890" </w:instrText>
          </w:r>
          <w:r>
            <w:fldChar w:fldCharType="separate"/>
          </w:r>
          <w:r>
            <w:rPr>
              <w:rFonts w:ascii="Times New Roman" w:hAnsi="Times New Roman" w:eastAsia="黑体" w:cs="Times New Roman"/>
              <w:bCs/>
              <w:sz w:val="30"/>
              <w:szCs w:val="30"/>
            </w:rPr>
            <w:t>第四部分 附件</w:t>
          </w:r>
          <w:r>
            <w:rPr>
              <w:rFonts w:ascii="Times New Roman" w:hAnsi="Times New Roman" w:cs="Times New Roman"/>
              <w:bCs/>
              <w:sz w:val="30"/>
              <w:szCs w:val="30"/>
            </w:rPr>
            <w:tab/>
          </w:r>
          <w:r>
            <w:rPr>
              <w:rFonts w:ascii="Times New Roman" w:hAnsi="Times New Roman" w:cs="Times New Roman"/>
              <w:bCs/>
              <w:sz w:val="30"/>
              <w:szCs w:val="30"/>
            </w:rPr>
            <w:fldChar w:fldCharType="begin"/>
          </w:r>
          <w:r>
            <w:rPr>
              <w:rFonts w:ascii="Times New Roman" w:hAnsi="Times New Roman" w:cs="Times New Roman"/>
              <w:bCs/>
              <w:sz w:val="30"/>
              <w:szCs w:val="30"/>
            </w:rPr>
            <w:instrText xml:space="preserve"> PAGEREF _Toc9890 </w:instrText>
          </w:r>
          <w:r>
            <w:rPr>
              <w:rFonts w:ascii="Times New Roman" w:hAnsi="Times New Roman" w:cs="Times New Roman"/>
              <w:bCs/>
              <w:sz w:val="30"/>
              <w:szCs w:val="30"/>
            </w:rPr>
            <w:fldChar w:fldCharType="separate"/>
          </w:r>
          <w:r>
            <w:rPr>
              <w:rFonts w:ascii="Times New Roman" w:hAnsi="Times New Roman" w:cs="Times New Roman"/>
              <w:bCs/>
              <w:sz w:val="30"/>
              <w:szCs w:val="30"/>
            </w:rPr>
            <w:t>15</w:t>
          </w:r>
          <w:r>
            <w:rPr>
              <w:rFonts w:ascii="Times New Roman" w:hAnsi="Times New Roman" w:cs="Times New Roman"/>
              <w:bCs/>
              <w:sz w:val="30"/>
              <w:szCs w:val="30"/>
            </w:rPr>
            <w:fldChar w:fldCharType="end"/>
          </w:r>
          <w:r>
            <w:rPr>
              <w:rFonts w:ascii="Times New Roman" w:hAnsi="Times New Roman" w:cs="Times New Roman"/>
              <w:bCs/>
              <w:sz w:val="30"/>
              <w:szCs w:val="30"/>
            </w:rPr>
            <w:fldChar w:fldCharType="end"/>
          </w:r>
        </w:p>
        <w:p>
          <w:pPr>
            <w:pStyle w:val="32"/>
            <w:tabs>
              <w:tab w:val="right" w:leader="dot" w:pos="8789"/>
            </w:tabs>
            <w:rPr>
              <w:rFonts w:ascii="Times New Roman" w:hAnsi="Times New Roman" w:cs="Times New Roman"/>
              <w:b/>
              <w:sz w:val="30"/>
              <w:szCs w:val="30"/>
            </w:rPr>
          </w:pPr>
          <w:r>
            <w:fldChar w:fldCharType="begin"/>
          </w:r>
          <w:r>
            <w:instrText xml:space="preserve"> HYPERLINK \l "_Toc671" </w:instrText>
          </w:r>
          <w:r>
            <w:fldChar w:fldCharType="separate"/>
          </w:r>
          <w:r>
            <w:rPr>
              <w:rFonts w:ascii="Times New Roman" w:hAnsi="Times New Roman" w:eastAsia="黑体" w:cs="Times New Roman"/>
              <w:bCs/>
              <w:sz w:val="30"/>
              <w:szCs w:val="30"/>
            </w:rPr>
            <w:t>第五部分 附表</w:t>
          </w:r>
          <w:r>
            <w:rPr>
              <w:rFonts w:ascii="Times New Roman" w:hAnsi="Times New Roman" w:cs="Times New Roman"/>
              <w:bCs/>
              <w:sz w:val="30"/>
              <w:szCs w:val="30"/>
            </w:rPr>
            <w:tab/>
          </w:r>
          <w:r>
            <w:rPr>
              <w:rFonts w:ascii="Times New Roman" w:hAnsi="Times New Roman" w:cs="Times New Roman"/>
              <w:bCs/>
              <w:sz w:val="30"/>
              <w:szCs w:val="30"/>
            </w:rPr>
            <w:fldChar w:fldCharType="begin"/>
          </w:r>
          <w:r>
            <w:rPr>
              <w:rFonts w:ascii="Times New Roman" w:hAnsi="Times New Roman" w:cs="Times New Roman"/>
              <w:bCs/>
              <w:sz w:val="30"/>
              <w:szCs w:val="30"/>
            </w:rPr>
            <w:instrText xml:space="preserve"> PAGEREF _Toc671 </w:instrText>
          </w:r>
          <w:r>
            <w:rPr>
              <w:rFonts w:ascii="Times New Roman" w:hAnsi="Times New Roman" w:cs="Times New Roman"/>
              <w:bCs/>
              <w:sz w:val="30"/>
              <w:szCs w:val="30"/>
            </w:rPr>
            <w:fldChar w:fldCharType="separate"/>
          </w:r>
          <w:r>
            <w:rPr>
              <w:rFonts w:ascii="Times New Roman" w:hAnsi="Times New Roman" w:cs="Times New Roman"/>
              <w:bCs/>
              <w:sz w:val="30"/>
              <w:szCs w:val="30"/>
            </w:rPr>
            <w:t>16</w:t>
          </w:r>
          <w:r>
            <w:rPr>
              <w:rFonts w:ascii="Times New Roman" w:hAnsi="Times New Roman" w:cs="Times New Roman"/>
              <w:bCs/>
              <w:sz w:val="30"/>
              <w:szCs w:val="30"/>
            </w:rPr>
            <w:fldChar w:fldCharType="end"/>
          </w:r>
          <w:r>
            <w:rPr>
              <w:rFonts w:ascii="Times New Roman" w:hAnsi="Times New Roman" w:cs="Times New Roman"/>
              <w:bCs/>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"_Toc24602" </w:instrText>
          </w:r>
          <w:r>
            <w:fldChar w:fldCharType="separate"/>
          </w:r>
          <w:r>
            <w:rPr>
              <w:rFonts w:ascii="Times New Roman" w:hAnsi="Times New Roman" w:eastAsia="仿宋_GB2312" w:cs="Times New Roman"/>
              <w:sz w:val="30"/>
              <w:szCs w:val="30"/>
            </w:rPr>
            <w:t>一、收入支出决算总表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_Toc24602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"_Toc11142" </w:instrText>
          </w:r>
          <w:r>
            <w:fldChar w:fldCharType="separate"/>
          </w:r>
          <w:r>
            <w:rPr>
              <w:rFonts w:ascii="Times New Roman" w:hAnsi="Times New Roman" w:eastAsia="仿宋_GB2312" w:cs="Times New Roman"/>
              <w:sz w:val="30"/>
              <w:szCs w:val="30"/>
            </w:rPr>
            <w:t>二、收入决算表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_Toc11142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"_Toc13590" </w:instrText>
          </w:r>
          <w:r>
            <w:fldChar w:fldCharType="separate"/>
          </w:r>
          <w:r>
            <w:rPr>
              <w:rFonts w:ascii="Times New Roman" w:hAnsi="Times New Roman" w:eastAsia="仿宋_GB2312" w:cs="Times New Roman"/>
              <w:sz w:val="30"/>
              <w:szCs w:val="30"/>
            </w:rPr>
            <w:t>三、支出决算表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_Toc13590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"_Toc20126" </w:instrText>
          </w:r>
          <w:r>
            <w:fldChar w:fldCharType="separate"/>
          </w:r>
          <w:r>
            <w:rPr>
              <w:rFonts w:ascii="Times New Roman" w:hAnsi="Times New Roman" w:eastAsia="仿宋_GB2312" w:cs="Times New Roman"/>
              <w:sz w:val="30"/>
              <w:szCs w:val="30"/>
            </w:rPr>
            <w:t>四、财政拨款收入支出决算总表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_Toc20126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"_Toc12877" </w:instrText>
          </w:r>
          <w:r>
            <w:fldChar w:fldCharType="separate"/>
          </w:r>
          <w:r>
            <w:rPr>
              <w:rFonts w:ascii="Times New Roman" w:hAnsi="Times New Roman" w:eastAsia="仿宋_GB2312" w:cs="Times New Roman"/>
              <w:sz w:val="30"/>
              <w:szCs w:val="30"/>
            </w:rPr>
            <w:t>五、财政拨款支出决算明细表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_Toc12877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"_Toc15769" </w:instrText>
          </w:r>
          <w:r>
            <w:fldChar w:fldCharType="separate"/>
          </w:r>
          <w:r>
            <w:rPr>
              <w:rFonts w:ascii="Times New Roman" w:hAnsi="Times New Roman" w:eastAsia="仿宋_GB2312" w:cs="Times New Roman"/>
              <w:sz w:val="30"/>
              <w:szCs w:val="30"/>
            </w:rPr>
            <w:t>六、一般公共预算财政拨款支出决算表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_Toc15769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"_Toc25373" </w:instrText>
          </w:r>
          <w:r>
            <w:fldChar w:fldCharType="separate"/>
          </w:r>
          <w:r>
            <w:rPr>
              <w:rFonts w:ascii="Times New Roman" w:hAnsi="Times New Roman" w:eastAsia="仿宋_GB2312" w:cs="Times New Roman"/>
              <w:sz w:val="30"/>
              <w:szCs w:val="30"/>
            </w:rPr>
            <w:t>七、一般公共预算财政拨款支出决算明细表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_Toc25373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"_Toc7431" </w:instrText>
          </w:r>
          <w:r>
            <w:fldChar w:fldCharType="separate"/>
          </w:r>
          <w:r>
            <w:rPr>
              <w:rFonts w:ascii="Times New Roman" w:hAnsi="Times New Roman" w:eastAsia="仿宋_GB2312" w:cs="Times New Roman"/>
              <w:sz w:val="30"/>
              <w:szCs w:val="30"/>
            </w:rPr>
            <w:t>八、一般公共预算财政拨款基本支出决算表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_Toc7431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"_Toc11734" </w:instrText>
          </w:r>
          <w:r>
            <w:fldChar w:fldCharType="separate"/>
          </w:r>
          <w:r>
            <w:rPr>
              <w:rFonts w:ascii="Times New Roman" w:hAnsi="Times New Roman" w:eastAsia="仿宋_GB2312" w:cs="Times New Roman"/>
              <w:sz w:val="30"/>
              <w:szCs w:val="30"/>
            </w:rPr>
            <w:t>九、一般公共预算财政拨款项目支出决算表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_Toc11734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"_Toc17910" </w:instrText>
          </w:r>
          <w:r>
            <w:fldChar w:fldCharType="separate"/>
          </w:r>
          <w:r>
            <w:rPr>
              <w:rFonts w:ascii="Times New Roman" w:hAnsi="Times New Roman" w:eastAsia="仿宋_GB2312" w:cs="Times New Roman"/>
              <w:sz w:val="30"/>
              <w:szCs w:val="30"/>
            </w:rPr>
            <w:t>十、一般公共预算财政拨款“三公”经费支出决算表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_Toc17910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"_Toc19294" </w:instrText>
          </w:r>
          <w:r>
            <w:fldChar w:fldCharType="separate"/>
          </w:r>
          <w:r>
            <w:rPr>
              <w:rFonts w:ascii="Times New Roman" w:hAnsi="Times New Roman" w:eastAsia="仿宋_GB2312" w:cs="Times New Roman"/>
              <w:sz w:val="30"/>
              <w:szCs w:val="30"/>
            </w:rPr>
            <w:t>十一、政府性基金预算财政拨款收入支出决算表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_Toc19294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"_Toc2424" </w:instrText>
          </w:r>
          <w:r>
            <w:fldChar w:fldCharType="separate"/>
          </w:r>
          <w:r>
            <w:rPr>
              <w:rFonts w:ascii="Times New Roman" w:hAnsi="Times New Roman" w:eastAsia="仿宋_GB2312" w:cs="Times New Roman"/>
              <w:sz w:val="30"/>
              <w:szCs w:val="30"/>
            </w:rPr>
            <w:t>十二、政府性基金预算财政拨款“三公”经费支出决算表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_Toc2424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eastAsia="仿宋_GB2312" w:cs="Times New Roman"/>
              <w:sz w:val="30"/>
              <w:szCs w:val="30"/>
            </w:rPr>
          </w:pPr>
          <w:r>
            <w:fldChar w:fldCharType="begin"/>
          </w:r>
          <w:r>
            <w:instrText xml:space="preserve"> HYPERLINK \l "_Toc32039" </w:instrText>
          </w:r>
          <w:r>
            <w:fldChar w:fldCharType="separate"/>
          </w:r>
          <w:r>
            <w:rPr>
              <w:rFonts w:ascii="Times New Roman" w:hAnsi="Times New Roman" w:eastAsia="仿宋_GB2312" w:cs="Times New Roman"/>
              <w:sz w:val="30"/>
              <w:szCs w:val="30"/>
            </w:rPr>
            <w:t>十三、国有资本经营预算财政拨款收入支出决算表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_Toc32039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33"/>
            <w:tabs>
              <w:tab w:val="right" w:leader="dot" w:pos="8789"/>
            </w:tabs>
            <w:ind w:left="420"/>
            <w:rPr>
              <w:rFonts w:ascii="Times New Roman" w:hAnsi="Times New Roman" w:cs="Times New Roman"/>
              <w:sz w:val="30"/>
              <w:szCs w:val="30"/>
            </w:rPr>
          </w:pPr>
          <w:r>
            <w:fldChar w:fldCharType="begin"/>
          </w:r>
          <w:r>
            <w:instrText xml:space="preserve"> HYPERLINK \l "_Toc3414" </w:instrText>
          </w:r>
          <w:r>
            <w:fldChar w:fldCharType="separate"/>
          </w:r>
          <w:r>
            <w:rPr>
              <w:rFonts w:ascii="Times New Roman" w:hAnsi="Times New Roman" w:eastAsia="仿宋_GB2312" w:cs="Times New Roman"/>
              <w:sz w:val="30"/>
              <w:szCs w:val="30"/>
            </w:rPr>
            <w:t>十四、国有资本经营预算财政拨款支出决算表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_Toc3414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tabs>
              <w:tab w:val="right" w:leader="dot" w:pos="8789"/>
            </w:tabs>
            <w:rPr>
              <w:sz w:val="30"/>
              <w:szCs w:val="30"/>
            </w:rPr>
          </w:pPr>
          <w:r>
            <w:rPr>
              <w:b/>
              <w:sz w:val="30"/>
              <w:szCs w:val="30"/>
            </w:rPr>
            <w:fldChar w:fldCharType="end"/>
          </w:r>
        </w:p>
      </w:sdtContent>
    </w:sdt>
    <w:p>
      <w:pPr>
        <w:pStyle w:val="11"/>
        <w:adjustRightInd w:val="0"/>
        <w:snapToGrid w:val="0"/>
        <w:spacing w:before="0" w:line="440" w:lineRule="exact"/>
        <w:jc w:val="left"/>
        <w:rPr>
          <w:rFonts w:ascii="Times New Roman" w:hAnsi="Times New Roman"/>
          <w:sz w:val="30"/>
          <w:szCs w:val="30"/>
        </w:rPr>
      </w:pPr>
    </w:p>
    <w:p>
      <w:pPr>
        <w:pStyle w:val="11"/>
        <w:adjustRightInd w:val="0"/>
        <w:snapToGrid w:val="0"/>
        <w:spacing w:before="0" w:line="440" w:lineRule="exact"/>
        <w:jc w:val="left"/>
        <w:rPr>
          <w:rFonts w:ascii="Times New Roman" w:hAnsi="Times New Roman"/>
        </w:rPr>
      </w:pPr>
    </w:p>
    <w:p>
      <w:pPr>
        <w:pStyle w:val="3"/>
        <w:jc w:val="center"/>
        <w:rPr>
          <w:rFonts w:eastAsia="黑体"/>
          <w:b w:val="0"/>
        </w:rPr>
        <w:sectPr>
          <w:footerReference r:id="rId5" w:type="default"/>
          <w:footerReference r:id="rId6" w:type="even"/>
          <w:type w:val="evenPage"/>
          <w:pgSz w:w="11906" w:h="16838"/>
          <w:pgMar w:top="2098" w:right="1474" w:bottom="1985" w:left="1588" w:header="851" w:footer="1418" w:gutter="0"/>
          <w:pgNumType w:start="1"/>
          <w:cols w:space="0" w:num="1"/>
          <w:docGrid w:type="lines" w:linePitch="312" w:charSpace="0"/>
        </w:sectPr>
      </w:pPr>
      <w:bookmarkStart w:id="21" w:name="_Toc15377196"/>
      <w:bookmarkStart w:id="22" w:name="_Toc15396599"/>
    </w:p>
    <w:p>
      <w:pPr>
        <w:pStyle w:val="3"/>
        <w:spacing w:line="580" w:lineRule="exact"/>
        <w:jc w:val="center"/>
        <w:rPr>
          <w:rFonts w:eastAsia="黑体"/>
          <w:sz w:val="32"/>
          <w:szCs w:val="32"/>
        </w:rPr>
      </w:pPr>
      <w:bookmarkStart w:id="23" w:name="_Toc4406"/>
      <w:bookmarkStart w:id="24" w:name="_Toc15510"/>
      <w:r>
        <w:rPr>
          <w:rFonts w:eastAsia="黑体"/>
          <w:b w:val="0"/>
        </w:rPr>
        <w:t>第一部分 单位</w:t>
      </w:r>
      <w:r>
        <w:rPr>
          <w:rStyle w:val="26"/>
          <w:rFonts w:eastAsia="黑体"/>
          <w:b w:val="0"/>
          <w:bCs w:val="0"/>
        </w:rPr>
        <w:t>概况</w:t>
      </w:r>
      <w:bookmarkEnd w:id="21"/>
      <w:bookmarkEnd w:id="22"/>
      <w:bookmarkEnd w:id="23"/>
      <w:bookmarkEnd w:id="24"/>
    </w:p>
    <w:p>
      <w:pPr>
        <w:pStyle w:val="4"/>
        <w:numPr>
          <w:ilvl w:val="255"/>
          <w:numId w:val="0"/>
        </w:numPr>
        <w:spacing w:before="0" w:after="0" w:line="580" w:lineRule="exact"/>
        <w:ind w:firstLine="640" w:firstLineChars="200"/>
        <w:rPr>
          <w:rFonts w:ascii="Times New Roman" w:hAnsi="Times New Roman" w:cs="Times New Roman"/>
        </w:rPr>
      </w:pPr>
      <w:bookmarkStart w:id="25" w:name="_Toc15660"/>
      <w:bookmarkStart w:id="26" w:name="_Toc4055"/>
      <w:bookmarkStart w:id="27" w:name="_Toc15396600"/>
      <w:bookmarkStart w:id="28" w:name="_Toc15377197"/>
      <w:r>
        <w:rPr>
          <w:rStyle w:val="27"/>
          <w:rFonts w:ascii="Times New Roman" w:hAnsi="Times New Roman" w:eastAsia="黑体" w:cs="Times New Roman"/>
          <w:b w:val="0"/>
          <w:bCs w:val="0"/>
        </w:rPr>
        <w:t>一、职能简介</w:t>
      </w:r>
      <w:bookmarkEnd w:id="25"/>
      <w:bookmarkEnd w:id="26"/>
    </w:p>
    <w:p>
      <w:pPr>
        <w:spacing w:line="580" w:lineRule="exact"/>
        <w:ind w:firstLine="640" w:firstLineChars="200"/>
      </w:pPr>
      <w:r>
        <w:rPr>
          <w:rFonts w:eastAsia="仿宋_GB2312"/>
          <w:sz w:val="32"/>
          <w:szCs w:val="32"/>
        </w:rPr>
        <w:t>省</w:t>
      </w:r>
      <w:r>
        <w:rPr>
          <w:rFonts w:eastAsia="仿宋_GB2312"/>
          <w:spacing w:val="-6"/>
          <w:sz w:val="32"/>
          <w:szCs w:val="32"/>
        </w:rPr>
        <w:t>社保局负责全省养老、工伤保险经办工作的综合指导和管理；会同有关部门实施全民参保计划并参与建立全国统一的社会保险公共服务平台；负责社会保险基金省级统筹管理及职业年金基金省级管理工作；指导全省社会保险经办机构风险防控工作，组织开展风险评估和内控监督检查；指导全省社会保险基础数据库建设应用，负责全省社会保险统计、精算工作；承担省属机关事业单位和中央行业管理移交企业的养老、工伤以及中央在川机关事业单位养老保险经办服务工作；承担主管部门交办的其他工作。</w:t>
      </w:r>
    </w:p>
    <w:p>
      <w:pPr>
        <w:pStyle w:val="4"/>
        <w:numPr>
          <w:ilvl w:val="255"/>
          <w:numId w:val="0"/>
        </w:numPr>
        <w:spacing w:before="0" w:after="0" w:line="580" w:lineRule="exact"/>
        <w:ind w:firstLine="640" w:firstLineChars="200"/>
        <w:rPr>
          <w:rFonts w:ascii="Times New Roman" w:hAnsi="Times New Roman" w:eastAsia="黑体" w:cs="Times New Roman"/>
          <w:b w:val="0"/>
        </w:rPr>
      </w:pPr>
      <w:bookmarkStart w:id="29" w:name="_Toc32361"/>
      <w:bookmarkStart w:id="30" w:name="_Toc28358"/>
      <w:r>
        <w:rPr>
          <w:rFonts w:ascii="Times New Roman" w:hAnsi="Times New Roman" w:eastAsia="黑体" w:cs="Times New Roman"/>
          <w:b w:val="0"/>
        </w:rPr>
        <w:t>二、2021年重点工作</w:t>
      </w:r>
      <w:bookmarkEnd w:id="27"/>
      <w:bookmarkEnd w:id="28"/>
      <w:r>
        <w:rPr>
          <w:rFonts w:ascii="Times New Roman" w:hAnsi="Times New Roman" w:eastAsia="黑体" w:cs="Times New Roman"/>
          <w:b w:val="0"/>
        </w:rPr>
        <w:t>完成情况</w:t>
      </w:r>
      <w:bookmarkEnd w:id="29"/>
      <w:bookmarkEnd w:id="30"/>
    </w:p>
    <w:p>
      <w:pPr>
        <w:ind w:firstLine="640" w:firstLineChars="200"/>
        <w:rPr>
          <w:rFonts w:eastAsia="仿宋_GB2312"/>
          <w:sz w:val="32"/>
          <w:szCs w:val="32"/>
        </w:rPr>
      </w:pPr>
      <w:r>
        <w:rPr>
          <w:rFonts w:eastAsia="黑体"/>
          <w:sz w:val="32"/>
          <w:szCs w:val="32"/>
        </w:rPr>
        <w:t>一是全力推动社保改革及民生保障任务落实。</w:t>
      </w:r>
      <w:r>
        <w:rPr>
          <w:rFonts w:eastAsia="仿宋_GB2312"/>
          <w:sz w:val="32"/>
          <w:szCs w:val="32"/>
        </w:rPr>
        <w:t>规范实施企保省级统收统支并通过国家验收。推进完成2016-2021年度机保退休“中人”待遇兑现。争取中央财政补助资金，完成950万退休人员待遇调整工作。</w:t>
      </w:r>
      <w:r>
        <w:rPr>
          <w:rFonts w:eastAsia="仿宋_GB2312"/>
          <w:bCs/>
          <w:sz w:val="32"/>
          <w:szCs w:val="32"/>
        </w:rPr>
        <w:t>实施全民参保计划，全省养老、工伤保险参保人数分别达到6300万、1400万。将</w:t>
      </w:r>
      <w:r>
        <w:rPr>
          <w:rFonts w:eastAsia="仿宋_GB2312"/>
          <w:sz w:val="32"/>
          <w:szCs w:val="32"/>
        </w:rPr>
        <w:t>219.4万困难群体全部纳入城居保代缴范围，巩固社保扶贫成果，助力乡村振兴。做好长江退捕渔民参加养老保险和退役士兵补缴养老保险工作。探索建立职业年金风控体系的经验做法被部社保中心印发各省交流。扎实开展社保基金管理问题专项整治，主动筛查下发疑点数据和增加核查内容，充分发挥风控信息系统功能作用和数据稽核质效。</w:t>
      </w:r>
    </w:p>
    <w:p>
      <w:pPr>
        <w:spacing w:line="580" w:lineRule="exact"/>
        <w:ind w:firstLine="640" w:firstLineChars="200"/>
        <w:rPr>
          <w:rFonts w:eastAsia="仿宋_GB2312"/>
          <w:sz w:val="32"/>
          <w:szCs w:val="32"/>
        </w:rPr>
      </w:pPr>
      <w:r>
        <w:rPr>
          <w:rFonts w:eastAsia="黑体"/>
          <w:sz w:val="32"/>
          <w:szCs w:val="32"/>
        </w:rPr>
        <w:t>二是扎实推进社保经办管理服务提质增效。</w:t>
      </w:r>
      <w:r>
        <w:rPr>
          <w:rFonts w:eastAsia="仿宋_GB2312"/>
          <w:sz w:val="32"/>
          <w:szCs w:val="32"/>
        </w:rPr>
        <w:t>持续推进社保经办服务标准化建设，推动实现社保公共服务全省“无差别受理、同标准办理”，“全省通办”“</w:t>
      </w:r>
      <w:r>
        <w:rPr>
          <w:rFonts w:eastAsia="仿宋_GB2312"/>
          <w:sz w:val="32"/>
          <w:szCs w:val="32"/>
          <w:lang w:val="en"/>
        </w:rPr>
        <w:t>跨省通办</w:t>
      </w:r>
      <w:r>
        <w:rPr>
          <w:rFonts w:eastAsia="仿宋_GB2312"/>
          <w:sz w:val="32"/>
          <w:szCs w:val="32"/>
        </w:rPr>
        <w:t>”</w:t>
      </w:r>
      <w:r>
        <w:rPr>
          <w:rFonts w:eastAsia="仿宋_GB2312"/>
          <w:sz w:val="32"/>
          <w:szCs w:val="32"/>
          <w:lang w:val="en"/>
        </w:rPr>
        <w:t>“</w:t>
      </w:r>
      <w:r>
        <w:rPr>
          <w:rFonts w:eastAsia="仿宋_GB2312"/>
          <w:sz w:val="32"/>
          <w:szCs w:val="32"/>
        </w:rPr>
        <w:t>全程网办</w:t>
      </w:r>
      <w:r>
        <w:rPr>
          <w:rFonts w:eastAsia="仿宋_GB2312"/>
          <w:sz w:val="32"/>
          <w:szCs w:val="32"/>
          <w:lang w:val="en"/>
        </w:rPr>
        <w:t>”</w:t>
      </w:r>
      <w:r>
        <w:rPr>
          <w:rFonts w:eastAsia="仿宋_GB2312"/>
          <w:sz w:val="32"/>
          <w:szCs w:val="32"/>
        </w:rPr>
        <w:t>“一网通办”水平进一步提升。在省本级和20个市州上线标准版社保信息系统，会同成都市全力推进省市共建版社保信息系统建设。主动与司法、民政、公安、医保、残联、大数据综合管理等部门签订数据共享协议，推动社保数据质量整改提升，开展数据稽核和共享应用。协调医保部门有序推进工伤医疗费用联网结算。深入推进川渝社保协同，在全国率先开展企业职工养老保险关系转移资金定期结算，牵头负责的3项川渝人社合作“十件实事”任务和18项社保协同发展重点工作全面完成，8项社保公共服务全部实现川渝通办。</w:t>
      </w:r>
    </w:p>
    <w:p>
      <w:pPr>
        <w:pStyle w:val="13"/>
        <w:spacing w:line="580" w:lineRule="exact"/>
        <w:ind w:firstLine="652"/>
        <w:rPr>
          <w:rFonts w:eastAsia="仿宋_GB2312"/>
          <w:b w:val="0"/>
          <w:bCs/>
          <w:szCs w:val="32"/>
        </w:rPr>
      </w:pPr>
      <w:r>
        <w:rPr>
          <w:b w:val="0"/>
          <w:szCs w:val="32"/>
        </w:rPr>
        <w:t>三是持续推进党建和干部队伍建设。</w:t>
      </w:r>
      <w:r>
        <w:rPr>
          <w:rFonts w:eastAsia="仿宋_GB2312"/>
          <w:b w:val="0"/>
          <w:bCs/>
          <w:szCs w:val="32"/>
        </w:rPr>
        <w:t>严格落实全面从严治党政治责任，一体推进机关党建、意识形态工作和党风廉政建设。扎实开展党史学习教育，深入推进“我为群众办实事”实践活动和领导干部“走流程”。为“三州”定制“送教上门”网络培训着力提升民族地区业务经办水平。认真开展大调研活动，形成16个课题研究成果，社保宣传工作在全国社保经办系统作经验交流。扎实做好干部培训、交流、晋升和机关规范化建设工作，全年有54人次、4个基层组织获部、厅表彰。</w:t>
      </w:r>
    </w:p>
    <w:p>
      <w:pPr>
        <w:pStyle w:val="4"/>
        <w:numPr>
          <w:ilvl w:val="255"/>
          <w:numId w:val="0"/>
        </w:numPr>
        <w:spacing w:before="0" w:after="0" w:line="580" w:lineRule="exact"/>
        <w:ind w:firstLine="640" w:firstLineChars="200"/>
        <w:rPr>
          <w:rFonts w:hint="eastAsia" w:ascii="Times New Roman" w:hAnsi="Times New Roman" w:eastAsia="黑体" w:cs="Times New Roman"/>
          <w:b w:val="0"/>
          <w:lang w:val="en-US" w:eastAsia="zh-CN"/>
        </w:rPr>
      </w:pPr>
      <w:r>
        <w:rPr>
          <w:rFonts w:hint="eastAsia" w:ascii="Times New Roman" w:hAnsi="Times New Roman" w:eastAsia="黑体" w:cs="Times New Roman"/>
          <w:b w:val="0"/>
          <w:lang w:val="en-US" w:eastAsia="zh-CN"/>
        </w:rPr>
        <w:t>三、机构设置情况</w:t>
      </w:r>
    </w:p>
    <w:p>
      <w:pPr>
        <w:pStyle w:val="13"/>
        <w:spacing w:line="580" w:lineRule="exact"/>
        <w:ind w:firstLine="652"/>
      </w:pPr>
      <w:r>
        <w:rPr>
          <w:rFonts w:hint="eastAsia" w:ascii="Times New Roman" w:hAnsi="Times New Roman" w:eastAsia="仿宋_GB2312" w:cs="Times New Roman"/>
          <w:b w:val="0"/>
          <w:bCs/>
          <w:kern w:val="2"/>
          <w:sz w:val="32"/>
          <w:szCs w:val="32"/>
          <w:lang w:val="en-US" w:eastAsia="zh-CN" w:bidi="ar-SA"/>
        </w:rPr>
        <w:t>省社保局由14</w:t>
      </w:r>
      <w:r>
        <w:rPr>
          <w:rFonts w:ascii="Times New Roman" w:hAnsi="Times New Roman" w:eastAsia="仿宋_GB2312" w:cs="Times New Roman"/>
          <w:b w:val="0"/>
          <w:bCs/>
          <w:kern w:val="2"/>
          <w:sz w:val="32"/>
          <w:szCs w:val="32"/>
          <w:lang w:val="en-US" w:eastAsia="zh-CN" w:bidi="ar-SA"/>
        </w:rPr>
        <w:t>个内设</w:t>
      </w:r>
      <w:r>
        <w:rPr>
          <w:rFonts w:hint="eastAsia" w:ascii="Times New Roman" w:hAnsi="Times New Roman" w:eastAsia="仿宋_GB2312" w:cs="Times New Roman"/>
          <w:b w:val="0"/>
          <w:bCs/>
          <w:kern w:val="2"/>
          <w:sz w:val="32"/>
          <w:szCs w:val="32"/>
          <w:lang w:val="en-US" w:eastAsia="zh-CN" w:bidi="ar-SA"/>
        </w:rPr>
        <w:t>处室组成，分别是：办公室、机关党委办公室、综合调研处、基金管理处、参保登记及权益管理处、社会保险费征缴处、城乡养老保险待遇管理处、机关事业养老保险管理处、职业年金管理处、工伤生育保险处、审计稽核处、信息精算处、省本级社会保险一处、省本级社会保险二处。</w:t>
      </w:r>
      <w:r>
        <w:rPr>
          <w:b w:val="0"/>
        </w:rPr>
        <w:br w:type="page"/>
      </w:r>
    </w:p>
    <w:p>
      <w:pPr>
        <w:pStyle w:val="3"/>
        <w:spacing w:before="0" w:line="580" w:lineRule="exact"/>
        <w:ind w:right="440"/>
        <w:jc w:val="center"/>
      </w:pPr>
      <w:bookmarkStart w:id="31" w:name="_Toc9509"/>
      <w:bookmarkStart w:id="32" w:name="_Toc15396602"/>
      <w:bookmarkStart w:id="33" w:name="_Toc15377204"/>
      <w:bookmarkStart w:id="34" w:name="_Toc31994"/>
      <w:r>
        <w:rPr>
          <w:rFonts w:eastAsia="黑体"/>
          <w:b w:val="0"/>
        </w:rPr>
        <w:t>第二部分 2021年度</w:t>
      </w:r>
      <w:r>
        <w:rPr>
          <w:rStyle w:val="26"/>
          <w:rFonts w:eastAsia="黑体"/>
          <w:b w:val="0"/>
          <w:bCs/>
        </w:rPr>
        <w:t>单位决算情况说明</w:t>
      </w:r>
      <w:bookmarkEnd w:id="31"/>
      <w:bookmarkEnd w:id="32"/>
      <w:bookmarkEnd w:id="33"/>
      <w:bookmarkEnd w:id="34"/>
    </w:p>
    <w:p>
      <w:pPr>
        <w:pStyle w:val="25"/>
        <w:numPr>
          <w:ilvl w:val="0"/>
          <w:numId w:val="1"/>
        </w:numPr>
        <w:spacing w:line="580" w:lineRule="exact"/>
        <w:ind w:firstLineChars="0"/>
        <w:outlineLvl w:val="1"/>
        <w:rPr>
          <w:rStyle w:val="27"/>
          <w:rFonts w:ascii="Times New Roman" w:hAnsi="Times New Roman" w:eastAsia="黑体" w:cs="Times New Roman"/>
          <w:b w:val="0"/>
        </w:rPr>
      </w:pPr>
      <w:bookmarkStart w:id="35" w:name="_Toc24327"/>
      <w:bookmarkStart w:id="36" w:name="_Toc15377205"/>
      <w:bookmarkStart w:id="37" w:name="_Toc5960"/>
      <w:bookmarkStart w:id="38" w:name="_Toc15396603"/>
      <w:r>
        <w:rPr>
          <w:rFonts w:eastAsia="黑体"/>
          <w:sz w:val="32"/>
          <w:szCs w:val="32"/>
        </w:rPr>
        <w:t>收</w:t>
      </w:r>
      <w:r>
        <w:rPr>
          <w:rStyle w:val="27"/>
          <w:rFonts w:ascii="Times New Roman" w:hAnsi="Times New Roman" w:eastAsia="黑体" w:cs="Times New Roman"/>
          <w:b w:val="0"/>
        </w:rPr>
        <w:t>入支出决算总体情况说明</w:t>
      </w:r>
      <w:bookmarkEnd w:id="35"/>
      <w:bookmarkEnd w:id="36"/>
      <w:bookmarkEnd w:id="37"/>
      <w:bookmarkEnd w:id="38"/>
    </w:p>
    <w:p>
      <w:pPr>
        <w:spacing w:line="580" w:lineRule="exact"/>
        <w:ind w:firstLine="640" w:firstLineChars="200"/>
        <w:rPr>
          <w:rFonts w:eastAsia="仿宋_GB2312"/>
          <w:sz w:val="32"/>
          <w:szCs w:val="32"/>
        </w:rPr>
      </w:pPr>
      <w:r>
        <w:rPr>
          <w:rFonts w:eastAsia="仿宋_GB2312"/>
          <w:sz w:val="32"/>
          <w:szCs w:val="32"/>
        </w:rPr>
        <w:t>2021年度收、支总计3784.72万元。与2020年相比，收、支总计各增加317.47万元，增长9.16%。主要变动原因是政策性增加人员经费。</w:t>
      </w:r>
    </w:p>
    <w:p>
      <w:pPr>
        <w:spacing w:line="580" w:lineRule="exact"/>
        <w:ind w:firstLine="640" w:firstLineChars="200"/>
        <w:rPr>
          <w:rFonts w:eastAsia="仿宋_GB2312"/>
          <w:sz w:val="32"/>
          <w:szCs w:val="32"/>
        </w:rPr>
      </w:pPr>
      <w:r>
        <w:rPr>
          <w:rFonts w:eastAsia="仿宋_GB2312"/>
          <w:sz w:val="32"/>
          <w:szCs w:val="32"/>
        </w:rPr>
        <w:drawing>
          <wp:anchor distT="0" distB="0" distL="114300" distR="114300" simplePos="0" relativeHeight="251655168" behindDoc="0" locked="0" layoutInCell="1" allowOverlap="1">
            <wp:simplePos x="0" y="0"/>
            <wp:positionH relativeFrom="column">
              <wp:posOffset>226060</wp:posOffset>
            </wp:positionH>
            <wp:positionV relativeFrom="paragraph">
              <wp:posOffset>61595</wp:posOffset>
            </wp:positionV>
            <wp:extent cx="4893945" cy="1725930"/>
            <wp:effectExtent l="0" t="0" r="1905"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jc w:val="center"/>
        <w:rPr>
          <w:rFonts w:eastAsia="仿宋_GB2312"/>
          <w:sz w:val="32"/>
          <w:szCs w:val="32"/>
        </w:rPr>
      </w:pPr>
      <w:r>
        <w:rPr>
          <w:rFonts w:eastAsia="仿宋_GB2312"/>
          <w:sz w:val="32"/>
          <w:szCs w:val="32"/>
        </w:rPr>
        <w:t>图1：收、支决算总计变动情况图（单位:万元）</w:t>
      </w:r>
    </w:p>
    <w:p>
      <w:pPr>
        <w:pStyle w:val="25"/>
        <w:numPr>
          <w:ilvl w:val="0"/>
          <w:numId w:val="1"/>
        </w:numPr>
        <w:spacing w:line="580" w:lineRule="exact"/>
        <w:ind w:firstLineChars="0"/>
        <w:outlineLvl w:val="1"/>
        <w:rPr>
          <w:rStyle w:val="27"/>
          <w:rFonts w:ascii="Times New Roman" w:hAnsi="Times New Roman" w:eastAsia="黑体" w:cs="Times New Roman"/>
          <w:b w:val="0"/>
        </w:rPr>
      </w:pPr>
      <w:bookmarkStart w:id="39" w:name="_Toc29137"/>
      <w:bookmarkStart w:id="40" w:name="_Toc5327"/>
      <w:r>
        <w:rPr>
          <w:rFonts w:eastAsia="黑体"/>
          <w:color w:val="000000"/>
          <w:sz w:val="32"/>
          <w:szCs w:val="32"/>
        </w:rPr>
        <w:t>收</w:t>
      </w:r>
      <w:r>
        <w:rPr>
          <w:rStyle w:val="27"/>
          <w:rFonts w:ascii="Times New Roman" w:hAnsi="Times New Roman" w:eastAsia="黑体" w:cs="Times New Roman"/>
          <w:b w:val="0"/>
        </w:rPr>
        <w:t>入决算情况说明</w:t>
      </w:r>
      <w:bookmarkEnd w:id="39"/>
      <w:bookmarkEnd w:id="40"/>
    </w:p>
    <w:p>
      <w:pPr>
        <w:spacing w:line="580" w:lineRule="exact"/>
        <w:ind w:firstLine="640" w:firstLineChars="200"/>
        <w:rPr>
          <w:rFonts w:eastAsia="仿宋_GB2312"/>
          <w:sz w:val="32"/>
          <w:szCs w:val="32"/>
        </w:rPr>
      </w:pPr>
      <w:r>
        <w:rPr>
          <w:rFonts w:eastAsia="仿宋_GB2312"/>
          <w:sz w:val="32"/>
          <w:szCs w:val="32"/>
        </w:rPr>
        <w:t>2021年本年收入合计3784.72万元，其中：一般公共预算财政拨款收入3784.68万元，占99.999%；其他收入0.04万元，占0.001%。</w:t>
      </w:r>
    </w:p>
    <w:p>
      <w:pPr>
        <w:spacing w:line="580" w:lineRule="exact"/>
        <w:ind w:firstLine="640" w:firstLineChars="200"/>
        <w:rPr>
          <w:rFonts w:eastAsia="仿宋"/>
          <w:color w:val="000000"/>
          <w:sz w:val="32"/>
          <w:szCs w:val="32"/>
        </w:rPr>
      </w:pPr>
      <w:r>
        <w:rPr>
          <w:rFonts w:eastAsia="仿宋"/>
          <w:color w:val="000000"/>
          <w:sz w:val="32"/>
          <w:szCs w:val="32"/>
        </w:rPr>
        <w:drawing>
          <wp:anchor distT="0" distB="0" distL="114300" distR="114300" simplePos="0" relativeHeight="251656192" behindDoc="0" locked="0" layoutInCell="1" allowOverlap="1">
            <wp:simplePos x="0" y="0"/>
            <wp:positionH relativeFrom="column">
              <wp:posOffset>400050</wp:posOffset>
            </wp:positionH>
            <wp:positionV relativeFrom="paragraph">
              <wp:posOffset>165735</wp:posOffset>
            </wp:positionV>
            <wp:extent cx="4415155" cy="1410970"/>
            <wp:effectExtent l="0" t="0" r="4445" b="1841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80" w:lineRule="exact"/>
        <w:ind w:firstLine="640" w:firstLineChars="200"/>
        <w:rPr>
          <w:rFonts w:eastAsia="仿宋"/>
          <w:color w:val="000000"/>
          <w:sz w:val="32"/>
          <w:szCs w:val="32"/>
        </w:rPr>
      </w:pPr>
    </w:p>
    <w:p>
      <w:pPr>
        <w:spacing w:line="580" w:lineRule="exact"/>
        <w:ind w:firstLine="640" w:firstLineChars="200"/>
        <w:rPr>
          <w:rFonts w:eastAsia="仿宋"/>
          <w:color w:val="000000"/>
          <w:sz w:val="32"/>
          <w:szCs w:val="32"/>
        </w:rPr>
      </w:pPr>
    </w:p>
    <w:p>
      <w:pPr>
        <w:spacing w:line="580" w:lineRule="exact"/>
        <w:ind w:firstLine="640" w:firstLineChars="200"/>
        <w:rPr>
          <w:rFonts w:eastAsia="仿宋"/>
          <w:color w:val="000000"/>
          <w:sz w:val="32"/>
          <w:szCs w:val="32"/>
        </w:rPr>
      </w:pPr>
    </w:p>
    <w:p>
      <w:pPr>
        <w:spacing w:line="580" w:lineRule="exact"/>
        <w:ind w:firstLine="640" w:firstLineChars="200"/>
        <w:rPr>
          <w:rFonts w:eastAsia="仿宋"/>
          <w:color w:val="000000"/>
          <w:sz w:val="32"/>
          <w:szCs w:val="32"/>
        </w:rPr>
      </w:pPr>
    </w:p>
    <w:p>
      <w:pPr>
        <w:spacing w:line="580" w:lineRule="exact"/>
        <w:ind w:firstLine="640" w:firstLineChars="200"/>
        <w:jc w:val="center"/>
        <w:rPr>
          <w:rFonts w:eastAsia="仿宋_GB2312"/>
          <w:sz w:val="32"/>
          <w:szCs w:val="32"/>
        </w:rPr>
      </w:pPr>
      <w:r>
        <w:rPr>
          <w:rFonts w:eastAsia="仿宋_GB2312"/>
          <w:sz w:val="32"/>
          <w:szCs w:val="32"/>
        </w:rPr>
        <w:t>图2：收入决算结构图（单位:万元）</w:t>
      </w:r>
    </w:p>
    <w:p>
      <w:pPr>
        <w:pStyle w:val="25"/>
        <w:numPr>
          <w:ilvl w:val="0"/>
          <w:numId w:val="1"/>
        </w:numPr>
        <w:spacing w:line="580" w:lineRule="exact"/>
        <w:ind w:firstLineChars="0"/>
        <w:outlineLvl w:val="1"/>
        <w:rPr>
          <w:rStyle w:val="27"/>
          <w:rFonts w:ascii="Times New Roman" w:hAnsi="Times New Roman" w:eastAsia="黑体" w:cs="Times New Roman"/>
          <w:b w:val="0"/>
        </w:rPr>
      </w:pPr>
      <w:bookmarkStart w:id="41" w:name="_Toc12758"/>
      <w:bookmarkStart w:id="42" w:name="_Toc19351"/>
      <w:r>
        <w:rPr>
          <w:rFonts w:eastAsia="黑体"/>
          <w:color w:val="000000"/>
          <w:sz w:val="32"/>
          <w:szCs w:val="32"/>
        </w:rPr>
        <w:t>支</w:t>
      </w:r>
      <w:r>
        <w:rPr>
          <w:rStyle w:val="27"/>
          <w:rFonts w:ascii="Times New Roman" w:hAnsi="Times New Roman" w:eastAsia="黑体" w:cs="Times New Roman"/>
          <w:b w:val="0"/>
        </w:rPr>
        <w:t>出决算情况说明</w:t>
      </w:r>
      <w:bookmarkEnd w:id="41"/>
      <w:bookmarkEnd w:id="42"/>
    </w:p>
    <w:p>
      <w:pPr>
        <w:spacing w:line="580" w:lineRule="exact"/>
        <w:ind w:firstLine="640" w:firstLineChars="200"/>
        <w:rPr>
          <w:rFonts w:eastAsia="仿宋_GB2312"/>
          <w:sz w:val="32"/>
          <w:szCs w:val="32"/>
        </w:rPr>
      </w:pPr>
      <w:r>
        <w:rPr>
          <w:rFonts w:eastAsia="仿宋_GB2312"/>
          <w:sz w:val="32"/>
          <w:szCs w:val="32"/>
        </w:rPr>
        <w:t>2021年本年支出合计3784.68万元，其中：基本支出3376.7万元，占89.22%；项目支出407.98万元，占10.78%。</w:t>
      </w:r>
    </w:p>
    <w:p>
      <w:pPr>
        <w:spacing w:line="580" w:lineRule="exact"/>
        <w:ind w:firstLine="640"/>
        <w:rPr>
          <w:rFonts w:eastAsia="仿宋"/>
          <w:color w:val="000000"/>
          <w:sz w:val="32"/>
          <w:szCs w:val="32"/>
          <w:shd w:val="pct10" w:color="auto" w:fill="FFFFFF"/>
        </w:rPr>
      </w:pPr>
      <w:r>
        <w:rPr>
          <w:rFonts w:eastAsia="仿宋"/>
          <w:color w:val="000000"/>
          <w:sz w:val="32"/>
          <w:szCs w:val="32"/>
        </w:rPr>
        <w:drawing>
          <wp:anchor distT="0" distB="0" distL="114300" distR="114300" simplePos="0" relativeHeight="251657216" behindDoc="0" locked="0" layoutInCell="1" allowOverlap="1">
            <wp:simplePos x="0" y="0"/>
            <wp:positionH relativeFrom="column">
              <wp:posOffset>396875</wp:posOffset>
            </wp:positionH>
            <wp:positionV relativeFrom="paragraph">
              <wp:posOffset>139700</wp:posOffset>
            </wp:positionV>
            <wp:extent cx="5400675" cy="2333625"/>
            <wp:effectExtent l="5080" t="4445" r="4445" b="889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80" w:lineRule="exact"/>
        <w:ind w:firstLine="640"/>
        <w:rPr>
          <w:rFonts w:eastAsia="仿宋"/>
          <w:color w:val="000000"/>
          <w:sz w:val="32"/>
          <w:szCs w:val="32"/>
          <w:shd w:val="pct10" w:color="auto" w:fill="FFFFFF"/>
        </w:rPr>
      </w:pPr>
    </w:p>
    <w:p>
      <w:pPr>
        <w:spacing w:line="580" w:lineRule="exact"/>
        <w:ind w:firstLine="640"/>
        <w:rPr>
          <w:rFonts w:eastAsia="仿宋"/>
          <w:color w:val="000000"/>
          <w:sz w:val="32"/>
          <w:szCs w:val="32"/>
          <w:shd w:val="pct10" w:color="auto" w:fill="FFFFFF"/>
        </w:rPr>
      </w:pPr>
    </w:p>
    <w:p>
      <w:pPr>
        <w:spacing w:line="580" w:lineRule="exact"/>
        <w:ind w:firstLine="640"/>
        <w:rPr>
          <w:rFonts w:eastAsia="仿宋"/>
          <w:color w:val="000000"/>
          <w:sz w:val="32"/>
          <w:szCs w:val="32"/>
          <w:shd w:val="pct10" w:color="auto" w:fill="FFFFFF"/>
        </w:rPr>
      </w:pPr>
    </w:p>
    <w:p>
      <w:pPr>
        <w:spacing w:line="580" w:lineRule="exact"/>
        <w:ind w:firstLine="640"/>
        <w:rPr>
          <w:rFonts w:eastAsia="仿宋"/>
          <w:color w:val="000000"/>
          <w:sz w:val="32"/>
          <w:szCs w:val="32"/>
          <w:shd w:val="pct10" w:color="auto" w:fill="FFFFFF"/>
        </w:rPr>
      </w:pPr>
    </w:p>
    <w:p>
      <w:pPr>
        <w:spacing w:line="580" w:lineRule="exact"/>
        <w:ind w:firstLine="640"/>
        <w:rPr>
          <w:rFonts w:eastAsia="仿宋"/>
          <w:color w:val="000000"/>
          <w:sz w:val="32"/>
          <w:szCs w:val="32"/>
          <w:shd w:val="pct10" w:color="auto" w:fill="FFFFFF"/>
        </w:rPr>
      </w:pPr>
    </w:p>
    <w:p>
      <w:pPr>
        <w:spacing w:line="580" w:lineRule="exact"/>
        <w:jc w:val="center"/>
        <w:rPr>
          <w:rFonts w:eastAsia="仿宋"/>
          <w:color w:val="000000" w:themeColor="text1"/>
          <w:sz w:val="32"/>
          <w:szCs w:val="32"/>
          <w14:textFill>
            <w14:solidFill>
              <w14:schemeClr w14:val="tx1"/>
            </w14:solidFill>
          </w14:textFill>
        </w:rPr>
      </w:pPr>
    </w:p>
    <w:p>
      <w:pPr>
        <w:spacing w:line="580" w:lineRule="exact"/>
        <w:ind w:firstLine="640" w:firstLineChars="200"/>
        <w:jc w:val="center"/>
        <w:rPr>
          <w:rFonts w:eastAsia="仿宋_GB2312"/>
          <w:sz w:val="32"/>
          <w:szCs w:val="32"/>
        </w:rPr>
      </w:pPr>
      <w:r>
        <w:rPr>
          <w:rFonts w:eastAsia="仿宋_GB2312"/>
          <w:sz w:val="32"/>
          <w:szCs w:val="32"/>
        </w:rPr>
        <w:t>图3：支出决算结构图（单位:万元）</w:t>
      </w:r>
    </w:p>
    <w:p>
      <w:pPr>
        <w:spacing w:line="580" w:lineRule="exact"/>
        <w:ind w:firstLine="640" w:firstLineChars="200"/>
        <w:outlineLvl w:val="1"/>
        <w:rPr>
          <w:rStyle w:val="27"/>
          <w:rFonts w:ascii="Times New Roman" w:hAnsi="Times New Roman" w:eastAsia="黑体" w:cs="Times New Roman"/>
          <w:b w:val="0"/>
        </w:rPr>
      </w:pPr>
      <w:bookmarkStart w:id="43" w:name="_Toc24332"/>
      <w:bookmarkStart w:id="44" w:name="_Toc22425"/>
      <w:r>
        <w:rPr>
          <w:rFonts w:eastAsia="黑体"/>
          <w:color w:val="000000"/>
          <w:sz w:val="32"/>
          <w:szCs w:val="32"/>
        </w:rPr>
        <w:t>四、财</w:t>
      </w:r>
      <w:r>
        <w:rPr>
          <w:rStyle w:val="27"/>
          <w:rFonts w:ascii="Times New Roman" w:hAnsi="Times New Roman" w:eastAsia="黑体" w:cs="Times New Roman"/>
          <w:b w:val="0"/>
        </w:rPr>
        <w:t>政拨款收入支出决算总体情况说明</w:t>
      </w:r>
      <w:bookmarkEnd w:id="43"/>
      <w:bookmarkEnd w:id="44"/>
    </w:p>
    <w:p>
      <w:pPr>
        <w:spacing w:line="580" w:lineRule="exact"/>
        <w:ind w:firstLine="640" w:firstLineChars="200"/>
        <w:jc w:val="left"/>
        <w:rPr>
          <w:rFonts w:eastAsia="仿宋_GB2312"/>
          <w:sz w:val="32"/>
          <w:szCs w:val="32"/>
        </w:rPr>
      </w:pPr>
      <w:r>
        <w:rPr>
          <w:rFonts w:eastAsia="仿宋_GB2312"/>
          <w:sz w:val="32"/>
          <w:szCs w:val="32"/>
        </w:rPr>
        <w:t>2021年财政拨款收、支总计3784.68万元。与2020年相比，财政拨款收、支总计各增加333.53万元，增长9.66%。主要变动原因是政策性增加人员经费。</w:t>
      </w:r>
    </w:p>
    <w:p>
      <w:pPr>
        <w:pStyle w:val="2"/>
        <w:spacing w:before="93" w:line="580" w:lineRule="exact"/>
        <w:rPr>
          <w:rFonts w:ascii="Times New Roman"/>
        </w:rPr>
      </w:pPr>
      <w:r>
        <w:rPr>
          <w:rFonts w:ascii="Times New Roman" w:eastAsia="仿宋"/>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421640</wp:posOffset>
            </wp:positionH>
            <wp:positionV relativeFrom="paragraph">
              <wp:posOffset>59690</wp:posOffset>
            </wp:positionV>
            <wp:extent cx="4665345" cy="1900555"/>
            <wp:effectExtent l="0" t="0" r="1905" b="44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580" w:lineRule="exact"/>
        <w:ind w:firstLine="640"/>
        <w:rPr>
          <w:rFonts w:eastAsia="仿宋"/>
          <w:color w:val="000000"/>
          <w:sz w:val="32"/>
          <w:szCs w:val="32"/>
        </w:rPr>
      </w:pPr>
    </w:p>
    <w:p>
      <w:pPr>
        <w:spacing w:line="580" w:lineRule="exact"/>
        <w:rPr>
          <w:rFonts w:eastAsia="仿宋"/>
          <w:color w:val="000000"/>
          <w:sz w:val="32"/>
          <w:szCs w:val="32"/>
        </w:rPr>
      </w:pPr>
    </w:p>
    <w:p>
      <w:pPr>
        <w:spacing w:line="580" w:lineRule="exact"/>
        <w:rPr>
          <w:rFonts w:eastAsia="仿宋"/>
          <w:color w:val="000000"/>
          <w:sz w:val="32"/>
          <w:szCs w:val="32"/>
        </w:rPr>
      </w:pPr>
    </w:p>
    <w:p>
      <w:pPr>
        <w:spacing w:line="580" w:lineRule="exact"/>
        <w:rPr>
          <w:rFonts w:eastAsia="仿宋"/>
          <w:color w:val="000000"/>
          <w:sz w:val="32"/>
          <w:szCs w:val="32"/>
        </w:rPr>
      </w:pPr>
    </w:p>
    <w:p>
      <w:pPr>
        <w:spacing w:line="580" w:lineRule="exact"/>
        <w:ind w:firstLine="640" w:firstLineChars="200"/>
        <w:jc w:val="center"/>
        <w:rPr>
          <w:rFonts w:eastAsia="仿宋_GB2312"/>
          <w:sz w:val="32"/>
          <w:szCs w:val="32"/>
        </w:rPr>
      </w:pPr>
      <w:r>
        <w:rPr>
          <w:rFonts w:eastAsia="仿宋_GB2312"/>
          <w:sz w:val="32"/>
          <w:szCs w:val="32"/>
        </w:rPr>
        <w:t>图4：财政拨款收、支决算总计变动情况（单位:万元）</w:t>
      </w:r>
    </w:p>
    <w:p>
      <w:pPr>
        <w:spacing w:line="580" w:lineRule="exact"/>
        <w:ind w:firstLine="640" w:firstLineChars="200"/>
        <w:outlineLvl w:val="1"/>
        <w:rPr>
          <w:rStyle w:val="27"/>
          <w:rFonts w:ascii="Times New Roman" w:hAnsi="Times New Roman" w:eastAsia="黑体" w:cs="Times New Roman"/>
          <w:b w:val="0"/>
        </w:rPr>
      </w:pPr>
      <w:bookmarkStart w:id="45" w:name="_Toc10037"/>
      <w:bookmarkStart w:id="46" w:name="_Toc19525"/>
      <w:r>
        <w:rPr>
          <w:rFonts w:eastAsia="黑体"/>
          <w:color w:val="000000"/>
          <w:sz w:val="32"/>
          <w:szCs w:val="32"/>
        </w:rPr>
        <w:t>五、</w:t>
      </w:r>
      <w:r>
        <w:rPr>
          <w:rFonts w:eastAsia="黑体"/>
          <w:b/>
          <w:color w:val="000000"/>
          <w:sz w:val="32"/>
          <w:szCs w:val="32"/>
        </w:rPr>
        <w:t>一</w:t>
      </w:r>
      <w:r>
        <w:rPr>
          <w:rStyle w:val="27"/>
          <w:rFonts w:ascii="Times New Roman" w:hAnsi="Times New Roman" w:eastAsia="黑体" w:cs="Times New Roman"/>
          <w:b w:val="0"/>
        </w:rPr>
        <w:t>般公共预算财政拨款支出决算情况说明</w:t>
      </w:r>
      <w:bookmarkEnd w:id="45"/>
      <w:bookmarkEnd w:id="46"/>
    </w:p>
    <w:p>
      <w:pPr>
        <w:widowControl/>
        <w:spacing w:line="580" w:lineRule="exact"/>
        <w:ind w:firstLine="640" w:firstLineChars="200"/>
        <w:rPr>
          <w:rFonts w:eastAsia="楷体_GB2312"/>
          <w:sz w:val="32"/>
          <w:szCs w:val="32"/>
        </w:rPr>
      </w:pPr>
      <w:r>
        <w:rPr>
          <w:rFonts w:eastAsia="楷体_GB2312"/>
          <w:sz w:val="32"/>
          <w:szCs w:val="32"/>
        </w:rPr>
        <w:t>（一）一般公共预算财政拨款支出决算总体情况</w:t>
      </w:r>
    </w:p>
    <w:p>
      <w:pPr>
        <w:spacing w:line="580" w:lineRule="exact"/>
        <w:ind w:firstLine="640" w:firstLineChars="200"/>
        <w:jc w:val="left"/>
        <w:rPr>
          <w:rFonts w:eastAsia="仿宋_GB2312"/>
          <w:sz w:val="32"/>
          <w:szCs w:val="32"/>
        </w:rPr>
      </w:pPr>
      <w:r>
        <w:rPr>
          <w:rFonts w:eastAsia="仿宋_GB2312"/>
          <w:sz w:val="32"/>
          <w:szCs w:val="32"/>
        </w:rPr>
        <w:t>2021年一般公共预算财政拨款支出3784.68万元，占本年支出合计的100%。与2020年相比，一般公共预算财政拨款增加333.53万元，增长9.66%。主要变动原因是政策性增加人员经费。</w:t>
      </w:r>
    </w:p>
    <w:p>
      <w:pPr>
        <w:spacing w:line="580" w:lineRule="exact"/>
        <w:ind w:firstLine="640" w:firstLineChars="200"/>
        <w:jc w:val="left"/>
        <w:rPr>
          <w:rFonts w:eastAsia="仿宋_GB2312"/>
          <w:sz w:val="32"/>
          <w:szCs w:val="32"/>
        </w:rPr>
      </w:pPr>
      <w:r>
        <w:rPr>
          <w:rFonts w:eastAsia="仿宋_GB2312"/>
          <w:sz w:val="32"/>
          <w:szCs w:val="32"/>
        </w:rPr>
        <w:drawing>
          <wp:anchor distT="0" distB="0" distL="114300" distR="114300" simplePos="0" relativeHeight="251660288" behindDoc="0" locked="0" layoutInCell="1" allowOverlap="1">
            <wp:simplePos x="0" y="0"/>
            <wp:positionH relativeFrom="column">
              <wp:posOffset>378460</wp:posOffset>
            </wp:positionH>
            <wp:positionV relativeFrom="paragraph">
              <wp:posOffset>19685</wp:posOffset>
            </wp:positionV>
            <wp:extent cx="4654550" cy="1334770"/>
            <wp:effectExtent l="0" t="0" r="12700" b="1841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580" w:lineRule="exact"/>
        <w:ind w:firstLine="640" w:firstLineChars="200"/>
        <w:jc w:val="left"/>
        <w:rPr>
          <w:rFonts w:eastAsia="仿宋_GB2312"/>
          <w:sz w:val="32"/>
          <w:szCs w:val="32"/>
        </w:rPr>
      </w:pPr>
    </w:p>
    <w:p>
      <w:pPr>
        <w:spacing w:line="580" w:lineRule="exact"/>
        <w:ind w:firstLine="640" w:firstLineChars="200"/>
        <w:jc w:val="left"/>
        <w:rPr>
          <w:rFonts w:eastAsia="仿宋_GB2312"/>
          <w:sz w:val="32"/>
          <w:szCs w:val="32"/>
        </w:rPr>
      </w:pPr>
    </w:p>
    <w:p>
      <w:pPr>
        <w:spacing w:line="580" w:lineRule="exact"/>
        <w:ind w:firstLine="640" w:firstLineChars="200"/>
        <w:jc w:val="left"/>
        <w:rPr>
          <w:rFonts w:eastAsia="仿宋_GB2312"/>
          <w:sz w:val="32"/>
          <w:szCs w:val="32"/>
        </w:rPr>
      </w:pPr>
    </w:p>
    <w:p>
      <w:pPr>
        <w:spacing w:line="580" w:lineRule="exact"/>
        <w:ind w:firstLine="616" w:firstLineChars="200"/>
        <w:jc w:val="center"/>
        <w:rPr>
          <w:rFonts w:eastAsia="仿宋_GB2312"/>
          <w:spacing w:val="-6"/>
          <w:sz w:val="32"/>
          <w:szCs w:val="32"/>
        </w:rPr>
      </w:pPr>
      <w:r>
        <w:rPr>
          <w:rFonts w:eastAsia="仿宋_GB2312"/>
          <w:spacing w:val="-6"/>
          <w:sz w:val="32"/>
          <w:szCs w:val="32"/>
        </w:rPr>
        <w:t>图5：一般公共预算财政拨款支出决算变动情况（单位:万元）</w:t>
      </w:r>
    </w:p>
    <w:p>
      <w:pPr>
        <w:widowControl/>
        <w:spacing w:line="580" w:lineRule="exact"/>
        <w:ind w:firstLine="640" w:firstLineChars="200"/>
        <w:rPr>
          <w:rFonts w:eastAsia="楷体_GB2312"/>
          <w:sz w:val="32"/>
          <w:szCs w:val="32"/>
        </w:rPr>
      </w:pPr>
      <w:r>
        <w:rPr>
          <w:rFonts w:eastAsia="楷体_GB2312"/>
          <w:sz w:val="32"/>
          <w:szCs w:val="32"/>
        </w:rPr>
        <w:t>（二）一般公共预算财政拨款支出决算结构情况</w:t>
      </w:r>
    </w:p>
    <w:p>
      <w:pPr>
        <w:spacing w:line="580" w:lineRule="exact"/>
        <w:ind w:firstLine="640"/>
        <w:jc w:val="left"/>
        <w:rPr>
          <w:rFonts w:eastAsia="仿宋_GB2312"/>
          <w:sz w:val="32"/>
          <w:szCs w:val="32"/>
        </w:rPr>
      </w:pPr>
      <w:r>
        <w:rPr>
          <w:rFonts w:eastAsia="仿宋_GB2312"/>
          <w:sz w:val="32"/>
          <w:szCs w:val="32"/>
        </w:rPr>
        <w:t>2021年一般公共预算财政拨款支出3784.68万元，主要用于以下方面:</w:t>
      </w:r>
      <w:r>
        <w:rPr>
          <w:rFonts w:eastAsia="仿宋_GB2312"/>
          <w:b/>
          <w:sz w:val="32"/>
          <w:szCs w:val="32"/>
        </w:rPr>
        <w:t>教育（类）</w:t>
      </w:r>
      <w:r>
        <w:rPr>
          <w:rFonts w:eastAsia="仿宋_GB2312"/>
          <w:sz w:val="32"/>
          <w:szCs w:val="32"/>
        </w:rPr>
        <w:t>支出13.84万元，占0.37%；</w:t>
      </w:r>
      <w:r>
        <w:rPr>
          <w:rFonts w:eastAsia="仿宋_GB2312"/>
          <w:b/>
          <w:sz w:val="32"/>
          <w:szCs w:val="32"/>
        </w:rPr>
        <w:t>社会保障和就业（类）</w:t>
      </w:r>
      <w:r>
        <w:rPr>
          <w:rFonts w:eastAsia="仿宋_GB2312"/>
          <w:sz w:val="32"/>
          <w:szCs w:val="32"/>
        </w:rPr>
        <w:t>支出3086.15万元，占81.54%；</w:t>
      </w:r>
      <w:r>
        <w:rPr>
          <w:rFonts w:eastAsia="仿宋_GB2312"/>
          <w:b/>
          <w:sz w:val="32"/>
          <w:szCs w:val="32"/>
        </w:rPr>
        <w:t>卫生健康（类）</w:t>
      </w:r>
      <w:r>
        <w:rPr>
          <w:rFonts w:eastAsia="仿宋_GB2312"/>
          <w:sz w:val="32"/>
          <w:szCs w:val="32"/>
        </w:rPr>
        <w:t>支出179.78万元，占4.75%；</w:t>
      </w:r>
      <w:r>
        <w:rPr>
          <w:rFonts w:eastAsia="仿宋_GB2312"/>
          <w:b/>
          <w:sz w:val="32"/>
          <w:szCs w:val="32"/>
        </w:rPr>
        <w:t>住房保障（类）</w:t>
      </w:r>
      <w:r>
        <w:rPr>
          <w:rFonts w:eastAsia="仿宋_GB2312"/>
          <w:sz w:val="32"/>
          <w:szCs w:val="32"/>
        </w:rPr>
        <w:t>支出504.91万元，占13.34%。</w:t>
      </w:r>
    </w:p>
    <w:p>
      <w:pPr>
        <w:pStyle w:val="13"/>
        <w:ind w:firstLine="643"/>
        <w:rPr>
          <w:rFonts w:eastAsia="仿宋_GB2312"/>
          <w:szCs w:val="32"/>
        </w:rPr>
      </w:pPr>
      <w:r>
        <w:rPr>
          <w:rFonts w:eastAsia="仿宋"/>
          <w:color w:val="000000" w:themeColor="text1"/>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351790</wp:posOffset>
            </wp:positionH>
            <wp:positionV relativeFrom="paragraph">
              <wp:posOffset>167640</wp:posOffset>
            </wp:positionV>
            <wp:extent cx="4136390" cy="1437005"/>
            <wp:effectExtent l="0" t="0" r="16510" b="1143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580" w:lineRule="exact"/>
        <w:ind w:firstLine="640"/>
        <w:rPr>
          <w:rFonts w:eastAsia="仿宋"/>
          <w:color w:val="000000" w:themeColor="text1"/>
          <w:sz w:val="32"/>
          <w:szCs w:val="32"/>
          <w14:textFill>
            <w14:solidFill>
              <w14:schemeClr w14:val="tx1"/>
            </w14:solidFill>
          </w14:textFill>
        </w:rPr>
      </w:pPr>
    </w:p>
    <w:p>
      <w:pPr>
        <w:spacing w:line="580" w:lineRule="exact"/>
        <w:ind w:firstLine="640"/>
        <w:rPr>
          <w:rFonts w:eastAsia="仿宋"/>
          <w:color w:val="000000" w:themeColor="text1"/>
          <w:sz w:val="32"/>
          <w:szCs w:val="32"/>
          <w14:textFill>
            <w14:solidFill>
              <w14:schemeClr w14:val="tx1"/>
            </w14:solidFill>
          </w14:textFill>
        </w:rPr>
      </w:pPr>
    </w:p>
    <w:p>
      <w:pPr>
        <w:spacing w:line="580" w:lineRule="exact"/>
        <w:ind w:firstLine="640"/>
        <w:rPr>
          <w:rFonts w:eastAsia="仿宋"/>
          <w:color w:val="000000" w:themeColor="text1"/>
          <w:sz w:val="32"/>
          <w:szCs w:val="32"/>
          <w14:textFill>
            <w14:solidFill>
              <w14:schemeClr w14:val="tx1"/>
            </w14:solidFill>
          </w14:textFill>
        </w:rPr>
      </w:pPr>
    </w:p>
    <w:p>
      <w:pPr>
        <w:pStyle w:val="13"/>
        <w:ind w:firstLine="654"/>
        <w:rPr>
          <w:rFonts w:eastAsia="仿宋"/>
          <w:color w:val="000000" w:themeColor="text1"/>
          <w:szCs w:val="32"/>
          <w14:textFill>
            <w14:solidFill>
              <w14:schemeClr w14:val="tx1"/>
            </w14:solidFill>
          </w14:textFill>
        </w:rPr>
      </w:pPr>
    </w:p>
    <w:p>
      <w:pPr>
        <w:spacing w:line="580" w:lineRule="exact"/>
        <w:ind w:firstLine="640" w:firstLineChars="200"/>
        <w:jc w:val="center"/>
        <w:rPr>
          <w:rFonts w:eastAsia="仿宋_GB2312"/>
          <w:sz w:val="32"/>
          <w:szCs w:val="32"/>
        </w:rPr>
      </w:pPr>
      <w:r>
        <w:rPr>
          <w:rFonts w:eastAsia="仿宋_GB2312"/>
          <w:sz w:val="32"/>
          <w:szCs w:val="32"/>
        </w:rPr>
        <w:t>图6：一般公共预算财政拨款支出决算结构（单位:万元）</w:t>
      </w:r>
    </w:p>
    <w:p>
      <w:pPr>
        <w:widowControl/>
        <w:spacing w:line="580" w:lineRule="exact"/>
        <w:ind w:firstLine="640" w:firstLineChars="200"/>
        <w:rPr>
          <w:rFonts w:eastAsia="楷体_GB2312"/>
          <w:sz w:val="32"/>
          <w:szCs w:val="32"/>
        </w:rPr>
      </w:pPr>
      <w:r>
        <w:rPr>
          <w:rFonts w:eastAsia="楷体_GB2312"/>
          <w:sz w:val="32"/>
          <w:szCs w:val="32"/>
        </w:rPr>
        <w:t>（三）一般公共预算财政拨款支出决算具体情况</w:t>
      </w:r>
    </w:p>
    <w:p>
      <w:pPr>
        <w:spacing w:line="580" w:lineRule="exact"/>
        <w:ind w:firstLine="640" w:firstLineChars="200"/>
        <w:jc w:val="left"/>
        <w:rPr>
          <w:rFonts w:eastAsia="仿宋_GB2312"/>
          <w:sz w:val="32"/>
          <w:szCs w:val="32"/>
        </w:rPr>
      </w:pPr>
      <w:r>
        <w:rPr>
          <w:rFonts w:eastAsia="仿宋_GB2312"/>
          <w:sz w:val="32"/>
          <w:szCs w:val="32"/>
        </w:rPr>
        <w:t>2021年一般公共预算支出决算数为3784.68万元，</w:t>
      </w:r>
      <w:r>
        <w:rPr>
          <w:rFonts w:eastAsia="仿宋_GB2312"/>
          <w:b/>
          <w:bCs/>
          <w:sz w:val="32"/>
          <w:szCs w:val="32"/>
        </w:rPr>
        <w:t>完成预算99.1%。</w:t>
      </w:r>
      <w:r>
        <w:rPr>
          <w:rFonts w:eastAsia="仿宋_GB2312"/>
          <w:sz w:val="32"/>
          <w:szCs w:val="32"/>
        </w:rPr>
        <w:t>其中：</w:t>
      </w:r>
    </w:p>
    <w:p>
      <w:pPr>
        <w:spacing w:line="580" w:lineRule="exact"/>
        <w:ind w:firstLine="642" w:firstLineChars="200"/>
        <w:jc w:val="left"/>
        <w:rPr>
          <w:rFonts w:eastAsia="仿宋_GB2312"/>
          <w:sz w:val="32"/>
          <w:szCs w:val="32"/>
        </w:rPr>
      </w:pPr>
      <w:r>
        <w:rPr>
          <w:rFonts w:eastAsia="仿宋_GB2312"/>
          <w:b/>
          <w:bCs/>
          <w:sz w:val="32"/>
          <w:szCs w:val="32"/>
        </w:rPr>
        <w:t>1.教育（类）进修及培训（款）培训支出（项）:</w:t>
      </w:r>
      <w:r>
        <w:rPr>
          <w:rFonts w:eastAsia="仿宋_GB2312"/>
          <w:sz w:val="32"/>
          <w:szCs w:val="32"/>
        </w:rPr>
        <w:t>支出决算为13.84万元，完成预算98.86%，决算数与预算数基本持平。</w:t>
      </w:r>
    </w:p>
    <w:p>
      <w:pPr>
        <w:spacing w:line="580" w:lineRule="exact"/>
        <w:ind w:firstLine="642" w:firstLineChars="200"/>
        <w:jc w:val="left"/>
        <w:rPr>
          <w:rFonts w:eastAsia="仿宋_GB2312"/>
          <w:sz w:val="32"/>
          <w:szCs w:val="32"/>
        </w:rPr>
      </w:pPr>
      <w:r>
        <w:rPr>
          <w:rFonts w:eastAsia="仿宋_GB2312"/>
          <w:b/>
          <w:bCs/>
          <w:sz w:val="32"/>
          <w:szCs w:val="32"/>
        </w:rPr>
        <w:t>2.社会保障和就业（类）人力资源和社会保障管理事务（款）社会保险经办机构（项）</w:t>
      </w:r>
      <w:r>
        <w:rPr>
          <w:rFonts w:eastAsia="仿宋_GB2312"/>
          <w:sz w:val="32"/>
          <w:szCs w:val="32"/>
        </w:rPr>
        <w:t>:支出决算为2684.95万元，完成预算98.79%，决算数与预算数基本持平。</w:t>
      </w:r>
    </w:p>
    <w:p>
      <w:pPr>
        <w:spacing w:line="580" w:lineRule="exact"/>
        <w:ind w:firstLine="642" w:firstLineChars="200"/>
        <w:jc w:val="left"/>
        <w:rPr>
          <w:rFonts w:eastAsia="仿宋_GB2312"/>
          <w:sz w:val="32"/>
          <w:szCs w:val="32"/>
        </w:rPr>
      </w:pPr>
      <w:r>
        <w:rPr>
          <w:rFonts w:eastAsia="仿宋_GB2312"/>
          <w:b/>
          <w:bCs/>
          <w:sz w:val="32"/>
          <w:szCs w:val="32"/>
        </w:rPr>
        <w:t>3.社会保障和就业（类）行政事业单位养老支出（款）行政单位离退休（项）:</w:t>
      </w:r>
      <w:r>
        <w:rPr>
          <w:rFonts w:eastAsia="仿宋_GB2312"/>
          <w:sz w:val="32"/>
          <w:szCs w:val="32"/>
        </w:rPr>
        <w:t>支出决算为181.99万元，完成预算100%。</w:t>
      </w:r>
    </w:p>
    <w:p>
      <w:pPr>
        <w:spacing w:line="580" w:lineRule="exact"/>
        <w:ind w:firstLine="642" w:firstLineChars="200"/>
        <w:jc w:val="left"/>
        <w:rPr>
          <w:rFonts w:eastAsia="仿宋_GB2312"/>
          <w:sz w:val="32"/>
          <w:szCs w:val="32"/>
        </w:rPr>
      </w:pPr>
      <w:r>
        <w:rPr>
          <w:rFonts w:eastAsia="仿宋_GB2312"/>
          <w:b/>
          <w:bCs/>
          <w:sz w:val="32"/>
          <w:szCs w:val="32"/>
        </w:rPr>
        <w:t>4.社会保障和就业（类）行政事业单位养老支出（款）机关事业单位基本养老保险缴费支出（项）:</w:t>
      </w:r>
      <w:r>
        <w:rPr>
          <w:rFonts w:eastAsia="仿宋_GB2312"/>
          <w:sz w:val="32"/>
          <w:szCs w:val="32"/>
        </w:rPr>
        <w:t>支出决算为168.63万元，完成预算99.12%，决算数与预算数基本持平。</w:t>
      </w:r>
    </w:p>
    <w:p>
      <w:pPr>
        <w:spacing w:line="580" w:lineRule="exact"/>
        <w:ind w:firstLine="642" w:firstLineChars="200"/>
        <w:jc w:val="left"/>
        <w:rPr>
          <w:rFonts w:eastAsia="仿宋_GB2312"/>
          <w:sz w:val="32"/>
          <w:szCs w:val="32"/>
        </w:rPr>
      </w:pPr>
      <w:r>
        <w:rPr>
          <w:rFonts w:eastAsia="仿宋_GB2312"/>
          <w:b/>
          <w:bCs/>
          <w:sz w:val="32"/>
          <w:szCs w:val="32"/>
        </w:rPr>
        <w:t>5.社会保障和就业（类）行政事业单位养老支出（款）机关事业单位职业年金缴费支出（项）</w:t>
      </w:r>
      <w:r>
        <w:rPr>
          <w:rFonts w:eastAsia="仿宋_GB2312"/>
          <w:sz w:val="32"/>
          <w:szCs w:val="32"/>
        </w:rPr>
        <w:t>:支出决算为23.59万元，完成预算100%。</w:t>
      </w:r>
    </w:p>
    <w:p>
      <w:pPr>
        <w:spacing w:line="580" w:lineRule="exact"/>
        <w:ind w:firstLine="642" w:firstLineChars="200"/>
        <w:jc w:val="left"/>
        <w:rPr>
          <w:rFonts w:eastAsia="仿宋_GB2312"/>
          <w:sz w:val="32"/>
          <w:szCs w:val="32"/>
        </w:rPr>
      </w:pPr>
      <w:r>
        <w:rPr>
          <w:rFonts w:eastAsia="仿宋_GB2312"/>
          <w:b/>
          <w:bCs/>
          <w:sz w:val="32"/>
          <w:szCs w:val="32"/>
        </w:rPr>
        <w:t>6.社会保障和就业（类）抚恤（款）死亡抚恤（项）：</w:t>
      </w:r>
      <w:r>
        <w:rPr>
          <w:rFonts w:eastAsia="仿宋_GB2312"/>
          <w:sz w:val="32"/>
          <w:szCs w:val="32"/>
        </w:rPr>
        <w:t>支出决算为26.99万元，完成预算99.96%，决算数与预算数基本持平。</w:t>
      </w:r>
    </w:p>
    <w:p>
      <w:pPr>
        <w:spacing w:line="580" w:lineRule="exact"/>
        <w:ind w:firstLine="642" w:firstLineChars="200"/>
        <w:jc w:val="left"/>
        <w:rPr>
          <w:rFonts w:eastAsia="仿宋_GB2312"/>
          <w:sz w:val="32"/>
          <w:szCs w:val="32"/>
        </w:rPr>
      </w:pPr>
      <w:r>
        <w:rPr>
          <w:rFonts w:eastAsia="仿宋_GB2312"/>
          <w:b/>
          <w:bCs/>
          <w:sz w:val="32"/>
          <w:szCs w:val="32"/>
        </w:rPr>
        <w:t>7.卫生健康（类）行政事业单位医疗（款）行政单位医疗（项）:</w:t>
      </w:r>
      <w:r>
        <w:rPr>
          <w:rFonts w:eastAsia="仿宋_GB2312"/>
          <w:sz w:val="32"/>
          <w:szCs w:val="32"/>
        </w:rPr>
        <w:t>支出决算为150.52万元，完成预算100%。</w:t>
      </w:r>
    </w:p>
    <w:p>
      <w:pPr>
        <w:spacing w:line="580" w:lineRule="exact"/>
        <w:ind w:firstLine="642" w:firstLineChars="200"/>
        <w:jc w:val="left"/>
        <w:rPr>
          <w:rFonts w:eastAsia="仿宋_GB2312"/>
          <w:sz w:val="32"/>
          <w:szCs w:val="32"/>
        </w:rPr>
      </w:pPr>
      <w:r>
        <w:rPr>
          <w:rFonts w:eastAsia="仿宋_GB2312"/>
          <w:b/>
          <w:bCs/>
          <w:sz w:val="32"/>
          <w:szCs w:val="32"/>
        </w:rPr>
        <w:t>8.卫生健康（类）行政事业单位医疗（款）公务员医疗补助（项）:</w:t>
      </w:r>
      <w:r>
        <w:rPr>
          <w:rFonts w:eastAsia="仿宋_GB2312"/>
          <w:sz w:val="32"/>
          <w:szCs w:val="32"/>
        </w:rPr>
        <w:t>支出决算为29.26万元，完成预算100%。</w:t>
      </w:r>
    </w:p>
    <w:p>
      <w:pPr>
        <w:spacing w:line="580" w:lineRule="exact"/>
        <w:ind w:firstLine="642" w:firstLineChars="200"/>
        <w:jc w:val="left"/>
        <w:rPr>
          <w:rFonts w:eastAsia="仿宋_GB2312"/>
          <w:sz w:val="32"/>
          <w:szCs w:val="32"/>
        </w:rPr>
      </w:pPr>
      <w:r>
        <w:rPr>
          <w:rFonts w:eastAsia="仿宋_GB2312"/>
          <w:b/>
          <w:bCs/>
          <w:sz w:val="32"/>
          <w:szCs w:val="32"/>
        </w:rPr>
        <w:t>9.住房保障（类）住房改革支出（款）住房公积金（项）：</w:t>
      </w:r>
      <w:r>
        <w:rPr>
          <w:rFonts w:eastAsia="仿宋_GB2312"/>
          <w:sz w:val="32"/>
          <w:szCs w:val="32"/>
        </w:rPr>
        <w:t>支出决算为183.73万元，完成预算100%。</w:t>
      </w:r>
    </w:p>
    <w:p>
      <w:pPr>
        <w:spacing w:line="580" w:lineRule="exact"/>
        <w:ind w:firstLine="642" w:firstLineChars="200"/>
        <w:jc w:val="left"/>
        <w:rPr>
          <w:rFonts w:eastAsia="仿宋_GB2312"/>
          <w:sz w:val="32"/>
          <w:szCs w:val="32"/>
        </w:rPr>
      </w:pPr>
      <w:r>
        <w:rPr>
          <w:rFonts w:eastAsia="仿宋_GB2312"/>
          <w:b/>
          <w:bCs/>
          <w:sz w:val="32"/>
          <w:szCs w:val="32"/>
        </w:rPr>
        <w:t>10.住房保障（类）住房改革支出（款）购房补贴（项）：</w:t>
      </w:r>
      <w:r>
        <w:rPr>
          <w:rFonts w:eastAsia="仿宋_GB2312"/>
          <w:sz w:val="32"/>
          <w:szCs w:val="32"/>
        </w:rPr>
        <w:t>支出决算为321.18万元，完成预算100%。</w:t>
      </w:r>
    </w:p>
    <w:p>
      <w:pPr>
        <w:spacing w:line="580" w:lineRule="exact"/>
        <w:ind w:firstLine="640" w:firstLineChars="200"/>
        <w:jc w:val="left"/>
        <w:outlineLvl w:val="1"/>
        <w:rPr>
          <w:rFonts w:eastAsia="黑体"/>
          <w:sz w:val="32"/>
          <w:szCs w:val="32"/>
        </w:rPr>
      </w:pPr>
      <w:bookmarkStart w:id="47" w:name="_Toc12285"/>
      <w:bookmarkStart w:id="48" w:name="_Toc3943"/>
      <w:r>
        <w:rPr>
          <w:rFonts w:eastAsia="黑体"/>
          <w:sz w:val="32"/>
          <w:szCs w:val="32"/>
        </w:rPr>
        <w:t>六、一般公共预算财政拨款基本支出决算情况说明</w:t>
      </w:r>
      <w:bookmarkEnd w:id="47"/>
      <w:bookmarkEnd w:id="48"/>
      <w:r>
        <w:rPr>
          <w:rFonts w:eastAsia="黑体"/>
          <w:sz w:val="32"/>
          <w:szCs w:val="32"/>
        </w:rPr>
        <w:tab/>
      </w:r>
    </w:p>
    <w:p>
      <w:pPr>
        <w:spacing w:line="580" w:lineRule="exact"/>
        <w:ind w:firstLine="640" w:firstLineChars="200"/>
        <w:jc w:val="left"/>
        <w:rPr>
          <w:rFonts w:eastAsia="仿宋_GB2312"/>
          <w:sz w:val="32"/>
          <w:szCs w:val="32"/>
        </w:rPr>
      </w:pPr>
      <w:r>
        <w:rPr>
          <w:rFonts w:eastAsia="仿宋_GB2312"/>
          <w:sz w:val="32"/>
          <w:szCs w:val="32"/>
        </w:rPr>
        <w:t>2021年一般公共预算财政拨款基本支出3376.7万元，其中：</w:t>
      </w:r>
    </w:p>
    <w:p>
      <w:pPr>
        <w:spacing w:line="580" w:lineRule="exact"/>
        <w:ind w:firstLine="640" w:firstLineChars="200"/>
        <w:jc w:val="left"/>
        <w:rPr>
          <w:rFonts w:eastAsia="仿宋_GB2312"/>
          <w:sz w:val="32"/>
          <w:szCs w:val="32"/>
        </w:rPr>
      </w:pPr>
      <w:r>
        <w:rPr>
          <w:rFonts w:eastAsia="仿宋_GB2312"/>
          <w:sz w:val="32"/>
          <w:szCs w:val="32"/>
        </w:rPr>
        <w:t>人员经费2890.18万元，主要包括：基本工资、津贴补贴、奖金、机关事业单位基本养老保险缴费、职业年金缴费、职工基本医疗保险缴费、公务员医疗补助缴费、住房公积金、其他工资福利支出、退休费、抚恤金、奖励金、其他对个人和家庭的补助支出等。</w:t>
      </w:r>
      <w:r>
        <w:rPr>
          <w:rFonts w:eastAsia="仿宋_GB2312"/>
          <w:sz w:val="32"/>
          <w:szCs w:val="32"/>
        </w:rPr>
        <w:br w:type="textWrapping"/>
      </w:r>
      <w:r>
        <w:rPr>
          <w:rFonts w:eastAsia="仿宋_GB2312"/>
          <w:sz w:val="32"/>
          <w:szCs w:val="32"/>
        </w:rPr>
        <w:t xml:space="preserve">    公用经费486.52万元，主要包括：办公费、印刷费、手续费、水费、电费、邮电费、物业管理费、差旅费、维修（护）费、租赁费、会议费、培训费、公务接待费、劳务费、委托业务费、工会经费、福利费、公务用车运行维护费、其他交通费用、其他商品和服务支出等。</w:t>
      </w:r>
    </w:p>
    <w:p>
      <w:pPr>
        <w:spacing w:line="580" w:lineRule="exact"/>
        <w:ind w:firstLine="640"/>
        <w:outlineLvl w:val="1"/>
        <w:rPr>
          <w:rStyle w:val="27"/>
          <w:rFonts w:ascii="Times New Roman" w:hAnsi="Times New Roman" w:eastAsia="黑体" w:cs="Times New Roman"/>
          <w:b w:val="0"/>
          <w:bCs w:val="0"/>
        </w:rPr>
      </w:pPr>
      <w:bookmarkStart w:id="49" w:name="_Toc9437"/>
      <w:bookmarkStart w:id="50" w:name="_Toc31730"/>
      <w:r>
        <w:rPr>
          <w:rFonts w:eastAsia="黑体"/>
          <w:color w:val="000000"/>
          <w:sz w:val="32"/>
          <w:szCs w:val="32"/>
        </w:rPr>
        <w:t>七、</w:t>
      </w:r>
      <w:r>
        <w:rPr>
          <w:rStyle w:val="27"/>
          <w:rFonts w:ascii="Times New Roman" w:hAnsi="Times New Roman" w:eastAsia="黑体" w:cs="Times New Roman"/>
          <w:b w:val="0"/>
          <w:bCs w:val="0"/>
        </w:rPr>
        <w:t>“三公”经费财政拨款支出决算情况说明</w:t>
      </w:r>
      <w:bookmarkEnd w:id="49"/>
      <w:bookmarkEnd w:id="50"/>
    </w:p>
    <w:p>
      <w:pPr>
        <w:widowControl/>
        <w:spacing w:line="580" w:lineRule="exact"/>
        <w:ind w:firstLine="640" w:firstLineChars="200"/>
        <w:rPr>
          <w:rFonts w:eastAsia="楷体_GB2312"/>
          <w:sz w:val="32"/>
          <w:szCs w:val="32"/>
        </w:rPr>
      </w:pPr>
      <w:r>
        <w:rPr>
          <w:rFonts w:eastAsia="楷体_GB2312"/>
          <w:sz w:val="32"/>
          <w:szCs w:val="32"/>
        </w:rPr>
        <w:t>（一）“三公”经费财政拨款支出决算总体情况说明</w:t>
      </w:r>
    </w:p>
    <w:p>
      <w:pPr>
        <w:spacing w:line="580" w:lineRule="exact"/>
        <w:ind w:firstLine="640" w:firstLineChars="200"/>
        <w:jc w:val="left"/>
        <w:rPr>
          <w:rFonts w:eastAsia="仿宋_GB2312"/>
          <w:sz w:val="32"/>
          <w:szCs w:val="32"/>
        </w:rPr>
      </w:pPr>
      <w:r>
        <w:rPr>
          <w:rFonts w:eastAsia="仿宋_GB2312"/>
          <w:sz w:val="32"/>
          <w:szCs w:val="32"/>
        </w:rPr>
        <w:t>2021年“三公”经费财政拨款支出决算为5.03万元，完成预算60.68%，决算数小于预算数的主要原因是按照厉行节约相关要求，严格控制“三公”经费。</w:t>
      </w:r>
    </w:p>
    <w:p>
      <w:pPr>
        <w:widowControl/>
        <w:spacing w:line="580" w:lineRule="exact"/>
        <w:ind w:firstLine="640" w:firstLineChars="200"/>
        <w:rPr>
          <w:rFonts w:eastAsia="楷体_GB2312"/>
          <w:sz w:val="32"/>
          <w:szCs w:val="32"/>
        </w:rPr>
      </w:pPr>
      <w:r>
        <w:rPr>
          <w:rFonts w:eastAsia="楷体_GB2312"/>
          <w:sz w:val="32"/>
          <w:szCs w:val="32"/>
        </w:rPr>
        <w:t>（二）“三公”经费财政拨款支出决算具体情况说明</w:t>
      </w:r>
    </w:p>
    <w:p>
      <w:pPr>
        <w:spacing w:line="580" w:lineRule="exact"/>
        <w:ind w:firstLine="640" w:firstLineChars="200"/>
        <w:jc w:val="left"/>
        <w:rPr>
          <w:rFonts w:eastAsia="仿宋_GB2312"/>
          <w:sz w:val="32"/>
          <w:szCs w:val="32"/>
        </w:rPr>
      </w:pPr>
      <w:r>
        <w:rPr>
          <w:rFonts w:eastAsia="仿宋_GB2312"/>
          <w:sz w:val="32"/>
          <w:szCs w:val="32"/>
        </w:rPr>
        <w:t>2021年“三公”经费财政拨款支出决算中，因公出国（境）经费支出决算0万元，占0%；公务用车购置及运行维护费支出决算4.35万元，占86.48%；公务接待费支出决算0.68万元，占13.52%。具体情况如下：</w:t>
      </w:r>
    </w:p>
    <w:p>
      <w:pPr>
        <w:spacing w:line="580" w:lineRule="exact"/>
        <w:ind w:firstLine="640" w:firstLineChars="200"/>
        <w:jc w:val="center"/>
        <w:rPr>
          <w:rFonts w:eastAsia="仿宋_GB2312"/>
          <w:sz w:val="32"/>
          <w:szCs w:val="32"/>
        </w:rPr>
      </w:pPr>
      <w:r>
        <w:rPr>
          <w:rFonts w:eastAsia="仿宋"/>
          <w:color w:val="000000"/>
          <w:sz w:val="32"/>
          <w:szCs w:val="32"/>
        </w:rPr>
        <w:drawing>
          <wp:anchor distT="0" distB="0" distL="114300" distR="114300" simplePos="0" relativeHeight="251658240" behindDoc="0" locked="0" layoutInCell="1" allowOverlap="1">
            <wp:simplePos x="0" y="0"/>
            <wp:positionH relativeFrom="column">
              <wp:posOffset>193675</wp:posOffset>
            </wp:positionH>
            <wp:positionV relativeFrom="paragraph">
              <wp:posOffset>79375</wp:posOffset>
            </wp:positionV>
            <wp:extent cx="5619750" cy="2460625"/>
            <wp:effectExtent l="4445" t="4445" r="14605" b="1905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eastAsia="仿宋_GB2312"/>
          <w:sz w:val="32"/>
          <w:szCs w:val="32"/>
        </w:rPr>
        <w:t>图7：“三公”经费财政拨款支出结构（单位:万元）</w:t>
      </w:r>
    </w:p>
    <w:p>
      <w:pPr>
        <w:spacing w:line="580" w:lineRule="exact"/>
        <w:ind w:firstLine="642" w:firstLineChars="200"/>
        <w:jc w:val="left"/>
        <w:rPr>
          <w:rFonts w:eastAsia="仿宋_GB2312"/>
          <w:b/>
          <w:bCs/>
          <w:sz w:val="32"/>
          <w:szCs w:val="32"/>
        </w:rPr>
      </w:pPr>
      <w:r>
        <w:rPr>
          <w:rFonts w:eastAsia="仿宋_GB2312"/>
          <w:b/>
          <w:bCs/>
          <w:sz w:val="32"/>
          <w:szCs w:val="32"/>
        </w:rPr>
        <w:t>1.</w:t>
      </w:r>
      <w:r>
        <w:rPr>
          <w:rFonts w:eastAsia="仿宋_GB2312"/>
          <w:b/>
          <w:sz w:val="32"/>
          <w:szCs w:val="32"/>
        </w:rPr>
        <w:t xml:space="preserve"> 因公出国（境）经费支出</w:t>
      </w:r>
      <w:r>
        <w:rPr>
          <w:rFonts w:eastAsia="仿宋_GB2312"/>
          <w:sz w:val="32"/>
          <w:szCs w:val="32"/>
        </w:rPr>
        <w:t>0万元，完成预算100%。全年安排因公出国（境）团组0次，出国（境）0人。因公出国（境）支出决算与2020年持平。</w:t>
      </w:r>
    </w:p>
    <w:p>
      <w:pPr>
        <w:spacing w:line="580" w:lineRule="exact"/>
        <w:ind w:firstLine="642" w:firstLineChars="200"/>
        <w:jc w:val="left"/>
        <w:rPr>
          <w:rFonts w:eastAsia="仿宋_GB2312"/>
          <w:sz w:val="32"/>
          <w:szCs w:val="32"/>
        </w:rPr>
      </w:pPr>
      <w:r>
        <w:rPr>
          <w:rFonts w:eastAsia="仿宋_GB2312"/>
          <w:b/>
          <w:bCs/>
          <w:sz w:val="32"/>
          <w:szCs w:val="32"/>
        </w:rPr>
        <w:t>2.公务用车购置及运行维护费支出</w:t>
      </w:r>
      <w:r>
        <w:rPr>
          <w:rFonts w:eastAsia="仿宋_GB2312"/>
          <w:sz w:val="32"/>
          <w:szCs w:val="32"/>
        </w:rPr>
        <w:t>4.35万元，完成预算75.13%。公务用车购置及运行维护费支出决算比2020年减少0.42万元，下降8.81%。主要原因是受新冠疫情影响，减少出差调研次数，相应的运行维护费用减少。</w:t>
      </w:r>
    </w:p>
    <w:p>
      <w:pPr>
        <w:spacing w:line="580" w:lineRule="exact"/>
        <w:ind w:firstLine="640" w:firstLineChars="200"/>
        <w:jc w:val="left"/>
        <w:rPr>
          <w:rFonts w:eastAsia="仿宋_GB2312"/>
          <w:sz w:val="32"/>
          <w:szCs w:val="32"/>
        </w:rPr>
      </w:pPr>
      <w:r>
        <w:rPr>
          <w:rFonts w:eastAsia="仿宋_GB2312"/>
          <w:sz w:val="32"/>
          <w:szCs w:val="32"/>
        </w:rPr>
        <w:t>其中：</w:t>
      </w:r>
      <w:r>
        <w:rPr>
          <w:rFonts w:eastAsia="仿宋_GB2312"/>
          <w:b/>
          <w:bCs/>
          <w:sz w:val="32"/>
          <w:szCs w:val="32"/>
        </w:rPr>
        <w:t>公务用车购置支出</w:t>
      </w:r>
      <w:r>
        <w:rPr>
          <w:rFonts w:eastAsia="仿宋_GB2312"/>
          <w:sz w:val="32"/>
          <w:szCs w:val="32"/>
        </w:rPr>
        <w:t>0万元。全年按规定更新购置公务用车0辆。截至2021年12月底，单位共有公务用车3辆，其中：应急保障用车3辆。</w:t>
      </w:r>
    </w:p>
    <w:p>
      <w:pPr>
        <w:spacing w:line="580" w:lineRule="exact"/>
        <w:ind w:firstLine="642" w:firstLineChars="200"/>
        <w:jc w:val="left"/>
        <w:rPr>
          <w:rFonts w:eastAsia="仿宋_GB2312"/>
          <w:sz w:val="32"/>
          <w:szCs w:val="32"/>
        </w:rPr>
      </w:pPr>
      <w:r>
        <w:rPr>
          <w:rFonts w:eastAsia="仿宋_GB2312"/>
          <w:b/>
          <w:bCs/>
          <w:sz w:val="32"/>
          <w:szCs w:val="32"/>
        </w:rPr>
        <w:t>公务用车运行维护费支出</w:t>
      </w:r>
      <w:r>
        <w:rPr>
          <w:rFonts w:eastAsia="仿宋_GB2312"/>
          <w:sz w:val="32"/>
          <w:szCs w:val="32"/>
        </w:rPr>
        <w:t>4.35万元。主要用于局机关机要用车和应急用车，开展各项社会保险工作所需的公务用车燃料费、维修费、过路过桥费、保险费等支出。</w:t>
      </w:r>
    </w:p>
    <w:p>
      <w:pPr>
        <w:spacing w:line="580" w:lineRule="exact"/>
        <w:ind w:firstLine="642" w:firstLineChars="200"/>
        <w:jc w:val="left"/>
        <w:rPr>
          <w:rFonts w:eastAsia="仿宋_GB2312"/>
          <w:sz w:val="32"/>
          <w:szCs w:val="32"/>
        </w:rPr>
      </w:pPr>
      <w:r>
        <w:rPr>
          <w:rFonts w:eastAsia="仿宋_GB2312"/>
          <w:b/>
          <w:bCs/>
          <w:sz w:val="32"/>
          <w:szCs w:val="32"/>
        </w:rPr>
        <w:t>3.公务接待费支出</w:t>
      </w:r>
      <w:r>
        <w:rPr>
          <w:rFonts w:eastAsia="仿宋_GB2312"/>
          <w:sz w:val="32"/>
          <w:szCs w:val="32"/>
        </w:rPr>
        <w:t>0.68万元，完成预算27.2%。公务接待费支出决算比2020年增加0.02万元，增长3.03%。主要原因是接待上级机关及各省市兄弟单位来川检查、评估、调研、考察学习人数较上年增加。其中：</w:t>
      </w:r>
    </w:p>
    <w:p>
      <w:pPr>
        <w:spacing w:line="580" w:lineRule="exact"/>
        <w:ind w:firstLine="642" w:firstLineChars="200"/>
        <w:jc w:val="left"/>
        <w:rPr>
          <w:rFonts w:eastAsia="仿宋_GB2312"/>
          <w:sz w:val="32"/>
          <w:szCs w:val="32"/>
        </w:rPr>
      </w:pPr>
      <w:r>
        <w:rPr>
          <w:rFonts w:eastAsia="仿宋_GB2312"/>
          <w:b/>
          <w:bCs/>
          <w:sz w:val="32"/>
          <w:szCs w:val="32"/>
        </w:rPr>
        <w:t>国内公务接待支出</w:t>
      </w:r>
      <w:r>
        <w:rPr>
          <w:rFonts w:eastAsia="仿宋_GB2312"/>
          <w:sz w:val="32"/>
          <w:szCs w:val="32"/>
        </w:rPr>
        <w:t>0.68万元，主要用于执行公务、开展业务活动开支的用餐费等。国内公务接待5批次，34人次，共计支出0.68万元，具体内容包括：接待上级机关及各省市兄弟单位来川检查、评估、调研、考察学习等开支0.68万元。</w:t>
      </w:r>
    </w:p>
    <w:p>
      <w:pPr>
        <w:spacing w:line="600" w:lineRule="exact"/>
        <w:ind w:firstLine="642" w:firstLineChars="200"/>
        <w:jc w:val="left"/>
        <w:rPr>
          <w:rFonts w:eastAsia="仿宋_GB2312"/>
          <w:sz w:val="32"/>
          <w:szCs w:val="32"/>
        </w:rPr>
      </w:pPr>
      <w:r>
        <w:rPr>
          <w:rFonts w:eastAsia="仿宋_GB2312"/>
          <w:b/>
          <w:bCs/>
          <w:sz w:val="32"/>
          <w:szCs w:val="32"/>
        </w:rPr>
        <w:t>外事接待支出</w:t>
      </w:r>
      <w:r>
        <w:rPr>
          <w:rFonts w:eastAsia="仿宋_GB2312"/>
          <w:sz w:val="32"/>
          <w:szCs w:val="32"/>
        </w:rPr>
        <w:t>0万元，外事接待0批次，0人，共计支出0万元。</w:t>
      </w:r>
    </w:p>
    <w:p>
      <w:pPr>
        <w:spacing w:line="580" w:lineRule="exact"/>
        <w:ind w:firstLine="641"/>
        <w:outlineLvl w:val="1"/>
        <w:rPr>
          <w:rStyle w:val="27"/>
          <w:rFonts w:ascii="Times New Roman" w:hAnsi="Times New Roman" w:eastAsia="黑体" w:cs="Times New Roman"/>
        </w:rPr>
      </w:pPr>
      <w:bookmarkStart w:id="51" w:name="_Toc2141"/>
      <w:bookmarkStart w:id="52" w:name="_Toc16277"/>
      <w:r>
        <w:rPr>
          <w:rFonts w:eastAsia="黑体"/>
          <w:color w:val="000000"/>
          <w:sz w:val="32"/>
          <w:szCs w:val="32"/>
        </w:rPr>
        <w:t>八、</w:t>
      </w:r>
      <w:r>
        <w:rPr>
          <w:rStyle w:val="27"/>
          <w:rFonts w:ascii="Times New Roman" w:hAnsi="Times New Roman" w:eastAsia="黑体" w:cs="Times New Roman"/>
          <w:b w:val="0"/>
        </w:rPr>
        <w:t>政府性基金预算支出决算情况说明</w:t>
      </w:r>
      <w:bookmarkEnd w:id="51"/>
      <w:bookmarkEnd w:id="52"/>
    </w:p>
    <w:p>
      <w:pPr>
        <w:spacing w:line="580" w:lineRule="exact"/>
        <w:ind w:firstLine="640" w:firstLineChars="200"/>
        <w:rPr>
          <w:rFonts w:eastAsia="仿宋_GB2312"/>
          <w:color w:val="000000"/>
          <w:sz w:val="32"/>
          <w:szCs w:val="32"/>
        </w:rPr>
      </w:pPr>
      <w:r>
        <w:rPr>
          <w:rFonts w:eastAsia="仿宋_GB2312"/>
          <w:sz w:val="32"/>
          <w:szCs w:val="32"/>
        </w:rPr>
        <w:t>2021年政府性基金预算财政拨款支出0万元。</w:t>
      </w:r>
    </w:p>
    <w:p>
      <w:pPr>
        <w:spacing w:line="580" w:lineRule="exact"/>
        <w:ind w:firstLine="640" w:firstLineChars="200"/>
        <w:outlineLvl w:val="1"/>
        <w:rPr>
          <w:rStyle w:val="27"/>
          <w:rFonts w:ascii="Times New Roman" w:hAnsi="Times New Roman" w:eastAsia="黑体" w:cs="Times New Roman"/>
          <w:b w:val="0"/>
        </w:rPr>
      </w:pPr>
      <w:bookmarkStart w:id="53" w:name="_Toc14097"/>
      <w:bookmarkStart w:id="54" w:name="_Toc26795"/>
      <w:r>
        <w:rPr>
          <w:rStyle w:val="27"/>
          <w:rFonts w:ascii="Times New Roman" w:hAnsi="Times New Roman" w:eastAsia="黑体" w:cs="Times New Roman"/>
          <w:b w:val="0"/>
        </w:rPr>
        <w:t>九、国有资本经营预算支出决算情况说明</w:t>
      </w:r>
      <w:bookmarkEnd w:id="53"/>
      <w:bookmarkEnd w:id="54"/>
    </w:p>
    <w:p>
      <w:pPr>
        <w:spacing w:line="580" w:lineRule="exact"/>
        <w:ind w:firstLine="640" w:firstLineChars="200"/>
        <w:rPr>
          <w:rFonts w:eastAsia="仿宋_GB2312"/>
          <w:sz w:val="32"/>
          <w:szCs w:val="32"/>
        </w:rPr>
      </w:pPr>
      <w:r>
        <w:rPr>
          <w:rFonts w:eastAsia="仿宋_GB2312"/>
          <w:sz w:val="32"/>
          <w:szCs w:val="32"/>
        </w:rPr>
        <w:t>2021年国有资本经营预算财政拨款支出0万元。</w:t>
      </w:r>
    </w:p>
    <w:p>
      <w:pPr>
        <w:spacing w:line="580" w:lineRule="exact"/>
        <w:ind w:firstLine="640" w:firstLineChars="200"/>
        <w:outlineLvl w:val="1"/>
        <w:rPr>
          <w:rStyle w:val="27"/>
          <w:rFonts w:ascii="Times New Roman" w:hAnsi="Times New Roman" w:eastAsia="黑体" w:cs="Times New Roman"/>
          <w:b w:val="0"/>
        </w:rPr>
      </w:pPr>
      <w:bookmarkStart w:id="55" w:name="_Toc1029"/>
      <w:bookmarkStart w:id="56" w:name="_Toc7841"/>
      <w:r>
        <w:rPr>
          <w:rStyle w:val="27"/>
          <w:rFonts w:ascii="Times New Roman" w:hAnsi="Times New Roman" w:eastAsia="黑体" w:cs="Times New Roman"/>
          <w:b w:val="0"/>
        </w:rPr>
        <w:t>十、其他重要事项的情况说明</w:t>
      </w:r>
      <w:bookmarkEnd w:id="55"/>
      <w:bookmarkEnd w:id="56"/>
    </w:p>
    <w:p>
      <w:pPr>
        <w:widowControl/>
        <w:spacing w:line="580" w:lineRule="exact"/>
        <w:ind w:firstLine="640" w:firstLineChars="200"/>
        <w:rPr>
          <w:rFonts w:eastAsia="楷体_GB2312"/>
          <w:sz w:val="32"/>
          <w:szCs w:val="32"/>
        </w:rPr>
      </w:pPr>
      <w:r>
        <w:rPr>
          <w:rFonts w:eastAsia="楷体_GB2312"/>
          <w:sz w:val="32"/>
          <w:szCs w:val="32"/>
        </w:rPr>
        <w:t>（一）机关运行经费支出情况</w:t>
      </w:r>
    </w:p>
    <w:p>
      <w:pPr>
        <w:spacing w:line="580" w:lineRule="exact"/>
        <w:ind w:firstLine="640" w:firstLineChars="200"/>
        <w:rPr>
          <w:rFonts w:eastAsia="仿宋_GB2312"/>
          <w:sz w:val="32"/>
          <w:szCs w:val="32"/>
        </w:rPr>
      </w:pPr>
      <w:r>
        <w:rPr>
          <w:rFonts w:eastAsia="仿宋_GB2312"/>
          <w:sz w:val="32"/>
          <w:szCs w:val="32"/>
        </w:rPr>
        <w:t>2021年，省社保局机关运行经费支出486.52万元，比2020年增加39.88万元，增长8.93 %。主要原因是由于办公楼修建时间较早，设施设备老化，增加了消防设施、办公设备的维修维护费用等。</w:t>
      </w:r>
    </w:p>
    <w:p>
      <w:pPr>
        <w:widowControl/>
        <w:spacing w:line="580" w:lineRule="exact"/>
        <w:ind w:firstLine="640" w:firstLineChars="200"/>
        <w:rPr>
          <w:rFonts w:eastAsia="楷体_GB2312"/>
          <w:sz w:val="32"/>
          <w:szCs w:val="32"/>
        </w:rPr>
      </w:pPr>
      <w:r>
        <w:rPr>
          <w:rFonts w:eastAsia="楷体_GB2312"/>
          <w:sz w:val="32"/>
          <w:szCs w:val="32"/>
        </w:rPr>
        <w:t>（二）政府采购支出情况</w:t>
      </w:r>
    </w:p>
    <w:p>
      <w:pPr>
        <w:spacing w:line="580" w:lineRule="exact"/>
        <w:ind w:firstLine="641"/>
        <w:rPr>
          <w:rFonts w:eastAsia="仿宋_GB2312"/>
          <w:sz w:val="32"/>
          <w:szCs w:val="32"/>
        </w:rPr>
      </w:pPr>
      <w:r>
        <w:rPr>
          <w:rFonts w:eastAsia="仿宋_GB2312"/>
          <w:sz w:val="32"/>
          <w:szCs w:val="32"/>
        </w:rPr>
        <w:t>2021年，省社保局政府采购支出总额14.75万元，其中：政府采购货物支出11.37万元、政府采购工程支出0万元、政府采购服务支出3.38万元。主要用于采购办公设备，公务用车加油、维修保养、保险服务等项目。授予中小企业合同金额8.64万元，占政府采购支出总额的58.58%，其中：授予小微企业合同金额8.64万元，占政府采购支出总额的58.58%。</w:t>
      </w:r>
    </w:p>
    <w:p>
      <w:pPr>
        <w:widowControl/>
        <w:spacing w:line="580" w:lineRule="exact"/>
        <w:ind w:firstLine="640" w:firstLineChars="200"/>
        <w:rPr>
          <w:rFonts w:eastAsia="楷体_GB2312"/>
          <w:sz w:val="32"/>
          <w:szCs w:val="32"/>
        </w:rPr>
      </w:pPr>
      <w:r>
        <w:rPr>
          <w:rFonts w:eastAsia="楷体_GB2312"/>
          <w:sz w:val="32"/>
          <w:szCs w:val="32"/>
        </w:rPr>
        <w:t>（三）国有资产占有使用情况</w:t>
      </w:r>
    </w:p>
    <w:p>
      <w:pPr>
        <w:spacing w:line="580" w:lineRule="exact"/>
        <w:ind w:firstLine="640" w:firstLineChars="200"/>
        <w:jc w:val="left"/>
        <w:rPr>
          <w:rFonts w:eastAsia="仿宋_GB2312"/>
          <w:sz w:val="32"/>
          <w:szCs w:val="32"/>
        </w:rPr>
      </w:pPr>
      <w:r>
        <w:rPr>
          <w:rFonts w:eastAsia="仿宋_GB2312"/>
          <w:sz w:val="32"/>
          <w:szCs w:val="32"/>
        </w:rPr>
        <w:t>截至2021年12月31日，省社保局共有车辆3辆，其中：应急保障用车3辆；单价50万元以上通用设备1台（套），单价100万元以上专用设备0台（套）。</w:t>
      </w:r>
    </w:p>
    <w:p>
      <w:pPr>
        <w:widowControl/>
        <w:spacing w:line="580" w:lineRule="exact"/>
        <w:ind w:firstLine="640" w:firstLineChars="200"/>
        <w:rPr>
          <w:rFonts w:eastAsia="楷体_GB2312"/>
          <w:sz w:val="32"/>
          <w:szCs w:val="32"/>
        </w:rPr>
      </w:pPr>
      <w:r>
        <w:rPr>
          <w:rFonts w:hint="eastAsia" w:eastAsia="楷体_GB2312"/>
          <w:sz w:val="32"/>
          <w:szCs w:val="32"/>
        </w:rPr>
        <w:t>（</w:t>
      </w:r>
      <w:r>
        <w:rPr>
          <w:rFonts w:eastAsia="楷体_GB2312"/>
          <w:sz w:val="32"/>
          <w:szCs w:val="32"/>
        </w:rPr>
        <w:t>四</w:t>
      </w:r>
      <w:r>
        <w:rPr>
          <w:rFonts w:hint="eastAsia" w:eastAsia="楷体_GB2312"/>
          <w:sz w:val="32"/>
          <w:szCs w:val="32"/>
        </w:rPr>
        <w:t>）</w:t>
      </w:r>
      <w:r>
        <w:rPr>
          <w:rFonts w:eastAsia="楷体_GB2312"/>
          <w:sz w:val="32"/>
          <w:szCs w:val="32"/>
        </w:rPr>
        <w:t>预算绩效管理情况</w:t>
      </w:r>
    </w:p>
    <w:p>
      <w:pPr>
        <w:numPr>
          <w:ilvl w:val="255"/>
          <w:numId w:val="0"/>
        </w:numPr>
        <w:spacing w:line="580" w:lineRule="exact"/>
        <w:ind w:firstLine="640" w:firstLineChars="200"/>
        <w:jc w:val="left"/>
        <w:rPr>
          <w:rFonts w:eastAsia="仿宋_GB2312"/>
          <w:sz w:val="32"/>
          <w:szCs w:val="32"/>
        </w:rPr>
      </w:pPr>
      <w:r>
        <w:rPr>
          <w:rFonts w:eastAsia="仿宋_GB2312"/>
          <w:sz w:val="32"/>
          <w:szCs w:val="32"/>
        </w:rPr>
        <w:t>根据预算绩效管理要求，本单位在2021年度无100万元以上项目预算，预算管理过程中未组织开展预算事前绩效评估、事中绩效监控、事后绩效自评。</w:t>
      </w:r>
    </w:p>
    <w:p>
      <w:pPr>
        <w:numPr>
          <w:ilvl w:val="255"/>
          <w:numId w:val="0"/>
        </w:numPr>
        <w:spacing w:line="580" w:lineRule="exact"/>
        <w:ind w:firstLine="640" w:firstLineChars="200"/>
        <w:jc w:val="left"/>
        <w:rPr>
          <w:rFonts w:eastAsia="仿宋_GB2312"/>
          <w:sz w:val="32"/>
          <w:szCs w:val="32"/>
        </w:rPr>
      </w:pPr>
      <w:r>
        <w:rPr>
          <w:rFonts w:eastAsia="仿宋_GB2312"/>
          <w:sz w:val="32"/>
          <w:szCs w:val="32"/>
        </w:rPr>
        <w:t>本单位未组织开展项目支出绩效评价。</w:t>
      </w:r>
    </w:p>
    <w:p>
      <w:pPr>
        <w:widowControl/>
        <w:spacing w:after="100" w:afterAutospacing="1" w:line="600" w:lineRule="exact"/>
        <w:ind w:firstLine="641"/>
        <w:jc w:val="left"/>
        <w:rPr>
          <w:rFonts w:eastAsia="仿宋_GB2312"/>
          <w:sz w:val="32"/>
          <w:szCs w:val="32"/>
        </w:rPr>
      </w:pPr>
      <w:r>
        <w:rPr>
          <w:rFonts w:eastAsia="仿宋_GB2312"/>
          <w:sz w:val="32"/>
          <w:szCs w:val="32"/>
        </w:rPr>
        <w:br w:type="page"/>
      </w:r>
    </w:p>
    <w:p>
      <w:pPr>
        <w:numPr>
          <w:ilvl w:val="0"/>
          <w:numId w:val="2"/>
        </w:numPr>
        <w:spacing w:line="600" w:lineRule="exact"/>
        <w:ind w:firstLine="660" w:firstLineChars="150"/>
        <w:jc w:val="center"/>
        <w:outlineLvl w:val="0"/>
        <w:rPr>
          <w:rStyle w:val="26"/>
          <w:rFonts w:eastAsia="黑体"/>
          <w:b w:val="0"/>
        </w:rPr>
      </w:pPr>
      <w:bookmarkStart w:id="57" w:name="_Toc15396613"/>
      <w:bookmarkStart w:id="58" w:name="_Toc22106"/>
      <w:bookmarkStart w:id="59" w:name="_Toc15377225"/>
      <w:bookmarkStart w:id="60" w:name="_Toc20250"/>
      <w:r>
        <w:rPr>
          <w:rFonts w:eastAsia="黑体"/>
          <w:color w:val="000000"/>
          <w:sz w:val="44"/>
          <w:szCs w:val="44"/>
        </w:rPr>
        <w:t>名</w:t>
      </w:r>
      <w:r>
        <w:rPr>
          <w:rStyle w:val="26"/>
          <w:rFonts w:eastAsia="黑体"/>
          <w:b w:val="0"/>
        </w:rPr>
        <w:t>词解释</w:t>
      </w:r>
      <w:bookmarkEnd w:id="57"/>
      <w:bookmarkEnd w:id="58"/>
      <w:bookmarkEnd w:id="59"/>
      <w:bookmarkEnd w:id="60"/>
    </w:p>
    <w:p>
      <w:pPr>
        <w:spacing w:line="600" w:lineRule="exact"/>
        <w:jc w:val="left"/>
        <w:rPr>
          <w:b/>
          <w:color w:val="000000"/>
          <w:sz w:val="44"/>
          <w:szCs w:val="44"/>
        </w:rPr>
      </w:pPr>
    </w:p>
    <w:p>
      <w:pPr>
        <w:spacing w:line="580" w:lineRule="exact"/>
        <w:ind w:firstLine="640" w:firstLineChars="200"/>
        <w:jc w:val="left"/>
        <w:rPr>
          <w:rFonts w:eastAsia="仿宋_GB2312"/>
          <w:sz w:val="32"/>
          <w:szCs w:val="32"/>
        </w:rPr>
      </w:pPr>
      <w:r>
        <w:rPr>
          <w:rFonts w:eastAsia="仿宋_GB2312"/>
          <w:sz w:val="32"/>
          <w:szCs w:val="32"/>
        </w:rPr>
        <w:t>1.财政拨款收入：指单位从同级财政部门取得的财政预算资金。</w:t>
      </w:r>
    </w:p>
    <w:p>
      <w:pPr>
        <w:pStyle w:val="24"/>
        <w:snapToGrid w:val="0"/>
        <w:spacing w:line="58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2.事业收入：指事业单位开展专业业务活动及辅助活动取得的收入。</w:t>
      </w:r>
    </w:p>
    <w:p>
      <w:pPr>
        <w:spacing w:line="580" w:lineRule="exact"/>
        <w:ind w:firstLine="640" w:firstLineChars="200"/>
        <w:jc w:val="left"/>
        <w:rPr>
          <w:rFonts w:eastAsia="仿宋_GB2312"/>
          <w:sz w:val="32"/>
          <w:szCs w:val="32"/>
        </w:rPr>
      </w:pPr>
      <w:r>
        <w:rPr>
          <w:rFonts w:eastAsia="仿宋_GB2312"/>
          <w:sz w:val="32"/>
          <w:szCs w:val="32"/>
        </w:rPr>
        <w:t>3.经营收入：指事业单位在专业业务活动及其辅助活动之外开展非独立核算经营活动取得的收入。</w:t>
      </w:r>
    </w:p>
    <w:p>
      <w:pPr>
        <w:spacing w:line="580" w:lineRule="exact"/>
        <w:ind w:firstLine="640" w:firstLineChars="200"/>
        <w:jc w:val="left"/>
        <w:rPr>
          <w:rFonts w:eastAsia="仿宋_GB2312"/>
          <w:sz w:val="32"/>
          <w:szCs w:val="32"/>
        </w:rPr>
      </w:pPr>
      <w:r>
        <w:rPr>
          <w:rFonts w:eastAsia="仿宋_GB2312"/>
          <w:sz w:val="32"/>
          <w:szCs w:val="32"/>
        </w:rPr>
        <w:t>4.其他收入：指单位取得的除上述收入以外的各项收入。主要是利息收入等。</w:t>
      </w:r>
    </w:p>
    <w:p>
      <w:pPr>
        <w:spacing w:line="580" w:lineRule="exact"/>
        <w:ind w:firstLine="640" w:firstLineChars="200"/>
        <w:jc w:val="left"/>
        <w:rPr>
          <w:rFonts w:eastAsia="仿宋_GB2312"/>
          <w:sz w:val="32"/>
          <w:szCs w:val="32"/>
        </w:rPr>
      </w:pPr>
      <w:r>
        <w:rPr>
          <w:rFonts w:eastAsia="仿宋_GB2312"/>
          <w:sz w:val="32"/>
          <w:szCs w:val="32"/>
        </w:rPr>
        <w:t>5.年初结转和结余：指以前年度尚未完成、结转到本年按有关规定继续使用的资金。</w:t>
      </w:r>
    </w:p>
    <w:p>
      <w:pPr>
        <w:spacing w:line="580" w:lineRule="exact"/>
        <w:ind w:firstLine="640" w:firstLineChars="200"/>
        <w:jc w:val="left"/>
        <w:rPr>
          <w:rFonts w:eastAsia="仿宋_GB2312"/>
          <w:sz w:val="32"/>
          <w:szCs w:val="32"/>
        </w:rPr>
      </w:pPr>
      <w:r>
        <w:rPr>
          <w:rFonts w:eastAsia="仿宋_GB2312"/>
          <w:sz w:val="32"/>
          <w:szCs w:val="32"/>
        </w:rPr>
        <w:t>6.结余分配：指事业单位按照会计制度规定缴纳的所得税、提取的专用结余以及转入非财政拨款结余的金额等。</w:t>
      </w:r>
    </w:p>
    <w:p>
      <w:pPr>
        <w:spacing w:line="580" w:lineRule="exact"/>
        <w:ind w:firstLine="640" w:firstLineChars="200"/>
        <w:jc w:val="left"/>
        <w:rPr>
          <w:rFonts w:eastAsia="仿宋_GB2312"/>
          <w:sz w:val="32"/>
          <w:szCs w:val="32"/>
        </w:rPr>
      </w:pPr>
      <w:r>
        <w:rPr>
          <w:rFonts w:eastAsia="仿宋_GB2312"/>
          <w:sz w:val="32"/>
          <w:szCs w:val="32"/>
        </w:rPr>
        <w:t>7.年末结转和结余：指单位按有关规定结转到下年或以后年度继续使用的资金。</w:t>
      </w:r>
    </w:p>
    <w:p>
      <w:pPr>
        <w:spacing w:line="580" w:lineRule="exact"/>
        <w:ind w:firstLine="640" w:firstLineChars="200"/>
        <w:jc w:val="left"/>
        <w:rPr>
          <w:rFonts w:eastAsia="仿宋_GB2312"/>
          <w:sz w:val="32"/>
          <w:szCs w:val="32"/>
        </w:rPr>
      </w:pPr>
      <w:r>
        <w:rPr>
          <w:rFonts w:eastAsia="仿宋_GB2312"/>
          <w:sz w:val="32"/>
          <w:szCs w:val="32"/>
        </w:rPr>
        <w:t>8.教育（类）进修及培训（款）培训支出（项）：指各部门安排的用于培训的支出。教育部门的师资培训，党校、行政学院等专业干部教育机构的支出，以及退役士兵、转业士官的培训支出，不在本科目反映。</w:t>
      </w:r>
    </w:p>
    <w:p>
      <w:pPr>
        <w:spacing w:line="580" w:lineRule="exact"/>
        <w:ind w:firstLine="640" w:firstLineChars="200"/>
        <w:jc w:val="left"/>
        <w:rPr>
          <w:rFonts w:eastAsia="仿宋_GB2312"/>
          <w:sz w:val="32"/>
          <w:szCs w:val="32"/>
        </w:rPr>
      </w:pPr>
      <w:r>
        <w:rPr>
          <w:rFonts w:eastAsia="仿宋_GB2312"/>
          <w:sz w:val="32"/>
          <w:szCs w:val="32"/>
        </w:rPr>
        <w:t>9.社会保障和就业（类）人力资源和社会保障管理事务（款）社会保险经办机构（项）：指社会保险经办机构开展业务工作的支出。</w:t>
      </w:r>
    </w:p>
    <w:p>
      <w:pPr>
        <w:spacing w:line="580" w:lineRule="exact"/>
        <w:ind w:firstLine="640" w:firstLineChars="200"/>
        <w:jc w:val="left"/>
        <w:rPr>
          <w:rFonts w:eastAsia="仿宋_GB2312"/>
          <w:sz w:val="32"/>
          <w:szCs w:val="32"/>
        </w:rPr>
      </w:pPr>
      <w:r>
        <w:rPr>
          <w:rFonts w:eastAsia="仿宋_GB2312"/>
          <w:sz w:val="32"/>
          <w:szCs w:val="32"/>
        </w:rPr>
        <w:t>社会保障和就业（类）行政事业单位养老支出（款）行政单位离退休（项）：指行政单位（包括实行公务员管理的事业单位）开支的离退休经费。</w:t>
      </w:r>
    </w:p>
    <w:p>
      <w:pPr>
        <w:spacing w:line="580" w:lineRule="exact"/>
        <w:ind w:firstLine="640" w:firstLineChars="200"/>
        <w:jc w:val="left"/>
        <w:rPr>
          <w:rFonts w:eastAsia="仿宋_GB2312"/>
          <w:sz w:val="32"/>
          <w:szCs w:val="32"/>
        </w:rPr>
      </w:pPr>
      <w:r>
        <w:rPr>
          <w:rFonts w:eastAsia="仿宋_GB2312"/>
          <w:sz w:val="32"/>
          <w:szCs w:val="32"/>
        </w:rPr>
        <w:t>社会保障和就业（类）行政事业单位养老支出（款）机关事业单位基本养老保险缴费支出（项）：指机关事业单位实施养老保险制度由单位缴纳的基本养老保险费支出。</w:t>
      </w:r>
    </w:p>
    <w:p>
      <w:pPr>
        <w:spacing w:line="580" w:lineRule="exact"/>
        <w:ind w:firstLine="640" w:firstLineChars="200"/>
        <w:jc w:val="left"/>
        <w:rPr>
          <w:rFonts w:eastAsia="仿宋_GB2312"/>
          <w:sz w:val="32"/>
          <w:szCs w:val="32"/>
        </w:rPr>
      </w:pPr>
      <w:r>
        <w:rPr>
          <w:rFonts w:eastAsia="仿宋_GB2312"/>
          <w:sz w:val="32"/>
          <w:szCs w:val="32"/>
        </w:rPr>
        <w:t>社会保障和就业（类）行政事业单位养老支出（款）机关事业单位职业年金缴费支出（项）：指机关事业单位实施养老保险制度由单位缴纳的职业年金支出。</w:t>
      </w:r>
    </w:p>
    <w:p>
      <w:pPr>
        <w:spacing w:line="580" w:lineRule="exact"/>
        <w:ind w:firstLine="640" w:firstLineChars="200"/>
        <w:jc w:val="left"/>
        <w:rPr>
          <w:rFonts w:eastAsia="仿宋_GB2312"/>
          <w:sz w:val="32"/>
          <w:szCs w:val="32"/>
        </w:rPr>
      </w:pPr>
      <w:r>
        <w:rPr>
          <w:rFonts w:eastAsia="仿宋_GB2312"/>
          <w:sz w:val="32"/>
          <w:szCs w:val="32"/>
        </w:rPr>
        <w:t>10.卫生健康（类）行政事业单位医疗（款）行政单位医疗（项）：指财政部门安排的行政单位（包括实行公务员管理的事业单位）基本医疗保险缴费经费。</w:t>
      </w:r>
    </w:p>
    <w:p>
      <w:pPr>
        <w:spacing w:line="580" w:lineRule="exact"/>
        <w:ind w:firstLine="640" w:firstLineChars="200"/>
        <w:jc w:val="left"/>
        <w:rPr>
          <w:rFonts w:eastAsia="仿宋_GB2312"/>
          <w:sz w:val="32"/>
          <w:szCs w:val="32"/>
        </w:rPr>
      </w:pPr>
      <w:r>
        <w:rPr>
          <w:rFonts w:eastAsia="仿宋_GB2312"/>
          <w:sz w:val="32"/>
          <w:szCs w:val="32"/>
        </w:rPr>
        <w:t>卫生健康（类）行政事业单位医疗（款）公务员医疗补助(项)：指财政部门安排的公务员医疗补助经费。</w:t>
      </w:r>
    </w:p>
    <w:p>
      <w:pPr>
        <w:spacing w:line="580" w:lineRule="exact"/>
        <w:ind w:firstLine="640" w:firstLineChars="200"/>
        <w:jc w:val="left"/>
        <w:rPr>
          <w:rFonts w:eastAsia="仿宋_GB2312"/>
          <w:sz w:val="32"/>
          <w:szCs w:val="32"/>
        </w:rPr>
      </w:pPr>
      <w:r>
        <w:rPr>
          <w:rFonts w:eastAsia="仿宋_GB2312"/>
          <w:sz w:val="32"/>
          <w:szCs w:val="32"/>
        </w:rPr>
        <w:t>11.住房保障（类）住房改革支出（款）住房公积金（项）：指行政事业单位按人力资源和社会保障部、财政部规定的基本工资和津贴补贴以及规定比例为职工缴纳的住房公积金。</w:t>
      </w:r>
    </w:p>
    <w:p>
      <w:pPr>
        <w:spacing w:line="580" w:lineRule="exact"/>
        <w:ind w:firstLine="640" w:firstLineChars="200"/>
        <w:jc w:val="left"/>
        <w:rPr>
          <w:rFonts w:eastAsia="仿宋_GB2312"/>
          <w:sz w:val="32"/>
          <w:szCs w:val="32"/>
        </w:rPr>
      </w:pPr>
      <w:r>
        <w:rPr>
          <w:rFonts w:eastAsia="仿宋_GB2312"/>
          <w:sz w:val="32"/>
          <w:szCs w:val="32"/>
        </w:rPr>
        <w:t>住房保障（类）住房改革支出（款）购房补贴（项）：指按房改政策规定，行政事业单位向符合条件职工（含离退休人员）、军队（含武警）向转役复员离退休人员发放的用于购买住房的补贴。</w:t>
      </w:r>
    </w:p>
    <w:p>
      <w:pPr>
        <w:spacing w:line="580" w:lineRule="exact"/>
        <w:ind w:firstLine="640" w:firstLineChars="200"/>
        <w:jc w:val="left"/>
        <w:rPr>
          <w:rFonts w:eastAsia="仿宋_GB2312"/>
          <w:sz w:val="32"/>
          <w:szCs w:val="32"/>
        </w:rPr>
      </w:pPr>
      <w:r>
        <w:rPr>
          <w:rFonts w:eastAsia="仿宋_GB2312"/>
          <w:sz w:val="32"/>
          <w:szCs w:val="32"/>
        </w:rPr>
        <w:t>12.基本支出：指为保障机构正常运转、完成日常工作任务而发生的人员支出和公用支出。</w:t>
      </w:r>
    </w:p>
    <w:p>
      <w:pPr>
        <w:spacing w:line="580" w:lineRule="exact"/>
        <w:ind w:firstLine="640" w:firstLineChars="200"/>
        <w:jc w:val="left"/>
        <w:rPr>
          <w:rFonts w:eastAsia="仿宋_GB2312"/>
          <w:sz w:val="32"/>
          <w:szCs w:val="32"/>
        </w:rPr>
      </w:pPr>
      <w:r>
        <w:rPr>
          <w:rFonts w:eastAsia="仿宋_GB2312"/>
          <w:sz w:val="32"/>
          <w:szCs w:val="32"/>
        </w:rPr>
        <w:t>13.项目支出：指在基本支出之外为完成特定行政任务和事业发展目标所发生的支出。</w:t>
      </w:r>
    </w:p>
    <w:p>
      <w:pPr>
        <w:spacing w:line="580" w:lineRule="exact"/>
        <w:ind w:firstLine="640" w:firstLineChars="200"/>
        <w:jc w:val="left"/>
        <w:rPr>
          <w:rFonts w:eastAsia="仿宋_GB2312"/>
          <w:sz w:val="32"/>
          <w:szCs w:val="32"/>
        </w:rPr>
      </w:pPr>
      <w:r>
        <w:rPr>
          <w:rFonts w:eastAsia="仿宋_GB2312"/>
          <w:sz w:val="32"/>
          <w:szCs w:val="32"/>
        </w:rPr>
        <w:t>14.经营支出：指事业单位在专业业务活动及其辅助活动之外开展非独立核算经营活动发生的支出。</w:t>
      </w:r>
    </w:p>
    <w:p>
      <w:pPr>
        <w:spacing w:line="580" w:lineRule="exact"/>
        <w:ind w:firstLine="640" w:firstLineChars="200"/>
        <w:jc w:val="left"/>
        <w:rPr>
          <w:rFonts w:eastAsia="仿宋_GB2312"/>
          <w:sz w:val="32"/>
          <w:szCs w:val="32"/>
        </w:rPr>
      </w:pPr>
      <w:r>
        <w:rPr>
          <w:rFonts w:eastAsia="仿宋_GB2312"/>
          <w:sz w:val="32"/>
          <w:szCs w:val="32"/>
        </w:rPr>
        <w:t>15.“三公”经费：指单位用财政拨款安排的因公出国（境）经费、公务用车购置及运行费和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jc w:val="left"/>
        <w:rPr>
          <w:rFonts w:eastAsia="仿宋_GB2312"/>
          <w:sz w:val="32"/>
          <w:szCs w:val="32"/>
        </w:rPr>
      </w:pPr>
      <w:r>
        <w:rPr>
          <w:rFonts w:eastAsia="仿宋_GB2312"/>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eastAsia="仿宋_GB2312"/>
          <w:sz w:val="32"/>
          <w:szCs w:val="32"/>
        </w:rPr>
      </w:pPr>
      <w:bookmarkStart w:id="61" w:name="_Toc15377226"/>
      <w:r>
        <w:rPr>
          <w:rFonts w:eastAsia="仿宋_GB2312"/>
          <w:sz w:val="32"/>
          <w:szCs w:val="32"/>
        </w:rPr>
        <w:br w:type="page"/>
      </w:r>
    </w:p>
    <w:p>
      <w:pPr>
        <w:spacing w:after="100" w:afterAutospacing="1" w:line="600" w:lineRule="exact"/>
        <w:ind w:firstLine="641"/>
        <w:jc w:val="center"/>
        <w:rPr>
          <w:rFonts w:eastAsia="黑体"/>
          <w:color w:val="000000"/>
          <w:sz w:val="44"/>
          <w:szCs w:val="44"/>
        </w:rPr>
      </w:pPr>
    </w:p>
    <w:p>
      <w:pPr>
        <w:spacing w:after="100" w:afterAutospacing="1" w:line="600" w:lineRule="exact"/>
        <w:ind w:firstLine="641"/>
        <w:jc w:val="center"/>
        <w:outlineLvl w:val="0"/>
        <w:rPr>
          <w:rFonts w:eastAsia="黑体"/>
          <w:color w:val="000000"/>
        </w:rPr>
      </w:pPr>
      <w:bookmarkStart w:id="62" w:name="_Toc21668"/>
      <w:bookmarkStart w:id="63" w:name="_Toc9890"/>
      <w:r>
        <w:rPr>
          <w:rFonts w:eastAsia="黑体"/>
          <w:color w:val="000000"/>
          <w:sz w:val="44"/>
          <w:szCs w:val="44"/>
        </w:rPr>
        <w:t>第四</w:t>
      </w:r>
      <w:r>
        <w:rPr>
          <w:rStyle w:val="26"/>
          <w:rFonts w:eastAsia="黑体"/>
          <w:b w:val="0"/>
        </w:rPr>
        <w:t>部分 附件</w:t>
      </w:r>
      <w:bookmarkEnd w:id="62"/>
      <w:bookmarkEnd w:id="63"/>
    </w:p>
    <w:p>
      <w:pPr>
        <w:numPr>
          <w:ilvl w:val="255"/>
          <w:numId w:val="0"/>
        </w:numPr>
        <w:ind w:firstLine="640" w:firstLineChars="200"/>
        <w:jc w:val="left"/>
        <w:rPr>
          <w:rFonts w:eastAsia="仿宋"/>
          <w:color w:val="000000"/>
          <w:sz w:val="32"/>
          <w:szCs w:val="32"/>
        </w:rPr>
      </w:pPr>
      <w:r>
        <w:rPr>
          <w:rFonts w:eastAsia="仿宋"/>
          <w:color w:val="000000"/>
          <w:sz w:val="32"/>
          <w:szCs w:val="32"/>
        </w:rPr>
        <w:t>本单位2021年无100万元以上（含）特定目标类部门预算项目，未组织开展项目支出绩效评价。</w:t>
      </w:r>
    </w:p>
    <w:p>
      <w:pPr>
        <w:spacing w:after="100" w:afterAutospacing="1" w:line="600" w:lineRule="exact"/>
        <w:ind w:firstLine="641"/>
        <w:jc w:val="center"/>
        <w:rPr>
          <w:rFonts w:eastAsia="仿宋_GB2312"/>
          <w:sz w:val="32"/>
          <w:szCs w:val="32"/>
        </w:rPr>
      </w:pPr>
      <w:r>
        <w:rPr>
          <w:rFonts w:eastAsia="仿宋_GB2312"/>
          <w:sz w:val="32"/>
          <w:szCs w:val="32"/>
        </w:rPr>
        <w:br w:type="page"/>
      </w:r>
      <w:bookmarkStart w:id="64" w:name="_Toc15396614"/>
    </w:p>
    <w:p>
      <w:pPr>
        <w:spacing w:after="100" w:afterAutospacing="1" w:line="600" w:lineRule="exact"/>
        <w:ind w:firstLine="641"/>
        <w:jc w:val="center"/>
        <w:outlineLvl w:val="0"/>
        <w:rPr>
          <w:rFonts w:eastAsia="仿宋"/>
          <w:color w:val="000000"/>
        </w:rPr>
      </w:pPr>
      <w:bookmarkStart w:id="65" w:name="_Toc22993"/>
      <w:bookmarkStart w:id="66" w:name="_Toc671"/>
      <w:r>
        <w:rPr>
          <w:rFonts w:eastAsia="黑体"/>
          <w:color w:val="000000"/>
          <w:sz w:val="44"/>
          <w:szCs w:val="44"/>
        </w:rPr>
        <w:t>第</w:t>
      </w:r>
      <w:r>
        <w:rPr>
          <w:rStyle w:val="26"/>
          <w:rFonts w:eastAsia="黑体"/>
          <w:b w:val="0"/>
        </w:rPr>
        <w:t xml:space="preserve">五部分 </w:t>
      </w:r>
      <w:bookmarkEnd w:id="64"/>
      <w:bookmarkStart w:id="67" w:name="_Toc15396618"/>
      <w:r>
        <w:rPr>
          <w:rStyle w:val="26"/>
          <w:rFonts w:eastAsia="黑体"/>
          <w:b w:val="0"/>
        </w:rPr>
        <w:t>附表</w:t>
      </w:r>
      <w:bookmarkEnd w:id="61"/>
      <w:bookmarkEnd w:id="65"/>
      <w:bookmarkEnd w:id="66"/>
      <w:bookmarkEnd w:id="67"/>
      <w:bookmarkStart w:id="68" w:name="_Toc15396619"/>
    </w:p>
    <w:bookmarkEnd w:id="68"/>
    <w:p>
      <w:pPr>
        <w:spacing w:line="600" w:lineRule="exact"/>
        <w:outlineLvl w:val="0"/>
        <w:rPr>
          <w:rFonts w:eastAsia="仿宋"/>
        </w:rPr>
      </w:pPr>
      <w:bookmarkStart w:id="69" w:name="_Toc24602"/>
      <w:bookmarkStart w:id="70" w:name="_Toc16104"/>
      <w:bookmarkStart w:id="71" w:name="_Toc14553"/>
      <w:r>
        <w:rPr>
          <w:rFonts w:eastAsia="仿宋"/>
          <w:bCs/>
          <w:sz w:val="32"/>
          <w:szCs w:val="32"/>
        </w:rPr>
        <w:t>一、</w:t>
      </w:r>
      <w:r>
        <w:rPr>
          <w:rStyle w:val="27"/>
          <w:rFonts w:ascii="Times New Roman" w:hAnsi="Times New Roman" w:eastAsia="仿宋" w:cs="Times New Roman"/>
          <w:b w:val="0"/>
          <w:bCs w:val="0"/>
        </w:rPr>
        <w:t>收入支出决算总表</w:t>
      </w:r>
      <w:bookmarkEnd w:id="69"/>
      <w:bookmarkEnd w:id="70"/>
      <w:bookmarkEnd w:id="71"/>
    </w:p>
    <w:p>
      <w:pPr>
        <w:pStyle w:val="4"/>
        <w:spacing w:before="0" w:after="0"/>
        <w:rPr>
          <w:rFonts w:ascii="Times New Roman" w:hAnsi="Times New Roman" w:eastAsia="仿宋" w:cs="Times New Roman"/>
        </w:rPr>
      </w:pPr>
      <w:bookmarkStart w:id="72" w:name="_Toc71"/>
      <w:bookmarkStart w:id="73" w:name="_Toc11363"/>
      <w:bookmarkStart w:id="74" w:name="_Toc11142"/>
      <w:bookmarkStart w:id="75" w:name="_Toc15396620"/>
      <w:r>
        <w:rPr>
          <w:rFonts w:ascii="Times New Roman" w:hAnsi="Times New Roman" w:eastAsia="仿宋" w:cs="Times New Roman"/>
          <w:b w:val="0"/>
        </w:rPr>
        <w:t>二、收</w:t>
      </w:r>
      <w:r>
        <w:rPr>
          <w:rStyle w:val="27"/>
          <w:rFonts w:ascii="Times New Roman" w:hAnsi="Times New Roman" w:eastAsia="仿宋" w:cs="Times New Roman"/>
          <w:b w:val="0"/>
          <w:bCs w:val="0"/>
        </w:rPr>
        <w:t>入决算表</w:t>
      </w:r>
      <w:bookmarkEnd w:id="72"/>
      <w:bookmarkEnd w:id="73"/>
      <w:bookmarkEnd w:id="74"/>
      <w:bookmarkEnd w:id="75"/>
    </w:p>
    <w:p>
      <w:pPr>
        <w:pStyle w:val="4"/>
        <w:spacing w:before="0" w:after="0"/>
        <w:rPr>
          <w:rFonts w:ascii="Times New Roman" w:hAnsi="Times New Roman" w:eastAsia="仿宋" w:cs="Times New Roman"/>
        </w:rPr>
      </w:pPr>
      <w:bookmarkStart w:id="76" w:name="_Toc13590"/>
      <w:bookmarkStart w:id="77" w:name="_Toc591"/>
      <w:bookmarkStart w:id="78" w:name="_Toc15396621"/>
      <w:bookmarkStart w:id="79" w:name="_Toc11230"/>
      <w:r>
        <w:rPr>
          <w:rStyle w:val="27"/>
          <w:rFonts w:ascii="Times New Roman" w:hAnsi="Times New Roman" w:eastAsia="仿宋" w:cs="Times New Roman"/>
          <w:b w:val="0"/>
          <w:bCs w:val="0"/>
        </w:rPr>
        <w:t>三、</w:t>
      </w:r>
      <w:r>
        <w:rPr>
          <w:rFonts w:ascii="Times New Roman" w:hAnsi="Times New Roman" w:eastAsia="仿宋" w:cs="Times New Roman"/>
          <w:b w:val="0"/>
        </w:rPr>
        <w:t>支</w:t>
      </w:r>
      <w:r>
        <w:rPr>
          <w:rStyle w:val="27"/>
          <w:rFonts w:ascii="Times New Roman" w:hAnsi="Times New Roman" w:eastAsia="仿宋" w:cs="Times New Roman"/>
          <w:b w:val="0"/>
          <w:bCs w:val="0"/>
        </w:rPr>
        <w:t>出决算表</w:t>
      </w:r>
      <w:bookmarkEnd w:id="76"/>
      <w:bookmarkEnd w:id="77"/>
      <w:bookmarkEnd w:id="78"/>
      <w:bookmarkEnd w:id="79"/>
    </w:p>
    <w:p>
      <w:pPr>
        <w:pStyle w:val="4"/>
        <w:spacing w:before="0" w:after="0"/>
        <w:rPr>
          <w:rFonts w:ascii="Times New Roman" w:hAnsi="Times New Roman" w:eastAsia="仿宋" w:cs="Times New Roman"/>
          <w:b w:val="0"/>
        </w:rPr>
      </w:pPr>
      <w:bookmarkStart w:id="80" w:name="_Toc20126"/>
      <w:bookmarkStart w:id="81" w:name="_Toc21798"/>
      <w:bookmarkStart w:id="82" w:name="_Toc164"/>
      <w:bookmarkStart w:id="83" w:name="_Toc15396622"/>
      <w:r>
        <w:rPr>
          <w:rStyle w:val="27"/>
          <w:rFonts w:ascii="Times New Roman" w:hAnsi="Times New Roman" w:eastAsia="仿宋" w:cs="Times New Roman"/>
          <w:b w:val="0"/>
          <w:bCs w:val="0"/>
        </w:rPr>
        <w:t>四、</w:t>
      </w:r>
      <w:r>
        <w:rPr>
          <w:rFonts w:ascii="Times New Roman" w:hAnsi="Times New Roman" w:eastAsia="仿宋" w:cs="Times New Roman"/>
          <w:b w:val="0"/>
        </w:rPr>
        <w:t>财</w:t>
      </w:r>
      <w:r>
        <w:rPr>
          <w:rStyle w:val="27"/>
          <w:rFonts w:ascii="Times New Roman" w:hAnsi="Times New Roman" w:eastAsia="仿宋" w:cs="Times New Roman"/>
          <w:b w:val="0"/>
          <w:bCs w:val="0"/>
        </w:rPr>
        <w:t>政拨款收入支出决算总表</w:t>
      </w:r>
      <w:bookmarkEnd w:id="80"/>
      <w:bookmarkEnd w:id="81"/>
      <w:bookmarkEnd w:id="82"/>
      <w:bookmarkEnd w:id="83"/>
    </w:p>
    <w:p>
      <w:pPr>
        <w:pStyle w:val="4"/>
        <w:spacing w:before="0" w:after="0"/>
        <w:rPr>
          <w:rStyle w:val="27"/>
          <w:rFonts w:ascii="Times New Roman" w:hAnsi="Times New Roman" w:eastAsia="仿宋" w:cs="Times New Roman"/>
          <w:b w:val="0"/>
          <w:bCs w:val="0"/>
        </w:rPr>
      </w:pPr>
      <w:bookmarkStart w:id="84" w:name="_Toc13259"/>
      <w:bookmarkStart w:id="85" w:name="_Toc12877"/>
      <w:bookmarkStart w:id="86" w:name="_Toc20"/>
      <w:bookmarkStart w:id="87" w:name="_Toc15396623"/>
      <w:r>
        <w:rPr>
          <w:rStyle w:val="27"/>
          <w:rFonts w:ascii="Times New Roman" w:hAnsi="Times New Roman" w:eastAsia="仿宋" w:cs="Times New Roman"/>
          <w:b w:val="0"/>
          <w:bCs w:val="0"/>
        </w:rPr>
        <w:t>五、</w:t>
      </w:r>
      <w:r>
        <w:rPr>
          <w:rFonts w:ascii="Times New Roman" w:hAnsi="Times New Roman" w:eastAsia="仿宋" w:cs="Times New Roman"/>
          <w:b w:val="0"/>
        </w:rPr>
        <w:t>财</w:t>
      </w:r>
      <w:r>
        <w:rPr>
          <w:rStyle w:val="27"/>
          <w:rFonts w:ascii="Times New Roman" w:hAnsi="Times New Roman" w:eastAsia="仿宋" w:cs="Times New Roman"/>
          <w:b w:val="0"/>
          <w:bCs w:val="0"/>
        </w:rPr>
        <w:t>政拨款支出决算明细表</w:t>
      </w:r>
      <w:bookmarkEnd w:id="84"/>
      <w:bookmarkEnd w:id="85"/>
      <w:bookmarkEnd w:id="86"/>
      <w:bookmarkEnd w:id="87"/>
      <w:bookmarkStart w:id="88" w:name="_Toc15396624"/>
    </w:p>
    <w:p>
      <w:pPr>
        <w:pStyle w:val="4"/>
        <w:spacing w:before="0" w:after="0"/>
        <w:rPr>
          <w:rFonts w:ascii="Times New Roman" w:hAnsi="Times New Roman" w:eastAsia="仿宋" w:cs="Times New Roman"/>
        </w:rPr>
      </w:pPr>
      <w:bookmarkStart w:id="89" w:name="_Toc18984"/>
      <w:bookmarkStart w:id="90" w:name="_Toc15769"/>
      <w:bookmarkStart w:id="91" w:name="_Toc17556"/>
      <w:r>
        <w:rPr>
          <w:rStyle w:val="27"/>
          <w:rFonts w:ascii="Times New Roman" w:hAnsi="Times New Roman" w:eastAsia="仿宋" w:cs="Times New Roman"/>
          <w:b w:val="0"/>
          <w:bCs w:val="0"/>
        </w:rPr>
        <w:t>六、</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般公共预算财政拨款支出决算表</w:t>
      </w:r>
      <w:bookmarkEnd w:id="88"/>
      <w:bookmarkEnd w:id="89"/>
      <w:bookmarkEnd w:id="90"/>
      <w:bookmarkEnd w:id="91"/>
    </w:p>
    <w:p>
      <w:pPr>
        <w:pStyle w:val="4"/>
        <w:spacing w:before="0" w:after="0"/>
        <w:rPr>
          <w:rFonts w:ascii="Times New Roman" w:hAnsi="Times New Roman" w:eastAsia="仿宋" w:cs="Times New Roman"/>
        </w:rPr>
      </w:pPr>
      <w:bookmarkStart w:id="92" w:name="_Toc3523"/>
      <w:bookmarkStart w:id="93" w:name="_Toc15396625"/>
      <w:bookmarkStart w:id="94" w:name="_Toc25373"/>
      <w:bookmarkStart w:id="95" w:name="_Toc13675"/>
      <w:r>
        <w:rPr>
          <w:rStyle w:val="27"/>
          <w:rFonts w:ascii="Times New Roman" w:hAnsi="Times New Roman" w:eastAsia="仿宋" w:cs="Times New Roman"/>
          <w:b w:val="0"/>
          <w:bCs w:val="0"/>
        </w:rPr>
        <w:t>七、</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般公共预算财政拨款支出决算明细表</w:t>
      </w:r>
      <w:bookmarkEnd w:id="92"/>
      <w:bookmarkEnd w:id="93"/>
      <w:bookmarkEnd w:id="94"/>
      <w:bookmarkEnd w:id="95"/>
    </w:p>
    <w:p>
      <w:pPr>
        <w:pStyle w:val="4"/>
        <w:spacing w:before="0" w:after="0"/>
        <w:rPr>
          <w:rFonts w:ascii="Times New Roman" w:hAnsi="Times New Roman" w:eastAsia="仿宋" w:cs="Times New Roman"/>
        </w:rPr>
      </w:pPr>
      <w:bookmarkStart w:id="96" w:name="_Toc7431"/>
      <w:bookmarkStart w:id="97" w:name="_Toc21380"/>
      <w:bookmarkStart w:id="98" w:name="_Toc5663"/>
      <w:bookmarkStart w:id="99" w:name="_Toc15396626"/>
      <w:r>
        <w:rPr>
          <w:rStyle w:val="27"/>
          <w:rFonts w:ascii="Times New Roman" w:hAnsi="Times New Roman" w:eastAsia="仿宋" w:cs="Times New Roman"/>
          <w:b w:val="0"/>
          <w:bCs w:val="0"/>
        </w:rPr>
        <w:t>八、</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般公共预算财政拨款基本支出决算表</w:t>
      </w:r>
      <w:bookmarkEnd w:id="96"/>
      <w:bookmarkEnd w:id="97"/>
      <w:bookmarkEnd w:id="98"/>
      <w:bookmarkEnd w:id="99"/>
    </w:p>
    <w:p>
      <w:pPr>
        <w:pStyle w:val="4"/>
        <w:spacing w:before="0" w:after="0"/>
        <w:rPr>
          <w:rFonts w:ascii="Times New Roman" w:hAnsi="Times New Roman" w:eastAsia="仿宋" w:cs="Times New Roman"/>
        </w:rPr>
      </w:pPr>
      <w:bookmarkStart w:id="100" w:name="_Toc15396627"/>
      <w:bookmarkStart w:id="101" w:name="_Toc22736"/>
      <w:bookmarkStart w:id="102" w:name="_Toc11734"/>
      <w:bookmarkStart w:id="103" w:name="_Toc6518"/>
      <w:r>
        <w:rPr>
          <w:rStyle w:val="27"/>
          <w:rFonts w:ascii="Times New Roman" w:hAnsi="Times New Roman" w:eastAsia="仿宋" w:cs="Times New Roman"/>
          <w:b w:val="0"/>
          <w:bCs w:val="0"/>
        </w:rPr>
        <w:t>九、</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般公共预算财政拨款项目支出决算表</w:t>
      </w:r>
      <w:bookmarkEnd w:id="100"/>
      <w:bookmarkEnd w:id="101"/>
      <w:bookmarkEnd w:id="102"/>
      <w:bookmarkEnd w:id="103"/>
    </w:p>
    <w:p>
      <w:pPr>
        <w:pStyle w:val="4"/>
        <w:spacing w:before="0" w:after="0"/>
        <w:rPr>
          <w:rFonts w:ascii="Times New Roman" w:hAnsi="Times New Roman" w:eastAsia="仿宋" w:cs="Times New Roman"/>
        </w:rPr>
      </w:pPr>
      <w:bookmarkStart w:id="104" w:name="_Toc14435"/>
      <w:bookmarkStart w:id="105" w:name="_Toc15396628"/>
      <w:bookmarkStart w:id="106" w:name="_Toc21972"/>
      <w:bookmarkStart w:id="107" w:name="_Toc17910"/>
      <w:r>
        <w:rPr>
          <w:rStyle w:val="27"/>
          <w:rFonts w:ascii="Times New Roman" w:hAnsi="Times New Roman" w:eastAsia="仿宋" w:cs="Times New Roman"/>
          <w:b w:val="0"/>
          <w:bCs w:val="0"/>
        </w:rPr>
        <w:t>十、</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般公共预算财政拨款“三公”经费支出决算表</w:t>
      </w:r>
      <w:bookmarkEnd w:id="104"/>
      <w:bookmarkEnd w:id="105"/>
      <w:bookmarkEnd w:id="106"/>
      <w:bookmarkEnd w:id="107"/>
    </w:p>
    <w:p>
      <w:pPr>
        <w:pStyle w:val="4"/>
        <w:spacing w:before="0" w:after="0"/>
        <w:rPr>
          <w:rFonts w:ascii="Times New Roman" w:hAnsi="Times New Roman" w:eastAsia="仿宋" w:cs="Times New Roman"/>
        </w:rPr>
      </w:pPr>
      <w:bookmarkStart w:id="108" w:name="_Toc15396629"/>
      <w:bookmarkStart w:id="109" w:name="_Toc29945"/>
      <w:bookmarkStart w:id="110" w:name="_Toc19294"/>
      <w:bookmarkStart w:id="111" w:name="_Toc9779"/>
      <w:r>
        <w:rPr>
          <w:rStyle w:val="27"/>
          <w:rFonts w:ascii="Times New Roman" w:hAnsi="Times New Roman" w:eastAsia="仿宋" w:cs="Times New Roman"/>
          <w:b w:val="0"/>
          <w:bCs w:val="0"/>
        </w:rPr>
        <w:t>十一、</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府性基金预算财政拨款收入支出决算表</w:t>
      </w:r>
      <w:bookmarkEnd w:id="108"/>
      <w:bookmarkEnd w:id="109"/>
      <w:bookmarkEnd w:id="110"/>
      <w:bookmarkEnd w:id="111"/>
    </w:p>
    <w:p>
      <w:pPr>
        <w:pStyle w:val="4"/>
        <w:spacing w:before="0" w:after="0"/>
        <w:rPr>
          <w:rFonts w:ascii="Times New Roman" w:hAnsi="Times New Roman" w:eastAsia="仿宋" w:cs="Times New Roman"/>
        </w:rPr>
      </w:pPr>
      <w:bookmarkStart w:id="112" w:name="_Toc24105"/>
      <w:bookmarkStart w:id="113" w:name="_Toc27820"/>
      <w:bookmarkStart w:id="114" w:name="_Toc2424"/>
      <w:bookmarkStart w:id="115" w:name="_Toc15396630"/>
      <w:r>
        <w:rPr>
          <w:rStyle w:val="27"/>
          <w:rFonts w:ascii="Times New Roman" w:hAnsi="Times New Roman" w:eastAsia="仿宋" w:cs="Times New Roman"/>
          <w:b w:val="0"/>
          <w:bCs w:val="0"/>
        </w:rPr>
        <w:t>十二、</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府性基金预算财政拨款“三公”经费支出决算表</w:t>
      </w:r>
      <w:bookmarkEnd w:id="112"/>
      <w:bookmarkEnd w:id="113"/>
      <w:bookmarkEnd w:id="114"/>
      <w:bookmarkEnd w:id="115"/>
    </w:p>
    <w:p>
      <w:pPr>
        <w:pStyle w:val="4"/>
        <w:spacing w:before="0" w:after="0"/>
        <w:rPr>
          <w:rStyle w:val="27"/>
          <w:rFonts w:ascii="Times New Roman" w:hAnsi="Times New Roman" w:eastAsia="仿宋" w:cs="Times New Roman"/>
          <w:b w:val="0"/>
          <w:bCs w:val="0"/>
        </w:rPr>
      </w:pPr>
      <w:bookmarkStart w:id="116" w:name="_Toc32039"/>
      <w:bookmarkStart w:id="117" w:name="_Toc23162"/>
      <w:bookmarkStart w:id="118" w:name="_Toc15396631"/>
      <w:bookmarkStart w:id="119" w:name="_Toc29487"/>
      <w:r>
        <w:rPr>
          <w:rStyle w:val="27"/>
          <w:rFonts w:ascii="Times New Roman" w:hAnsi="Times New Roman" w:eastAsia="仿宋" w:cs="Times New Roman"/>
          <w:b w:val="0"/>
          <w:bCs w:val="0"/>
        </w:rPr>
        <w:t>十三、</w:t>
      </w:r>
      <w:r>
        <w:rPr>
          <w:rFonts w:ascii="Times New Roman" w:hAnsi="Times New Roman" w:eastAsia="仿宋" w:cs="Times New Roman"/>
          <w:b w:val="0"/>
        </w:rPr>
        <w:t>国</w:t>
      </w:r>
      <w:r>
        <w:rPr>
          <w:rStyle w:val="27"/>
          <w:rFonts w:ascii="Times New Roman" w:hAnsi="Times New Roman" w:eastAsia="仿宋" w:cs="Times New Roman"/>
          <w:b w:val="0"/>
          <w:bCs w:val="0"/>
        </w:rPr>
        <w:t>有资本经营预算财政拨款收入支出决算表</w:t>
      </w:r>
      <w:bookmarkEnd w:id="116"/>
      <w:bookmarkEnd w:id="117"/>
      <w:bookmarkEnd w:id="118"/>
      <w:bookmarkEnd w:id="119"/>
    </w:p>
    <w:p>
      <w:pPr>
        <w:rPr>
          <w:rFonts w:eastAsia="仿宋"/>
        </w:rPr>
      </w:pPr>
      <w:bookmarkStart w:id="120" w:name="_Toc3414"/>
      <w:bookmarkStart w:id="121" w:name="_Toc14994"/>
      <w:bookmarkStart w:id="122" w:name="_Toc5389"/>
      <w:r>
        <w:rPr>
          <w:rStyle w:val="27"/>
          <w:rFonts w:ascii="Times New Roman" w:hAnsi="Times New Roman" w:eastAsia="仿宋" w:cs="Times New Roman"/>
          <w:b w:val="0"/>
          <w:bCs w:val="0"/>
        </w:rPr>
        <w:t>十四、国有资本经营预算财政拨款支出决算表</w:t>
      </w:r>
      <w:bookmarkEnd w:id="120"/>
      <w:bookmarkEnd w:id="121"/>
      <w:bookmarkEnd w:id="122"/>
    </w:p>
    <w:p>
      <w:pPr>
        <w:spacing w:line="580" w:lineRule="exact"/>
        <w:ind w:firstLine="640" w:firstLineChars="200"/>
        <w:jc w:val="left"/>
        <w:rPr>
          <w:rFonts w:eastAsia="仿宋_GB2312"/>
          <w:sz w:val="32"/>
          <w:szCs w:val="32"/>
        </w:rPr>
      </w:pPr>
    </w:p>
    <w:p>
      <w:pPr>
        <w:spacing w:line="580" w:lineRule="exact"/>
        <w:ind w:firstLine="640" w:firstLineChars="200"/>
        <w:jc w:val="left"/>
        <w:rPr>
          <w:rFonts w:eastAsia="仿宋_GB2312"/>
          <w:sz w:val="32"/>
          <w:szCs w:val="32"/>
        </w:rPr>
      </w:pPr>
    </w:p>
    <w:sectPr>
      <w:footerReference r:id="rId9" w:type="first"/>
      <w:footerReference r:id="rId7" w:type="default"/>
      <w:footerReference r:id="rId8" w:type="even"/>
      <w:pgSz w:w="11906" w:h="16838"/>
      <w:pgMar w:top="2098" w:right="1474" w:bottom="1985" w:left="1588" w:header="851" w:footer="1418"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4</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w:t>
    </w:r>
    <w:sdt>
      <w:sdtPr>
        <w:rPr>
          <w:rFonts w:asciiTheme="majorEastAsia" w:hAnsiTheme="majorEastAsia" w:eastAsiaTheme="majorEastAsia"/>
          <w:sz w:val="28"/>
          <w:szCs w:val="28"/>
        </w:rPr>
        <w:id w:val="730580740"/>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zg4N2RkOGVkZTFkYzliZWIxYTAxZTUyMWQ2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016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058C9"/>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0166"/>
    <w:rsid w:val="003216A9"/>
    <w:rsid w:val="00335A74"/>
    <w:rsid w:val="0036561B"/>
    <w:rsid w:val="0037013F"/>
    <w:rsid w:val="00380C92"/>
    <w:rsid w:val="003A484F"/>
    <w:rsid w:val="003A4883"/>
    <w:rsid w:val="003B0BE0"/>
    <w:rsid w:val="003B0C1B"/>
    <w:rsid w:val="003B1280"/>
    <w:rsid w:val="003B688C"/>
    <w:rsid w:val="003C0291"/>
    <w:rsid w:val="003C39AE"/>
    <w:rsid w:val="003C7B60"/>
    <w:rsid w:val="003D0C0F"/>
    <w:rsid w:val="003D1FB2"/>
    <w:rsid w:val="003D66DA"/>
    <w:rsid w:val="003E1310"/>
    <w:rsid w:val="003E13B0"/>
    <w:rsid w:val="003E6F55"/>
    <w:rsid w:val="00406254"/>
    <w:rsid w:val="004223DE"/>
    <w:rsid w:val="00434489"/>
    <w:rsid w:val="00437085"/>
    <w:rsid w:val="00440E77"/>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9CD"/>
    <w:rsid w:val="00531D5A"/>
    <w:rsid w:val="00532FBD"/>
    <w:rsid w:val="005664BB"/>
    <w:rsid w:val="00566FFA"/>
    <w:rsid w:val="0057481D"/>
    <w:rsid w:val="0058486E"/>
    <w:rsid w:val="00585B33"/>
    <w:rsid w:val="0059014D"/>
    <w:rsid w:val="005B5C64"/>
    <w:rsid w:val="005C5337"/>
    <w:rsid w:val="005C6BD0"/>
    <w:rsid w:val="005D1C8B"/>
    <w:rsid w:val="005D3600"/>
    <w:rsid w:val="005D468D"/>
    <w:rsid w:val="005D5CED"/>
    <w:rsid w:val="005F1A4C"/>
    <w:rsid w:val="00605688"/>
    <w:rsid w:val="006070AF"/>
    <w:rsid w:val="00607E6C"/>
    <w:rsid w:val="006101B1"/>
    <w:rsid w:val="0061395C"/>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7F58"/>
    <w:rsid w:val="007C613D"/>
    <w:rsid w:val="007D1682"/>
    <w:rsid w:val="007D312A"/>
    <w:rsid w:val="007D3F19"/>
    <w:rsid w:val="007E23B0"/>
    <w:rsid w:val="007E23E5"/>
    <w:rsid w:val="007F1991"/>
    <w:rsid w:val="007F2C2F"/>
    <w:rsid w:val="007F45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12B5"/>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87124"/>
    <w:rsid w:val="009931C3"/>
    <w:rsid w:val="009B2C43"/>
    <w:rsid w:val="009B4EAE"/>
    <w:rsid w:val="009B7573"/>
    <w:rsid w:val="009C22F4"/>
    <w:rsid w:val="009C2A4B"/>
    <w:rsid w:val="009C2E98"/>
    <w:rsid w:val="009D3447"/>
    <w:rsid w:val="009D4711"/>
    <w:rsid w:val="009F1185"/>
    <w:rsid w:val="009F18CD"/>
    <w:rsid w:val="009F2A13"/>
    <w:rsid w:val="009F61AB"/>
    <w:rsid w:val="009F7527"/>
    <w:rsid w:val="00A04EB0"/>
    <w:rsid w:val="00A13CC1"/>
    <w:rsid w:val="00A16847"/>
    <w:rsid w:val="00A237D8"/>
    <w:rsid w:val="00A268C4"/>
    <w:rsid w:val="00A3073F"/>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4CBB"/>
    <w:rsid w:val="00AB581E"/>
    <w:rsid w:val="00AB64C9"/>
    <w:rsid w:val="00AB7679"/>
    <w:rsid w:val="00AC3C6A"/>
    <w:rsid w:val="00AD04D5"/>
    <w:rsid w:val="00AD5620"/>
    <w:rsid w:val="00AD656B"/>
    <w:rsid w:val="00AD7C1B"/>
    <w:rsid w:val="00AE16BA"/>
    <w:rsid w:val="00AE1EBE"/>
    <w:rsid w:val="00B03C9D"/>
    <w:rsid w:val="00B060AE"/>
    <w:rsid w:val="00B10517"/>
    <w:rsid w:val="00B14E76"/>
    <w:rsid w:val="00B161B8"/>
    <w:rsid w:val="00B2048C"/>
    <w:rsid w:val="00B310B9"/>
    <w:rsid w:val="00B348F8"/>
    <w:rsid w:val="00B35F3F"/>
    <w:rsid w:val="00B36CBB"/>
    <w:rsid w:val="00B425E0"/>
    <w:rsid w:val="00B440AA"/>
    <w:rsid w:val="00B44B70"/>
    <w:rsid w:val="00B53C56"/>
    <w:rsid w:val="00B57DAF"/>
    <w:rsid w:val="00B67A45"/>
    <w:rsid w:val="00B77EA6"/>
    <w:rsid w:val="00B81598"/>
    <w:rsid w:val="00B841F1"/>
    <w:rsid w:val="00B944D6"/>
    <w:rsid w:val="00BB4DF0"/>
    <w:rsid w:val="00BC289F"/>
    <w:rsid w:val="00BC2D50"/>
    <w:rsid w:val="00BC5361"/>
    <w:rsid w:val="00BC5460"/>
    <w:rsid w:val="00BC6B50"/>
    <w:rsid w:val="00BD0E25"/>
    <w:rsid w:val="00BF5BD6"/>
    <w:rsid w:val="00BF5C37"/>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0645"/>
    <w:rsid w:val="00D114F0"/>
    <w:rsid w:val="00D12563"/>
    <w:rsid w:val="00D20620"/>
    <w:rsid w:val="00D254F7"/>
    <w:rsid w:val="00D26091"/>
    <w:rsid w:val="00D2685C"/>
    <w:rsid w:val="00D32B77"/>
    <w:rsid w:val="00D34E7C"/>
    <w:rsid w:val="00D35489"/>
    <w:rsid w:val="00D36AFE"/>
    <w:rsid w:val="00D51276"/>
    <w:rsid w:val="00D7035F"/>
    <w:rsid w:val="00D74096"/>
    <w:rsid w:val="00DA634F"/>
    <w:rsid w:val="00DA65AC"/>
    <w:rsid w:val="00DB1913"/>
    <w:rsid w:val="00DC209F"/>
    <w:rsid w:val="00DC410D"/>
    <w:rsid w:val="00DC5A81"/>
    <w:rsid w:val="00DC68CA"/>
    <w:rsid w:val="00DC7CBA"/>
    <w:rsid w:val="00DD73B7"/>
    <w:rsid w:val="00DF28BC"/>
    <w:rsid w:val="00DF34B9"/>
    <w:rsid w:val="00E01053"/>
    <w:rsid w:val="00E07ACF"/>
    <w:rsid w:val="00E331A1"/>
    <w:rsid w:val="00E33202"/>
    <w:rsid w:val="00E336A9"/>
    <w:rsid w:val="00E4044B"/>
    <w:rsid w:val="00E472B1"/>
    <w:rsid w:val="00E50624"/>
    <w:rsid w:val="00E568DF"/>
    <w:rsid w:val="00E64269"/>
    <w:rsid w:val="00E82267"/>
    <w:rsid w:val="00E853CE"/>
    <w:rsid w:val="00E867B6"/>
    <w:rsid w:val="00EA010F"/>
    <w:rsid w:val="00ED1B63"/>
    <w:rsid w:val="00ED3C1F"/>
    <w:rsid w:val="00ED4085"/>
    <w:rsid w:val="00ED420E"/>
    <w:rsid w:val="00ED467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817"/>
    <w:rsid w:val="00F84A94"/>
    <w:rsid w:val="00F87E96"/>
    <w:rsid w:val="00F91953"/>
    <w:rsid w:val="00FA23E8"/>
    <w:rsid w:val="00FD3CC1"/>
    <w:rsid w:val="00FF1E02"/>
    <w:rsid w:val="00FF30B4"/>
    <w:rsid w:val="01C67E3C"/>
    <w:rsid w:val="020468FB"/>
    <w:rsid w:val="021920F2"/>
    <w:rsid w:val="03C56A02"/>
    <w:rsid w:val="03CF48D0"/>
    <w:rsid w:val="084738D2"/>
    <w:rsid w:val="0A2032A3"/>
    <w:rsid w:val="0A93258C"/>
    <w:rsid w:val="0B35762D"/>
    <w:rsid w:val="0BBB4842"/>
    <w:rsid w:val="0BF53EB2"/>
    <w:rsid w:val="0D072F7C"/>
    <w:rsid w:val="0F29082A"/>
    <w:rsid w:val="10C055FF"/>
    <w:rsid w:val="118107EC"/>
    <w:rsid w:val="14B70DAD"/>
    <w:rsid w:val="14DD7E6A"/>
    <w:rsid w:val="16BB723D"/>
    <w:rsid w:val="16F7323B"/>
    <w:rsid w:val="170C7A95"/>
    <w:rsid w:val="18015F3F"/>
    <w:rsid w:val="18900FAC"/>
    <w:rsid w:val="1AF651BA"/>
    <w:rsid w:val="1BE8440E"/>
    <w:rsid w:val="1D155CEE"/>
    <w:rsid w:val="1FCC3C4B"/>
    <w:rsid w:val="20125E8C"/>
    <w:rsid w:val="20F57F95"/>
    <w:rsid w:val="212B36A3"/>
    <w:rsid w:val="22A154BF"/>
    <w:rsid w:val="240371BF"/>
    <w:rsid w:val="243F6998"/>
    <w:rsid w:val="24521CF6"/>
    <w:rsid w:val="249D29EF"/>
    <w:rsid w:val="264A375C"/>
    <w:rsid w:val="26570073"/>
    <w:rsid w:val="267539B0"/>
    <w:rsid w:val="27842671"/>
    <w:rsid w:val="29857BF3"/>
    <w:rsid w:val="29FD04D3"/>
    <w:rsid w:val="2ABE7A3E"/>
    <w:rsid w:val="2BC34DCC"/>
    <w:rsid w:val="2BC42999"/>
    <w:rsid w:val="2D4B6DFD"/>
    <w:rsid w:val="2DC7437D"/>
    <w:rsid w:val="2E066227"/>
    <w:rsid w:val="2F287137"/>
    <w:rsid w:val="2F5F20CA"/>
    <w:rsid w:val="319F7F4E"/>
    <w:rsid w:val="32621784"/>
    <w:rsid w:val="32907F22"/>
    <w:rsid w:val="349657D5"/>
    <w:rsid w:val="35041BAB"/>
    <w:rsid w:val="37051DDF"/>
    <w:rsid w:val="378429E2"/>
    <w:rsid w:val="38283264"/>
    <w:rsid w:val="3851269B"/>
    <w:rsid w:val="3C0C0783"/>
    <w:rsid w:val="3D25225F"/>
    <w:rsid w:val="43BC0C21"/>
    <w:rsid w:val="457F2071"/>
    <w:rsid w:val="46B94569"/>
    <w:rsid w:val="48BA0E28"/>
    <w:rsid w:val="493C27E9"/>
    <w:rsid w:val="496F39ED"/>
    <w:rsid w:val="49FF41D3"/>
    <w:rsid w:val="4AA10BCE"/>
    <w:rsid w:val="4BE068DB"/>
    <w:rsid w:val="4BF6002B"/>
    <w:rsid w:val="4CEF882F"/>
    <w:rsid w:val="4D163F94"/>
    <w:rsid w:val="4ECE2238"/>
    <w:rsid w:val="515C268A"/>
    <w:rsid w:val="52133E23"/>
    <w:rsid w:val="52891D37"/>
    <w:rsid w:val="55012009"/>
    <w:rsid w:val="5789289A"/>
    <w:rsid w:val="57CD4578"/>
    <w:rsid w:val="57EF3D67"/>
    <w:rsid w:val="58FE40BD"/>
    <w:rsid w:val="593E38B2"/>
    <w:rsid w:val="61F52F8F"/>
    <w:rsid w:val="620E1C14"/>
    <w:rsid w:val="63EA5AAB"/>
    <w:rsid w:val="64CA39A1"/>
    <w:rsid w:val="656C6A7E"/>
    <w:rsid w:val="675726D0"/>
    <w:rsid w:val="67B14EB9"/>
    <w:rsid w:val="6836709F"/>
    <w:rsid w:val="69252462"/>
    <w:rsid w:val="6BCE0673"/>
    <w:rsid w:val="6C4A05C8"/>
    <w:rsid w:val="6E200172"/>
    <w:rsid w:val="6FB51BBD"/>
    <w:rsid w:val="6FD46F54"/>
    <w:rsid w:val="706A54A3"/>
    <w:rsid w:val="72734D90"/>
    <w:rsid w:val="74336790"/>
    <w:rsid w:val="744F05DD"/>
    <w:rsid w:val="760872A0"/>
    <w:rsid w:val="7B61340B"/>
    <w:rsid w:val="7BC475A6"/>
    <w:rsid w:val="7DD7186A"/>
    <w:rsid w:val="7FBF4DD6"/>
    <w:rsid w:val="7FD17F78"/>
    <w:rsid w:val="F81FCB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line="520" w:lineRule="exact"/>
      <w:ind w:firstLine="645"/>
    </w:pPr>
    <w:rPr>
      <w:rFonts w:eastAsia="黑体"/>
      <w:b/>
      <w:spacing w:val="3"/>
      <w:sz w:val="32"/>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0"/>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15555555555556"/>
          <c:y val="0.0464396284829722"/>
          <c:w val="0.794876990376203"/>
          <c:h val="0.809343994539382"/>
        </c:manualLayout>
      </c:layout>
      <c:barChart>
        <c:barDir val="col"/>
        <c:grouping val="clustered"/>
        <c:varyColors val="false"/>
        <c:ser>
          <c:idx val="0"/>
          <c:order val="0"/>
          <c:tx>
            <c:strRef>
              <c:f>Sheet1!$B$1</c:f>
              <c:strCache>
                <c:ptCount val="1"/>
                <c:pt idx="0">
                  <c:v>收入</c:v>
                </c:pt>
              </c:strCache>
            </c:strRef>
          </c:tx>
          <c:invertIfNegative val="false"/>
          <c:dLbls>
            <c:dLbl>
              <c:idx val="0"/>
              <c:layout>
                <c:manualLayout>
                  <c:x val="-0.00333333333333333"/>
                  <c:y val="-0.0332817337461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0873308733087369"/>
                  <c:y val="-0.02399380804953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Sheet1!$B$2:$B$3</c:f>
              <c:numCache>
                <c:formatCode>General</c:formatCode>
                <c:ptCount val="2"/>
                <c:pt idx="0">
                  <c:v>3467.25</c:v>
                </c:pt>
                <c:pt idx="1">
                  <c:v>3784.72</c:v>
                </c:pt>
              </c:numCache>
            </c:numRef>
          </c:val>
        </c:ser>
        <c:ser>
          <c:idx val="1"/>
          <c:order val="1"/>
          <c:tx>
            <c:strRef>
              <c:f>Sheet1!$C$1</c:f>
              <c:strCache>
                <c:ptCount val="1"/>
                <c:pt idx="0">
                  <c:v>支出 </c:v>
                </c:pt>
              </c:strCache>
            </c:strRef>
          </c:tx>
          <c:invertIfNegative val="false"/>
          <c:dLbls>
            <c:dLbl>
              <c:idx val="0"/>
              <c:layout>
                <c:manualLayout>
                  <c:x val="0.014760147601476"/>
                  <c:y val="-0.03508771929824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785362853628531"/>
                  <c:y val="-0.0312177502579979"/>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Sheet1!$C$2:$C$3</c:f>
              <c:numCache>
                <c:formatCode>General</c:formatCode>
                <c:ptCount val="2"/>
                <c:pt idx="0">
                  <c:v>3467.25</c:v>
                </c:pt>
                <c:pt idx="1">
                  <c:v>3784.72</c:v>
                </c:pt>
              </c:numCache>
            </c:numRef>
          </c:val>
        </c:ser>
        <c:dLbls>
          <c:showLegendKey val="false"/>
          <c:showVal val="true"/>
          <c:showCatName val="false"/>
          <c:showSerName val="false"/>
          <c:showPercent val="false"/>
          <c:showBubbleSize val="false"/>
        </c:dLbls>
        <c:gapWidth val="150"/>
        <c:axId val="225754496"/>
        <c:axId val="96040064"/>
      </c:barChart>
      <c:catAx>
        <c:axId val="22575449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96040064"/>
        <c:crossesAt val="2800"/>
        <c:auto val="true"/>
        <c:lblAlgn val="ctr"/>
        <c:lblOffset val="100"/>
        <c:noMultiLvlLbl val="false"/>
      </c:catAx>
      <c:valAx>
        <c:axId val="96040064"/>
        <c:scaling>
          <c:orientation val="minMax"/>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225754496"/>
        <c:crosses val="autoZero"/>
        <c:crossBetween val="between"/>
        <c:majorUnit val="100"/>
      </c:valAx>
      <c:spPr>
        <a:solidFill>
          <a:schemeClr val="bg1"/>
        </a:solid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manualLayout>
          <c:xMode val="edge"/>
          <c:yMode val="edge"/>
          <c:x val="0.907444444444445"/>
          <c:y val="0.408539731682147"/>
        </c:manualLayout>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gap"/>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
          <c:y val="0.00303829595557981"/>
          <c:w val="0.598577887618062"/>
          <c:h val="0.893410852713178"/>
        </c:manualLayout>
      </c:layout>
      <c:pieChart>
        <c:varyColors val="true"/>
        <c:ser>
          <c:idx val="0"/>
          <c:order val="0"/>
          <c:tx>
            <c:strRef>
              <c:f>Sheet1!$B$1</c:f>
              <c:strCache>
                <c:ptCount val="1"/>
                <c:pt idx="0">
                  <c:v>收入</c:v>
                </c:pt>
              </c:strCache>
            </c:strRef>
          </c:tx>
          <c:explosion val="25"/>
          <c:dPt>
            <c:idx val="0"/>
            <c:bubble3D val="false"/>
            <c:explosion val="0"/>
          </c:dPt>
          <c:dPt>
            <c:idx val="1"/>
            <c:bubble3D val="false"/>
          </c:dPt>
          <c:dLbls>
            <c:dLbl>
              <c:idx val="0"/>
              <c:layout>
                <c:manualLayout>
                  <c:x val="0.0185325785006801"/>
                  <c:y val="-0.41327867074466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3784.68</c:v>
                </c:pt>
                <c:pt idx="1">
                  <c:v>0.04</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manualLayout>
          <c:xMode val="edge"/>
          <c:yMode val="edge"/>
          <c:x val="0.65352798053528"/>
          <c:y val="0.394256655698474"/>
        </c:manualLayout>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zero"/>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
          <c:y val="0.0581395348837209"/>
          <c:w val="0.60092951344045"/>
          <c:h val="0.899336716243803"/>
        </c:manualLayout>
      </c:layout>
      <c:pieChart>
        <c:varyColors val="true"/>
        <c:ser>
          <c:idx val="0"/>
          <c:order val="0"/>
          <c:tx>
            <c:strRef>
              <c:f>Sheet1!$B$1</c:f>
              <c:strCache>
                <c:ptCount val="1"/>
                <c:pt idx="0">
                  <c:v>支出</c:v>
                </c:pt>
              </c:strCache>
            </c:strRef>
          </c:tx>
          <c:explosion val="25"/>
          <c:dPt>
            <c:idx val="0"/>
            <c:bubble3D val="false"/>
            <c:explosion val="0"/>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3376.7</c:v>
                </c:pt>
                <c:pt idx="1">
                  <c:v>407.98</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zero"/>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885022748445104"/>
          <c:y val="0.108139305167499"/>
          <c:w val="0.773428192609944"/>
          <c:h val="0.737460371217039"/>
        </c:manualLayout>
      </c:layout>
      <c:barChart>
        <c:barDir val="col"/>
        <c:grouping val="clustered"/>
        <c:varyColors val="false"/>
        <c:ser>
          <c:idx val="0"/>
          <c:order val="0"/>
          <c:tx>
            <c:strRef>
              <c:f>Sheet1!$B$1</c:f>
              <c:strCache>
                <c:ptCount val="1"/>
                <c:pt idx="0">
                  <c:v>收入</c:v>
                </c:pt>
              </c:strCache>
            </c:strRef>
          </c:tx>
          <c:invertIfNegative val="false"/>
          <c:dLbls>
            <c:dLbl>
              <c:idx val="0"/>
              <c:layout>
                <c:manualLayout>
                  <c:x val="-0.0098219766728054"/>
                  <c:y val="-0.04558404558404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62678062678062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Sheet1!$B$2:$B$3</c:f>
              <c:numCache>
                <c:formatCode>General</c:formatCode>
                <c:ptCount val="2"/>
                <c:pt idx="0">
                  <c:v>3451.15</c:v>
                </c:pt>
                <c:pt idx="1">
                  <c:v>3784.68</c:v>
                </c:pt>
              </c:numCache>
            </c:numRef>
          </c:val>
        </c:ser>
        <c:ser>
          <c:idx val="1"/>
          <c:order val="1"/>
          <c:tx>
            <c:strRef>
              <c:f>Sheet1!$C$1</c:f>
              <c:strCache>
                <c:ptCount val="1"/>
                <c:pt idx="0">
                  <c:v>支出 </c:v>
                </c:pt>
              </c:strCache>
            </c:strRef>
          </c:tx>
          <c:invertIfNegative val="false"/>
          <c:dLbls>
            <c:dLbl>
              <c:idx val="0"/>
              <c:layout>
                <c:manualLayout>
                  <c:x val="0"/>
                  <c:y val="-0.051282051282051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96439533456108"/>
                  <c:y val="-0.051282051282051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Sheet1!$C$2:$C$3</c:f>
              <c:numCache>
                <c:formatCode>General</c:formatCode>
                <c:ptCount val="2"/>
                <c:pt idx="0">
                  <c:v>3451.15</c:v>
                </c:pt>
                <c:pt idx="1">
                  <c:v>3784.68</c:v>
                </c:pt>
              </c:numCache>
            </c:numRef>
          </c:val>
        </c:ser>
        <c:dLbls>
          <c:showLegendKey val="false"/>
          <c:showVal val="true"/>
          <c:showCatName val="false"/>
          <c:showSerName val="false"/>
          <c:showPercent val="false"/>
          <c:showBubbleSize val="false"/>
        </c:dLbls>
        <c:gapWidth val="150"/>
        <c:axId val="149021824"/>
        <c:axId val="149023360"/>
      </c:barChart>
      <c:catAx>
        <c:axId val="14902182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149023360"/>
        <c:crossesAt val="2800"/>
        <c:auto val="true"/>
        <c:lblAlgn val="ctr"/>
        <c:lblOffset val="100"/>
        <c:noMultiLvlLbl val="false"/>
      </c:catAx>
      <c:valAx>
        <c:axId val="149023360"/>
        <c:scaling>
          <c:orientation val="minMax"/>
          <c:min val="2800"/>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149021824"/>
        <c:crosses val="autoZero"/>
        <c:crossBetween val="between"/>
        <c:majorUnit val="100"/>
      </c:valAx>
      <c:spPr>
        <a:solidFill>
          <a:schemeClr val="bg1"/>
        </a:solid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gap"/>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885022748445104"/>
          <c:y val="0.110988900209528"/>
          <c:w val="0.773428192609944"/>
          <c:h val="0.737460371217039"/>
        </c:manualLayout>
      </c:layout>
      <c:barChart>
        <c:barDir val="col"/>
        <c:grouping val="clustered"/>
        <c:varyColors val="false"/>
        <c:ser>
          <c:idx val="0"/>
          <c:order val="0"/>
          <c:tx>
            <c:strRef>
              <c:f>Sheet1!#REF!</c:f>
              <c:strCache>
                <c:ptCount val="1"/>
                <c:pt idx="0">
                  <c:v/>
                </c:pt>
              </c:strCache>
            </c:strRef>
          </c:tx>
          <c:invertIfNegative val="false"/>
          <c:dLbls>
            <c:dLbl>
              <c:idx val="0"/>
              <c:layout>
                <c:manualLayout>
                  <c:x val="-0.0098219766728054"/>
                  <c:y val="-0.04558404558404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Sheet1!#REF!</c:f>
              <c:numCache>
                <c:formatCode>General</c:formatCode>
                <c:ptCount val="1"/>
                <c:pt idx="0">
                  <c:v>1</c:v>
                </c:pt>
              </c:numCache>
            </c:numRef>
          </c:val>
        </c:ser>
        <c:ser>
          <c:idx val="1"/>
          <c:order val="1"/>
          <c:tx>
            <c:strRef>
              <c:f>Sheet1!$B$1</c:f>
              <c:strCache>
                <c:ptCount val="1"/>
                <c:pt idx="0">
                  <c:v>支出 </c:v>
                </c:pt>
              </c:strCache>
            </c:strRef>
          </c:tx>
          <c:invertIfNegative val="false"/>
          <c:dLbls>
            <c:dLbl>
              <c:idx val="0"/>
              <c:layout>
                <c:manualLayout>
                  <c:x val="0"/>
                  <c:y val="-0.051282051282051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96439533456108"/>
                  <c:y val="-0.051282051282051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2020年</c:v>
                </c:pt>
                <c:pt idx="1">
                  <c:v>2021年</c:v>
                </c:pt>
              </c:strCache>
            </c:strRef>
          </c:cat>
          <c:val>
            <c:numRef>
              <c:f>Sheet1!$B$2:$B$3</c:f>
              <c:numCache>
                <c:formatCode>General</c:formatCode>
                <c:ptCount val="2"/>
                <c:pt idx="0">
                  <c:v>3451.15</c:v>
                </c:pt>
                <c:pt idx="1">
                  <c:v>3784.68</c:v>
                </c:pt>
              </c:numCache>
            </c:numRef>
          </c:val>
        </c:ser>
        <c:dLbls>
          <c:showLegendKey val="false"/>
          <c:showVal val="true"/>
          <c:showCatName val="false"/>
          <c:showSerName val="false"/>
          <c:showPercent val="false"/>
          <c:showBubbleSize val="false"/>
        </c:dLbls>
        <c:gapWidth val="150"/>
        <c:axId val="149463808"/>
        <c:axId val="149465344"/>
      </c:barChart>
      <c:catAx>
        <c:axId val="149463808"/>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149465344"/>
        <c:crossesAt val="2800"/>
        <c:auto val="true"/>
        <c:lblAlgn val="ctr"/>
        <c:lblOffset val="100"/>
        <c:noMultiLvlLbl val="false"/>
      </c:catAx>
      <c:valAx>
        <c:axId val="149465344"/>
        <c:scaling>
          <c:orientation val="minMax"/>
          <c:min val="2800"/>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crossAx val="149463808"/>
        <c:crosses val="autoZero"/>
        <c:crossBetween val="between"/>
        <c:majorUnit val="100"/>
      </c:valAx>
      <c:spPr>
        <a:solidFill>
          <a:schemeClr val="bg1"/>
        </a:solidFill>
        <a:ln>
          <a:noFill/>
        </a:ln>
        <a:effectLst/>
      </c:spPr>
    </c:plotArea>
    <c:legend>
      <c:legendPos val="r"/>
      <c:legendEntry>
        <c:idx val="0"/>
        <c:delete val="true"/>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manualLayout>
          <c:xMode val="edge"/>
          <c:yMode val="edge"/>
          <c:x val="0.88352970054001"/>
          <c:y val="0.386648745519713"/>
        </c:manualLayout>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gap"/>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0347222222222222"/>
          <c:y val="0.0077780658542909"/>
          <c:w val="0.606222222222222"/>
          <c:h val="0.749804976462677"/>
        </c:manualLayout>
      </c:layout>
      <c:pieChart>
        <c:varyColors val="true"/>
        <c:ser>
          <c:idx val="0"/>
          <c:order val="0"/>
          <c:tx>
            <c:strRef>
              <c:f>Sheet1!$B$1</c:f>
              <c:strCache>
                <c:ptCount val="1"/>
                <c:pt idx="0">
                  <c:v>列1</c:v>
                </c:pt>
              </c:strCache>
            </c:strRef>
          </c:tx>
          <c:explosion val="25"/>
          <c:dPt>
            <c:idx val="0"/>
            <c:bubble3D val="false"/>
          </c:dPt>
          <c:dPt>
            <c:idx val="1"/>
            <c:bubble3D val="false"/>
          </c:dPt>
          <c:dPt>
            <c:idx val="2"/>
            <c:bubble3D val="false"/>
          </c:dPt>
          <c:dPt>
            <c:idx val="3"/>
            <c:bubble3D val="false"/>
          </c:dPt>
          <c:dLbls>
            <c:dLbl>
              <c:idx val="0"/>
              <c:layout>
                <c:manualLayout>
                  <c:x val="0.106481481481481"/>
                  <c:y val="0.0178211163416274"/>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0555555555555556"/>
                  <c:y val="0.062878278412911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3"/>
              <c:layout>
                <c:manualLayout>
                  <c:x val="0.0324074074074074"/>
                  <c:y val="-0.098520511096166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13.84</c:v>
                </c:pt>
                <c:pt idx="1">
                  <c:v>3086.15</c:v>
                </c:pt>
                <c:pt idx="2">
                  <c:v>179.78</c:v>
                </c:pt>
                <c:pt idx="3">
                  <c:v>504.91</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zero"/>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
          <c:y val="0"/>
          <c:w val="0.795464529027734"/>
          <c:h val="0.799086757990868"/>
        </c:manualLayout>
      </c:layout>
      <c:pieChart>
        <c:varyColors val="true"/>
        <c:ser>
          <c:idx val="0"/>
          <c:order val="0"/>
          <c:tx>
            <c:strRef>
              <c:f>Sheet1!$B$1</c:f>
              <c:strCache>
                <c:ptCount val="1"/>
                <c:pt idx="0">
                  <c:v>列1</c:v>
                </c:pt>
              </c:strCache>
            </c:strRef>
          </c:tx>
          <c:explosion val="25"/>
          <c:dPt>
            <c:idx val="0"/>
            <c:bubble3D val="false"/>
            <c:explosion val="11"/>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4.35</c:v>
                </c:pt>
                <c:pt idx="1">
                  <c:v>0.68</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Entry>
      <c:layout/>
      <c:overlay val="false"/>
      <c:txPr>
        <a:bodyPr rot="0" spcFirstLastPara="0" vertOverflow="ellipsis" vert="horz" wrap="square" anchor="ctr" anchorCtr="true"/>
        <a:lstStyle/>
        <a:p>
          <a:pPr>
            <a:defRPr lang="zh-CN" sz="1000" b="0" i="0" u="none" strike="noStrike" kern="1200" cap="none" spc="0" normalizeH="0" baseline="0">
              <a:solidFill>
                <a:schemeClr val="tx1"/>
              </a:solidFill>
              <a:uFill>
                <a:solidFill>
                  <a:schemeClr val="tx1"/>
                </a:solidFill>
              </a:uFill>
              <a:latin typeface="仿宋_GB2312" panose="02010609030101010101" pitchFamily="3" charset="-122"/>
              <a:ea typeface="仿宋_GB2312" panose="02010609030101010101" pitchFamily="3" charset="-122"/>
              <a:cs typeface="+mn-cs"/>
            </a:defRPr>
          </a:pPr>
        </a:p>
      </c:txPr>
    </c:legend>
    <c:plotVisOnly val="true"/>
    <c:dispBlanksAs val="zero"/>
    <c:showDLblsOverMax val="false"/>
  </c:chart>
  <c:txPr>
    <a:bodyPr/>
    <a:lstStyle/>
    <a:p>
      <a:pPr>
        <a:defRPr lang="zh-CN" u="none" strike="noStrike" kern="1200" cap="none" spc="0" normalizeH="0">
          <a:solidFill>
            <a:schemeClr val="tx1"/>
          </a:solidFill>
          <a:uFill>
            <a:solidFill>
              <a:schemeClr val="tx1"/>
            </a:solidFill>
          </a:uFill>
          <a:latin typeface="仿宋_GB2312" panose="02010609030101010101" pitchFamily="3" charset="-122"/>
          <a:ea typeface="仿宋_GB2312" panose="02010609030101010101" pitchFamily="3"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1227</Words>
  <Characters>6997</Characters>
  <Lines>58</Lines>
  <Paragraphs>16</Paragraphs>
  <TotalTime>0</TotalTime>
  <ScaleCrop>false</ScaleCrop>
  <LinksUpToDate>false</LinksUpToDate>
  <CharactersWithSpaces>8208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2021-09-05T03:30:00Z</dcterms:created>
  <dc:creator>曹颖</dc:creator>
  <cp:lastModifiedBy>user</cp:lastModifiedBy>
  <cp:lastPrinted>2021-09-09T23:27:00Z</cp:lastPrinted>
  <dcterms:modified xsi:type="dcterms:W3CDTF">2022-11-14T09:56:19Z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B1B90B56DD01409FA6FC59C63180F4C6</vt:lpwstr>
  </property>
</Properties>
</file>