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_GBK"/>
          <w:sz w:val="72"/>
          <w:szCs w:val="72"/>
        </w:rPr>
      </w:pPr>
      <w:bookmarkStart w:id="1" w:name="_Toc15377193"/>
      <w:bookmarkStart w:id="2" w:name="_Toc15396475"/>
      <w:bookmarkStart w:id="3" w:name="_Toc15396597"/>
      <w:bookmarkStart w:id="4" w:name="_Toc15378441"/>
      <w:bookmarkStart w:id="5" w:name="_Toc15377425"/>
      <w:r>
        <w:rPr>
          <w:rFonts w:eastAsia="方正小标宋_GBK"/>
          <w:sz w:val="72"/>
          <w:szCs w:val="72"/>
        </w:rPr>
        <w:t>2021年度</w:t>
      </w:r>
      <w:bookmarkEnd w:id="1"/>
      <w:bookmarkEnd w:id="2"/>
      <w:bookmarkEnd w:id="3"/>
      <w:bookmarkEnd w:id="4"/>
      <w:bookmarkEnd w:id="5"/>
    </w:p>
    <w:p>
      <w:pPr>
        <w:adjustRightInd w:val="0"/>
        <w:snapToGrid w:val="0"/>
        <w:spacing w:line="360" w:lineRule="auto"/>
        <w:jc w:val="center"/>
        <w:outlineLvl w:val="0"/>
        <w:rPr>
          <w:rFonts w:eastAsia="方正小标宋_GBK"/>
          <w:sz w:val="72"/>
          <w:szCs w:val="72"/>
        </w:rPr>
      </w:pPr>
      <w:bookmarkStart w:id="6" w:name="_Toc15378442"/>
      <w:bookmarkStart w:id="7" w:name="_Toc15377194"/>
      <w:bookmarkStart w:id="8" w:name="_Toc15396598"/>
      <w:bookmarkStart w:id="9" w:name="_Toc15396476"/>
      <w:bookmarkStart w:id="10" w:name="_Toc15377426"/>
      <w:r>
        <w:rPr>
          <w:rFonts w:eastAsia="方正小标宋_GBK"/>
          <w:sz w:val="72"/>
          <w:szCs w:val="72"/>
        </w:rPr>
        <w:t>四川省</w:t>
      </w:r>
      <w:bookmarkEnd w:id="0"/>
      <w:bookmarkStart w:id="11" w:name="_Toc15306268"/>
      <w:r>
        <w:rPr>
          <w:rFonts w:eastAsia="方正小标宋_GBK"/>
          <w:sz w:val="72"/>
          <w:szCs w:val="72"/>
        </w:rPr>
        <w:t>农民工服务中心</w:t>
      </w:r>
    </w:p>
    <w:p>
      <w:pPr>
        <w:adjustRightInd w:val="0"/>
        <w:snapToGrid w:val="0"/>
        <w:spacing w:line="360" w:lineRule="auto"/>
        <w:jc w:val="center"/>
        <w:outlineLvl w:val="0"/>
        <w:rPr>
          <w:rFonts w:eastAsia="方正小标宋_GBK"/>
          <w:sz w:val="72"/>
          <w:szCs w:val="72"/>
        </w:rPr>
      </w:pPr>
      <w:r>
        <w:rPr>
          <w:rFonts w:eastAsia="方正小标宋_GBK"/>
          <w:sz w:val="72"/>
          <w:szCs w:val="72"/>
        </w:rPr>
        <w:t>单位决算</w:t>
      </w:r>
      <w:bookmarkEnd w:id="6"/>
      <w:bookmarkEnd w:id="7"/>
      <w:bookmarkEnd w:id="8"/>
      <w:bookmarkEnd w:id="9"/>
      <w:bookmarkEnd w:id="10"/>
      <w:bookmarkEnd w:id="11"/>
    </w:p>
    <w:p>
      <w:pPr>
        <w:pStyle w:val="2"/>
        <w:spacing w:before="93"/>
        <w:rPr>
          <w:rFonts w:ascii="Times New Roman" w:cs="Times New Roman"/>
        </w:rPr>
      </w:pPr>
      <w:r>
        <w:rPr>
          <w:rFonts w:ascii="Times New Roman" w:cs="Times New Roman"/>
        </w:rPr>
        <w:br w:type="page"/>
      </w:r>
    </w:p>
    <w:p>
      <w:pPr>
        <w:widowControl/>
        <w:jc w:val="center"/>
      </w:pPr>
    </w:p>
    <w:p>
      <w:pPr>
        <w:pStyle w:val="11"/>
        <w:rPr>
          <w:rFonts w:ascii="Times New Roman" w:hAnsi="Times New Roman" w:eastAsia="黑体" w:cs="Times New Roman"/>
          <w:sz w:val="48"/>
          <w:szCs w:val="48"/>
        </w:rPr>
      </w:pPr>
      <w:bookmarkStart w:id="12" w:name="_Toc11663_WPSOffice_Type2"/>
      <w:r>
        <w:rPr>
          <w:rFonts w:ascii="Times New Roman" w:hAnsi="Times New Roman" w:eastAsia="黑体" w:cs="Times New Roman"/>
          <w:sz w:val="48"/>
          <w:szCs w:val="48"/>
        </w:rPr>
        <w:t>目  录</w:t>
      </w:r>
    </w:p>
    <w:p>
      <w:pPr>
        <w:widowControl/>
        <w:jc w:val="center"/>
        <w:rPr>
          <w:rFonts w:eastAsia="黑体"/>
          <w:sz w:val="28"/>
          <w:szCs w:val="28"/>
        </w:rPr>
      </w:pPr>
    </w:p>
    <w:p>
      <w:pPr>
        <w:pStyle w:val="11"/>
        <w:rPr>
          <w:rFonts w:ascii="Times New Roman" w:hAnsi="Times New Roman" w:eastAsia="仿宋_GB2312" w:cs="Times New Roman"/>
          <w:b/>
          <w:bCs/>
        </w:rPr>
      </w:pPr>
      <w:r>
        <w:rPr>
          <w:rFonts w:ascii="Times New Roman" w:hAnsi="Times New Roman" w:eastAsia="仿宋_GB2312" w:cs="Times New Roman"/>
          <w:b/>
          <w:bCs/>
        </w:rPr>
        <w:t>公开时间：2022年9月</w:t>
      </w:r>
      <w:r>
        <w:rPr>
          <w:rFonts w:hint="eastAsia" w:ascii="Times New Roman" w:hAnsi="Times New Roman" w:eastAsia="仿宋_GB2312" w:cs="Times New Roman"/>
          <w:b/>
          <w:bCs/>
          <w:lang w:val="en-US" w:eastAsia="zh-CN"/>
        </w:rPr>
        <w:t>16</w:t>
      </w:r>
      <w:r>
        <w:rPr>
          <w:rFonts w:ascii="Times New Roman" w:hAnsi="Times New Roman" w:eastAsia="仿宋_GB2312" w:cs="Times New Roman"/>
          <w:b/>
          <w:bCs/>
        </w:rPr>
        <w:t>日</w:t>
      </w:r>
    </w:p>
    <w:p>
      <w:pPr>
        <w:pStyle w:val="33"/>
        <w:tabs>
          <w:tab w:val="right" w:leader="dot" w:pos="8306"/>
        </w:tabs>
        <w:rPr>
          <w:rFonts w:ascii="Times New Roman" w:hAnsi="Times New Roman" w:eastAsia="黑体" w:cs="Times New Roman"/>
          <w:b/>
          <w:bCs/>
          <w:sz w:val="28"/>
          <w:szCs w:val="28"/>
        </w:rPr>
      </w:pPr>
      <w:r>
        <w:rPr>
          <w:rFonts w:eastAsia="黑体"/>
          <w:b w:val="0"/>
          <w:bCs w:val="0"/>
        </w:rPr>
        <w:fldChar w:fldCharType="begin"/>
      </w:r>
      <w:r>
        <w:rPr>
          <w:rFonts w:eastAsia="黑体"/>
          <w:b w:val="0"/>
          <w:bCs w:val="0"/>
        </w:rPr>
        <w:instrText xml:space="preserve"> HYPERLINK \l "_Toc17869_WPSOffice_Level1" </w:instrText>
      </w:r>
      <w:r>
        <w:rPr>
          <w:rFonts w:eastAsia="黑体"/>
          <w:b w:val="0"/>
          <w:bCs w:val="0"/>
        </w:rPr>
        <w:fldChar w:fldCharType="separate"/>
      </w:r>
      <w:r>
        <w:rPr>
          <w:rFonts w:ascii="Times New Roman" w:hAnsi="Times New Roman" w:eastAsia="黑体" w:cs="Times New Roman"/>
          <w:b w:val="0"/>
          <w:bCs w:val="0"/>
          <w:sz w:val="28"/>
          <w:szCs w:val="28"/>
        </w:rPr>
        <w:t>第一部分 单位概况</w:t>
      </w:r>
      <w:r>
        <w:rPr>
          <w:rFonts w:ascii="Times New Roman" w:hAnsi="Times New Roman" w:eastAsia="黑体" w:cs="Times New Roman"/>
          <w:b w:val="0"/>
          <w:bCs w:val="0"/>
          <w:sz w:val="28"/>
          <w:szCs w:val="28"/>
        </w:rPr>
        <w:tab/>
      </w:r>
      <w:r>
        <w:rPr>
          <w:rFonts w:ascii="Times New Roman" w:hAnsi="Times New Roman" w:eastAsia="黑体" w:cs="Times New Roman"/>
          <w:b w:val="0"/>
          <w:bCs w:val="0"/>
          <w:sz w:val="28"/>
          <w:szCs w:val="28"/>
        </w:rPr>
        <w:t>1</w:t>
      </w:r>
      <w:r>
        <w:rPr>
          <w:rFonts w:ascii="Times New Roman" w:hAnsi="Times New Roman" w:eastAsia="黑体" w:cs="Times New Roman"/>
          <w:b w:val="0"/>
          <w:bCs w:val="0"/>
          <w:sz w:val="28"/>
          <w:szCs w:val="28"/>
        </w:rPr>
        <w:fldChar w:fldCharType="end"/>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"_Toc11663_WPSOffice_Level2" </w:instrText>
      </w:r>
      <w:r>
        <w:fldChar w:fldCharType="separate"/>
      </w:r>
      <w:r>
        <w:rPr>
          <w:rFonts w:ascii="Times New Roman" w:hAnsi="Times New Roman" w:eastAsia="仿宋_GB2312" w:cs="Times New Roman"/>
          <w:sz w:val="28"/>
          <w:szCs w:val="28"/>
        </w:rPr>
        <w:t>一、职能简介</w:t>
      </w:r>
      <w:r>
        <w:rPr>
          <w:rFonts w:ascii="Times New Roman" w:hAnsi="Times New Roman" w:eastAsia="仿宋_GB2312" w:cs="Times New Roman"/>
          <w:sz w:val="28"/>
          <w:szCs w:val="28"/>
        </w:rPr>
        <w:tab/>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"_Toc8954_WPSOffice_Level2" </w:instrText>
      </w:r>
      <w:r>
        <w:fldChar w:fldCharType="separate"/>
      </w:r>
      <w:r>
        <w:rPr>
          <w:rFonts w:ascii="Times New Roman" w:hAnsi="Times New Roman" w:eastAsia="仿宋_GB2312" w:cs="Times New Roman"/>
          <w:sz w:val="28"/>
          <w:szCs w:val="28"/>
        </w:rPr>
        <w:t>二、2021年重点工作完成情况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p>
    <w:p>
      <w:pPr>
        <w:pStyle w:val="34"/>
        <w:tabs>
          <w:tab w:val="right" w:leader="dot" w:pos="8306"/>
        </w:tabs>
        <w:ind w:left="42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三、机构设置情况</w:t>
      </w:r>
      <w:r>
        <w:rPr>
          <w:rFonts w:hint="eastAsia" w:ascii="Times New Roman" w:hAnsi="Times New Roman" w:eastAsia="仿宋_GB2312" w:cs="Times New Roman"/>
          <w:sz w:val="28"/>
          <w:szCs w:val="28"/>
        </w:rPr>
        <w:tab/>
      </w:r>
      <w:r>
        <w:rPr>
          <w:rFonts w:hint="eastAsia" w:ascii="Times New Roman" w:hAnsi="Times New Roman" w:eastAsia="仿宋_GB2312" w:cs="Times New Roman"/>
          <w:sz w:val="28"/>
          <w:szCs w:val="28"/>
          <w:lang w:val="en-US" w:eastAsia="zh-CN"/>
        </w:rPr>
        <w:t>2</w:t>
      </w:r>
    </w:p>
    <w:p>
      <w:pPr>
        <w:pStyle w:val="33"/>
        <w:tabs>
          <w:tab w:val="right" w:leader="dot" w:pos="8306"/>
        </w:tabs>
        <w:rPr>
          <w:rFonts w:ascii="Times New Roman" w:hAnsi="Times New Roman" w:eastAsia="黑体" w:cs="Times New Roman"/>
          <w:b w:val="0"/>
          <w:bCs w:val="0"/>
          <w:sz w:val="28"/>
          <w:szCs w:val="28"/>
        </w:rPr>
      </w:pPr>
      <w:r>
        <w:rPr>
          <w:rFonts w:eastAsia="黑体"/>
          <w:b w:val="0"/>
          <w:bCs w:val="0"/>
        </w:rPr>
        <w:fldChar w:fldCharType="begin"/>
      </w:r>
      <w:r>
        <w:rPr>
          <w:rFonts w:eastAsia="黑体"/>
          <w:b w:val="0"/>
          <w:bCs w:val="0"/>
        </w:rPr>
        <w:instrText xml:space="preserve"> HYPERLINK \l "_Toc11663_WPSOffice_Level1" </w:instrText>
      </w:r>
      <w:r>
        <w:rPr>
          <w:rFonts w:eastAsia="黑体"/>
          <w:b w:val="0"/>
          <w:bCs w:val="0"/>
        </w:rPr>
        <w:fldChar w:fldCharType="separate"/>
      </w:r>
      <w:r>
        <w:rPr>
          <w:rFonts w:ascii="Times New Roman" w:hAnsi="Times New Roman" w:eastAsia="黑体" w:cs="Times New Roman"/>
          <w:b w:val="0"/>
          <w:bCs w:val="0"/>
          <w:sz w:val="28"/>
          <w:szCs w:val="28"/>
        </w:rPr>
        <w:t>第二部分 2021年度单位决算情况说明</w:t>
      </w:r>
      <w:r>
        <w:rPr>
          <w:rFonts w:ascii="Times New Roman" w:hAnsi="Times New Roman" w:eastAsia="黑体" w:cs="Times New Roman"/>
          <w:b w:val="0"/>
          <w:bCs w:val="0"/>
          <w:sz w:val="28"/>
          <w:szCs w:val="28"/>
        </w:rPr>
        <w:tab/>
      </w:r>
      <w:r>
        <w:rPr>
          <w:rFonts w:ascii="Times New Roman" w:hAnsi="Times New Roman" w:eastAsia="黑体" w:cs="Times New Roman"/>
          <w:b w:val="0"/>
          <w:bCs w:val="0"/>
          <w:sz w:val="28"/>
          <w:szCs w:val="28"/>
        </w:rPr>
        <w:t>3</w:t>
      </w:r>
      <w:r>
        <w:rPr>
          <w:rFonts w:ascii="Times New Roman" w:hAnsi="Times New Roman" w:eastAsia="黑体" w:cs="Times New Roman"/>
          <w:b w:val="0"/>
          <w:bCs w:val="0"/>
          <w:sz w:val="28"/>
          <w:szCs w:val="28"/>
        </w:rPr>
        <w:fldChar w:fldCharType="end"/>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"_Toc13141_WPSOffice_Level2" </w:instrText>
      </w:r>
      <w:r>
        <w:fldChar w:fldCharType="separate"/>
      </w:r>
      <w:r>
        <w:rPr>
          <w:rFonts w:ascii="Times New Roman" w:hAnsi="Times New Roman" w:eastAsia="仿宋_GB2312" w:cs="Times New Roman"/>
          <w:sz w:val="28"/>
          <w:szCs w:val="28"/>
        </w:rPr>
        <w:t>一、收入支出决算总体情况说明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t>3</w:t>
      </w:r>
      <w:r>
        <w:rPr>
          <w:rFonts w:ascii="Times New Roman" w:hAnsi="Times New Roman" w:eastAsia="仿宋_GB2312" w:cs="Times New Roman"/>
          <w:sz w:val="28"/>
          <w:szCs w:val="28"/>
        </w:rPr>
        <w:fldChar w:fldCharType="end"/>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"_Toc23009_WPSOffice_Level2" </w:instrText>
      </w:r>
      <w:r>
        <w:fldChar w:fldCharType="separate"/>
      </w:r>
      <w:r>
        <w:rPr>
          <w:rFonts w:ascii="Times New Roman" w:hAnsi="Times New Roman" w:eastAsia="仿宋_GB2312" w:cs="Times New Roman"/>
          <w:sz w:val="28"/>
          <w:szCs w:val="28"/>
        </w:rPr>
        <w:t>二、收入决算情况说明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t>3</w:t>
      </w:r>
      <w:r>
        <w:rPr>
          <w:rFonts w:ascii="Times New Roman" w:hAnsi="Times New Roman" w:eastAsia="仿宋_GB2312" w:cs="Times New Roman"/>
          <w:sz w:val="28"/>
          <w:szCs w:val="28"/>
        </w:rPr>
        <w:fldChar w:fldCharType="end"/>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"_Toc8981_WPSOffice_Level2" </w:instrText>
      </w:r>
      <w:r>
        <w:fldChar w:fldCharType="separate"/>
      </w:r>
      <w:r>
        <w:rPr>
          <w:rFonts w:ascii="Times New Roman" w:hAnsi="Times New Roman" w:eastAsia="仿宋_GB2312" w:cs="Times New Roman"/>
          <w:sz w:val="28"/>
          <w:szCs w:val="28"/>
        </w:rPr>
        <w:t>三、支出决算情况说明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p>
    <w:p>
      <w:pPr>
        <w:pStyle w:val="34"/>
        <w:tabs>
          <w:tab w:val="right" w:leader="dot" w:pos="8306"/>
        </w:tabs>
        <w:ind w:left="420"/>
        <w:rPr>
          <w:rFonts w:hint="eastAsia" w:ascii="Times New Roman" w:hAnsi="Times New Roman" w:eastAsia="仿宋_GB2312" w:cs="Times New Roman"/>
          <w:sz w:val="28"/>
          <w:szCs w:val="28"/>
        </w:rPr>
      </w:pPr>
      <w:r>
        <w:fldChar w:fldCharType="begin"/>
      </w:r>
      <w:r>
        <w:instrText xml:space="preserve"> HYPERLINK \l "_Toc1503_WPSOffice_Level2" </w:instrText>
      </w:r>
      <w:r>
        <w:fldChar w:fldCharType="separate"/>
      </w:r>
      <w:r>
        <w:rPr>
          <w:rFonts w:ascii="Times New Roman" w:hAnsi="Times New Roman" w:eastAsia="仿宋_GB2312" w:cs="Times New Roman"/>
          <w:sz w:val="28"/>
          <w:szCs w:val="28"/>
        </w:rPr>
        <w:t>四、财政拨款收入支出决算总体情况说明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5</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"_Toc13592_WPSOffice_Level2" </w:instrText>
      </w:r>
      <w:r>
        <w:fldChar w:fldCharType="separate"/>
      </w:r>
      <w:r>
        <w:rPr>
          <w:rFonts w:ascii="Times New Roman" w:hAnsi="Times New Roman" w:eastAsia="仿宋_GB2312" w:cs="Times New Roman"/>
          <w:sz w:val="28"/>
          <w:szCs w:val="28"/>
        </w:rPr>
        <w:t>六、一般公共预算财政拨款基本支出决算情况说明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"_Toc2957_WPSOffice_Level2" </w:instrText>
      </w:r>
      <w:r>
        <w:fldChar w:fldCharType="separate"/>
      </w:r>
      <w:r>
        <w:rPr>
          <w:rFonts w:ascii="Times New Roman" w:hAnsi="Times New Roman" w:eastAsia="仿宋_GB2312" w:cs="Times New Roman"/>
          <w:sz w:val="28"/>
          <w:szCs w:val="28"/>
        </w:rPr>
        <w:t>七、“三公”经费财政拨款支出决算情况说明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"_Toc18018_WPSOffice_Level2" </w:instrText>
      </w:r>
      <w:r>
        <w:fldChar w:fldCharType="separate"/>
      </w:r>
      <w:r>
        <w:rPr>
          <w:rFonts w:ascii="Times New Roman" w:hAnsi="Times New Roman" w:eastAsia="仿宋_GB2312" w:cs="Times New Roman"/>
          <w:sz w:val="28"/>
          <w:szCs w:val="28"/>
        </w:rPr>
        <w:t>八、政府性基金预算支出决算情况说明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10</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"_Toc7036_WPSOffice_Level2" </w:instrText>
      </w:r>
      <w:r>
        <w:fldChar w:fldCharType="separate"/>
      </w:r>
      <w:r>
        <w:rPr>
          <w:rFonts w:ascii="Times New Roman" w:hAnsi="Times New Roman" w:eastAsia="仿宋_GB2312" w:cs="Times New Roman"/>
          <w:sz w:val="28"/>
          <w:szCs w:val="28"/>
        </w:rPr>
        <w:t>九、国有资本经营预算支出决算情况说明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10</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"_Toc2770_WPSOffice_Level2" </w:instrText>
      </w:r>
      <w:r>
        <w:fldChar w:fldCharType="separate"/>
      </w:r>
      <w:r>
        <w:rPr>
          <w:rFonts w:ascii="Times New Roman" w:hAnsi="Times New Roman" w:eastAsia="仿宋_GB2312" w:cs="Times New Roman"/>
          <w:sz w:val="28"/>
          <w:szCs w:val="28"/>
        </w:rPr>
        <w:t>十、其他重要事项的情况说明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10</w:t>
      </w:r>
    </w:p>
    <w:p>
      <w:pPr>
        <w:pStyle w:val="33"/>
        <w:tabs>
          <w:tab w:val="right" w:leader="dot" w:pos="8306"/>
        </w:tabs>
        <w:rPr>
          <w:rFonts w:ascii="Times New Roman" w:hAnsi="Times New Roman" w:eastAsia="黑体" w:cs="Times New Roman"/>
          <w:b w:val="0"/>
          <w:bCs w:val="0"/>
          <w:sz w:val="28"/>
          <w:szCs w:val="28"/>
        </w:rPr>
      </w:pPr>
      <w:r>
        <w:rPr>
          <w:rFonts w:eastAsia="黑体"/>
          <w:b w:val="0"/>
          <w:bCs w:val="0"/>
        </w:rPr>
        <w:fldChar w:fldCharType="begin"/>
      </w:r>
      <w:r>
        <w:rPr>
          <w:rFonts w:eastAsia="黑体"/>
          <w:b w:val="0"/>
          <w:bCs w:val="0"/>
        </w:rPr>
        <w:instrText xml:space="preserve"> HYPERLINK \l "_Toc8954_WPSOffice_Level1" </w:instrText>
      </w:r>
      <w:r>
        <w:rPr>
          <w:rFonts w:eastAsia="黑体"/>
          <w:b w:val="0"/>
          <w:bCs w:val="0"/>
        </w:rPr>
        <w:fldChar w:fldCharType="separate"/>
      </w:r>
      <w:r>
        <w:rPr>
          <w:rFonts w:ascii="Times New Roman" w:hAnsi="Times New Roman" w:eastAsia="黑体" w:cs="Times New Roman"/>
          <w:b w:val="0"/>
          <w:bCs w:val="0"/>
          <w:sz w:val="28"/>
          <w:szCs w:val="28"/>
        </w:rPr>
        <w:t>第三部分 名词解释</w:t>
      </w:r>
      <w:r>
        <w:rPr>
          <w:rFonts w:ascii="Times New Roman" w:hAnsi="Times New Roman" w:eastAsia="黑体" w:cs="Times New Roman"/>
          <w:b w:val="0"/>
          <w:bCs w:val="0"/>
          <w:sz w:val="28"/>
          <w:szCs w:val="28"/>
        </w:rPr>
        <w:tab/>
      </w:r>
      <w:r>
        <w:rPr>
          <w:rFonts w:ascii="Times New Roman" w:hAnsi="Times New Roman" w:eastAsia="黑体" w:cs="Times New Roman"/>
          <w:b w:val="0"/>
          <w:bCs w:val="0"/>
          <w:sz w:val="28"/>
          <w:szCs w:val="28"/>
        </w:rPr>
        <w:t>1</w:t>
      </w:r>
      <w:r>
        <w:rPr>
          <w:rFonts w:ascii="Times New Roman" w:hAnsi="Times New Roman" w:eastAsia="黑体" w:cs="Times New Roman"/>
          <w:b w:val="0"/>
          <w:bCs w:val="0"/>
          <w:sz w:val="28"/>
          <w:szCs w:val="28"/>
        </w:rPr>
        <w:fldChar w:fldCharType="end"/>
      </w:r>
      <w:r>
        <w:rPr>
          <w:rFonts w:hint="eastAsia" w:ascii="Times New Roman" w:hAnsi="Times New Roman" w:eastAsia="黑体" w:cs="Times New Roman"/>
          <w:b w:val="0"/>
          <w:bCs w:val="0"/>
          <w:sz w:val="28"/>
          <w:szCs w:val="28"/>
        </w:rPr>
        <w:t>2</w:t>
      </w:r>
    </w:p>
    <w:p>
      <w:pPr>
        <w:pStyle w:val="33"/>
        <w:tabs>
          <w:tab w:val="right" w:leader="dot" w:pos="8306"/>
        </w:tabs>
        <w:rPr>
          <w:rFonts w:ascii="Times New Roman" w:hAnsi="Times New Roman" w:eastAsia="黑体" w:cs="Times New Roman"/>
          <w:b w:val="0"/>
          <w:bCs w:val="0"/>
          <w:sz w:val="28"/>
          <w:szCs w:val="28"/>
        </w:rPr>
      </w:pPr>
      <w:r>
        <w:rPr>
          <w:rFonts w:eastAsia="黑体"/>
          <w:b w:val="0"/>
          <w:bCs w:val="0"/>
        </w:rPr>
        <w:fldChar w:fldCharType="begin"/>
      </w:r>
      <w:r>
        <w:rPr>
          <w:rFonts w:eastAsia="黑体"/>
          <w:b w:val="0"/>
          <w:bCs w:val="0"/>
        </w:rPr>
        <w:instrText xml:space="preserve"> HYPERLINK \l "_Toc8954_WPSOffice_Level1" </w:instrText>
      </w:r>
      <w:r>
        <w:rPr>
          <w:rFonts w:eastAsia="黑体"/>
          <w:b w:val="0"/>
          <w:bCs w:val="0"/>
        </w:rPr>
        <w:fldChar w:fldCharType="separate"/>
      </w:r>
      <w:r>
        <w:rPr>
          <w:rFonts w:ascii="Times New Roman" w:hAnsi="Times New Roman" w:eastAsia="黑体" w:cs="Times New Roman"/>
          <w:b w:val="0"/>
          <w:bCs w:val="0"/>
          <w:sz w:val="28"/>
          <w:szCs w:val="28"/>
        </w:rPr>
        <w:t>第四部分 附件</w:t>
      </w:r>
      <w:r>
        <w:rPr>
          <w:rFonts w:ascii="Times New Roman" w:hAnsi="Times New Roman" w:eastAsia="黑体" w:cs="Times New Roman"/>
          <w:b w:val="0"/>
          <w:bCs w:val="0"/>
          <w:sz w:val="28"/>
          <w:szCs w:val="28"/>
        </w:rPr>
        <w:tab/>
      </w:r>
      <w:r>
        <w:rPr>
          <w:rFonts w:ascii="Times New Roman" w:hAnsi="Times New Roman" w:eastAsia="黑体" w:cs="Times New Roman"/>
          <w:b w:val="0"/>
          <w:bCs w:val="0"/>
          <w:sz w:val="28"/>
          <w:szCs w:val="28"/>
        </w:rPr>
        <w:fldChar w:fldCharType="end"/>
      </w:r>
      <w:r>
        <w:rPr>
          <w:rFonts w:hint="eastAsia" w:ascii="Times New Roman" w:hAnsi="Times New Roman" w:eastAsia="黑体" w:cs="Times New Roman"/>
          <w:b w:val="0"/>
          <w:bCs w:val="0"/>
          <w:sz w:val="28"/>
          <w:szCs w:val="28"/>
        </w:rPr>
        <w:t>15</w:t>
      </w:r>
    </w:p>
    <w:p>
      <w:pPr>
        <w:pStyle w:val="33"/>
        <w:tabs>
          <w:tab w:val="right" w:leader="dot" w:pos="8306"/>
        </w:tabs>
        <w:rPr>
          <w:rFonts w:ascii="Times New Roman" w:hAnsi="Times New Roman" w:eastAsia="黑体" w:cs="Times New Roman"/>
          <w:b w:val="0"/>
          <w:bCs w:val="0"/>
          <w:sz w:val="28"/>
          <w:szCs w:val="28"/>
        </w:rPr>
      </w:pPr>
      <w:r>
        <w:rPr>
          <w:rFonts w:eastAsia="黑体"/>
          <w:b w:val="0"/>
          <w:bCs w:val="0"/>
        </w:rPr>
        <w:fldChar w:fldCharType="begin"/>
      </w:r>
      <w:r>
        <w:rPr>
          <w:rFonts w:eastAsia="黑体"/>
          <w:b w:val="0"/>
          <w:bCs w:val="0"/>
        </w:rPr>
        <w:instrText xml:space="preserve"> HYPERLINK \l "_Toc13141_WPSOffice_Level1" </w:instrText>
      </w:r>
      <w:r>
        <w:rPr>
          <w:rFonts w:eastAsia="黑体"/>
          <w:b w:val="0"/>
          <w:bCs w:val="0"/>
        </w:rPr>
        <w:fldChar w:fldCharType="separate"/>
      </w:r>
      <w:r>
        <w:rPr>
          <w:rFonts w:ascii="Times New Roman" w:hAnsi="Times New Roman" w:eastAsia="黑体" w:cs="Times New Roman"/>
          <w:b w:val="0"/>
          <w:bCs w:val="0"/>
          <w:sz w:val="28"/>
          <w:szCs w:val="28"/>
        </w:rPr>
        <w:t>第五部分 附表</w:t>
      </w:r>
      <w:r>
        <w:rPr>
          <w:rFonts w:ascii="Times New Roman" w:hAnsi="Times New Roman" w:eastAsia="黑体" w:cs="Times New Roman"/>
          <w:b w:val="0"/>
          <w:bCs w:val="0"/>
          <w:sz w:val="28"/>
          <w:szCs w:val="28"/>
        </w:rPr>
        <w:tab/>
      </w:r>
      <w:r>
        <w:rPr>
          <w:rFonts w:ascii="Times New Roman" w:hAnsi="Times New Roman" w:eastAsia="黑体" w:cs="Times New Roman"/>
          <w:b w:val="0"/>
          <w:bCs w:val="0"/>
          <w:sz w:val="28"/>
          <w:szCs w:val="28"/>
        </w:rPr>
        <w:fldChar w:fldCharType="end"/>
      </w:r>
      <w:r>
        <w:rPr>
          <w:rFonts w:hint="eastAsia" w:ascii="Times New Roman" w:hAnsi="Times New Roman" w:eastAsia="黑体" w:cs="Times New Roman"/>
          <w:b w:val="0"/>
          <w:bCs w:val="0"/>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"_Toc5136_WPSOffice_Level2" </w:instrText>
      </w:r>
      <w:r>
        <w:fldChar w:fldCharType="separate"/>
      </w:r>
      <w:r>
        <w:rPr>
          <w:rFonts w:ascii="Times New Roman" w:hAnsi="Times New Roman" w:eastAsia="仿宋_GB2312" w:cs="Times New Roman"/>
          <w:sz w:val="28"/>
          <w:szCs w:val="28"/>
        </w:rPr>
        <w:t>一、收入支出决算总表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"_Toc23198_WPSOffice_Level2" </w:instrText>
      </w:r>
      <w:r>
        <w:fldChar w:fldCharType="separate"/>
      </w:r>
      <w:r>
        <w:rPr>
          <w:rFonts w:ascii="Times New Roman" w:hAnsi="Times New Roman" w:eastAsia="仿宋_GB2312" w:cs="Times New Roman"/>
          <w:sz w:val="28"/>
          <w:szCs w:val="28"/>
        </w:rPr>
        <w:t>二、收入决算表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"_Toc1297_WPSOffice_Level2" </w:instrText>
      </w:r>
      <w:r>
        <w:fldChar w:fldCharType="separate"/>
      </w:r>
      <w:r>
        <w:rPr>
          <w:rFonts w:ascii="Times New Roman" w:hAnsi="Times New Roman" w:eastAsia="仿宋_GB2312" w:cs="Times New Roman"/>
          <w:sz w:val="28"/>
          <w:szCs w:val="28"/>
        </w:rPr>
        <w:t>三、支出决算表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"_Toc19541_WPSOffice_Level2" </w:instrText>
      </w:r>
      <w:r>
        <w:fldChar w:fldCharType="separate"/>
      </w:r>
      <w:r>
        <w:rPr>
          <w:rFonts w:ascii="Times New Roman" w:hAnsi="Times New Roman" w:eastAsia="仿宋_GB2312" w:cs="Times New Roman"/>
          <w:sz w:val="28"/>
          <w:szCs w:val="28"/>
        </w:rPr>
        <w:t>四、财政拨款收入支出决算总表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"_Toc8160_WPSOffice_Level2" </w:instrText>
      </w:r>
      <w:r>
        <w:fldChar w:fldCharType="separate"/>
      </w:r>
      <w:r>
        <w:rPr>
          <w:rFonts w:ascii="Times New Roman" w:hAnsi="Times New Roman" w:eastAsia="仿宋_GB2312" w:cs="Times New Roman"/>
          <w:sz w:val="28"/>
          <w:szCs w:val="28"/>
        </w:rPr>
        <w:t>五、财政拨款支出决算明细表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"_Toc29098_WPSOffice_Level2" </w:instrText>
      </w:r>
      <w:r>
        <w:fldChar w:fldCharType="separate"/>
      </w:r>
      <w:r>
        <w:rPr>
          <w:rFonts w:ascii="Times New Roman" w:hAnsi="Times New Roman" w:eastAsia="仿宋_GB2312" w:cs="Times New Roman"/>
          <w:sz w:val="28"/>
          <w:szCs w:val="28"/>
        </w:rPr>
        <w:t>六、一般公共预算财政拨款支出决算表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"_Toc32188_WPSOffice_Level2" </w:instrText>
      </w:r>
      <w:r>
        <w:fldChar w:fldCharType="separate"/>
      </w:r>
      <w:r>
        <w:rPr>
          <w:rFonts w:ascii="Times New Roman" w:hAnsi="Times New Roman" w:eastAsia="仿宋_GB2312" w:cs="Times New Roman"/>
          <w:sz w:val="28"/>
          <w:szCs w:val="28"/>
        </w:rPr>
        <w:t>七、一般公共预算财政拨款支出决算明细表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"_Toc24865_WPSOffice_Level2" </w:instrText>
      </w:r>
      <w:r>
        <w:fldChar w:fldCharType="separate"/>
      </w:r>
      <w:r>
        <w:rPr>
          <w:rFonts w:ascii="Times New Roman" w:hAnsi="Times New Roman" w:eastAsia="仿宋_GB2312" w:cs="Times New Roman"/>
          <w:sz w:val="28"/>
          <w:szCs w:val="28"/>
        </w:rPr>
        <w:t>八、一般公共预算财政拨款基本支出决算表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"_Toc15447_WPSOffice_Level2" </w:instrText>
      </w:r>
      <w:r>
        <w:fldChar w:fldCharType="separate"/>
      </w:r>
      <w:r>
        <w:rPr>
          <w:rFonts w:ascii="Times New Roman" w:hAnsi="Times New Roman" w:eastAsia="仿宋_GB2312" w:cs="Times New Roman"/>
          <w:sz w:val="28"/>
          <w:szCs w:val="28"/>
        </w:rPr>
        <w:t>九、一般公共预算财政拨款项目支出决算表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"_Toc1527_WPSOffice_Level2" </w:instrText>
      </w:r>
      <w:r>
        <w:fldChar w:fldCharType="separate"/>
      </w:r>
      <w:r>
        <w:rPr>
          <w:rFonts w:ascii="Times New Roman" w:hAnsi="Times New Roman" w:eastAsia="仿宋_GB2312" w:cs="Times New Roman"/>
          <w:sz w:val="28"/>
          <w:szCs w:val="28"/>
        </w:rPr>
        <w:t>十、一般公共预算财政拨款“三公”经费支出决算表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"_Toc5374_WPSOffice_Level2" </w:instrText>
      </w:r>
      <w:r>
        <w:fldChar w:fldCharType="separate"/>
      </w:r>
      <w:r>
        <w:rPr>
          <w:rFonts w:ascii="Times New Roman" w:hAnsi="Times New Roman" w:eastAsia="仿宋_GB2312" w:cs="Times New Roman"/>
          <w:sz w:val="28"/>
          <w:szCs w:val="28"/>
        </w:rPr>
        <w:t>十一、政府性基金预算财政拨款收入支出决算表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"_Toc27434_WPSOffice_Level2" </w:instrText>
      </w:r>
      <w:r>
        <w:fldChar w:fldCharType="separate"/>
      </w:r>
      <w:r>
        <w:rPr>
          <w:rFonts w:ascii="Times New Roman" w:hAnsi="Times New Roman" w:eastAsia="仿宋_GB2312" w:cs="Times New Roman"/>
          <w:sz w:val="28"/>
          <w:szCs w:val="28"/>
        </w:rPr>
        <w:t>十二、政府性基金预算财政拨款“三公”经费支出决算表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"_Toc18962_WPSOffice_Level2" </w:instrText>
      </w:r>
      <w:r>
        <w:fldChar w:fldCharType="separate"/>
      </w:r>
      <w:r>
        <w:rPr>
          <w:rFonts w:ascii="Times New Roman" w:hAnsi="Times New Roman" w:eastAsia="仿宋_GB2312" w:cs="Times New Roman"/>
          <w:sz w:val="28"/>
          <w:szCs w:val="28"/>
        </w:rPr>
        <w:t>十三、国有资本经营预算财政拨款收入支出决算表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18</w:t>
      </w:r>
    </w:p>
    <w:p>
      <w:pPr>
        <w:pStyle w:val="34"/>
        <w:tabs>
          <w:tab w:val="right" w:leader="dot" w:pos="8306"/>
        </w:tabs>
        <w:ind w:left="420"/>
        <w:rPr>
          <w:rFonts w:ascii="Times New Roman" w:hAnsi="Times New Roman" w:eastAsia="仿宋_GB2312" w:cs="Times New Roman"/>
          <w:sz w:val="28"/>
          <w:szCs w:val="28"/>
        </w:rPr>
      </w:pPr>
      <w:r>
        <w:fldChar w:fldCharType="begin"/>
      </w:r>
      <w:r>
        <w:instrText xml:space="preserve"> HYPERLINK \l "_Toc1924_WPSOffice_Level2" </w:instrText>
      </w:r>
      <w:r>
        <w:fldChar w:fldCharType="separate"/>
      </w:r>
      <w:r>
        <w:rPr>
          <w:rFonts w:ascii="Times New Roman" w:hAnsi="Times New Roman" w:eastAsia="仿宋_GB2312" w:cs="Times New Roman"/>
          <w:sz w:val="28"/>
          <w:szCs w:val="28"/>
        </w:rPr>
        <w:t>十四、国有资本经营预算财政拨款支出决算表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end"/>
      </w:r>
      <w:bookmarkEnd w:id="12"/>
      <w:r>
        <w:rPr>
          <w:rFonts w:ascii="Times New Roman" w:hAnsi="Times New Roman" w:eastAsia="仿宋_GB2312" w:cs="Times New Roman"/>
          <w:sz w:val="28"/>
          <w:szCs w:val="28"/>
        </w:rPr>
        <w:t>18</w:t>
      </w:r>
    </w:p>
    <w:p>
      <w:pPr>
        <w:pStyle w:val="12"/>
        <w:spacing w:line="440" w:lineRule="exact"/>
        <w:ind w:left="900" w:hanging="480"/>
        <w:rPr>
          <w:rFonts w:eastAsia="宋体"/>
          <w:sz w:val="24"/>
          <w:szCs w:val="24"/>
        </w:rPr>
      </w:pPr>
    </w:p>
    <w:p>
      <w:pPr>
        <w:widowControl/>
        <w:spacing w:line="440" w:lineRule="exact"/>
        <w:jc w:val="left"/>
        <w:rPr>
          <w:rFonts w:eastAsia="仿宋_GB2312"/>
          <w:b/>
          <w:bCs/>
          <w:sz w:val="24"/>
          <w:szCs w:val="24"/>
        </w:rPr>
        <w:sectPr>
          <w:headerReference r:id="rId3" w:type="default"/>
          <w:footerReference r:id="rId4" w:type="default"/>
          <w:pgSz w:w="11906" w:h="16838"/>
          <w:pgMar w:top="2098" w:right="1474" w:bottom="1985" w:left="1588" w:header="851" w:footer="1418" w:gutter="0"/>
          <w:pgNumType w:start="1"/>
          <w:cols w:space="425" w:num="1"/>
          <w:titlePg/>
          <w:docGrid w:type="lines" w:linePitch="312" w:charSpace="0"/>
        </w:sectPr>
      </w:pPr>
    </w:p>
    <w:p>
      <w:pPr>
        <w:widowControl/>
        <w:spacing w:line="440" w:lineRule="exact"/>
        <w:jc w:val="left"/>
        <w:rPr>
          <w:rFonts w:eastAsia="仿宋_GB2312"/>
          <w:kern w:val="44"/>
          <w:sz w:val="24"/>
          <w:szCs w:val="24"/>
        </w:rPr>
      </w:pPr>
      <w:bookmarkStart w:id="13" w:name="_Toc15396599"/>
      <w:bookmarkStart w:id="14" w:name="_Toc15377196"/>
      <w:bookmarkStart w:id="15" w:name="_Toc17869_WPSOffice_Level1"/>
    </w:p>
    <w:p>
      <w:pPr>
        <w:pStyle w:val="3"/>
        <w:jc w:val="center"/>
        <w:rPr>
          <w:rStyle w:val="35"/>
          <w:rFonts w:eastAsia="黑体"/>
          <w:b/>
          <w:bCs/>
        </w:rPr>
      </w:pPr>
      <w:bookmarkStart w:id="16" w:name="_Toc80172846"/>
      <w:r>
        <w:rPr>
          <w:rFonts w:eastAsia="黑体"/>
          <w:b w:val="0"/>
          <w:bCs w:val="0"/>
        </w:rPr>
        <w:t xml:space="preserve">第一部分 </w:t>
      </w:r>
      <w:r>
        <w:rPr>
          <w:rStyle w:val="35"/>
          <w:rFonts w:eastAsia="黑体"/>
          <w:b w:val="0"/>
          <w:bCs w:val="0"/>
        </w:rPr>
        <w:t>单位概况</w:t>
      </w:r>
      <w:bookmarkEnd w:id="13"/>
      <w:bookmarkEnd w:id="14"/>
      <w:bookmarkEnd w:id="16"/>
    </w:p>
    <w:bookmarkEnd w:id="15"/>
    <w:p>
      <w:pPr>
        <w:pStyle w:val="30"/>
        <w:spacing w:line="600" w:lineRule="atLeast"/>
        <w:ind w:left="630" w:firstLine="0" w:firstLineChars="0"/>
        <w:outlineLvl w:val="1"/>
        <w:rPr>
          <w:rFonts w:eastAsia="黑体"/>
          <w:sz w:val="32"/>
          <w:szCs w:val="32"/>
        </w:rPr>
      </w:pPr>
      <w:bookmarkStart w:id="17" w:name="_Toc11663_WPSOffice_Level2"/>
      <w:bookmarkStart w:id="18" w:name="_Toc15396600"/>
      <w:bookmarkStart w:id="19" w:name="_Toc15377197"/>
      <w:r>
        <w:rPr>
          <w:rFonts w:eastAsia="黑体"/>
          <w:sz w:val="32"/>
          <w:szCs w:val="32"/>
        </w:rPr>
        <w:t>一、职能简介</w:t>
      </w:r>
      <w:bookmarkEnd w:id="17"/>
    </w:p>
    <w:p>
      <w:pPr>
        <w:pStyle w:val="30"/>
        <w:spacing w:line="600" w:lineRule="atLeast"/>
        <w:ind w:firstLine="640"/>
        <w:outlineLvl w:val="1"/>
      </w:pPr>
      <w:r>
        <w:rPr>
          <w:rFonts w:eastAsia="仿宋_GB2312"/>
          <w:sz w:val="32"/>
          <w:szCs w:val="32"/>
        </w:rPr>
        <w:t>四川省农民工服务中心为四川省人力资源和社会保障厅二级预算单位（公益一类），预算代码313906，实行“收支统管、全额保障”的预算管理办法，根据《中共四川省委机构编制委员会关于明确农民工工作行政管理职责和设立四川省农民工服务中心的通知》（川编发〔2019〕120号）要求，主要负责全省农民工回引、创业、培训、维权救助等服务性工作，承担省农民工服务网站、基本信息数据库的运行维护等工作。</w:t>
      </w:r>
    </w:p>
    <w:p>
      <w:pPr>
        <w:pStyle w:val="30"/>
        <w:spacing w:line="600" w:lineRule="atLeast"/>
        <w:ind w:left="630" w:firstLine="0" w:firstLineChars="0"/>
        <w:outlineLvl w:val="1"/>
        <w:rPr>
          <w:rFonts w:eastAsia="黑体"/>
          <w:sz w:val="32"/>
          <w:szCs w:val="32"/>
        </w:rPr>
      </w:pPr>
      <w:bookmarkStart w:id="20" w:name="_Toc8954_WPSOffice_Level2"/>
      <w:r>
        <w:rPr>
          <w:rFonts w:eastAsia="黑体"/>
          <w:sz w:val="32"/>
          <w:szCs w:val="32"/>
        </w:rPr>
        <w:t>二、2021年重点工作</w:t>
      </w:r>
      <w:bookmarkEnd w:id="18"/>
      <w:bookmarkEnd w:id="19"/>
      <w:r>
        <w:rPr>
          <w:rFonts w:eastAsia="黑体"/>
          <w:sz w:val="32"/>
          <w:szCs w:val="32"/>
        </w:rPr>
        <w:t>完成情况</w:t>
      </w:r>
      <w:bookmarkEnd w:id="20"/>
    </w:p>
    <w:p>
      <w:pPr>
        <w:snapToGrid w:val="0"/>
        <w:spacing w:line="520" w:lineRule="exact"/>
        <w:ind w:firstLine="640" w:firstLineChars="200"/>
        <w:rPr>
          <w:rFonts w:eastAsia="仿宋_GB2312"/>
          <w:sz w:val="32"/>
          <w:szCs w:val="32"/>
        </w:rPr>
      </w:pPr>
      <w:r>
        <w:rPr>
          <w:rFonts w:eastAsia="仿宋_GB2312"/>
          <w:sz w:val="32"/>
          <w:szCs w:val="32"/>
        </w:rPr>
        <w:t>一年来，我中心坚决落实省委省政府、厅党组关于农民工疫情防控和服务保障工作的决策部署，切实做到“两手抓、两不误”。“点对点、一站式”直达运输服务得到习近平总书记肯定；春节期间就地过年农民工服务保障工作得到人社部领导肯定性批示；农民工返岗专机、“雁归天府 创赢未来”项目推介系列活动得到省领导表扬；农民工服务平台建设作为全国人社系统行风建设便民服务创新案例上报人社部。</w:t>
      </w:r>
      <w:r>
        <w:rPr>
          <w:rFonts w:eastAsia="楷体_GB2312"/>
          <w:sz w:val="32"/>
          <w:szCs w:val="32"/>
        </w:rPr>
        <w:t>一是全力推进“两个重点”。</w:t>
      </w:r>
      <w:r>
        <w:rPr>
          <w:rFonts w:eastAsia="仿宋_GB2312"/>
          <w:sz w:val="32"/>
          <w:szCs w:val="32"/>
        </w:rPr>
        <w:t>高标准建设农民工博物馆，完成博物馆展陈大纲拟定、展品收集、立面设计等工作；高质量建设农民工服务平台，持续推进平台运营管理，大力推进平台改造升级，加大平台宣传推广力度，平台注册用户量突破100万。</w:t>
      </w:r>
      <w:r>
        <w:rPr>
          <w:rFonts w:eastAsia="楷体_GB2312"/>
          <w:sz w:val="32"/>
          <w:szCs w:val="32"/>
        </w:rPr>
        <w:t>二是有序推进“两个标准”。</w:t>
      </w:r>
      <w:r>
        <w:rPr>
          <w:rFonts w:eastAsia="仿宋_GB2312"/>
          <w:sz w:val="32"/>
          <w:szCs w:val="32"/>
        </w:rPr>
        <w:t>建设权责清晰、服务统一、科学有效的农民工服务标准化体系，完成省级地方标准《农民工服务规范》调研起草、修改完善、评审报批等系列工作，完成省级地方标准《驻外农民工机构服务规范》标准立项申报和调研起草工作，积极推进村（社区）农民工综合服务站建设工作。</w:t>
      </w:r>
      <w:r>
        <w:rPr>
          <w:rFonts w:eastAsia="楷体_GB2312"/>
          <w:sz w:val="32"/>
          <w:szCs w:val="32"/>
        </w:rPr>
        <w:t>三是创新推进“四个品牌”。</w:t>
      </w:r>
      <w:r>
        <w:rPr>
          <w:rFonts w:eastAsia="仿宋_GB2312"/>
          <w:sz w:val="32"/>
          <w:szCs w:val="32"/>
        </w:rPr>
        <w:t>分别于福州、贵阳、杭州、广州举办“雁归天府 创赢未来”四川省2021年农民工</w:t>
      </w:r>
      <w:r>
        <w:rPr>
          <w:rFonts w:hint="eastAsia" w:eastAsia="仿宋_GB2312"/>
          <w:sz w:val="32"/>
          <w:szCs w:val="32"/>
          <w:lang w:eastAsia="zh-CN"/>
        </w:rPr>
        <w:t>及</w:t>
      </w:r>
      <w:r>
        <w:rPr>
          <w:rFonts w:eastAsia="仿宋_GB2312"/>
          <w:sz w:val="32"/>
          <w:szCs w:val="32"/>
        </w:rPr>
        <w:t>企业家返乡入乡创业项目推介活动，并在蓉举办集中签约活动，</w:t>
      </w:r>
      <w:r>
        <w:rPr>
          <w:rFonts w:hint="eastAsia" w:eastAsia="仿宋_GB2312"/>
          <w:sz w:val="32"/>
          <w:szCs w:val="32"/>
          <w:lang w:eastAsia="zh-CN"/>
        </w:rPr>
        <w:t>省领导</w:t>
      </w:r>
      <w:r>
        <w:rPr>
          <w:rFonts w:eastAsia="仿宋_GB2312"/>
          <w:sz w:val="32"/>
          <w:szCs w:val="32"/>
        </w:rPr>
        <w:t>出席活动并讲话，成功签约14个返乡入乡创业项目，总签约额达50.75亿元；于德阳、内江举办2021年“蜀中行”农民工创业指导和维权服务活动，组织农民工创业专家服务团、维权服务团成员实地“巡诊”，并开展维权服务团律师“一对一”服务重点项目活动；以“天府情缘 欢喜过年”为主题，先后开展“川籍农民工免费送流量”“护你返岗”“春风送岗”等系列农民工服务保障活动，其中春节后开行农民工返岗专机20架，组织近2000名农民工集中返岗；开展“工友同行”之暑期亲情团聚关爱活动，组织农民工家庭亲情团聚、畅游成都。农民工服务保障系列品牌活动受到广大川籍农民工一致好评，在全国范围内反响热烈，人民网、人力资源报、学习强国、四川日报、劳动保障杂志等各类媒体推出报道200余篇。</w:t>
      </w:r>
    </w:p>
    <w:p>
      <w:pPr>
        <w:pStyle w:val="37"/>
        <w:spacing w:line="600" w:lineRule="atLeast"/>
        <w:ind w:left="630" w:firstLine="0" w:firstLineChars="0"/>
        <w:outlineLvl w:val="1"/>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三、机构设置情况</w:t>
      </w:r>
    </w:p>
    <w:p>
      <w:pPr>
        <w:numPr>
          <w:ilvl w:val="0"/>
          <w:numId w:val="0"/>
        </w:numPr>
        <w:ind w:firstLine="640" w:firstLineChars="200"/>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四川省农民工服务中心由5个部门组成，分别是：综合部、回引创业部、培训部（维权保障部）、公共事务部、信息化部。</w:t>
      </w:r>
    </w:p>
    <w:p>
      <w:pPr>
        <w:pStyle w:val="2"/>
      </w:pPr>
    </w:p>
    <w:p>
      <w:pPr>
        <w:pStyle w:val="30"/>
        <w:ind w:firstLine="640"/>
        <w:outlineLvl w:val="1"/>
        <w:rPr>
          <w:rFonts w:eastAsia="仿宋_GB2312"/>
          <w:kern w:val="0"/>
          <w:sz w:val="32"/>
          <w:szCs w:val="32"/>
        </w:rPr>
      </w:pPr>
      <w:r>
        <w:rPr>
          <w:rFonts w:eastAsia="仿宋_GB2312"/>
          <w:sz w:val="32"/>
          <w:szCs w:val="32"/>
        </w:rPr>
        <w:br w:type="page"/>
      </w:r>
    </w:p>
    <w:p>
      <w:pPr>
        <w:pStyle w:val="2"/>
        <w:spacing w:before="93"/>
        <w:rPr>
          <w:rFonts w:ascii="Times New Roman" w:cs="Times New Roman"/>
        </w:rPr>
      </w:pPr>
      <w:bookmarkStart w:id="99" w:name="_GoBack"/>
      <w:bookmarkEnd w:id="99"/>
      <w:bookmarkStart w:id="21" w:name="_Toc15396602"/>
      <w:bookmarkStart w:id="22" w:name="_Toc15377204"/>
      <w:bookmarkStart w:id="23" w:name="_Toc80172849"/>
    </w:p>
    <w:p>
      <w:pPr>
        <w:pStyle w:val="3"/>
        <w:spacing w:line="600" w:lineRule="atLeast"/>
        <w:jc w:val="center"/>
        <w:rPr>
          <w:b w:val="0"/>
          <w:bCs w:val="0"/>
        </w:rPr>
      </w:pPr>
      <w:r>
        <w:rPr>
          <w:rFonts w:eastAsia="黑体"/>
          <w:b w:val="0"/>
          <w:bCs w:val="0"/>
        </w:rPr>
        <w:t>第二部分 2021年度单位</w:t>
      </w:r>
      <w:r>
        <w:rPr>
          <w:rStyle w:val="19"/>
          <w:rFonts w:eastAsia="黑体"/>
          <w:b w:val="0"/>
          <w:bCs w:val="0"/>
        </w:rPr>
        <w:t>决算情况说明</w:t>
      </w:r>
      <w:bookmarkEnd w:id="21"/>
      <w:bookmarkEnd w:id="22"/>
      <w:bookmarkEnd w:id="23"/>
    </w:p>
    <w:p>
      <w:pPr>
        <w:pStyle w:val="30"/>
        <w:numPr>
          <w:ilvl w:val="0"/>
          <w:numId w:val="1"/>
        </w:numPr>
        <w:spacing w:line="600" w:lineRule="atLeast"/>
        <w:ind w:firstLineChars="0"/>
        <w:outlineLvl w:val="1"/>
        <w:rPr>
          <w:rStyle w:val="20"/>
          <w:rFonts w:ascii="Times New Roman" w:hAnsi="Times New Roman" w:eastAsia="黑体" w:cs="Times New Roman"/>
          <w:b w:val="0"/>
          <w:bCs w:val="0"/>
        </w:rPr>
      </w:pPr>
      <w:bookmarkStart w:id="24" w:name="_Toc15396603"/>
      <w:bookmarkStart w:id="25" w:name="_Toc15377205"/>
      <w:bookmarkStart w:id="26" w:name="_Toc80172850"/>
      <w:r>
        <w:rPr>
          <w:rFonts w:eastAsia="黑体"/>
          <w:sz w:val="32"/>
          <w:szCs w:val="32"/>
        </w:rPr>
        <w:t>收</w:t>
      </w:r>
      <w:r>
        <w:rPr>
          <w:rStyle w:val="20"/>
          <w:rFonts w:ascii="Times New Roman" w:hAnsi="Times New Roman" w:eastAsia="黑体" w:cs="Times New Roman"/>
          <w:b w:val="0"/>
          <w:bCs w:val="0"/>
        </w:rPr>
        <w:t>入支出决算总体情况说明</w:t>
      </w:r>
      <w:bookmarkEnd w:id="24"/>
      <w:bookmarkEnd w:id="25"/>
      <w:bookmarkEnd w:id="26"/>
    </w:p>
    <w:p>
      <w:pPr>
        <w:snapToGrid w:val="0"/>
        <w:spacing w:line="600" w:lineRule="atLeast"/>
        <w:ind w:firstLine="640" w:firstLineChars="200"/>
        <w:rPr>
          <w:rFonts w:eastAsia="仿宋_GB2312"/>
          <w:sz w:val="32"/>
          <w:szCs w:val="32"/>
        </w:rPr>
      </w:pPr>
      <w:r>
        <w:rPr>
          <w:rFonts w:eastAsia="仿宋_GB2312"/>
          <w:sz w:val="32"/>
          <w:szCs w:val="32"/>
        </w:rPr>
        <w:t>2021年度收、支总计3496.63万元。与2020年相比，收、支总计各增加3071.44万元，增长722.37%。主要变动原因一是新增人员导致基本支出相应增加，二是新增农民工博物馆陈列布展资金等项目导致项目支出大幅增长。</w:t>
      </w:r>
    </w:p>
    <w:p>
      <w:pPr>
        <w:spacing w:line="600" w:lineRule="atLeast"/>
        <w:jc w:val="center"/>
        <w:rPr>
          <w:rFonts w:eastAsia="仿宋_GB2312"/>
          <w:sz w:val="32"/>
          <w:szCs w:val="32"/>
        </w:rPr>
      </w:pPr>
      <w:r>
        <w:drawing>
          <wp:inline distT="0" distB="0" distL="114300" distR="114300">
            <wp:extent cx="4621530" cy="3293745"/>
            <wp:effectExtent l="0" t="0" r="7620" b="190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atLeast"/>
        <w:jc w:val="center"/>
        <w:rPr>
          <w:rFonts w:eastAsia="仿宋_GB2312"/>
          <w:sz w:val="32"/>
          <w:szCs w:val="32"/>
        </w:rPr>
      </w:pPr>
      <w:r>
        <w:rPr>
          <w:rFonts w:eastAsia="仿宋_GB2312"/>
          <w:sz w:val="32"/>
          <w:szCs w:val="32"/>
        </w:rPr>
        <w:t>（图1：收、支决算总计变动情况图）</w:t>
      </w:r>
    </w:p>
    <w:p>
      <w:pPr>
        <w:pStyle w:val="30"/>
        <w:numPr>
          <w:ilvl w:val="0"/>
          <w:numId w:val="1"/>
        </w:numPr>
        <w:spacing w:line="600" w:lineRule="atLeast"/>
        <w:ind w:firstLineChars="0"/>
        <w:outlineLvl w:val="1"/>
        <w:rPr>
          <w:rStyle w:val="20"/>
          <w:rFonts w:ascii="Times New Roman" w:hAnsi="Times New Roman" w:eastAsia="黑体" w:cs="Times New Roman"/>
          <w:b w:val="0"/>
          <w:bCs w:val="0"/>
        </w:rPr>
      </w:pPr>
      <w:bookmarkStart w:id="27" w:name="_Toc15396604"/>
      <w:bookmarkStart w:id="28" w:name="_Toc15377206"/>
      <w:bookmarkStart w:id="29" w:name="_Toc23009_WPSOffice_Level2"/>
      <w:r>
        <w:rPr>
          <w:rFonts w:eastAsia="黑体"/>
          <w:sz w:val="32"/>
          <w:szCs w:val="32"/>
        </w:rPr>
        <w:t>收</w:t>
      </w:r>
      <w:r>
        <w:rPr>
          <w:rStyle w:val="20"/>
          <w:rFonts w:ascii="Times New Roman" w:hAnsi="Times New Roman" w:eastAsia="黑体" w:cs="Times New Roman"/>
          <w:b w:val="0"/>
          <w:bCs w:val="0"/>
        </w:rPr>
        <w:t>入决算情况说明</w:t>
      </w:r>
      <w:bookmarkEnd w:id="27"/>
      <w:bookmarkEnd w:id="28"/>
      <w:bookmarkEnd w:id="29"/>
    </w:p>
    <w:p>
      <w:pPr>
        <w:spacing w:line="600" w:lineRule="atLeast"/>
        <w:ind w:firstLine="640" w:firstLineChars="200"/>
        <w:outlineLvl w:val="1"/>
        <w:rPr>
          <w:rFonts w:eastAsia="仿宋_GB2312"/>
          <w:sz w:val="32"/>
          <w:szCs w:val="32"/>
        </w:rPr>
      </w:pPr>
      <w:r>
        <w:rPr>
          <w:rFonts w:eastAsia="仿宋_GB2312"/>
          <w:sz w:val="32"/>
          <w:szCs w:val="32"/>
        </w:rPr>
        <w:t>2021年本年收入合计3496.63万元，其中：一般公共预算财政拨款收入3496.63万元，占100%。</w:t>
      </w:r>
    </w:p>
    <w:p>
      <w:pPr>
        <w:spacing w:line="600" w:lineRule="atLeast"/>
      </w:pPr>
      <w:r>
        <w:drawing>
          <wp:anchor distT="0" distB="0" distL="114300" distR="114300" simplePos="0" relativeHeight="251659264" behindDoc="1" locked="0" layoutInCell="1" allowOverlap="1">
            <wp:simplePos x="0" y="0"/>
            <wp:positionH relativeFrom="column">
              <wp:posOffset>668655</wp:posOffset>
            </wp:positionH>
            <wp:positionV relativeFrom="paragraph">
              <wp:posOffset>120650</wp:posOffset>
            </wp:positionV>
            <wp:extent cx="3439795" cy="1776095"/>
            <wp:effectExtent l="0" t="0" r="8255" b="14605"/>
            <wp:wrapNone/>
            <wp:docPr id="1" name="图表 4"/>
            <wp:cNvGraphicFramePr/>
            <a:graphic xmlns:a="http://schemas.openxmlformats.org/drawingml/2006/main">
              <a:graphicData uri="http://schemas.openxmlformats.org/drawingml/2006/picture">
                <pic:pic xmlns:pic="http://schemas.openxmlformats.org/drawingml/2006/picture">
                  <pic:nvPicPr>
                    <pic:cNvPr id="1" name="图表 4"/>
                    <pic:cNvPicPr/>
                  </pic:nvPicPr>
                  <pic:blipFill>
                    <a:blip r:embed="rId10"/>
                    <a:stretch>
                      <a:fillRect/>
                    </a:stretch>
                  </pic:blipFill>
                  <pic:spPr>
                    <a:xfrm>
                      <a:off x="0" y="0"/>
                      <a:ext cx="3439795" cy="1776095"/>
                    </a:xfrm>
                    <a:prstGeom prst="rect">
                      <a:avLst/>
                    </a:prstGeom>
                    <a:noFill/>
                    <a:ln>
                      <a:noFill/>
                    </a:ln>
                  </pic:spPr>
                </pic:pic>
              </a:graphicData>
            </a:graphic>
          </wp:anchor>
        </w:drawing>
      </w:r>
    </w:p>
    <w:p>
      <w:pPr>
        <w:spacing w:line="600" w:lineRule="atLeast"/>
        <w:jc w:val="center"/>
        <w:rPr>
          <w:rFonts w:eastAsia="仿宋_GB2312"/>
          <w:sz w:val="32"/>
          <w:szCs w:val="32"/>
        </w:rPr>
      </w:pPr>
    </w:p>
    <w:p>
      <w:pPr>
        <w:spacing w:line="600" w:lineRule="atLeast"/>
        <w:jc w:val="center"/>
        <w:rPr>
          <w:rFonts w:eastAsia="仿宋_GB2312"/>
          <w:sz w:val="32"/>
          <w:szCs w:val="32"/>
        </w:rPr>
      </w:pPr>
    </w:p>
    <w:p>
      <w:pPr>
        <w:spacing w:line="600" w:lineRule="atLeast"/>
        <w:jc w:val="center"/>
        <w:rPr>
          <w:rFonts w:eastAsia="仿宋_GB2312"/>
          <w:sz w:val="32"/>
          <w:szCs w:val="32"/>
        </w:rPr>
      </w:pPr>
    </w:p>
    <w:p>
      <w:pPr>
        <w:spacing w:line="600" w:lineRule="atLeast"/>
        <w:jc w:val="center"/>
        <w:rPr>
          <w:rFonts w:eastAsia="仿宋_GB2312"/>
          <w:sz w:val="32"/>
          <w:szCs w:val="32"/>
        </w:rPr>
      </w:pPr>
    </w:p>
    <w:p>
      <w:pPr>
        <w:spacing w:line="600" w:lineRule="atLeast"/>
        <w:rPr>
          <w:rFonts w:eastAsia="仿宋_GB2312"/>
          <w:sz w:val="32"/>
          <w:szCs w:val="32"/>
        </w:rPr>
      </w:pPr>
      <w:r>
        <w:rPr>
          <w:rFonts w:eastAsia="仿宋_GB2312"/>
          <w:sz w:val="32"/>
          <w:szCs w:val="32"/>
        </w:rPr>
        <w:t xml:space="preserve">             （图2：收入决算结构图）</w:t>
      </w:r>
    </w:p>
    <w:p>
      <w:pPr>
        <w:pStyle w:val="30"/>
        <w:numPr>
          <w:ilvl w:val="0"/>
          <w:numId w:val="1"/>
        </w:numPr>
        <w:spacing w:line="600" w:lineRule="atLeast"/>
        <w:ind w:firstLineChars="0"/>
        <w:outlineLvl w:val="1"/>
        <w:rPr>
          <w:rStyle w:val="20"/>
          <w:rFonts w:ascii="Times New Roman" w:hAnsi="Times New Roman" w:eastAsia="黑体" w:cs="Times New Roman"/>
          <w:b w:val="0"/>
          <w:bCs w:val="0"/>
        </w:rPr>
      </w:pPr>
      <w:bookmarkStart w:id="30" w:name="_Toc8981_WPSOffice_Level2"/>
      <w:bookmarkStart w:id="31" w:name="_Toc15377207"/>
      <w:bookmarkStart w:id="32" w:name="_Toc15396605"/>
      <w:r>
        <w:rPr>
          <w:rFonts w:eastAsia="黑体"/>
          <w:sz w:val="32"/>
          <w:szCs w:val="32"/>
        </w:rPr>
        <w:t>支</w:t>
      </w:r>
      <w:r>
        <w:rPr>
          <w:rStyle w:val="20"/>
          <w:rFonts w:ascii="Times New Roman" w:hAnsi="Times New Roman" w:eastAsia="黑体" w:cs="Times New Roman"/>
          <w:b w:val="0"/>
          <w:bCs w:val="0"/>
        </w:rPr>
        <w:t>出决算情况说明</w:t>
      </w:r>
      <w:bookmarkEnd w:id="30"/>
      <w:bookmarkEnd w:id="31"/>
      <w:bookmarkEnd w:id="32"/>
    </w:p>
    <w:p>
      <w:pPr>
        <w:spacing w:line="600" w:lineRule="atLeast"/>
        <w:ind w:firstLine="640" w:firstLineChars="200"/>
        <w:outlineLvl w:val="1"/>
        <w:rPr>
          <w:rFonts w:eastAsia="仿宋_GB2312"/>
          <w:sz w:val="32"/>
          <w:szCs w:val="32"/>
        </w:rPr>
      </w:pPr>
      <w:r>
        <w:rPr>
          <w:rFonts w:eastAsia="仿宋_GB2312"/>
          <w:sz w:val="32"/>
          <w:szCs w:val="32"/>
        </w:rPr>
        <w:t>2021年本年支出合计3496.63万元，其中：基本支出342.39万元，占9.79%；项目支出3154.24万元，占90.21%。</w:t>
      </w:r>
    </w:p>
    <w:p>
      <w:pPr>
        <w:spacing w:line="600" w:lineRule="atLeast"/>
        <w:ind w:firstLine="420" w:firstLineChars="200"/>
        <w:jc w:val="center"/>
      </w:pPr>
      <w:r>
        <w:drawing>
          <wp:inline distT="0" distB="0" distL="114300" distR="114300">
            <wp:extent cx="3403600" cy="1685925"/>
            <wp:effectExtent l="4445" t="4445" r="20955" b="5080"/>
            <wp:docPr id="1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pPr>
        <w:spacing w:line="600" w:lineRule="atLeast"/>
        <w:ind w:firstLine="420" w:firstLineChars="200"/>
        <w:jc w:val="center"/>
        <w:rPr>
          <w:rFonts w:eastAsia="仿宋_GB2312"/>
          <w:sz w:val="32"/>
          <w:szCs w:val="32"/>
        </w:rPr>
      </w:pPr>
      <w:r>
        <w:t xml:space="preserve">  </w:t>
      </w:r>
      <w:r>
        <w:rPr>
          <w:rFonts w:eastAsia="仿宋_GB2312"/>
          <w:sz w:val="32"/>
          <w:szCs w:val="32"/>
        </w:rPr>
        <w:t>（图3：支出决算结构图）</w:t>
      </w:r>
    </w:p>
    <w:p>
      <w:pPr>
        <w:spacing w:line="600" w:lineRule="atLeast"/>
        <w:ind w:firstLine="640" w:firstLineChars="200"/>
        <w:outlineLvl w:val="1"/>
        <w:rPr>
          <w:rStyle w:val="20"/>
          <w:rFonts w:ascii="Times New Roman" w:hAnsi="Times New Roman" w:eastAsia="黑体" w:cs="Times New Roman"/>
          <w:b w:val="0"/>
          <w:bCs w:val="0"/>
        </w:rPr>
      </w:pPr>
      <w:bookmarkStart w:id="33" w:name="_Toc15377208"/>
      <w:bookmarkStart w:id="34" w:name="_Toc1503_WPSOffice_Level2"/>
      <w:bookmarkStart w:id="35" w:name="_Toc15396606"/>
      <w:r>
        <w:rPr>
          <w:rFonts w:eastAsia="黑体"/>
          <w:sz w:val="32"/>
          <w:szCs w:val="32"/>
        </w:rPr>
        <w:t>四、财</w:t>
      </w:r>
      <w:r>
        <w:rPr>
          <w:rStyle w:val="20"/>
          <w:rFonts w:ascii="Times New Roman" w:hAnsi="Times New Roman" w:eastAsia="黑体" w:cs="Times New Roman"/>
          <w:b w:val="0"/>
          <w:bCs w:val="0"/>
        </w:rPr>
        <w:t>政拨款收入支出决算总体情况说明</w:t>
      </w:r>
      <w:bookmarkEnd w:id="33"/>
      <w:bookmarkEnd w:id="34"/>
      <w:bookmarkEnd w:id="35"/>
    </w:p>
    <w:p>
      <w:pPr>
        <w:snapToGrid w:val="0"/>
        <w:spacing w:line="600" w:lineRule="atLeast"/>
        <w:ind w:firstLine="640" w:firstLineChars="200"/>
        <w:jc w:val="left"/>
        <w:rPr>
          <w:rFonts w:eastAsia="仿宋_GB2312"/>
          <w:sz w:val="32"/>
          <w:szCs w:val="32"/>
        </w:rPr>
      </w:pPr>
      <w:r>
        <w:rPr>
          <w:rFonts w:eastAsia="仿宋_GB2312"/>
          <w:sz w:val="32"/>
          <w:szCs w:val="32"/>
        </w:rPr>
        <w:t>2021年财政拨款收、支总计3496.63万元。与2020年相比，财政拨款收、支总计各增加3071.44万元，增长722.37%。主要变动原因一是新增人员导致基本支出相应增加，二是新增农民工博物馆陈列布展资金等项目导致项目支出大幅增长。</w:t>
      </w:r>
    </w:p>
    <w:p>
      <w:pPr>
        <w:spacing w:line="600" w:lineRule="atLeast"/>
        <w:ind w:firstLine="420" w:firstLineChars="200"/>
        <w:jc w:val="center"/>
        <w:outlineLvl w:val="1"/>
        <w:rPr>
          <w:rFonts w:eastAsia="仿宋_GB2312"/>
          <w:sz w:val="32"/>
          <w:szCs w:val="32"/>
        </w:rPr>
      </w:pPr>
      <w:r>
        <w:drawing>
          <wp:inline distT="0" distB="0" distL="114300" distR="114300">
            <wp:extent cx="3846195" cy="2233930"/>
            <wp:effectExtent l="4445" t="4445" r="16510" b="9525"/>
            <wp:docPr id="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atLeast"/>
        <w:jc w:val="center"/>
        <w:outlineLvl w:val="1"/>
        <w:rPr>
          <w:rFonts w:eastAsia="仿宋_GB2312"/>
          <w:sz w:val="32"/>
          <w:szCs w:val="32"/>
        </w:rPr>
      </w:pPr>
      <w:r>
        <w:rPr>
          <w:rFonts w:eastAsia="仿宋_GB2312"/>
          <w:sz w:val="32"/>
          <w:szCs w:val="32"/>
        </w:rPr>
        <w:t xml:space="preserve">     （图4：财政拨款收、支决算总计变动情况）</w:t>
      </w:r>
      <w:bookmarkStart w:id="36" w:name="_Toc15396607"/>
      <w:bookmarkStart w:id="37" w:name="_Toc15377209"/>
    </w:p>
    <w:p>
      <w:pPr>
        <w:spacing w:line="600" w:lineRule="atLeast"/>
        <w:ind w:firstLine="640" w:firstLineChars="200"/>
        <w:outlineLvl w:val="1"/>
        <w:rPr>
          <w:rStyle w:val="20"/>
          <w:rFonts w:ascii="Times New Roman" w:hAnsi="Times New Roman" w:eastAsia="黑体" w:cs="Times New Roman"/>
          <w:b w:val="0"/>
          <w:bCs w:val="0"/>
        </w:rPr>
      </w:pPr>
      <w:bookmarkStart w:id="38" w:name="_Toc895_WPSOffice_Level2"/>
      <w:r>
        <w:rPr>
          <w:rFonts w:eastAsia="黑体"/>
          <w:sz w:val="32"/>
          <w:szCs w:val="32"/>
        </w:rPr>
        <w:t>五、</w:t>
      </w:r>
      <w:r>
        <w:rPr>
          <w:rFonts w:eastAsia="黑体"/>
          <w:b/>
          <w:bCs/>
          <w:sz w:val="32"/>
          <w:szCs w:val="32"/>
        </w:rPr>
        <w:t>一</w:t>
      </w:r>
      <w:r>
        <w:rPr>
          <w:rStyle w:val="20"/>
          <w:rFonts w:ascii="Times New Roman" w:hAnsi="Times New Roman" w:eastAsia="黑体" w:cs="Times New Roman"/>
          <w:b w:val="0"/>
          <w:bCs w:val="0"/>
        </w:rPr>
        <w:t>般公共预算财政拨款支出决算情况说明</w:t>
      </w:r>
      <w:bookmarkEnd w:id="36"/>
      <w:bookmarkEnd w:id="37"/>
      <w:bookmarkEnd w:id="38"/>
    </w:p>
    <w:p>
      <w:pPr>
        <w:spacing w:line="600" w:lineRule="atLeast"/>
        <w:ind w:firstLine="640" w:firstLineChars="200"/>
        <w:outlineLvl w:val="2"/>
        <w:rPr>
          <w:rFonts w:eastAsia="楷体_GB2312"/>
          <w:sz w:val="32"/>
          <w:szCs w:val="32"/>
        </w:rPr>
      </w:pPr>
      <w:bookmarkStart w:id="39" w:name="_Toc15377210"/>
      <w:r>
        <w:rPr>
          <w:rFonts w:eastAsia="楷体_GB2312"/>
          <w:sz w:val="32"/>
          <w:szCs w:val="32"/>
        </w:rPr>
        <w:t>（一）一般公共预算财政拨款支出决算总体情况</w:t>
      </w:r>
      <w:bookmarkEnd w:id="39"/>
    </w:p>
    <w:p>
      <w:pPr>
        <w:snapToGrid w:val="0"/>
        <w:spacing w:line="540" w:lineRule="atLeast"/>
        <w:ind w:firstLine="640" w:firstLineChars="200"/>
        <w:rPr>
          <w:rFonts w:eastAsia="仿宋_GB2312"/>
          <w:sz w:val="32"/>
          <w:szCs w:val="32"/>
        </w:rPr>
      </w:pPr>
      <w:r>
        <w:rPr>
          <w:rFonts w:eastAsia="仿宋_GB2312"/>
          <w:sz w:val="32"/>
          <w:szCs w:val="32"/>
        </w:rPr>
        <w:t>2021年一般公共预算财政拨款支出3496.63万元，占本年支出合计的100%。与2020年相比，一般公共预算财政拨款增加3071.44万元，增长722.37%。主要变动原因一是新增人员导致基本支出相应增加，二是新增农民工博物馆陈列布展资金等项目导致项目支出大幅增长。</w:t>
      </w:r>
    </w:p>
    <w:p>
      <w:pPr>
        <w:spacing w:line="540" w:lineRule="atLeast"/>
        <w:ind w:firstLine="420" w:firstLineChars="200"/>
        <w:jc w:val="center"/>
        <w:rPr>
          <w:rFonts w:eastAsia="仿宋_GB2312"/>
          <w:sz w:val="32"/>
          <w:szCs w:val="32"/>
        </w:rPr>
      </w:pPr>
      <w:r>
        <w:drawing>
          <wp:inline distT="0" distB="0" distL="114300" distR="114300">
            <wp:extent cx="3810635" cy="2110740"/>
            <wp:effectExtent l="4445" t="4445" r="13970" b="18415"/>
            <wp:docPr id="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40" w:lineRule="atLeast"/>
        <w:ind w:firstLine="640" w:firstLineChars="200"/>
        <w:jc w:val="center"/>
        <w:rPr>
          <w:rFonts w:eastAsia="仿宋_GB2312"/>
          <w:sz w:val="32"/>
          <w:szCs w:val="32"/>
        </w:rPr>
      </w:pPr>
      <w:r>
        <w:rPr>
          <w:rFonts w:eastAsia="仿宋_GB2312"/>
          <w:sz w:val="32"/>
          <w:szCs w:val="32"/>
        </w:rPr>
        <w:t>（图5：一般公共预算财政拨款支出决算变动情况）</w:t>
      </w:r>
    </w:p>
    <w:p>
      <w:pPr>
        <w:spacing w:line="540" w:lineRule="atLeast"/>
        <w:ind w:firstLine="640" w:firstLineChars="200"/>
        <w:outlineLvl w:val="2"/>
        <w:rPr>
          <w:rFonts w:eastAsia="楷体_GB2312"/>
          <w:sz w:val="32"/>
          <w:szCs w:val="32"/>
        </w:rPr>
      </w:pPr>
      <w:bookmarkStart w:id="40" w:name="_Toc15377211"/>
      <w:r>
        <w:rPr>
          <w:rFonts w:eastAsia="楷体_GB2312"/>
          <w:sz w:val="32"/>
          <w:szCs w:val="32"/>
        </w:rPr>
        <w:t>（二）一般公共预算财政拨款支出决算结构情况</w:t>
      </w:r>
      <w:bookmarkEnd w:id="40"/>
    </w:p>
    <w:p>
      <w:pPr>
        <w:spacing w:line="540" w:lineRule="atLeast"/>
        <w:ind w:firstLine="640"/>
        <w:rPr>
          <w:rFonts w:eastAsia="仿宋_GB2312"/>
          <w:sz w:val="32"/>
          <w:szCs w:val="32"/>
        </w:rPr>
      </w:pPr>
      <w:r>
        <w:rPr>
          <w:rFonts w:eastAsia="仿宋_GB2312"/>
          <w:sz w:val="32"/>
          <w:szCs w:val="32"/>
        </w:rPr>
        <w:t>2021年一般公共预算财政拨款支出3496.63万元，主要用于以下方面:</w:t>
      </w:r>
      <w:r>
        <w:rPr>
          <w:rFonts w:eastAsia="仿宋_GB2312"/>
          <w:b/>
          <w:bCs/>
          <w:sz w:val="32"/>
          <w:szCs w:val="32"/>
        </w:rPr>
        <w:t>教育（类）</w:t>
      </w:r>
      <w:r>
        <w:rPr>
          <w:rFonts w:eastAsia="仿宋_GB2312"/>
          <w:sz w:val="32"/>
          <w:szCs w:val="32"/>
        </w:rPr>
        <w:t>支出4.6万元，占0.13%；</w:t>
      </w:r>
      <w:r>
        <w:rPr>
          <w:rFonts w:eastAsia="仿宋_GB2312"/>
          <w:b/>
          <w:bCs/>
          <w:sz w:val="32"/>
          <w:szCs w:val="32"/>
        </w:rPr>
        <w:t>社会保障和就业（类）</w:t>
      </w:r>
      <w:r>
        <w:rPr>
          <w:rFonts w:eastAsia="仿宋_GB2312"/>
          <w:sz w:val="32"/>
          <w:szCs w:val="32"/>
        </w:rPr>
        <w:t>支出3441.5万元，占98.43%；</w:t>
      </w:r>
      <w:r>
        <w:rPr>
          <w:rFonts w:eastAsia="仿宋_GB2312"/>
          <w:b/>
          <w:bCs/>
          <w:sz w:val="32"/>
          <w:szCs w:val="32"/>
        </w:rPr>
        <w:t>卫生健康（类）</w:t>
      </w:r>
      <w:r>
        <w:rPr>
          <w:rFonts w:eastAsia="仿宋_GB2312"/>
          <w:sz w:val="32"/>
          <w:szCs w:val="32"/>
        </w:rPr>
        <w:t>支出19.75万元，占0.56%；</w:t>
      </w:r>
      <w:r>
        <w:rPr>
          <w:rFonts w:eastAsia="仿宋_GB2312"/>
          <w:b/>
          <w:bCs/>
          <w:sz w:val="32"/>
          <w:szCs w:val="32"/>
        </w:rPr>
        <w:t>住房保障（类）</w:t>
      </w:r>
      <w:r>
        <w:rPr>
          <w:rFonts w:eastAsia="仿宋_GB2312"/>
          <w:sz w:val="32"/>
          <w:szCs w:val="32"/>
        </w:rPr>
        <w:t>支出30.78万元，占0.88%。</w:t>
      </w:r>
    </w:p>
    <w:p>
      <w:pPr>
        <w:spacing w:line="540" w:lineRule="atLeast"/>
        <w:ind w:firstLine="420" w:firstLineChars="200"/>
        <w:jc w:val="center"/>
        <w:rPr>
          <w:rFonts w:eastAsia="仿宋_GB2312"/>
          <w:sz w:val="32"/>
          <w:szCs w:val="32"/>
        </w:rPr>
      </w:pPr>
      <w:r>
        <w:drawing>
          <wp:inline distT="0" distB="0" distL="114300" distR="114300">
            <wp:extent cx="4078605" cy="2155190"/>
            <wp:effectExtent l="5080" t="4445" r="12065" b="1206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540" w:lineRule="atLeast"/>
        <w:jc w:val="center"/>
        <w:rPr>
          <w:rFonts w:eastAsia="楷体_GB2312"/>
          <w:sz w:val="32"/>
          <w:szCs w:val="32"/>
        </w:rPr>
      </w:pPr>
      <w:r>
        <w:rPr>
          <w:rFonts w:eastAsia="仿宋_GB2312"/>
          <w:sz w:val="32"/>
          <w:szCs w:val="32"/>
        </w:rPr>
        <w:t>（图6：一般公共预算财政拨款支出决算结构）</w:t>
      </w:r>
      <w:bookmarkStart w:id="41" w:name="_Toc15377212"/>
    </w:p>
    <w:p>
      <w:pPr>
        <w:spacing w:line="600" w:lineRule="atLeast"/>
        <w:ind w:firstLine="640" w:firstLineChars="200"/>
        <w:outlineLvl w:val="2"/>
        <w:rPr>
          <w:rFonts w:eastAsia="楷体_GB2312"/>
          <w:sz w:val="32"/>
          <w:szCs w:val="32"/>
        </w:rPr>
      </w:pPr>
      <w:r>
        <w:rPr>
          <w:rFonts w:eastAsia="楷体_GB2312"/>
          <w:sz w:val="32"/>
          <w:szCs w:val="32"/>
        </w:rPr>
        <w:t>（三）一般公共预算财政拨款支出决算具体情况</w:t>
      </w:r>
      <w:bookmarkEnd w:id="41"/>
    </w:p>
    <w:p>
      <w:pPr>
        <w:spacing w:line="600" w:lineRule="atLeast"/>
        <w:ind w:firstLine="640" w:firstLineChars="200"/>
        <w:outlineLvl w:val="2"/>
        <w:rPr>
          <w:rFonts w:eastAsia="仿宋_GB2312"/>
          <w:sz w:val="32"/>
          <w:szCs w:val="32"/>
        </w:rPr>
      </w:pPr>
      <w:bookmarkStart w:id="42" w:name="_Toc15377213"/>
      <w:bookmarkStart w:id="43" w:name="_Toc15378460"/>
      <w:bookmarkStart w:id="44" w:name="_Toc15377444"/>
      <w:r>
        <w:rPr>
          <w:rFonts w:eastAsia="楷体_GB2312"/>
          <w:sz w:val="32"/>
          <w:szCs w:val="32"/>
        </w:rPr>
        <w:t>2021年一般公共预算支出决算数为3496.63万元</w:t>
      </w:r>
      <w:r>
        <w:rPr>
          <w:rFonts w:eastAsia="仿宋_GB2312"/>
          <w:sz w:val="32"/>
          <w:szCs w:val="32"/>
        </w:rPr>
        <w:t>，</w:t>
      </w:r>
      <w:r>
        <w:rPr>
          <w:rStyle w:val="17"/>
          <w:rFonts w:eastAsia="仿宋_GB2312"/>
          <w:sz w:val="32"/>
          <w:szCs w:val="32"/>
        </w:rPr>
        <w:t>完成预算96.58%。其中：</w:t>
      </w:r>
      <w:bookmarkEnd w:id="42"/>
      <w:bookmarkEnd w:id="43"/>
      <w:bookmarkEnd w:id="44"/>
    </w:p>
    <w:p>
      <w:pPr>
        <w:spacing w:line="600" w:lineRule="exact"/>
        <w:ind w:firstLine="642" w:firstLineChars="200"/>
      </w:pPr>
      <w:r>
        <w:rPr>
          <w:rStyle w:val="17"/>
          <w:rFonts w:eastAsia="仿宋_GB2312"/>
          <w:sz w:val="32"/>
          <w:szCs w:val="32"/>
        </w:rPr>
        <w:t>1.</w:t>
      </w:r>
      <w:r>
        <w:rPr>
          <w:rFonts w:eastAsia="仿宋_GB2312"/>
          <w:b/>
          <w:bCs/>
          <w:color w:val="000000"/>
          <w:sz w:val="32"/>
          <w:szCs w:val="32"/>
        </w:rPr>
        <w:t>教育</w:t>
      </w:r>
      <w:r>
        <w:rPr>
          <w:rStyle w:val="17"/>
          <w:rFonts w:eastAsia="仿宋_GB2312"/>
          <w:color w:val="000000"/>
          <w:sz w:val="32"/>
          <w:szCs w:val="32"/>
        </w:rPr>
        <w:t>（类）</w:t>
      </w:r>
      <w:r>
        <w:rPr>
          <w:rFonts w:eastAsia="仿宋_GB2312"/>
          <w:b/>
          <w:bCs/>
          <w:color w:val="000000"/>
          <w:sz w:val="32"/>
          <w:szCs w:val="32"/>
        </w:rPr>
        <w:t>进修及培训</w:t>
      </w:r>
      <w:r>
        <w:rPr>
          <w:rStyle w:val="17"/>
          <w:rFonts w:eastAsia="仿宋_GB2312"/>
          <w:color w:val="000000"/>
          <w:sz w:val="32"/>
          <w:szCs w:val="32"/>
        </w:rPr>
        <w:t>（款）</w:t>
      </w:r>
      <w:r>
        <w:rPr>
          <w:rFonts w:eastAsia="仿宋_GB2312"/>
          <w:b/>
          <w:bCs/>
          <w:color w:val="000000"/>
          <w:sz w:val="32"/>
          <w:szCs w:val="32"/>
        </w:rPr>
        <w:t>培训支出</w:t>
      </w:r>
      <w:r>
        <w:rPr>
          <w:rStyle w:val="17"/>
          <w:rFonts w:eastAsia="仿宋_GB2312"/>
          <w:color w:val="000000"/>
          <w:sz w:val="32"/>
          <w:szCs w:val="32"/>
        </w:rPr>
        <w:t>（项）：</w:t>
      </w:r>
      <w:r>
        <w:rPr>
          <w:rStyle w:val="17"/>
          <w:rFonts w:eastAsia="仿宋_GB2312"/>
          <w:b w:val="0"/>
          <w:bCs w:val="0"/>
          <w:color w:val="000000"/>
          <w:sz w:val="32"/>
          <w:szCs w:val="32"/>
        </w:rPr>
        <w:t>支出决算为</w:t>
      </w:r>
      <w:r>
        <w:rPr>
          <w:rFonts w:eastAsia="仿宋_GB2312"/>
          <w:color w:val="000000"/>
          <w:sz w:val="32"/>
          <w:szCs w:val="32"/>
        </w:rPr>
        <w:t>4.6万元，完成预算57.5%，决算数小于预算数的主要原因是受疫情影响压减了</w:t>
      </w:r>
      <w:r>
        <w:rPr>
          <w:rFonts w:eastAsia="仿宋_GB2312"/>
          <w:sz w:val="32"/>
          <w:szCs w:val="32"/>
        </w:rPr>
        <w:t>培训支出</w:t>
      </w:r>
      <w:r>
        <w:rPr>
          <w:rStyle w:val="17"/>
          <w:rFonts w:eastAsia="仿宋_GB2312"/>
          <w:b w:val="0"/>
          <w:bCs w:val="0"/>
          <w:sz w:val="32"/>
          <w:szCs w:val="32"/>
        </w:rPr>
        <w:t>。</w:t>
      </w:r>
    </w:p>
    <w:p>
      <w:pPr>
        <w:widowControl/>
        <w:spacing w:line="600" w:lineRule="atLeast"/>
        <w:ind w:firstLine="642" w:firstLineChars="200"/>
        <w:rPr>
          <w:rStyle w:val="17"/>
          <w:rFonts w:eastAsia="仿宋_GB2312"/>
          <w:b w:val="0"/>
          <w:bCs w:val="0"/>
          <w:color w:val="000000"/>
          <w:sz w:val="32"/>
          <w:szCs w:val="32"/>
        </w:rPr>
      </w:pPr>
      <w:r>
        <w:rPr>
          <w:rStyle w:val="17"/>
          <w:rFonts w:eastAsia="仿宋_GB2312"/>
          <w:sz w:val="32"/>
          <w:szCs w:val="32"/>
        </w:rPr>
        <w:t>2.</w:t>
      </w:r>
      <w:r>
        <w:rPr>
          <w:rStyle w:val="17"/>
          <w:rFonts w:eastAsia="仿宋_GB2312"/>
          <w:color w:val="000000"/>
          <w:sz w:val="32"/>
          <w:szCs w:val="32"/>
        </w:rPr>
        <w:t>社会保障和就业（类）人力资源和社会保障管理事务（款）信息化建设（项）:</w:t>
      </w:r>
      <w:r>
        <w:rPr>
          <w:rStyle w:val="17"/>
          <w:rFonts w:eastAsia="仿宋_GB2312"/>
          <w:b w:val="0"/>
          <w:bCs w:val="0"/>
          <w:color w:val="000000"/>
          <w:sz w:val="32"/>
          <w:szCs w:val="32"/>
        </w:rPr>
        <w:t>支出决算为882.15万元，完成预算89.9%，</w:t>
      </w:r>
      <w:r>
        <w:rPr>
          <w:rFonts w:eastAsia="仿宋_GB2312"/>
          <w:color w:val="000000"/>
          <w:sz w:val="32"/>
          <w:szCs w:val="32"/>
        </w:rPr>
        <w:t>决算数小于预算数的</w:t>
      </w:r>
      <w:r>
        <w:rPr>
          <w:rStyle w:val="17"/>
          <w:rFonts w:eastAsia="仿宋_GB2312"/>
          <w:b w:val="0"/>
          <w:bCs w:val="0"/>
          <w:color w:val="000000"/>
          <w:sz w:val="32"/>
          <w:szCs w:val="32"/>
        </w:rPr>
        <w:t>主要原因是四川省农民工平台建设及运营项目按政府采购流程，结转了96.5万元到2022年进行支付，故支出减少。</w:t>
      </w:r>
    </w:p>
    <w:p>
      <w:pPr>
        <w:widowControl/>
        <w:spacing w:line="600" w:lineRule="atLeast"/>
        <w:ind w:firstLine="642" w:firstLineChars="200"/>
        <w:rPr>
          <w:rStyle w:val="17"/>
          <w:rFonts w:eastAsia="仿宋_GB2312"/>
          <w:b w:val="0"/>
          <w:bCs w:val="0"/>
          <w:color w:val="000000"/>
          <w:sz w:val="32"/>
          <w:szCs w:val="32"/>
        </w:rPr>
      </w:pPr>
      <w:r>
        <w:rPr>
          <w:rStyle w:val="17"/>
          <w:rFonts w:eastAsia="仿宋_GB2312"/>
          <w:color w:val="000000"/>
          <w:sz w:val="32"/>
          <w:szCs w:val="32"/>
        </w:rPr>
        <w:t>社会保障和就业（类）人力资源和社会保障管理事务（款）其他人力资源和社会保障管理事务支出（项）:</w:t>
      </w:r>
      <w:r>
        <w:rPr>
          <w:rStyle w:val="17"/>
          <w:rFonts w:eastAsia="仿宋_GB2312"/>
          <w:b w:val="0"/>
          <w:bCs w:val="0"/>
          <w:color w:val="000000"/>
          <w:sz w:val="32"/>
          <w:szCs w:val="32"/>
        </w:rPr>
        <w:t>支出决算为2333.84万元，完成预算99.76%，决算数与预算数基本持平。</w:t>
      </w:r>
    </w:p>
    <w:p>
      <w:pPr>
        <w:widowControl/>
        <w:spacing w:line="600" w:lineRule="atLeast"/>
        <w:ind w:firstLine="642" w:firstLineChars="200"/>
        <w:rPr>
          <w:rStyle w:val="17"/>
          <w:rFonts w:eastAsia="仿宋_GB2312"/>
          <w:b w:val="0"/>
          <w:bCs w:val="0"/>
          <w:color w:val="000000"/>
          <w:sz w:val="32"/>
          <w:szCs w:val="32"/>
        </w:rPr>
      </w:pPr>
      <w:r>
        <w:rPr>
          <w:rStyle w:val="17"/>
          <w:rFonts w:eastAsia="仿宋_GB2312"/>
          <w:color w:val="000000"/>
          <w:sz w:val="32"/>
          <w:szCs w:val="32"/>
        </w:rPr>
        <w:t>社会保障和就业（类）行政事业单位养老支出（款）机关事业单位基本养老保险缴费支出（项）:</w:t>
      </w:r>
      <w:r>
        <w:rPr>
          <w:rStyle w:val="17"/>
          <w:rFonts w:eastAsia="仿宋_GB2312"/>
          <w:b w:val="0"/>
          <w:bCs w:val="0"/>
          <w:color w:val="000000"/>
          <w:sz w:val="32"/>
          <w:szCs w:val="32"/>
        </w:rPr>
        <w:t>支出决算为27.49万元，完成预算99.98%，决算数与预算数基本持平。</w:t>
      </w:r>
    </w:p>
    <w:p>
      <w:pPr>
        <w:widowControl/>
        <w:spacing w:line="600" w:lineRule="atLeast"/>
        <w:ind w:firstLine="642" w:firstLineChars="200"/>
        <w:rPr>
          <w:rStyle w:val="17"/>
          <w:rFonts w:eastAsia="仿宋_GB2312"/>
          <w:b w:val="0"/>
          <w:bCs w:val="0"/>
          <w:color w:val="000000"/>
          <w:sz w:val="32"/>
          <w:szCs w:val="32"/>
        </w:rPr>
      </w:pPr>
      <w:r>
        <w:rPr>
          <w:rStyle w:val="17"/>
          <w:rFonts w:eastAsia="仿宋_GB2312"/>
          <w:color w:val="000000"/>
          <w:sz w:val="32"/>
          <w:szCs w:val="32"/>
        </w:rPr>
        <w:t>社会保障和就业支出（类）行政事业单位养老支出（款）机关事业单位职业年金缴费支出（项）：</w:t>
      </w:r>
      <w:r>
        <w:rPr>
          <w:rStyle w:val="17"/>
          <w:rFonts w:eastAsia="仿宋_GB2312"/>
          <w:b w:val="0"/>
          <w:bCs w:val="0"/>
          <w:color w:val="000000"/>
          <w:sz w:val="32"/>
          <w:szCs w:val="32"/>
        </w:rPr>
        <w:t>支出决算为13.75万元，完成预算99.98%，决算数与预算数基本持平。</w:t>
      </w:r>
    </w:p>
    <w:p>
      <w:pPr>
        <w:widowControl/>
        <w:spacing w:line="600" w:lineRule="atLeast"/>
        <w:ind w:firstLine="642" w:firstLineChars="200"/>
        <w:rPr>
          <w:rStyle w:val="17"/>
          <w:rFonts w:eastAsia="仿宋_GB2312"/>
        </w:rPr>
      </w:pPr>
      <w:r>
        <w:rPr>
          <w:rStyle w:val="17"/>
          <w:rFonts w:eastAsia="仿宋_GB2312"/>
          <w:color w:val="000000"/>
          <w:sz w:val="32"/>
          <w:szCs w:val="32"/>
        </w:rPr>
        <w:t>社会保障和就业支出（类）就业补助（款）其他就业补助支出（项）：</w:t>
      </w:r>
      <w:r>
        <w:rPr>
          <w:rStyle w:val="17"/>
          <w:rFonts w:eastAsia="仿宋_GB2312"/>
          <w:b w:val="0"/>
          <w:bCs w:val="0"/>
          <w:color w:val="000000"/>
          <w:sz w:val="32"/>
          <w:szCs w:val="32"/>
        </w:rPr>
        <w:t>支出决算为184.27万元，完成预算92.14%，</w:t>
      </w:r>
      <w:r>
        <w:rPr>
          <w:rFonts w:eastAsia="仿宋_GB2312"/>
          <w:color w:val="000000"/>
          <w:sz w:val="32"/>
          <w:szCs w:val="32"/>
        </w:rPr>
        <w:t>决算数小于预算数的</w:t>
      </w:r>
      <w:r>
        <w:rPr>
          <w:rStyle w:val="17"/>
          <w:rFonts w:eastAsia="仿宋_GB2312"/>
          <w:b w:val="0"/>
          <w:bCs w:val="0"/>
          <w:color w:val="000000"/>
          <w:sz w:val="32"/>
          <w:szCs w:val="32"/>
        </w:rPr>
        <w:t>主要原因是受疫情影响，项目规模较预算有所减小，故支出减少。</w:t>
      </w:r>
    </w:p>
    <w:p>
      <w:pPr>
        <w:widowControl/>
        <w:spacing w:line="600" w:lineRule="atLeast"/>
        <w:ind w:firstLine="642" w:firstLineChars="200"/>
        <w:rPr>
          <w:rStyle w:val="17"/>
          <w:rFonts w:eastAsia="仿宋_GB2312"/>
        </w:rPr>
      </w:pPr>
      <w:r>
        <w:rPr>
          <w:rStyle w:val="17"/>
          <w:rFonts w:eastAsia="仿宋_GB2312"/>
          <w:sz w:val="32"/>
          <w:szCs w:val="32"/>
        </w:rPr>
        <w:t>3.</w:t>
      </w:r>
      <w:r>
        <w:rPr>
          <w:rStyle w:val="17"/>
          <w:rFonts w:eastAsia="仿宋_GB2312"/>
          <w:color w:val="000000"/>
          <w:sz w:val="32"/>
          <w:szCs w:val="32"/>
        </w:rPr>
        <w:t>卫生健康（类）行政事业单位医疗（款）事业单位医疗（项）:</w:t>
      </w:r>
      <w:r>
        <w:rPr>
          <w:rStyle w:val="17"/>
          <w:rFonts w:eastAsia="仿宋_GB2312"/>
          <w:b w:val="0"/>
          <w:bCs w:val="0"/>
          <w:color w:val="000000"/>
          <w:sz w:val="32"/>
          <w:szCs w:val="32"/>
        </w:rPr>
        <w:t>支出决算为19.75万元，完成预算99.97%，决算数与预算数基本持平。</w:t>
      </w:r>
    </w:p>
    <w:p>
      <w:pPr>
        <w:widowControl/>
        <w:spacing w:line="600" w:lineRule="atLeast"/>
        <w:ind w:firstLine="626" w:firstLineChars="195"/>
        <w:rPr>
          <w:rFonts w:eastAsia="仿宋_GB2312"/>
          <w:sz w:val="32"/>
          <w:szCs w:val="32"/>
        </w:rPr>
      </w:pPr>
      <w:r>
        <w:rPr>
          <w:rFonts w:eastAsia="仿宋_GB2312"/>
          <w:b/>
          <w:bCs/>
          <w:color w:val="000000"/>
          <w:sz w:val="32"/>
          <w:szCs w:val="32"/>
        </w:rPr>
        <w:t>4.</w:t>
      </w:r>
      <w:r>
        <w:rPr>
          <w:rStyle w:val="17"/>
          <w:rFonts w:eastAsia="仿宋_GB2312"/>
          <w:color w:val="000000"/>
          <w:sz w:val="32"/>
          <w:szCs w:val="32"/>
        </w:rPr>
        <w:t>住房保障（类）住房改革支出（款）住房公积金（项）:</w:t>
      </w:r>
      <w:r>
        <w:rPr>
          <w:rStyle w:val="17"/>
          <w:rFonts w:eastAsia="仿宋_GB2312"/>
          <w:b w:val="0"/>
          <w:bCs w:val="0"/>
          <w:color w:val="000000"/>
          <w:sz w:val="32"/>
          <w:szCs w:val="32"/>
        </w:rPr>
        <w:t>支出决算为30.78万元，完成预算99.99%，决算数与预算数基本持平。</w:t>
      </w:r>
    </w:p>
    <w:p>
      <w:pPr>
        <w:tabs>
          <w:tab w:val="right" w:pos="8306"/>
        </w:tabs>
        <w:spacing w:line="600" w:lineRule="atLeast"/>
        <w:ind w:firstLine="640"/>
        <w:outlineLvl w:val="1"/>
        <w:rPr>
          <w:rStyle w:val="20"/>
          <w:rFonts w:ascii="Times New Roman" w:hAnsi="Times New Roman" w:cs="Times New Roman"/>
        </w:rPr>
      </w:pPr>
      <w:bookmarkStart w:id="45" w:name="_Toc15377214"/>
      <w:bookmarkStart w:id="46" w:name="_Toc13592_WPSOffice_Level2"/>
      <w:bookmarkStart w:id="47" w:name="_Toc15396608"/>
      <w:r>
        <w:rPr>
          <w:rFonts w:eastAsia="黑体"/>
          <w:sz w:val="32"/>
          <w:szCs w:val="32"/>
        </w:rPr>
        <w:t>六</w:t>
      </w:r>
      <w:r>
        <w:rPr>
          <w:rFonts w:eastAsia="黑体"/>
          <w:b/>
          <w:bCs/>
          <w:sz w:val="32"/>
          <w:szCs w:val="32"/>
        </w:rPr>
        <w:t>、一</w:t>
      </w:r>
      <w:r>
        <w:rPr>
          <w:rStyle w:val="20"/>
          <w:rFonts w:ascii="Times New Roman" w:hAnsi="Times New Roman" w:eastAsia="黑体" w:cs="Times New Roman"/>
          <w:b w:val="0"/>
          <w:bCs w:val="0"/>
        </w:rPr>
        <w:t>般公共预算财政拨款基本支出决算情况说明</w:t>
      </w:r>
      <w:bookmarkEnd w:id="45"/>
      <w:bookmarkEnd w:id="46"/>
      <w:bookmarkEnd w:id="47"/>
      <w:r>
        <w:rPr>
          <w:rStyle w:val="20"/>
          <w:rFonts w:ascii="Times New Roman" w:hAnsi="Times New Roman" w:eastAsia="黑体" w:cs="Times New Roman"/>
          <w:b w:val="0"/>
          <w:bCs w:val="0"/>
        </w:rPr>
        <w:tab/>
      </w:r>
    </w:p>
    <w:p>
      <w:pPr>
        <w:spacing w:line="600" w:lineRule="atLeast"/>
        <w:ind w:firstLine="645"/>
        <w:rPr>
          <w:rFonts w:eastAsia="仿宋_GB2312"/>
          <w:sz w:val="32"/>
          <w:szCs w:val="32"/>
        </w:rPr>
      </w:pPr>
      <w:r>
        <w:rPr>
          <w:rFonts w:eastAsia="仿宋_GB2312"/>
          <w:sz w:val="32"/>
          <w:szCs w:val="32"/>
        </w:rPr>
        <w:t>2021年一般公共预算财政拨款基本支出342.39万元，其中：</w:t>
      </w:r>
    </w:p>
    <w:p>
      <w:pPr>
        <w:spacing w:line="600" w:lineRule="atLeast"/>
        <w:ind w:firstLine="645"/>
        <w:rPr>
          <w:rFonts w:eastAsia="楷体_GB2312"/>
          <w:sz w:val="32"/>
          <w:szCs w:val="32"/>
        </w:rPr>
      </w:pPr>
      <w:r>
        <w:rPr>
          <w:rFonts w:eastAsia="仿宋_GB2312"/>
          <w:sz w:val="32"/>
          <w:szCs w:val="32"/>
        </w:rPr>
        <w:t>人员经费298.56万元，主要包括：基本工资、津贴补贴、绩效工资、机关事业单位基本养老保险缴费、职业年金缴费、</w:t>
      </w:r>
      <w:r>
        <w:rPr>
          <w:rFonts w:eastAsia="仿宋_GB2312"/>
          <w:color w:val="000000"/>
          <w:sz w:val="32"/>
          <w:szCs w:val="32"/>
        </w:rPr>
        <w:t>职工基本医疗保险缴费</w:t>
      </w:r>
      <w:r>
        <w:rPr>
          <w:rFonts w:eastAsia="仿宋_GB2312"/>
          <w:sz w:val="32"/>
          <w:szCs w:val="32"/>
        </w:rPr>
        <w:t>、其他社会保障缴费、住房公积金、其他工资福利支出、奖励金。</w:t>
      </w:r>
      <w:r>
        <w:rPr>
          <w:rFonts w:eastAsia="仿宋_GB2312"/>
          <w:sz w:val="32"/>
          <w:szCs w:val="32"/>
        </w:rPr>
        <w:br w:type="textWrapping"/>
      </w:r>
      <w:r>
        <w:rPr>
          <w:rFonts w:eastAsia="仿宋_GB2312"/>
          <w:sz w:val="32"/>
          <w:szCs w:val="32"/>
        </w:rPr>
        <w:t>　　公用经费43.83万元，主要包括：办公费、手续费、物业管理费、差旅费、维修（护）费、培训费、公务接待费、工会经费、福利费、公务用车运行维护费、其他商品和服务支出。</w:t>
      </w:r>
    </w:p>
    <w:p>
      <w:pPr>
        <w:spacing w:line="600" w:lineRule="atLeast"/>
        <w:ind w:firstLine="640"/>
        <w:outlineLvl w:val="1"/>
        <w:rPr>
          <w:rStyle w:val="20"/>
          <w:rFonts w:ascii="Times New Roman" w:hAnsi="Times New Roman" w:eastAsia="黑体" w:cs="Times New Roman"/>
          <w:b w:val="0"/>
          <w:bCs w:val="0"/>
        </w:rPr>
      </w:pPr>
      <w:bookmarkStart w:id="48" w:name="_Toc2957_WPSOffice_Level2"/>
      <w:bookmarkStart w:id="49" w:name="_Toc15377215"/>
      <w:bookmarkStart w:id="50" w:name="_Toc15396609"/>
      <w:r>
        <w:rPr>
          <w:rFonts w:eastAsia="黑体"/>
          <w:sz w:val="32"/>
          <w:szCs w:val="32"/>
        </w:rPr>
        <w:t>七、</w:t>
      </w:r>
      <w:r>
        <w:rPr>
          <w:rStyle w:val="20"/>
          <w:rFonts w:ascii="Times New Roman" w:hAnsi="Times New Roman" w:eastAsia="黑体" w:cs="Times New Roman"/>
        </w:rPr>
        <w:t>“</w:t>
      </w:r>
      <w:r>
        <w:rPr>
          <w:rStyle w:val="20"/>
          <w:rFonts w:ascii="Times New Roman" w:hAnsi="Times New Roman" w:eastAsia="黑体" w:cs="Times New Roman"/>
          <w:b w:val="0"/>
          <w:bCs w:val="0"/>
        </w:rPr>
        <w:t>三公”经费财政拨款支出决算情况说明</w:t>
      </w:r>
      <w:bookmarkEnd w:id="48"/>
      <w:bookmarkEnd w:id="49"/>
      <w:bookmarkEnd w:id="50"/>
    </w:p>
    <w:p>
      <w:pPr>
        <w:spacing w:line="600" w:lineRule="atLeast"/>
        <w:ind w:firstLine="640"/>
        <w:outlineLvl w:val="2"/>
        <w:rPr>
          <w:rFonts w:eastAsia="楷体_GB2312"/>
          <w:sz w:val="32"/>
          <w:szCs w:val="32"/>
        </w:rPr>
      </w:pPr>
      <w:bookmarkStart w:id="51" w:name="_Toc15377216"/>
      <w:r>
        <w:rPr>
          <w:rFonts w:eastAsia="楷体_GB2312"/>
          <w:sz w:val="32"/>
          <w:szCs w:val="32"/>
        </w:rPr>
        <w:t>（一）“三公”经费财政拨款支出决算总体情况说明</w:t>
      </w:r>
      <w:bookmarkEnd w:id="51"/>
    </w:p>
    <w:p>
      <w:pPr>
        <w:spacing w:line="600" w:lineRule="atLeast"/>
        <w:ind w:firstLine="640"/>
        <w:rPr>
          <w:rFonts w:eastAsia="仿宋_GB2312"/>
          <w:sz w:val="32"/>
          <w:szCs w:val="32"/>
        </w:rPr>
      </w:pPr>
      <w:r>
        <w:rPr>
          <w:rFonts w:eastAsia="仿宋_GB2312"/>
          <w:sz w:val="32"/>
          <w:szCs w:val="32"/>
        </w:rPr>
        <w:t>2021年“三公”经费财政拨款支出决算为3.83万元，完成预算76.6%，决算数小于预算数的主要原因是</w:t>
      </w:r>
      <w:r>
        <w:rPr>
          <w:rFonts w:eastAsia="仿宋_GB2312"/>
          <w:color w:val="000000"/>
          <w:sz w:val="32"/>
          <w:szCs w:val="32"/>
        </w:rPr>
        <w:t>认真贯彻落实中央“八项规定”和省委“十项规定”，加强内部控制，厉行节约。</w:t>
      </w:r>
    </w:p>
    <w:p>
      <w:pPr>
        <w:spacing w:line="600" w:lineRule="atLeast"/>
        <w:ind w:firstLine="640"/>
        <w:outlineLvl w:val="2"/>
        <w:rPr>
          <w:rFonts w:eastAsia="楷体_GB2312"/>
          <w:sz w:val="32"/>
          <w:szCs w:val="32"/>
        </w:rPr>
      </w:pPr>
      <w:bookmarkStart w:id="52" w:name="_Toc15377217"/>
      <w:r>
        <w:rPr>
          <w:rFonts w:eastAsia="楷体_GB2312"/>
          <w:sz w:val="32"/>
          <w:szCs w:val="32"/>
        </w:rPr>
        <w:t>（二）“三公”经费财政拨款支出决算具体情况说明</w:t>
      </w:r>
      <w:bookmarkEnd w:id="52"/>
    </w:p>
    <w:p>
      <w:pPr>
        <w:spacing w:line="600" w:lineRule="atLeast"/>
        <w:ind w:firstLine="640"/>
        <w:rPr>
          <w:rFonts w:eastAsia="仿宋_GB2312"/>
          <w:sz w:val="32"/>
          <w:szCs w:val="32"/>
        </w:rPr>
      </w:pPr>
      <w:r>
        <w:rPr>
          <w:rFonts w:eastAsia="仿宋_GB2312"/>
          <w:sz w:val="32"/>
          <w:szCs w:val="32"/>
        </w:rPr>
        <w:t>2021年“三公”经费财政拨款支出决算中，</w:t>
      </w:r>
      <w:r>
        <w:rPr>
          <w:rFonts w:eastAsia="仿宋_GB2312"/>
          <w:color w:val="000000"/>
          <w:sz w:val="32"/>
          <w:szCs w:val="32"/>
        </w:rPr>
        <w:t>因公出国（境）费支出决算0万元，占0%；公</w:t>
      </w:r>
      <w:r>
        <w:rPr>
          <w:rFonts w:eastAsia="仿宋_GB2312"/>
          <w:sz w:val="32"/>
          <w:szCs w:val="32"/>
        </w:rPr>
        <w:t>务用车购置及运行维护费支出决算3.65万元，占95.3%；公务接待费支出决算0.18万元，占4.7%。具体情况如下：</w:t>
      </w:r>
    </w:p>
    <w:p>
      <w:pPr>
        <w:spacing w:line="600" w:lineRule="atLeast"/>
        <w:ind w:firstLine="640"/>
        <w:jc w:val="center"/>
        <w:rPr>
          <w:rFonts w:eastAsia="仿宋_GB2312"/>
          <w:sz w:val="32"/>
          <w:szCs w:val="32"/>
        </w:rPr>
      </w:pPr>
      <w:r>
        <w:drawing>
          <wp:inline distT="0" distB="0" distL="114300" distR="114300">
            <wp:extent cx="3777615" cy="2378710"/>
            <wp:effectExtent l="4445" t="4445" r="8890" b="1714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Pr>
          <w:rFonts w:eastAsia="仿宋_GB2312"/>
          <w:sz w:val="32"/>
          <w:szCs w:val="32"/>
        </w:rPr>
        <w:t>（图7：“三公”经费财政拨款支出结构）</w:t>
      </w:r>
    </w:p>
    <w:p>
      <w:pPr>
        <w:spacing w:line="600" w:lineRule="atLeast"/>
        <w:ind w:firstLine="640"/>
        <w:rPr>
          <w:rFonts w:eastAsia="楷体_GB2312"/>
          <w:sz w:val="32"/>
          <w:szCs w:val="32"/>
        </w:rPr>
      </w:pPr>
      <w:r>
        <w:rPr>
          <w:rFonts w:eastAsia="仿宋_GB2312"/>
          <w:b/>
          <w:bCs/>
          <w:color w:val="000000"/>
          <w:sz w:val="32"/>
          <w:szCs w:val="32"/>
        </w:rPr>
        <w:t>1.因公出国（境）经费</w:t>
      </w:r>
      <w:r>
        <w:rPr>
          <w:rFonts w:eastAsia="楷体_GB2312"/>
          <w:sz w:val="32"/>
          <w:szCs w:val="32"/>
        </w:rPr>
        <w:t>支出</w:t>
      </w:r>
      <w:r>
        <w:rPr>
          <w:rFonts w:eastAsia="仿宋_GB2312"/>
          <w:sz w:val="32"/>
          <w:szCs w:val="32"/>
        </w:rPr>
        <w:t>0万元，</w:t>
      </w:r>
      <w:r>
        <w:rPr>
          <w:rStyle w:val="17"/>
          <w:rFonts w:eastAsia="仿宋_GB2312"/>
          <w:b w:val="0"/>
          <w:sz w:val="32"/>
          <w:szCs w:val="32"/>
        </w:rPr>
        <w:t>完成预算100%。</w:t>
      </w:r>
      <w:r>
        <w:rPr>
          <w:rFonts w:eastAsia="仿宋_GB2312"/>
          <w:sz w:val="32"/>
          <w:szCs w:val="32"/>
        </w:rPr>
        <w:t>全年安排因公出国（境）团组0次，出国（境）0人。因公出国（境）经费支出决算与2020年持平。</w:t>
      </w:r>
    </w:p>
    <w:p>
      <w:pPr>
        <w:spacing w:line="600" w:lineRule="atLeast"/>
        <w:ind w:firstLine="640"/>
        <w:rPr>
          <w:rFonts w:eastAsia="仿宋_GB2312"/>
          <w:sz w:val="32"/>
          <w:szCs w:val="32"/>
        </w:rPr>
      </w:pPr>
      <w:r>
        <w:rPr>
          <w:rFonts w:eastAsia="楷体_GB2312"/>
          <w:sz w:val="32"/>
          <w:szCs w:val="32"/>
        </w:rPr>
        <w:t>2.公务用车购置及运行维护费支出</w:t>
      </w:r>
      <w:r>
        <w:rPr>
          <w:rFonts w:eastAsia="仿宋_GB2312"/>
          <w:sz w:val="32"/>
          <w:szCs w:val="32"/>
        </w:rPr>
        <w:t>3.65万元,</w:t>
      </w:r>
      <w:r>
        <w:rPr>
          <w:rStyle w:val="17"/>
          <w:rFonts w:eastAsia="仿宋_GB2312"/>
          <w:b w:val="0"/>
          <w:bCs w:val="0"/>
          <w:sz w:val="32"/>
          <w:szCs w:val="32"/>
        </w:rPr>
        <w:t>完成预算91.25%。</w:t>
      </w:r>
      <w:r>
        <w:rPr>
          <w:rFonts w:eastAsia="仿宋_GB2312"/>
          <w:sz w:val="32"/>
          <w:szCs w:val="32"/>
        </w:rPr>
        <w:t>公务用车购置及运行维护费支出决算比2020年减少19.48万元，减少84.22%。主要原因是</w:t>
      </w:r>
      <w:r>
        <w:rPr>
          <w:rFonts w:eastAsia="仿宋_GB2312"/>
          <w:color w:val="000000"/>
          <w:sz w:val="32"/>
          <w:szCs w:val="32"/>
        </w:rPr>
        <w:t>认真贯彻落实中央“八项规定”和省委“十项规定”，加强内部控制，厉行节约。</w:t>
      </w:r>
    </w:p>
    <w:p>
      <w:pPr>
        <w:spacing w:line="600" w:lineRule="atLeast"/>
        <w:ind w:firstLine="640"/>
        <w:rPr>
          <w:rFonts w:eastAsia="楷体_GB2312"/>
          <w:sz w:val="32"/>
          <w:szCs w:val="32"/>
        </w:rPr>
      </w:pPr>
      <w:r>
        <w:rPr>
          <w:rFonts w:eastAsia="仿宋_GB2312"/>
          <w:sz w:val="32"/>
          <w:szCs w:val="32"/>
        </w:rPr>
        <w:t>其中：</w:t>
      </w:r>
      <w:r>
        <w:rPr>
          <w:rFonts w:eastAsia="楷体_GB2312"/>
          <w:sz w:val="32"/>
          <w:szCs w:val="32"/>
        </w:rPr>
        <w:t>公务用车购置支出</w:t>
      </w:r>
      <w:r>
        <w:rPr>
          <w:rFonts w:eastAsia="仿宋_GB2312"/>
          <w:sz w:val="32"/>
          <w:szCs w:val="32"/>
        </w:rPr>
        <w:t>0万元。</w:t>
      </w:r>
      <w:r>
        <w:rPr>
          <w:rFonts w:eastAsia="楷体_GB2312"/>
          <w:sz w:val="32"/>
          <w:szCs w:val="32"/>
        </w:rPr>
        <w:t>截至2021年12月底，单位共有公务用车1辆，其中：轿车1辆。</w:t>
      </w:r>
    </w:p>
    <w:p>
      <w:pPr>
        <w:spacing w:line="600" w:lineRule="atLeast"/>
        <w:ind w:firstLine="640"/>
        <w:rPr>
          <w:rFonts w:eastAsia="仿宋_GB2312"/>
          <w:sz w:val="32"/>
          <w:szCs w:val="32"/>
        </w:rPr>
      </w:pPr>
      <w:r>
        <w:rPr>
          <w:rFonts w:eastAsia="楷体_GB2312"/>
          <w:sz w:val="32"/>
          <w:szCs w:val="32"/>
        </w:rPr>
        <w:t>公务用车运行维护费支出</w:t>
      </w:r>
      <w:r>
        <w:rPr>
          <w:rFonts w:eastAsia="仿宋_GB2312"/>
          <w:sz w:val="32"/>
          <w:szCs w:val="32"/>
        </w:rPr>
        <w:t>3.65万元。主要用于赴市县开展走访慰问、维权服务等农民工服务保障工作所需的公务用车燃料费、维修费、过路过桥费、保险费等支出。</w:t>
      </w:r>
    </w:p>
    <w:p>
      <w:pPr>
        <w:spacing w:line="600" w:lineRule="atLeast"/>
        <w:ind w:firstLine="640"/>
        <w:rPr>
          <w:rFonts w:eastAsia="仿宋_GB2312"/>
          <w:sz w:val="32"/>
          <w:szCs w:val="32"/>
        </w:rPr>
      </w:pPr>
      <w:r>
        <w:rPr>
          <w:rFonts w:eastAsia="楷体_GB2312"/>
          <w:sz w:val="32"/>
          <w:szCs w:val="32"/>
        </w:rPr>
        <w:t>3.公务接待费支出</w:t>
      </w:r>
      <w:r>
        <w:rPr>
          <w:rFonts w:eastAsia="仿宋_GB2312"/>
          <w:sz w:val="32"/>
          <w:szCs w:val="32"/>
        </w:rPr>
        <w:t>0.18万元，</w:t>
      </w:r>
      <w:r>
        <w:rPr>
          <w:rStyle w:val="17"/>
          <w:rFonts w:eastAsia="仿宋_GB2312"/>
          <w:b w:val="0"/>
          <w:bCs w:val="0"/>
          <w:sz w:val="32"/>
          <w:szCs w:val="32"/>
        </w:rPr>
        <w:t>完成预算15.5%。</w:t>
      </w:r>
      <w:r>
        <w:rPr>
          <w:rFonts w:eastAsia="仿宋_GB2312"/>
          <w:sz w:val="32"/>
          <w:szCs w:val="32"/>
        </w:rPr>
        <w:t>公务接待费支出决算比2020年减少0.13万元，减少41.94%。主要原因是是</w:t>
      </w:r>
      <w:r>
        <w:rPr>
          <w:rFonts w:eastAsia="仿宋_GB2312"/>
          <w:color w:val="000000"/>
          <w:sz w:val="32"/>
          <w:szCs w:val="32"/>
        </w:rPr>
        <w:t>认真贯彻落实中央“八项规定”和省委“十项规定”，加强内部控制，厉行节约。</w:t>
      </w:r>
      <w:r>
        <w:rPr>
          <w:rFonts w:eastAsia="仿宋_GB2312"/>
          <w:sz w:val="32"/>
          <w:szCs w:val="32"/>
        </w:rPr>
        <w:t>其中：</w:t>
      </w:r>
    </w:p>
    <w:p>
      <w:pPr>
        <w:spacing w:line="600" w:lineRule="atLeast"/>
        <w:ind w:firstLine="640"/>
        <w:rPr>
          <w:rFonts w:eastAsia="仿宋_GB2312"/>
          <w:sz w:val="32"/>
          <w:szCs w:val="32"/>
        </w:rPr>
      </w:pPr>
      <w:r>
        <w:rPr>
          <w:rFonts w:eastAsia="楷体_GB2312"/>
          <w:sz w:val="32"/>
          <w:szCs w:val="32"/>
        </w:rPr>
        <w:t>国内公务接待支出</w:t>
      </w:r>
      <w:r>
        <w:rPr>
          <w:rFonts w:eastAsia="仿宋_GB2312"/>
          <w:sz w:val="32"/>
          <w:szCs w:val="32"/>
        </w:rPr>
        <w:t>0.18万元，主要用于开展业务活动开支的用餐费。国内公务接待3批次，15人次（不包括陪同人员），共计支出0.18万元，具体内容包括：接待市州汇报农民工工作事宜、考察学习交流开支。</w:t>
      </w:r>
    </w:p>
    <w:p>
      <w:pPr>
        <w:spacing w:line="600" w:lineRule="atLeast"/>
        <w:ind w:firstLine="640"/>
        <w:rPr>
          <w:rFonts w:eastAsia="仿宋_GB2312"/>
          <w:color w:val="000000"/>
          <w:sz w:val="32"/>
          <w:szCs w:val="32"/>
        </w:rPr>
      </w:pPr>
      <w:bookmarkStart w:id="53" w:name="_Toc15396610"/>
      <w:bookmarkStart w:id="54" w:name="_Toc15377218"/>
      <w:r>
        <w:rPr>
          <w:rFonts w:eastAsia="仿宋_GB2312"/>
          <w:b/>
          <w:bCs/>
          <w:color w:val="000000"/>
          <w:sz w:val="32"/>
          <w:szCs w:val="32"/>
        </w:rPr>
        <w:t>外事接待支出</w:t>
      </w:r>
      <w:r>
        <w:rPr>
          <w:rFonts w:eastAsia="仿宋_GB2312"/>
          <w:color w:val="000000"/>
          <w:sz w:val="32"/>
          <w:szCs w:val="32"/>
        </w:rPr>
        <w:t>0万元，外事接待0批次，0人，共计支出0万元。</w:t>
      </w:r>
    </w:p>
    <w:p>
      <w:pPr>
        <w:spacing w:line="600" w:lineRule="atLeast"/>
        <w:ind w:firstLine="640" w:firstLineChars="200"/>
        <w:outlineLvl w:val="1"/>
        <w:rPr>
          <w:rStyle w:val="20"/>
          <w:rFonts w:ascii="Times New Roman" w:hAnsi="Times New Roman" w:eastAsia="黑体" w:cs="Times New Roman"/>
        </w:rPr>
      </w:pPr>
      <w:bookmarkStart w:id="55" w:name="_Toc18018_WPSOffice_Level2"/>
      <w:r>
        <w:rPr>
          <w:rFonts w:eastAsia="黑体"/>
          <w:sz w:val="32"/>
          <w:szCs w:val="32"/>
        </w:rPr>
        <w:t>八、</w:t>
      </w:r>
      <w:r>
        <w:rPr>
          <w:rStyle w:val="20"/>
          <w:rFonts w:ascii="Times New Roman" w:hAnsi="Times New Roman" w:eastAsia="黑体" w:cs="Times New Roman"/>
          <w:b w:val="0"/>
          <w:bCs w:val="0"/>
        </w:rPr>
        <w:t>政府性基金预算支出决算情况说明</w:t>
      </w:r>
      <w:bookmarkEnd w:id="53"/>
      <w:bookmarkEnd w:id="54"/>
      <w:bookmarkEnd w:id="55"/>
    </w:p>
    <w:p>
      <w:pPr>
        <w:spacing w:line="600" w:lineRule="atLeast"/>
        <w:ind w:firstLine="640"/>
        <w:rPr>
          <w:rFonts w:eastAsia="仿宋_GB2312"/>
          <w:sz w:val="32"/>
          <w:szCs w:val="32"/>
        </w:rPr>
      </w:pPr>
      <w:r>
        <w:rPr>
          <w:rFonts w:eastAsia="仿宋_GB2312"/>
          <w:sz w:val="32"/>
          <w:szCs w:val="32"/>
        </w:rPr>
        <w:t>2021年政府性基金预算财政拨款支出0万元。</w:t>
      </w:r>
    </w:p>
    <w:p>
      <w:pPr>
        <w:numPr>
          <w:ilvl w:val="0"/>
          <w:numId w:val="2"/>
        </w:numPr>
        <w:spacing w:line="600" w:lineRule="atLeast"/>
        <w:ind w:firstLine="640"/>
        <w:outlineLvl w:val="1"/>
        <w:rPr>
          <w:rStyle w:val="20"/>
          <w:rFonts w:ascii="Times New Roman" w:hAnsi="Times New Roman" w:eastAsia="黑体" w:cs="Times New Roman"/>
          <w:b w:val="0"/>
          <w:bCs w:val="0"/>
        </w:rPr>
      </w:pPr>
      <w:bookmarkStart w:id="56" w:name="_Toc15396611"/>
      <w:bookmarkStart w:id="57" w:name="_Toc15377219"/>
      <w:bookmarkStart w:id="58" w:name="_Toc7036_WPSOffice_Level2"/>
      <w:r>
        <w:rPr>
          <w:rStyle w:val="20"/>
          <w:rFonts w:ascii="Times New Roman" w:hAnsi="Times New Roman" w:eastAsia="黑体" w:cs="Times New Roman"/>
          <w:b w:val="0"/>
          <w:bCs w:val="0"/>
        </w:rPr>
        <w:t>国有资本经营预算支出决算情况说明</w:t>
      </w:r>
      <w:bookmarkEnd w:id="56"/>
      <w:bookmarkEnd w:id="57"/>
      <w:bookmarkEnd w:id="58"/>
    </w:p>
    <w:p>
      <w:pPr>
        <w:spacing w:line="600" w:lineRule="atLeast"/>
        <w:ind w:firstLine="640"/>
        <w:rPr>
          <w:rFonts w:eastAsia="仿宋_GB2312"/>
          <w:sz w:val="32"/>
          <w:szCs w:val="32"/>
        </w:rPr>
      </w:pPr>
      <w:r>
        <w:rPr>
          <w:rFonts w:eastAsia="仿宋_GB2312"/>
          <w:sz w:val="32"/>
          <w:szCs w:val="32"/>
        </w:rPr>
        <w:t>2021年国有资本经营预算财政拨款支出0万元。</w:t>
      </w:r>
    </w:p>
    <w:p>
      <w:pPr>
        <w:numPr>
          <w:ilvl w:val="0"/>
          <w:numId w:val="2"/>
        </w:numPr>
        <w:spacing w:line="600" w:lineRule="atLeast"/>
        <w:ind w:firstLine="640"/>
        <w:outlineLvl w:val="1"/>
        <w:rPr>
          <w:rStyle w:val="20"/>
          <w:rFonts w:ascii="Times New Roman" w:hAnsi="Times New Roman" w:eastAsia="黑体" w:cs="Times New Roman"/>
          <w:b w:val="0"/>
          <w:bCs w:val="0"/>
        </w:rPr>
      </w:pPr>
      <w:bookmarkStart w:id="59" w:name="_Toc15377221"/>
      <w:bookmarkStart w:id="60" w:name="_Toc2770_WPSOffice_Level2"/>
      <w:bookmarkStart w:id="61" w:name="_Toc15396612"/>
      <w:r>
        <w:rPr>
          <w:rStyle w:val="20"/>
          <w:rFonts w:ascii="Times New Roman" w:hAnsi="Times New Roman" w:eastAsia="黑体" w:cs="Times New Roman"/>
          <w:b w:val="0"/>
          <w:bCs w:val="0"/>
        </w:rPr>
        <w:t>其他重要事项的情况说明</w:t>
      </w:r>
      <w:bookmarkEnd w:id="59"/>
      <w:bookmarkEnd w:id="60"/>
      <w:bookmarkEnd w:id="61"/>
    </w:p>
    <w:p>
      <w:pPr>
        <w:spacing w:line="600" w:lineRule="atLeast"/>
        <w:ind w:firstLine="640" w:firstLineChars="200"/>
        <w:outlineLvl w:val="2"/>
        <w:rPr>
          <w:rFonts w:eastAsia="楷体_GB2312"/>
          <w:sz w:val="32"/>
          <w:szCs w:val="32"/>
        </w:rPr>
      </w:pPr>
      <w:bookmarkStart w:id="62" w:name="_Toc15377222"/>
      <w:r>
        <w:rPr>
          <w:rFonts w:eastAsia="楷体_GB2312"/>
          <w:sz w:val="32"/>
          <w:szCs w:val="32"/>
        </w:rPr>
        <w:t>（一）机关运行经费支出情况</w:t>
      </w:r>
      <w:bookmarkEnd w:id="62"/>
    </w:p>
    <w:p>
      <w:pPr>
        <w:snapToGrid w:val="0"/>
        <w:spacing w:line="600" w:lineRule="atLeast"/>
        <w:ind w:firstLine="640" w:firstLineChars="200"/>
        <w:rPr>
          <w:rFonts w:eastAsia="仿宋_GB2312"/>
          <w:sz w:val="32"/>
          <w:szCs w:val="32"/>
        </w:rPr>
      </w:pPr>
      <w:r>
        <w:rPr>
          <w:rFonts w:eastAsia="仿宋_GB2312"/>
          <w:sz w:val="32"/>
          <w:szCs w:val="32"/>
        </w:rPr>
        <w:t>省农民工服务中心为事业单位，未开支机关运行经费。</w:t>
      </w:r>
    </w:p>
    <w:p>
      <w:pPr>
        <w:autoSpaceDE w:val="0"/>
        <w:autoSpaceDN w:val="0"/>
        <w:adjustRightInd w:val="0"/>
        <w:spacing w:line="600" w:lineRule="atLeast"/>
        <w:ind w:firstLine="640" w:firstLineChars="200"/>
        <w:jc w:val="left"/>
        <w:outlineLvl w:val="2"/>
        <w:rPr>
          <w:rFonts w:eastAsia="楷体_GB2312"/>
          <w:sz w:val="32"/>
          <w:szCs w:val="32"/>
        </w:rPr>
      </w:pPr>
      <w:bookmarkStart w:id="63" w:name="_Toc15377223"/>
      <w:r>
        <w:rPr>
          <w:rFonts w:eastAsia="楷体_GB2312"/>
          <w:sz w:val="32"/>
          <w:szCs w:val="32"/>
        </w:rPr>
        <w:t>（二）政府采购支出情况</w:t>
      </w:r>
      <w:bookmarkEnd w:id="63"/>
    </w:p>
    <w:p>
      <w:pPr>
        <w:spacing w:line="600" w:lineRule="exact"/>
        <w:ind w:firstLine="640" w:firstLineChars="200"/>
        <w:rPr>
          <w:rFonts w:eastAsia="仿宋_GB2312"/>
          <w:sz w:val="32"/>
          <w:szCs w:val="32"/>
        </w:rPr>
      </w:pPr>
      <w:r>
        <w:rPr>
          <w:rFonts w:eastAsia="仿宋_GB2312"/>
          <w:sz w:val="32"/>
          <w:szCs w:val="32"/>
        </w:rPr>
        <w:t>2021年，省农民工服务中心政府采购支出总额870.89万元，其中：政府采购货物支出0万元、政府采购工程支出0万元、政府采购服务支出870.89万元。主要用于公务用车加油维修保险、四川农民工服务平台建设运行及运营等。授予中小企业合同金额0.31万元，占政府采购支出总额的0.04%，其中：授予小微企业合同金额0</w:t>
      </w:r>
      <w:r>
        <w:rPr>
          <w:rFonts w:hint="eastAsia" w:eastAsia="仿宋_GB2312"/>
          <w:sz w:val="32"/>
          <w:szCs w:val="32"/>
          <w:lang w:val="en-US" w:eastAsia="zh-CN"/>
        </w:rPr>
        <w:t>.31</w:t>
      </w:r>
      <w:r>
        <w:rPr>
          <w:rFonts w:eastAsia="仿宋_GB2312"/>
          <w:sz w:val="32"/>
          <w:szCs w:val="32"/>
        </w:rPr>
        <w:t>万元，占政府采购支出总额的0</w:t>
      </w:r>
      <w:r>
        <w:rPr>
          <w:rFonts w:hint="eastAsia" w:eastAsia="仿宋_GB2312"/>
          <w:sz w:val="32"/>
          <w:szCs w:val="32"/>
          <w:lang w:val="en-US" w:eastAsia="zh-CN"/>
        </w:rPr>
        <w:t>.04</w:t>
      </w:r>
      <w:r>
        <w:rPr>
          <w:rFonts w:eastAsia="仿宋_GB2312"/>
          <w:sz w:val="32"/>
          <w:szCs w:val="32"/>
        </w:rPr>
        <w:t>%。</w:t>
      </w:r>
    </w:p>
    <w:p>
      <w:pPr>
        <w:autoSpaceDE w:val="0"/>
        <w:autoSpaceDN w:val="0"/>
        <w:adjustRightInd w:val="0"/>
        <w:spacing w:line="600" w:lineRule="atLeast"/>
        <w:ind w:firstLine="640" w:firstLineChars="200"/>
        <w:jc w:val="left"/>
        <w:outlineLvl w:val="2"/>
        <w:rPr>
          <w:rFonts w:eastAsia="楷体_GB2312"/>
          <w:sz w:val="32"/>
          <w:szCs w:val="32"/>
        </w:rPr>
      </w:pPr>
      <w:bookmarkStart w:id="64" w:name="_Toc15377224"/>
      <w:r>
        <w:rPr>
          <w:rFonts w:eastAsia="楷体_GB2312"/>
          <w:sz w:val="32"/>
          <w:szCs w:val="32"/>
        </w:rPr>
        <w:t>（三）国有资产占有使用情况</w:t>
      </w:r>
      <w:bookmarkEnd w:id="64"/>
    </w:p>
    <w:p>
      <w:pPr>
        <w:autoSpaceDE w:val="0"/>
        <w:autoSpaceDN w:val="0"/>
        <w:adjustRightInd w:val="0"/>
        <w:spacing w:line="600" w:lineRule="atLeast"/>
        <w:ind w:firstLine="640" w:firstLineChars="200"/>
        <w:jc w:val="left"/>
        <w:rPr>
          <w:rFonts w:eastAsia="仿宋_GB2312"/>
          <w:sz w:val="32"/>
          <w:szCs w:val="32"/>
        </w:rPr>
      </w:pPr>
      <w:r>
        <w:rPr>
          <w:rFonts w:eastAsia="仿宋_GB2312"/>
          <w:sz w:val="32"/>
          <w:szCs w:val="32"/>
        </w:rPr>
        <w:t>截至2021年12月31日，省农民工服务中心共有车辆1辆，其中：其他用车1辆。其他用车主要用于赴市县开展走访慰问、维权服务等农民工服务保障工作。单价50万元以上通用设备0台（套），单价100万元以上专用设备0台（套）。</w:t>
      </w:r>
    </w:p>
    <w:p>
      <w:pPr>
        <w:autoSpaceDE w:val="0"/>
        <w:autoSpaceDN w:val="0"/>
        <w:adjustRightInd w:val="0"/>
        <w:spacing w:line="600" w:lineRule="atLeast"/>
        <w:ind w:firstLine="640" w:firstLineChars="200"/>
        <w:jc w:val="left"/>
        <w:outlineLvl w:val="2"/>
        <w:rPr>
          <w:rFonts w:eastAsia="楷体_GB2312"/>
          <w:sz w:val="32"/>
          <w:szCs w:val="32"/>
        </w:rPr>
      </w:pPr>
      <w:r>
        <w:rPr>
          <w:rFonts w:eastAsia="楷体_GB2312"/>
          <w:sz w:val="32"/>
          <w:szCs w:val="32"/>
        </w:rPr>
        <w:t>（四）预算绩效管理情况</w:t>
      </w:r>
    </w:p>
    <w:p>
      <w:pPr>
        <w:spacing w:line="600" w:lineRule="exact"/>
        <w:ind w:firstLine="640" w:firstLineChars="200"/>
        <w:rPr>
          <w:rFonts w:eastAsia="仿宋_GB2312"/>
          <w:sz w:val="32"/>
          <w:szCs w:val="32"/>
        </w:rPr>
      </w:pPr>
      <w:r>
        <w:rPr>
          <w:rFonts w:eastAsia="仿宋_GB2312"/>
          <w:sz w:val="32"/>
          <w:szCs w:val="32"/>
        </w:rPr>
        <w:t>根据预算绩效管理要求，本单位在2021年度预算编制阶段，组织对农民工博物馆陈列布展资金、四川省农民工平台建设及运营项目等2个项目开展了预算事前绩效评估，对3个项目编制了绩效目标，预算执行过程中，选取3个项目开展绩效监控，年终执行完毕后，对3个项目开展了绩效目标完成情况自评。2021年特定目标类部门预算项目绩效自评表见附件（第四部分）。</w:t>
      </w:r>
    </w:p>
    <w:p>
      <w:pPr>
        <w:widowControl/>
        <w:jc w:val="left"/>
        <w:rPr>
          <w:rStyle w:val="19"/>
          <w:rFonts w:eastAsia="黑体"/>
          <w:b w:val="0"/>
          <w:bCs w:val="0"/>
        </w:rPr>
      </w:pPr>
      <w:bookmarkStart w:id="65" w:name="_Toc15377225"/>
      <w:bookmarkStart w:id="66" w:name="_Toc15396613"/>
      <w:bookmarkStart w:id="67" w:name="_Toc8954_WPSOffice_Level1"/>
      <w:r>
        <w:rPr>
          <w:rStyle w:val="19"/>
          <w:rFonts w:eastAsia="黑体"/>
          <w:b w:val="0"/>
          <w:bCs w:val="0"/>
        </w:rPr>
        <w:br w:type="page"/>
      </w:r>
    </w:p>
    <w:p>
      <w:pPr>
        <w:numPr>
          <w:ilvl w:val="255"/>
          <w:numId w:val="0"/>
        </w:numPr>
        <w:spacing w:line="600" w:lineRule="atLeast"/>
        <w:outlineLvl w:val="0"/>
        <w:rPr>
          <w:rStyle w:val="19"/>
          <w:rFonts w:eastAsia="黑体"/>
          <w:b w:val="0"/>
          <w:bCs w:val="0"/>
        </w:rPr>
      </w:pPr>
    </w:p>
    <w:p>
      <w:pPr>
        <w:numPr>
          <w:ilvl w:val="0"/>
          <w:numId w:val="3"/>
        </w:numPr>
        <w:spacing w:line="600" w:lineRule="atLeast"/>
        <w:ind w:firstLine="660" w:firstLineChars="150"/>
        <w:jc w:val="center"/>
        <w:outlineLvl w:val="0"/>
        <w:rPr>
          <w:rStyle w:val="19"/>
          <w:rFonts w:eastAsia="黑体"/>
          <w:b w:val="0"/>
          <w:bCs w:val="0"/>
        </w:rPr>
      </w:pPr>
      <w:r>
        <w:rPr>
          <w:rFonts w:eastAsia="黑体"/>
          <w:color w:val="000000"/>
          <w:sz w:val="44"/>
          <w:szCs w:val="44"/>
        </w:rPr>
        <w:t>名</w:t>
      </w:r>
      <w:r>
        <w:rPr>
          <w:rStyle w:val="19"/>
          <w:rFonts w:eastAsia="黑体"/>
          <w:b w:val="0"/>
          <w:bCs w:val="0"/>
        </w:rPr>
        <w:t>词解释</w:t>
      </w:r>
      <w:bookmarkEnd w:id="65"/>
      <w:bookmarkEnd w:id="66"/>
      <w:bookmarkEnd w:id="67"/>
    </w:p>
    <w:p>
      <w:pPr>
        <w:spacing w:line="600" w:lineRule="atLeast"/>
        <w:jc w:val="left"/>
        <w:rPr>
          <w:b/>
          <w:bCs/>
          <w:color w:val="000000"/>
          <w:sz w:val="44"/>
          <w:szCs w:val="44"/>
        </w:rPr>
      </w:pP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2.事业收入：指事业单位开展专业业务活动及辅助活动取得的收入。</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4.其他收入：指单位取得的除上述收入以外的各项收入。</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5.使用非财政拨款结余：指事业单位使用以前年度积累的非财政拨款结余弥补当年收支差额的金额。</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6.年初结转和结余：指以前年度尚未完成、结转到本年按有关规定继续使用的资金。</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29"/>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9.</w:t>
      </w:r>
      <w:r>
        <w:rPr>
          <w:rFonts w:eastAsia="仿宋_GB2312"/>
          <w:sz w:val="32"/>
          <w:szCs w:val="32"/>
        </w:rPr>
        <w:t>教育（类）进修及培训（款）培训支出(项）：指人力资源和社会保障部门用于培训方面的支出。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10.社会保障和就业（类）人力资源和社会保障管理事务（款）信息化建设（项）:指人力资源和社会保障部门用于信息化建设、运行维护和数据分析等方面的支出。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社会保障和就业（类）人力资源和社会保障管理事务（款）其他人力资源和社会保障管理事务支出（项）:指</w:t>
      </w:r>
      <w:r>
        <w:rPr>
          <w:rFonts w:eastAsia="仿宋_GB2312"/>
          <w:sz w:val="32"/>
          <w:szCs w:val="32"/>
        </w:rPr>
        <w:t>主要用于人力资源和社会保障管理事务方面的支出。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社会保障和就业（类）行政事业单位养老支出（款）机关事业单位基本养老保险缴费支出（项）: 指机关事业单位实施养老保险制度由单位缴纳的基本养老保险费支出。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社会保障和就业（类）就业补助（款）其他就业补助支出（项）：指</w:t>
      </w:r>
      <w:r>
        <w:rPr>
          <w:rFonts w:eastAsia="仿宋_GB2312"/>
          <w:sz w:val="32"/>
          <w:szCs w:val="32"/>
        </w:rPr>
        <w:t>人力资源和社会保障部门用于</w:t>
      </w:r>
      <w:r>
        <w:rPr>
          <w:rFonts w:eastAsia="仿宋_GB2312"/>
          <w:color w:val="000000"/>
          <w:sz w:val="32"/>
          <w:szCs w:val="32"/>
        </w:rPr>
        <w:t>促进就业的补助支出。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11.医疗卫生与计划生育（类）行政事业单位医疗（款）事业单位医疗（项）:指</w:t>
      </w:r>
      <w:r>
        <w:rPr>
          <w:rFonts w:eastAsia="仿宋_GB2312"/>
          <w:sz w:val="32"/>
          <w:szCs w:val="32"/>
        </w:rPr>
        <w:t>主要用于事业单位按照国家政策规定用于基本医疗缴费支出。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12.住房保障（类）住房改革支出（款）住房公积金（项）:指行政事业单位按人力资源社会保障部、财政部规定的基本工资和津贴补贴以及规定比例为职工缴纳的住房公积金。</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13.基本支出：指为保障机构正常运转、完成日常工作任务而发生的人员支出和公用支出。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14.项目支出：指在基本支出之外为完成特定行政任务和事业发展目标所发生的支出。</w:t>
      </w:r>
    </w:p>
    <w:p>
      <w:pPr>
        <w:adjustRightInd w:val="0"/>
        <w:snapToGrid w:val="0"/>
        <w:spacing w:line="580" w:lineRule="exact"/>
        <w:ind w:firstLine="640" w:firstLineChars="200"/>
        <w:rPr>
          <w:rFonts w:eastAsia="仿宋_GB2312"/>
          <w:color w:val="000000"/>
          <w:sz w:val="32"/>
          <w:szCs w:val="32"/>
        </w:rPr>
      </w:pPr>
      <w:r>
        <w:rPr>
          <w:rFonts w:eastAsia="仿宋_GB2312"/>
          <w:sz w:val="32"/>
          <w:szCs w:val="32"/>
        </w:rPr>
        <w:t>15</w:t>
      </w:r>
      <w:r>
        <w:rPr>
          <w:rFonts w:eastAsia="仿宋_GB2312"/>
          <w:color w:val="000000"/>
          <w:sz w:val="32"/>
          <w:szCs w:val="32"/>
        </w:rPr>
        <w:t>.经营支出：指事业单位在专业业务活动及其辅助活动之外开展非独立核算经营活动发生的支出。</w:t>
      </w:r>
    </w:p>
    <w:p>
      <w:pPr>
        <w:pStyle w:val="29"/>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16.“三公”经费：指部门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napToGrid w:val="0"/>
        <w:spacing w:line="600" w:lineRule="atLeast"/>
        <w:ind w:firstLine="640" w:firstLineChars="200"/>
        <w:jc w:val="both"/>
        <w:rPr>
          <w:rFonts w:ascii="Times New Roman" w:hAnsi="Times New Roman" w:eastAsia="仿宋_GB2312" w:cs="Times New Roman"/>
          <w:sz w:val="32"/>
          <w:szCs w:val="32"/>
        </w:rPr>
      </w:pPr>
    </w:p>
    <w:p>
      <w:pPr>
        <w:pStyle w:val="2"/>
        <w:spacing w:before="93"/>
        <w:rPr>
          <w:rFonts w:ascii="Times New Roman" w:eastAsia="黑体" w:cs="Times New Roman"/>
          <w:color w:val="000000"/>
          <w:sz w:val="44"/>
          <w:szCs w:val="44"/>
        </w:rPr>
      </w:pPr>
      <w:bookmarkStart w:id="68" w:name="_Toc15396614"/>
      <w:bookmarkStart w:id="69" w:name="_Toc13141_WPSOffice_Level1"/>
      <w:bookmarkStart w:id="70" w:name="_Toc15377226"/>
    </w:p>
    <w:bookmarkEnd w:id="68"/>
    <w:bookmarkEnd w:id="69"/>
    <w:bookmarkEnd w:id="70"/>
    <w:p>
      <w:pPr>
        <w:rPr>
          <w:rFonts w:eastAsia="黑体"/>
          <w:sz w:val="44"/>
          <w:szCs w:val="44"/>
        </w:rPr>
      </w:pPr>
      <w:bookmarkStart w:id="71" w:name="_Toc80172865"/>
      <w:bookmarkStart w:id="72" w:name="_Toc15396619"/>
      <w:r>
        <w:rPr>
          <w:rFonts w:eastAsia="黑体"/>
          <w:sz w:val="44"/>
          <w:szCs w:val="44"/>
        </w:rPr>
        <w:br w:type="page"/>
      </w:r>
    </w:p>
    <w:p>
      <w:pPr>
        <w:spacing w:line="600" w:lineRule="exact"/>
        <w:jc w:val="center"/>
        <w:outlineLvl w:val="0"/>
      </w:pPr>
      <w:r>
        <w:rPr>
          <w:rFonts w:eastAsia="黑体"/>
          <w:sz w:val="44"/>
          <w:szCs w:val="44"/>
        </w:rPr>
        <w:t>第</w:t>
      </w:r>
      <w:r>
        <w:rPr>
          <w:rStyle w:val="35"/>
          <w:rFonts w:eastAsia="黑体"/>
          <w:b w:val="0"/>
          <w:bCs w:val="0"/>
        </w:rPr>
        <w:t>四部分 附件</w:t>
      </w:r>
      <w:bookmarkEnd w:id="71"/>
    </w:p>
    <w:p>
      <w:r>
        <w:drawing>
          <wp:anchor distT="0" distB="0" distL="114300" distR="114300" simplePos="0" relativeHeight="251660288" behindDoc="0" locked="0" layoutInCell="1" allowOverlap="1">
            <wp:simplePos x="0" y="0"/>
            <wp:positionH relativeFrom="column">
              <wp:posOffset>-361950</wp:posOffset>
            </wp:positionH>
            <wp:positionV relativeFrom="page">
              <wp:posOffset>1876425</wp:posOffset>
            </wp:positionV>
            <wp:extent cx="6379845" cy="7348220"/>
            <wp:effectExtent l="0" t="0" r="1905" b="5080"/>
            <wp:wrapTopAndBottom/>
            <wp:docPr id="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true"/>
                    </pic:cNvPicPr>
                  </pic:nvPicPr>
                  <pic:blipFill>
                    <a:blip r:embed="rId16"/>
                    <a:stretch>
                      <a:fillRect/>
                    </a:stretch>
                  </pic:blipFill>
                  <pic:spPr>
                    <a:xfrm>
                      <a:off x="0" y="0"/>
                      <a:ext cx="6379845" cy="7348220"/>
                    </a:xfrm>
                    <a:prstGeom prst="rect">
                      <a:avLst/>
                    </a:prstGeom>
                    <a:noFill/>
                    <a:ln>
                      <a:noFill/>
                    </a:ln>
                  </pic:spPr>
                </pic:pic>
              </a:graphicData>
            </a:graphic>
          </wp:anchor>
        </w:drawing>
      </w:r>
    </w:p>
    <w:p>
      <w:pPr>
        <w:pStyle w:val="12"/>
        <w:spacing w:line="600" w:lineRule="exact"/>
        <w:ind w:left="1060" w:hanging="640"/>
        <w:jc w:val="center"/>
        <w:outlineLvl w:val="0"/>
      </w:pPr>
      <w:r>
        <w:drawing>
          <wp:anchor distT="0" distB="0" distL="114300" distR="114300" simplePos="0" relativeHeight="251662336" behindDoc="0" locked="0" layoutInCell="1" allowOverlap="1">
            <wp:simplePos x="0" y="0"/>
            <wp:positionH relativeFrom="column">
              <wp:posOffset>-506095</wp:posOffset>
            </wp:positionH>
            <wp:positionV relativeFrom="paragraph">
              <wp:posOffset>121920</wp:posOffset>
            </wp:positionV>
            <wp:extent cx="6840855" cy="7670800"/>
            <wp:effectExtent l="0" t="0" r="17145" b="6350"/>
            <wp:wrapNone/>
            <wp:docPr id="8"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true"/>
                    </pic:cNvPicPr>
                  </pic:nvPicPr>
                  <pic:blipFill>
                    <a:blip r:embed="rId17"/>
                    <a:stretch>
                      <a:fillRect/>
                    </a:stretch>
                  </pic:blipFill>
                  <pic:spPr>
                    <a:xfrm>
                      <a:off x="0" y="0"/>
                      <a:ext cx="6840855" cy="7670800"/>
                    </a:xfrm>
                    <a:prstGeom prst="rect">
                      <a:avLst/>
                    </a:prstGeom>
                    <a:noFill/>
                    <a:ln>
                      <a:noFill/>
                    </a:ln>
                  </pic:spPr>
                </pic:pic>
              </a:graphicData>
            </a:graphic>
          </wp:anchor>
        </w:drawing>
      </w:r>
    </w:p>
    <w:p/>
    <w:p>
      <w:pPr>
        <w:pStyle w:val="12"/>
        <w:spacing w:line="600" w:lineRule="exact"/>
        <w:ind w:left="1060" w:hanging="640"/>
        <w:jc w:val="center"/>
        <w:outlineLvl w:val="0"/>
      </w:pPr>
    </w:p>
    <w:p/>
    <w:p>
      <w:pPr>
        <w:pStyle w:val="12"/>
        <w:spacing w:line="600" w:lineRule="exact"/>
        <w:ind w:left="1060" w:hanging="640"/>
        <w:jc w:val="center"/>
        <w:outlineLvl w:val="0"/>
      </w:pPr>
      <w:r>
        <w:drawing>
          <wp:anchor distT="0" distB="0" distL="114300" distR="114300" simplePos="0" relativeHeight="251661312" behindDoc="0" locked="0" layoutInCell="1" allowOverlap="1">
            <wp:simplePos x="0" y="0"/>
            <wp:positionH relativeFrom="column">
              <wp:posOffset>-668020</wp:posOffset>
            </wp:positionH>
            <wp:positionV relativeFrom="page">
              <wp:posOffset>1943100</wp:posOffset>
            </wp:positionV>
            <wp:extent cx="6899910" cy="6877685"/>
            <wp:effectExtent l="0" t="0" r="15240" b="18415"/>
            <wp:wrapSquare wrapText="bothSides"/>
            <wp:docPr id="9"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true"/>
                    </pic:cNvPicPr>
                  </pic:nvPicPr>
                  <pic:blipFill>
                    <a:blip r:embed="rId18"/>
                    <a:stretch>
                      <a:fillRect/>
                    </a:stretch>
                  </pic:blipFill>
                  <pic:spPr>
                    <a:xfrm>
                      <a:off x="0" y="0"/>
                      <a:ext cx="6899910" cy="6877685"/>
                    </a:xfrm>
                    <a:prstGeom prst="rect">
                      <a:avLst/>
                    </a:prstGeom>
                    <a:noFill/>
                    <a:ln>
                      <a:noFill/>
                    </a:ln>
                  </pic:spPr>
                </pic:pic>
              </a:graphicData>
            </a:graphic>
          </wp:anchor>
        </w:drawing>
      </w:r>
    </w:p>
    <w:p/>
    <w:p>
      <w:pPr>
        <w:pStyle w:val="3"/>
        <w:jc w:val="center"/>
        <w:rPr>
          <w:rStyle w:val="35"/>
          <w:rFonts w:eastAsia="黑体"/>
          <w:b/>
          <w:bCs/>
        </w:rPr>
      </w:pPr>
      <w:r>
        <w:rPr>
          <w:rFonts w:eastAsia="黑体"/>
          <w:b w:val="0"/>
          <w:bCs w:val="0"/>
        </w:rPr>
        <w:t xml:space="preserve">第五部分 </w:t>
      </w:r>
      <w:r>
        <w:rPr>
          <w:rStyle w:val="35"/>
          <w:rFonts w:eastAsia="黑体"/>
          <w:b w:val="0"/>
          <w:bCs w:val="0"/>
        </w:rPr>
        <w:t>附表</w:t>
      </w:r>
    </w:p>
    <w:p>
      <w:pPr>
        <w:pStyle w:val="4"/>
        <w:spacing w:line="520" w:lineRule="exact"/>
        <w:rPr>
          <w:rFonts w:ascii="Times New Roman" w:hAnsi="Times New Roman" w:eastAsia="仿宋_GB2312" w:cs="Times New Roman"/>
          <w:color w:val="000000"/>
        </w:rPr>
      </w:pPr>
      <w:bookmarkStart w:id="73" w:name="_Toc5136_WPSOffice_Level2"/>
      <w:r>
        <w:rPr>
          <w:rFonts w:ascii="Times New Roman" w:hAnsi="Times New Roman" w:eastAsia="仿宋_GB2312" w:cs="Times New Roman"/>
          <w:b w:val="0"/>
          <w:bCs w:val="0"/>
          <w:color w:val="000000"/>
        </w:rPr>
        <w:t>一、收</w:t>
      </w:r>
      <w:r>
        <w:rPr>
          <w:rStyle w:val="20"/>
          <w:rFonts w:ascii="Times New Roman" w:hAnsi="Times New Roman" w:eastAsia="仿宋_GB2312" w:cs="Times New Roman"/>
          <w:b w:val="0"/>
          <w:bCs w:val="0"/>
        </w:rPr>
        <w:t>入支出决算总表</w:t>
      </w:r>
      <w:bookmarkEnd w:id="72"/>
      <w:bookmarkEnd w:id="73"/>
    </w:p>
    <w:p>
      <w:pPr>
        <w:pStyle w:val="4"/>
        <w:spacing w:line="520" w:lineRule="exact"/>
        <w:rPr>
          <w:rFonts w:ascii="Times New Roman" w:hAnsi="Times New Roman" w:eastAsia="仿宋_GB2312" w:cs="Times New Roman"/>
          <w:color w:val="000000"/>
        </w:rPr>
      </w:pPr>
      <w:bookmarkStart w:id="74" w:name="_Toc15396620"/>
      <w:bookmarkStart w:id="75" w:name="_Toc23198_WPSOffice_Level2"/>
      <w:r>
        <w:rPr>
          <w:rFonts w:ascii="Times New Roman" w:hAnsi="Times New Roman" w:eastAsia="仿宋_GB2312" w:cs="Times New Roman"/>
          <w:b w:val="0"/>
          <w:bCs w:val="0"/>
          <w:color w:val="000000"/>
        </w:rPr>
        <w:t>二、收</w:t>
      </w:r>
      <w:r>
        <w:rPr>
          <w:rStyle w:val="20"/>
          <w:rFonts w:ascii="Times New Roman" w:hAnsi="Times New Roman" w:eastAsia="仿宋_GB2312" w:cs="Times New Roman"/>
          <w:b w:val="0"/>
          <w:bCs w:val="0"/>
        </w:rPr>
        <w:t>入决算表</w:t>
      </w:r>
      <w:bookmarkEnd w:id="74"/>
      <w:bookmarkEnd w:id="75"/>
    </w:p>
    <w:p>
      <w:pPr>
        <w:pStyle w:val="4"/>
        <w:spacing w:line="520" w:lineRule="exact"/>
        <w:rPr>
          <w:rFonts w:ascii="Times New Roman" w:hAnsi="Times New Roman" w:eastAsia="仿宋_GB2312" w:cs="Times New Roman"/>
          <w:color w:val="000000"/>
        </w:rPr>
      </w:pPr>
      <w:bookmarkStart w:id="76" w:name="_Toc1297_WPSOffice_Level2"/>
      <w:bookmarkStart w:id="77" w:name="_Toc15396621"/>
      <w:r>
        <w:rPr>
          <w:rStyle w:val="20"/>
          <w:rFonts w:ascii="Times New Roman" w:hAnsi="Times New Roman" w:eastAsia="仿宋_GB2312" w:cs="Times New Roman"/>
          <w:b w:val="0"/>
          <w:bCs w:val="0"/>
        </w:rPr>
        <w:t>三、</w:t>
      </w:r>
      <w:r>
        <w:rPr>
          <w:rFonts w:ascii="Times New Roman" w:hAnsi="Times New Roman" w:eastAsia="仿宋_GB2312" w:cs="Times New Roman"/>
          <w:b w:val="0"/>
          <w:bCs w:val="0"/>
          <w:color w:val="000000"/>
        </w:rPr>
        <w:t>支</w:t>
      </w:r>
      <w:r>
        <w:rPr>
          <w:rStyle w:val="20"/>
          <w:rFonts w:ascii="Times New Roman" w:hAnsi="Times New Roman" w:eastAsia="仿宋_GB2312" w:cs="Times New Roman"/>
          <w:b w:val="0"/>
          <w:bCs w:val="0"/>
        </w:rPr>
        <w:t>出决算表</w:t>
      </w:r>
      <w:bookmarkEnd w:id="76"/>
      <w:bookmarkEnd w:id="77"/>
    </w:p>
    <w:p>
      <w:pPr>
        <w:pStyle w:val="4"/>
        <w:spacing w:line="520" w:lineRule="exact"/>
        <w:rPr>
          <w:rFonts w:ascii="Times New Roman" w:hAnsi="Times New Roman" w:eastAsia="仿宋_GB2312" w:cs="Times New Roman"/>
          <w:b w:val="0"/>
          <w:bCs w:val="0"/>
          <w:color w:val="000000"/>
        </w:rPr>
      </w:pPr>
      <w:bookmarkStart w:id="78" w:name="_Toc19541_WPSOffice_Level2"/>
      <w:bookmarkStart w:id="79" w:name="_Toc15396622"/>
      <w:r>
        <w:rPr>
          <w:rStyle w:val="20"/>
          <w:rFonts w:ascii="Times New Roman" w:hAnsi="Times New Roman" w:eastAsia="仿宋_GB2312" w:cs="Times New Roman"/>
          <w:b w:val="0"/>
          <w:bCs w:val="0"/>
        </w:rPr>
        <w:t>四、</w:t>
      </w:r>
      <w:r>
        <w:rPr>
          <w:rFonts w:ascii="Times New Roman" w:hAnsi="Times New Roman" w:eastAsia="仿宋_GB2312" w:cs="Times New Roman"/>
          <w:b w:val="0"/>
          <w:bCs w:val="0"/>
          <w:color w:val="000000"/>
        </w:rPr>
        <w:t>财</w:t>
      </w:r>
      <w:r>
        <w:rPr>
          <w:rStyle w:val="20"/>
          <w:rFonts w:ascii="Times New Roman" w:hAnsi="Times New Roman" w:eastAsia="仿宋_GB2312" w:cs="Times New Roman"/>
          <w:b w:val="0"/>
          <w:bCs w:val="0"/>
        </w:rPr>
        <w:t>政拨款收入支出决算总表</w:t>
      </w:r>
      <w:bookmarkEnd w:id="78"/>
      <w:bookmarkEnd w:id="79"/>
    </w:p>
    <w:p>
      <w:pPr>
        <w:pStyle w:val="4"/>
        <w:spacing w:line="520" w:lineRule="exact"/>
        <w:rPr>
          <w:rStyle w:val="20"/>
          <w:rFonts w:ascii="Times New Roman" w:hAnsi="Times New Roman" w:eastAsia="仿宋_GB2312" w:cs="Times New Roman"/>
          <w:b w:val="0"/>
          <w:bCs w:val="0"/>
        </w:rPr>
      </w:pPr>
      <w:bookmarkStart w:id="80" w:name="_Toc15396623"/>
      <w:bookmarkStart w:id="81" w:name="_Toc8160_WPSOffice_Level2"/>
      <w:r>
        <w:rPr>
          <w:rStyle w:val="20"/>
          <w:rFonts w:ascii="Times New Roman" w:hAnsi="Times New Roman" w:eastAsia="仿宋_GB2312" w:cs="Times New Roman"/>
          <w:b w:val="0"/>
          <w:bCs w:val="0"/>
        </w:rPr>
        <w:t>五、</w:t>
      </w:r>
      <w:r>
        <w:rPr>
          <w:rFonts w:ascii="Times New Roman" w:hAnsi="Times New Roman" w:eastAsia="仿宋_GB2312" w:cs="Times New Roman"/>
          <w:b w:val="0"/>
          <w:bCs w:val="0"/>
          <w:color w:val="000000"/>
        </w:rPr>
        <w:t>财</w:t>
      </w:r>
      <w:r>
        <w:rPr>
          <w:rStyle w:val="20"/>
          <w:rFonts w:ascii="Times New Roman" w:hAnsi="Times New Roman" w:eastAsia="仿宋_GB2312" w:cs="Times New Roman"/>
          <w:b w:val="0"/>
          <w:bCs w:val="0"/>
        </w:rPr>
        <w:t>政拨款支出决算明细表</w:t>
      </w:r>
      <w:bookmarkEnd w:id="80"/>
      <w:bookmarkEnd w:id="81"/>
      <w:bookmarkStart w:id="82" w:name="_Toc15396624"/>
    </w:p>
    <w:p>
      <w:pPr>
        <w:pStyle w:val="4"/>
        <w:spacing w:line="520" w:lineRule="exact"/>
        <w:rPr>
          <w:rFonts w:ascii="Times New Roman" w:hAnsi="Times New Roman" w:eastAsia="仿宋_GB2312" w:cs="Times New Roman"/>
          <w:color w:val="000000"/>
        </w:rPr>
      </w:pPr>
      <w:bookmarkStart w:id="83" w:name="_Toc29098_WPSOffice_Level2"/>
      <w:r>
        <w:rPr>
          <w:rStyle w:val="20"/>
          <w:rFonts w:ascii="Times New Roman" w:hAnsi="Times New Roman" w:eastAsia="仿宋_GB2312" w:cs="Times New Roman"/>
          <w:b w:val="0"/>
          <w:bCs w:val="0"/>
        </w:rPr>
        <w:t>六、</w:t>
      </w:r>
      <w:r>
        <w:rPr>
          <w:rFonts w:ascii="Times New Roman" w:hAnsi="Times New Roman" w:eastAsia="仿宋_GB2312" w:cs="Times New Roman"/>
          <w:b w:val="0"/>
          <w:bCs w:val="0"/>
          <w:color w:val="000000"/>
        </w:rPr>
        <w:t>一</w:t>
      </w:r>
      <w:r>
        <w:rPr>
          <w:rStyle w:val="20"/>
          <w:rFonts w:ascii="Times New Roman" w:hAnsi="Times New Roman" w:eastAsia="仿宋_GB2312" w:cs="Times New Roman"/>
          <w:b w:val="0"/>
          <w:bCs w:val="0"/>
        </w:rPr>
        <w:t>般公共预算财政拨款支出决算表</w:t>
      </w:r>
      <w:bookmarkEnd w:id="82"/>
      <w:bookmarkEnd w:id="83"/>
    </w:p>
    <w:p>
      <w:pPr>
        <w:pStyle w:val="4"/>
        <w:spacing w:line="520" w:lineRule="exact"/>
        <w:rPr>
          <w:rFonts w:ascii="Times New Roman" w:hAnsi="Times New Roman" w:eastAsia="仿宋_GB2312" w:cs="Times New Roman"/>
          <w:color w:val="000000"/>
        </w:rPr>
      </w:pPr>
      <w:bookmarkStart w:id="84" w:name="_Toc32188_WPSOffice_Level2"/>
      <w:bookmarkStart w:id="85" w:name="_Toc15396625"/>
      <w:r>
        <w:rPr>
          <w:rStyle w:val="20"/>
          <w:rFonts w:ascii="Times New Roman" w:hAnsi="Times New Roman" w:eastAsia="仿宋_GB2312" w:cs="Times New Roman"/>
          <w:b w:val="0"/>
          <w:bCs w:val="0"/>
        </w:rPr>
        <w:t>七、</w:t>
      </w:r>
      <w:r>
        <w:rPr>
          <w:rFonts w:ascii="Times New Roman" w:hAnsi="Times New Roman" w:eastAsia="仿宋_GB2312" w:cs="Times New Roman"/>
          <w:b w:val="0"/>
          <w:bCs w:val="0"/>
          <w:color w:val="000000"/>
        </w:rPr>
        <w:t>一</w:t>
      </w:r>
      <w:r>
        <w:rPr>
          <w:rStyle w:val="20"/>
          <w:rFonts w:ascii="Times New Roman" w:hAnsi="Times New Roman" w:eastAsia="仿宋_GB2312" w:cs="Times New Roman"/>
          <w:b w:val="0"/>
          <w:bCs w:val="0"/>
        </w:rPr>
        <w:t>般公共预算财政拨款支出决算明细表</w:t>
      </w:r>
      <w:bookmarkEnd w:id="84"/>
      <w:bookmarkEnd w:id="85"/>
    </w:p>
    <w:p>
      <w:pPr>
        <w:pStyle w:val="4"/>
        <w:spacing w:line="520" w:lineRule="exact"/>
        <w:rPr>
          <w:rFonts w:ascii="Times New Roman" w:hAnsi="Times New Roman" w:eastAsia="仿宋_GB2312" w:cs="Times New Roman"/>
          <w:color w:val="000000"/>
        </w:rPr>
      </w:pPr>
      <w:bookmarkStart w:id="86" w:name="_Toc24865_WPSOffice_Level2"/>
      <w:bookmarkStart w:id="87" w:name="_Toc15396626"/>
      <w:r>
        <w:rPr>
          <w:rStyle w:val="20"/>
          <w:rFonts w:ascii="Times New Roman" w:hAnsi="Times New Roman" w:eastAsia="仿宋_GB2312" w:cs="Times New Roman"/>
          <w:b w:val="0"/>
          <w:bCs w:val="0"/>
        </w:rPr>
        <w:t>八、</w:t>
      </w:r>
      <w:r>
        <w:rPr>
          <w:rFonts w:ascii="Times New Roman" w:hAnsi="Times New Roman" w:eastAsia="仿宋_GB2312" w:cs="Times New Roman"/>
          <w:b w:val="0"/>
          <w:bCs w:val="0"/>
          <w:color w:val="000000"/>
        </w:rPr>
        <w:t>一</w:t>
      </w:r>
      <w:r>
        <w:rPr>
          <w:rStyle w:val="20"/>
          <w:rFonts w:ascii="Times New Roman" w:hAnsi="Times New Roman" w:eastAsia="仿宋_GB2312" w:cs="Times New Roman"/>
          <w:b w:val="0"/>
          <w:bCs w:val="0"/>
        </w:rPr>
        <w:t>般公共预算财政拨款基本支出决算表</w:t>
      </w:r>
      <w:bookmarkEnd w:id="86"/>
      <w:bookmarkEnd w:id="87"/>
    </w:p>
    <w:p>
      <w:pPr>
        <w:pStyle w:val="4"/>
        <w:spacing w:line="520" w:lineRule="exact"/>
        <w:rPr>
          <w:rFonts w:ascii="Times New Roman" w:hAnsi="Times New Roman" w:eastAsia="仿宋_GB2312" w:cs="Times New Roman"/>
          <w:color w:val="000000"/>
        </w:rPr>
      </w:pPr>
      <w:bookmarkStart w:id="88" w:name="_Toc15447_WPSOffice_Level2"/>
      <w:bookmarkStart w:id="89" w:name="_Toc15396627"/>
      <w:r>
        <w:rPr>
          <w:rStyle w:val="20"/>
          <w:rFonts w:ascii="Times New Roman" w:hAnsi="Times New Roman" w:eastAsia="仿宋_GB2312" w:cs="Times New Roman"/>
          <w:b w:val="0"/>
          <w:bCs w:val="0"/>
        </w:rPr>
        <w:t>九、</w:t>
      </w:r>
      <w:r>
        <w:rPr>
          <w:rFonts w:ascii="Times New Roman" w:hAnsi="Times New Roman" w:eastAsia="仿宋_GB2312" w:cs="Times New Roman"/>
          <w:b w:val="0"/>
          <w:bCs w:val="0"/>
          <w:color w:val="000000"/>
        </w:rPr>
        <w:t>一</w:t>
      </w:r>
      <w:r>
        <w:rPr>
          <w:rStyle w:val="20"/>
          <w:rFonts w:ascii="Times New Roman" w:hAnsi="Times New Roman" w:eastAsia="仿宋_GB2312" w:cs="Times New Roman"/>
          <w:b w:val="0"/>
          <w:bCs w:val="0"/>
        </w:rPr>
        <w:t>般公共预算财政拨款项目支出决算表</w:t>
      </w:r>
      <w:bookmarkEnd w:id="88"/>
      <w:bookmarkEnd w:id="89"/>
    </w:p>
    <w:p>
      <w:pPr>
        <w:pStyle w:val="4"/>
        <w:spacing w:line="520" w:lineRule="exact"/>
        <w:rPr>
          <w:rFonts w:ascii="Times New Roman" w:hAnsi="Times New Roman" w:eastAsia="仿宋_GB2312" w:cs="Times New Roman"/>
          <w:color w:val="000000"/>
        </w:rPr>
      </w:pPr>
      <w:bookmarkStart w:id="90" w:name="_Toc1527_WPSOffice_Level2"/>
      <w:bookmarkStart w:id="91" w:name="_Toc15396628"/>
      <w:r>
        <w:rPr>
          <w:rStyle w:val="20"/>
          <w:rFonts w:ascii="Times New Roman" w:hAnsi="Times New Roman" w:eastAsia="仿宋_GB2312" w:cs="Times New Roman"/>
          <w:b w:val="0"/>
          <w:bCs w:val="0"/>
        </w:rPr>
        <w:t>十、</w:t>
      </w:r>
      <w:r>
        <w:rPr>
          <w:rFonts w:ascii="Times New Roman" w:hAnsi="Times New Roman" w:eastAsia="仿宋_GB2312" w:cs="Times New Roman"/>
          <w:b w:val="0"/>
          <w:bCs w:val="0"/>
          <w:color w:val="000000"/>
        </w:rPr>
        <w:t>一</w:t>
      </w:r>
      <w:r>
        <w:rPr>
          <w:rStyle w:val="20"/>
          <w:rFonts w:ascii="Times New Roman" w:hAnsi="Times New Roman" w:eastAsia="仿宋_GB2312" w:cs="Times New Roman"/>
          <w:b w:val="0"/>
          <w:bCs w:val="0"/>
        </w:rPr>
        <w:t>般公共预算财政拨款“三公”经费支出决算表</w:t>
      </w:r>
      <w:bookmarkEnd w:id="90"/>
      <w:bookmarkEnd w:id="91"/>
    </w:p>
    <w:p>
      <w:pPr>
        <w:pStyle w:val="4"/>
        <w:spacing w:line="520" w:lineRule="exact"/>
        <w:rPr>
          <w:rFonts w:ascii="Times New Roman" w:hAnsi="Times New Roman" w:eastAsia="仿宋_GB2312" w:cs="Times New Roman"/>
          <w:color w:val="000000"/>
        </w:rPr>
      </w:pPr>
      <w:bookmarkStart w:id="92" w:name="_Toc15396629"/>
      <w:bookmarkStart w:id="93" w:name="_Toc5374_WPSOffice_Level2"/>
      <w:r>
        <w:rPr>
          <w:rStyle w:val="20"/>
          <w:rFonts w:ascii="Times New Roman" w:hAnsi="Times New Roman" w:eastAsia="仿宋_GB2312" w:cs="Times New Roman"/>
          <w:b w:val="0"/>
          <w:bCs w:val="0"/>
        </w:rPr>
        <w:t>十一、</w:t>
      </w:r>
      <w:r>
        <w:rPr>
          <w:rFonts w:ascii="Times New Roman" w:hAnsi="Times New Roman" w:eastAsia="仿宋_GB2312" w:cs="Times New Roman"/>
          <w:b w:val="0"/>
          <w:bCs w:val="0"/>
          <w:color w:val="000000"/>
        </w:rPr>
        <w:t>政</w:t>
      </w:r>
      <w:r>
        <w:rPr>
          <w:rStyle w:val="20"/>
          <w:rFonts w:ascii="Times New Roman" w:hAnsi="Times New Roman" w:eastAsia="仿宋_GB2312" w:cs="Times New Roman"/>
          <w:b w:val="0"/>
          <w:bCs w:val="0"/>
        </w:rPr>
        <w:t>府性基金预算财政拨款收入支出决算表</w:t>
      </w:r>
      <w:bookmarkEnd w:id="92"/>
      <w:bookmarkEnd w:id="93"/>
    </w:p>
    <w:p>
      <w:pPr>
        <w:pStyle w:val="4"/>
        <w:spacing w:line="520" w:lineRule="exact"/>
        <w:rPr>
          <w:rFonts w:ascii="Times New Roman" w:hAnsi="Times New Roman" w:eastAsia="仿宋_GB2312" w:cs="Times New Roman"/>
          <w:color w:val="000000"/>
        </w:rPr>
      </w:pPr>
      <w:bookmarkStart w:id="94" w:name="_Toc27434_WPSOffice_Level2"/>
      <w:bookmarkStart w:id="95" w:name="_Toc15396630"/>
      <w:r>
        <w:rPr>
          <w:rStyle w:val="20"/>
          <w:rFonts w:ascii="Times New Roman" w:hAnsi="Times New Roman" w:eastAsia="仿宋_GB2312" w:cs="Times New Roman"/>
          <w:b w:val="0"/>
          <w:bCs w:val="0"/>
        </w:rPr>
        <w:t>十二、</w:t>
      </w:r>
      <w:r>
        <w:rPr>
          <w:rFonts w:ascii="Times New Roman" w:hAnsi="Times New Roman" w:eastAsia="仿宋_GB2312" w:cs="Times New Roman"/>
          <w:b w:val="0"/>
          <w:bCs w:val="0"/>
          <w:color w:val="000000"/>
        </w:rPr>
        <w:t>政</w:t>
      </w:r>
      <w:r>
        <w:rPr>
          <w:rStyle w:val="20"/>
          <w:rFonts w:ascii="Times New Roman" w:hAnsi="Times New Roman" w:eastAsia="仿宋_GB2312" w:cs="Times New Roman"/>
          <w:b w:val="0"/>
          <w:bCs w:val="0"/>
        </w:rPr>
        <w:t>府性基金预算财政拨款“三公”经费支出决算表</w:t>
      </w:r>
      <w:bookmarkEnd w:id="94"/>
      <w:bookmarkEnd w:id="95"/>
    </w:p>
    <w:p>
      <w:pPr>
        <w:pStyle w:val="4"/>
        <w:spacing w:line="520" w:lineRule="exact"/>
        <w:rPr>
          <w:rStyle w:val="20"/>
          <w:rFonts w:ascii="Times New Roman" w:hAnsi="Times New Roman" w:eastAsia="仿宋_GB2312" w:cs="Times New Roman"/>
          <w:b w:val="0"/>
          <w:bCs w:val="0"/>
        </w:rPr>
      </w:pPr>
      <w:bookmarkStart w:id="96" w:name="_Toc15396631"/>
      <w:bookmarkStart w:id="97" w:name="_Toc18962_WPSOffice_Level2"/>
      <w:r>
        <w:rPr>
          <w:rStyle w:val="20"/>
          <w:rFonts w:ascii="Times New Roman" w:hAnsi="Times New Roman" w:eastAsia="仿宋_GB2312" w:cs="Times New Roman"/>
          <w:b w:val="0"/>
          <w:bCs w:val="0"/>
        </w:rPr>
        <w:t>十三、</w:t>
      </w:r>
      <w:r>
        <w:rPr>
          <w:rFonts w:ascii="Times New Roman" w:hAnsi="Times New Roman" w:eastAsia="仿宋_GB2312" w:cs="Times New Roman"/>
          <w:b w:val="0"/>
          <w:bCs w:val="0"/>
          <w:color w:val="000000"/>
        </w:rPr>
        <w:t>国</w:t>
      </w:r>
      <w:r>
        <w:rPr>
          <w:rStyle w:val="20"/>
          <w:rFonts w:ascii="Times New Roman" w:hAnsi="Times New Roman" w:eastAsia="仿宋_GB2312" w:cs="Times New Roman"/>
          <w:b w:val="0"/>
          <w:bCs w:val="0"/>
        </w:rPr>
        <w:t>有资本经营预算财政拨款收入支出决算表</w:t>
      </w:r>
      <w:bookmarkEnd w:id="96"/>
      <w:bookmarkEnd w:id="97"/>
    </w:p>
    <w:p>
      <w:pPr>
        <w:spacing w:line="520" w:lineRule="exact"/>
        <w:rPr>
          <w:rStyle w:val="20"/>
          <w:rFonts w:ascii="Times New Roman" w:hAnsi="Times New Roman" w:eastAsia="仿宋_GB2312" w:cs="Times New Roman"/>
          <w:b w:val="0"/>
          <w:bCs w:val="0"/>
        </w:rPr>
      </w:pPr>
      <w:bookmarkStart w:id="98" w:name="_Toc1924_WPSOffice_Level2"/>
      <w:r>
        <w:rPr>
          <w:rStyle w:val="20"/>
          <w:rFonts w:ascii="Times New Roman" w:hAnsi="Times New Roman" w:eastAsia="仿宋_GB2312" w:cs="Times New Roman"/>
          <w:b w:val="0"/>
          <w:bCs w:val="0"/>
        </w:rPr>
        <w:t>十四、国有资本经营预算财政拨款支出决算表</w:t>
      </w:r>
      <w:bookmarkEnd w:id="98"/>
    </w:p>
    <w:p>
      <w:pPr>
        <w:adjustRightInd w:val="0"/>
        <w:snapToGrid w:val="0"/>
        <w:spacing w:line="520" w:lineRule="exact"/>
        <w:rPr>
          <w:rFonts w:eastAsia="仿宋_GB2312"/>
        </w:rPr>
      </w:pPr>
      <w:r>
        <w:rPr>
          <w:rFonts w:eastAsia="仿宋_GB2312"/>
          <w:sz w:val="32"/>
          <w:szCs w:val="32"/>
        </w:rPr>
        <w:t>备注：金额以元换算成万元单位，因四舍五入产生有尾差。</w:t>
      </w:r>
    </w:p>
    <w:sectPr>
      <w:footerReference r:id="rId7" w:type="first"/>
      <w:footerReference r:id="rId5" w:type="default"/>
      <w:footerReference r:id="rId6" w:type="even"/>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p>
  <w:p>
    <w:pPr>
      <w:pStyle w:val="9"/>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9</w:t>
    </w:r>
    <w:r>
      <w:rPr>
        <w:rFonts w:ascii="宋体" w:hAnsi="宋体" w:cs="宋体"/>
        <w:sz w:val="28"/>
        <w:szCs w:val="28"/>
      </w:rPr>
      <w:fldChar w:fldCharType="end"/>
    </w:r>
    <w:r>
      <w:rPr>
        <w:rFonts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10</w:t>
    </w:r>
    <w:r>
      <w:rPr>
        <w:rFonts w:ascii="宋体" w:hAnsi="宋体" w:cs="宋体"/>
        <w:sz w:val="28"/>
        <w:szCs w:val="28"/>
      </w:rPr>
      <w:fldChar w:fldCharType="end"/>
    </w:r>
    <w:r>
      <w:rPr>
        <w:rFonts w:ascii="宋体" w:hAnsi="宋体" w:cs="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2">
    <w:nsid w:val="1272550B"/>
    <w:multiLevelType w:val="multilevel"/>
    <w:tmpl w:val="1272550B"/>
    <w:lvl w:ilvl="0" w:tentative="0">
      <w:start w:val="1"/>
      <w:numFmt w:val="japaneseCounting"/>
      <w:lvlText w:val="%1、"/>
      <w:lvlJc w:val="left"/>
      <w:pPr>
        <w:ind w:left="1350" w:hanging="720"/>
      </w:pPr>
      <w:rPr>
        <w:rFonts w:hint="default"/>
        <w:b w:val="0"/>
        <w:bCs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3B"/>
    <w:rsid w:val="00051903"/>
    <w:rsid w:val="001F75EB"/>
    <w:rsid w:val="003C7FE0"/>
    <w:rsid w:val="003D5CFA"/>
    <w:rsid w:val="004722B4"/>
    <w:rsid w:val="0052012B"/>
    <w:rsid w:val="00591E3B"/>
    <w:rsid w:val="005A6C97"/>
    <w:rsid w:val="005C6C36"/>
    <w:rsid w:val="00696F0F"/>
    <w:rsid w:val="008E309C"/>
    <w:rsid w:val="009277A3"/>
    <w:rsid w:val="00956346"/>
    <w:rsid w:val="00AF489E"/>
    <w:rsid w:val="00BA7EE9"/>
    <w:rsid w:val="00C82849"/>
    <w:rsid w:val="00DB002A"/>
    <w:rsid w:val="00DC73FE"/>
    <w:rsid w:val="00E67924"/>
    <w:rsid w:val="00F06498"/>
    <w:rsid w:val="00FD5AEC"/>
    <w:rsid w:val="03C96111"/>
    <w:rsid w:val="0E6917AF"/>
    <w:rsid w:val="2945417F"/>
    <w:rsid w:val="29933F00"/>
    <w:rsid w:val="510F2F84"/>
    <w:rsid w:val="69C970E3"/>
    <w:rsid w:val="6EFE561F"/>
    <w:rsid w:val="7E65788A"/>
    <w:rsid w:val="7FEFB814"/>
    <w:rsid w:val="C7FFD3C8"/>
    <w:rsid w:val="F3BE854F"/>
    <w:rsid w:val="F7FFDE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5"/>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cs="仿宋_GB2312"/>
      <w:kern w:val="0"/>
      <w:sz w:val="24"/>
      <w:szCs w:val="24"/>
    </w:rPr>
  </w:style>
  <w:style w:type="paragraph" w:styleId="6">
    <w:name w:val="Body Text Indent"/>
    <w:basedOn w:val="1"/>
    <w:qFormat/>
    <w:uiPriority w:val="0"/>
    <w:pPr>
      <w:spacing w:after="120"/>
      <w:ind w:left="420" w:leftChars="200"/>
    </w:pPr>
  </w:style>
  <w:style w:type="paragraph" w:styleId="7">
    <w:name w:val="toc 3"/>
    <w:basedOn w:val="1"/>
    <w:next w:val="1"/>
    <w:qFormat/>
    <w:uiPriority w:val="39"/>
    <w:pPr>
      <w:tabs>
        <w:tab w:val="right" w:leader="dot" w:pos="8296"/>
      </w:tabs>
      <w:ind w:left="840" w:leftChars="400"/>
    </w:pPr>
  </w:style>
  <w:style w:type="paragraph" w:styleId="8">
    <w:name w:val="Balloon Text"/>
    <w:basedOn w:val="1"/>
    <w:link w:val="23"/>
    <w:semiHidden/>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rFonts w:ascii="Calibri" w:hAnsi="Calibri" w:cs="Calibri"/>
      <w:kern w:val="0"/>
      <w:sz w:val="18"/>
      <w:szCs w:val="18"/>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1">
    <w:name w:val="toc 1"/>
    <w:basedOn w:val="1"/>
    <w:next w:val="1"/>
    <w:qFormat/>
    <w:uiPriority w:val="39"/>
    <w:pPr>
      <w:tabs>
        <w:tab w:val="right" w:leader="dot" w:pos="8296"/>
      </w:tabs>
      <w:spacing w:before="93"/>
      <w:jc w:val="center"/>
    </w:pPr>
    <w:rPr>
      <w:rFonts w:ascii="仿宋" w:hAnsi="仿宋" w:eastAsia="仿宋" w:cs="仿宋"/>
      <w:sz w:val="28"/>
      <w:szCs w:val="28"/>
    </w:rPr>
  </w:style>
  <w:style w:type="paragraph" w:styleId="12">
    <w:name w:val="table of figures"/>
    <w:basedOn w:val="1"/>
    <w:next w:val="1"/>
    <w:semiHidden/>
    <w:qFormat/>
    <w:uiPriority w:val="99"/>
    <w:pPr>
      <w:ind w:left="200" w:leftChars="200" w:hanging="200" w:hangingChars="200"/>
    </w:pPr>
    <w:rPr>
      <w:rFonts w:eastAsia="方正仿宋_GBK"/>
      <w:sz w:val="32"/>
      <w:szCs w:val="32"/>
    </w:rPr>
  </w:style>
  <w:style w:type="paragraph" w:styleId="13">
    <w:name w:val="toc 2"/>
    <w:basedOn w:val="1"/>
    <w:next w:val="1"/>
    <w:qFormat/>
    <w:uiPriority w:val="39"/>
    <w:pPr>
      <w:tabs>
        <w:tab w:val="right" w:leader="dot" w:pos="8296"/>
      </w:tabs>
      <w:ind w:left="420" w:leftChars="200"/>
    </w:pPr>
  </w:style>
  <w:style w:type="paragraph" w:styleId="14">
    <w:name w:val="Body Text First Indent 2"/>
    <w:basedOn w:val="6"/>
    <w:qFormat/>
    <w:uiPriority w:val="0"/>
    <w:pPr>
      <w:spacing w:after="0"/>
      <w:ind w:left="0" w:leftChars="0" w:firstLine="420" w:firstLineChars="200"/>
    </w:pPr>
    <w:rPr>
      <w:rFonts w:ascii="Calibri" w:hAnsi="Calibri" w:eastAsia="仿宋_GB2312"/>
      <w:sz w:val="32"/>
    </w:rPr>
  </w:style>
  <w:style w:type="character" w:styleId="17">
    <w:name w:val="Strong"/>
    <w:basedOn w:val="16"/>
    <w:qFormat/>
    <w:uiPriority w:val="99"/>
    <w:rPr>
      <w:b/>
      <w:bCs/>
    </w:rPr>
  </w:style>
  <w:style w:type="character" w:styleId="18">
    <w:name w:val="Hyperlink"/>
    <w:basedOn w:val="16"/>
    <w:qFormat/>
    <w:uiPriority w:val="99"/>
    <w:rPr>
      <w:color w:val="0000FF"/>
      <w:u w:val="single"/>
    </w:rPr>
  </w:style>
  <w:style w:type="character" w:customStyle="1" w:styleId="19">
    <w:name w:val="Heading 1 Char"/>
    <w:basedOn w:val="16"/>
    <w:qFormat/>
    <w:locked/>
    <w:uiPriority w:val="99"/>
    <w:rPr>
      <w:rFonts w:ascii="Times New Roman" w:hAnsi="Times New Roman" w:cs="Times New Roman"/>
      <w:b/>
      <w:bCs/>
      <w:kern w:val="44"/>
      <w:sz w:val="44"/>
      <w:szCs w:val="44"/>
    </w:rPr>
  </w:style>
  <w:style w:type="character" w:customStyle="1" w:styleId="20">
    <w:name w:val="标题 2 字符"/>
    <w:basedOn w:val="16"/>
    <w:link w:val="4"/>
    <w:qFormat/>
    <w:locked/>
    <w:uiPriority w:val="99"/>
    <w:rPr>
      <w:rFonts w:ascii="Cambria" w:hAnsi="Cambria" w:eastAsia="宋体" w:cs="Cambria"/>
      <w:b/>
      <w:bCs/>
      <w:kern w:val="2"/>
      <w:sz w:val="32"/>
      <w:szCs w:val="32"/>
    </w:rPr>
  </w:style>
  <w:style w:type="character" w:customStyle="1" w:styleId="21">
    <w:name w:val="标题 3 字符"/>
    <w:basedOn w:val="16"/>
    <w:link w:val="5"/>
    <w:qFormat/>
    <w:locked/>
    <w:uiPriority w:val="99"/>
    <w:rPr>
      <w:rFonts w:ascii="Times New Roman" w:hAnsi="Times New Roman" w:cs="Times New Roman"/>
      <w:b/>
      <w:bCs/>
      <w:kern w:val="2"/>
      <w:sz w:val="32"/>
      <w:szCs w:val="32"/>
    </w:rPr>
  </w:style>
  <w:style w:type="character" w:customStyle="1" w:styleId="22">
    <w:name w:val="Body Text Char"/>
    <w:basedOn w:val="16"/>
    <w:semiHidden/>
    <w:qFormat/>
    <w:uiPriority w:val="99"/>
    <w:rPr>
      <w:rFonts w:ascii="Times New Roman" w:hAnsi="Times New Roman" w:cs="Times New Roman"/>
      <w:sz w:val="24"/>
      <w:szCs w:val="24"/>
    </w:rPr>
  </w:style>
  <w:style w:type="character" w:customStyle="1" w:styleId="23">
    <w:name w:val="批注框文本 字符"/>
    <w:basedOn w:val="16"/>
    <w:link w:val="8"/>
    <w:semiHidden/>
    <w:qFormat/>
    <w:locked/>
    <w:uiPriority w:val="99"/>
    <w:rPr>
      <w:rFonts w:ascii="Times New Roman" w:hAnsi="Times New Roman" w:cs="Times New Roman"/>
      <w:kern w:val="2"/>
      <w:sz w:val="18"/>
      <w:szCs w:val="18"/>
    </w:rPr>
  </w:style>
  <w:style w:type="character" w:customStyle="1" w:styleId="24">
    <w:name w:val="Footer Char"/>
    <w:basedOn w:val="16"/>
    <w:semiHidden/>
    <w:qFormat/>
    <w:uiPriority w:val="99"/>
    <w:rPr>
      <w:rFonts w:ascii="Times New Roman" w:hAnsi="Times New Roman" w:cs="Times New Roman"/>
      <w:sz w:val="18"/>
      <w:szCs w:val="18"/>
    </w:rPr>
  </w:style>
  <w:style w:type="character" w:customStyle="1" w:styleId="25">
    <w:name w:val="Header Char"/>
    <w:basedOn w:val="16"/>
    <w:semiHidden/>
    <w:qFormat/>
    <w:uiPriority w:val="99"/>
    <w:rPr>
      <w:rFonts w:ascii="Times New Roman" w:hAnsi="Times New Roman" w:cs="Times New Roman"/>
      <w:sz w:val="18"/>
      <w:szCs w:val="18"/>
    </w:rPr>
  </w:style>
  <w:style w:type="character" w:customStyle="1" w:styleId="26">
    <w:name w:val="页眉 字符"/>
    <w:link w:val="10"/>
    <w:semiHidden/>
    <w:qFormat/>
    <w:locked/>
    <w:uiPriority w:val="99"/>
    <w:rPr>
      <w:sz w:val="18"/>
      <w:szCs w:val="18"/>
    </w:rPr>
  </w:style>
  <w:style w:type="character" w:customStyle="1" w:styleId="27">
    <w:name w:val="页脚 字符"/>
    <w:link w:val="9"/>
    <w:qFormat/>
    <w:locked/>
    <w:uiPriority w:val="99"/>
    <w:rPr>
      <w:sz w:val="18"/>
      <w:szCs w:val="18"/>
    </w:rPr>
  </w:style>
  <w:style w:type="character" w:customStyle="1" w:styleId="28">
    <w:name w:val="正文文本 字符"/>
    <w:link w:val="2"/>
    <w:qFormat/>
    <w:locked/>
    <w:uiPriority w:val="99"/>
    <w:rPr>
      <w:rFonts w:ascii="仿宋_GB2312" w:hAnsi="Times New Roman" w:eastAsia="仿宋_GB2312" w:cs="仿宋_GB2312"/>
      <w:sz w:val="24"/>
      <w:szCs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列表段落1"/>
    <w:basedOn w:val="1"/>
    <w:qFormat/>
    <w:uiPriority w:val="99"/>
    <w:pPr>
      <w:ind w:firstLine="420" w:firstLineChars="200"/>
    </w:pPr>
  </w:style>
  <w:style w:type="paragraph" w:customStyle="1" w:styleId="31">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2">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3">
    <w:name w:val="WPSOffice手动目录 1"/>
    <w:qFormat/>
    <w:uiPriority w:val="99"/>
    <w:rPr>
      <w:rFonts w:ascii="Calibri" w:hAnsi="Calibri" w:eastAsia="宋体" w:cs="Calibri"/>
      <w:lang w:val="en-US" w:eastAsia="zh-CN" w:bidi="ar-SA"/>
    </w:rPr>
  </w:style>
  <w:style w:type="paragraph" w:customStyle="1" w:styleId="34">
    <w:name w:val="WPSOffice手动目录 2"/>
    <w:qFormat/>
    <w:uiPriority w:val="99"/>
    <w:pPr>
      <w:ind w:left="200" w:leftChars="200"/>
    </w:pPr>
    <w:rPr>
      <w:rFonts w:ascii="Calibri" w:hAnsi="Calibri" w:eastAsia="宋体" w:cs="Calibri"/>
      <w:lang w:val="en-US" w:eastAsia="zh-CN" w:bidi="ar-SA"/>
    </w:rPr>
  </w:style>
  <w:style w:type="character" w:customStyle="1" w:styleId="35">
    <w:name w:val="标题 1 字符"/>
    <w:basedOn w:val="16"/>
    <w:link w:val="3"/>
    <w:qFormat/>
    <w:locked/>
    <w:uiPriority w:val="99"/>
    <w:rPr>
      <w:rFonts w:ascii="Times New Roman" w:hAnsi="Times New Roman" w:cs="Times New Roman"/>
      <w:b/>
      <w:bCs/>
      <w:kern w:val="44"/>
      <w:sz w:val="44"/>
      <w:szCs w:val="44"/>
    </w:rPr>
  </w:style>
  <w:style w:type="paragraph" w:customStyle="1" w:styleId="36">
    <w:name w:val="修订1"/>
    <w:hidden/>
    <w:semiHidden/>
    <w:qFormat/>
    <w:uiPriority w:val="99"/>
    <w:rPr>
      <w:rFonts w:ascii="Times New Roman" w:hAnsi="Times New Roman" w:eastAsia="宋体" w:cs="Times New Roman"/>
      <w:kern w:val="2"/>
      <w:sz w:val="21"/>
      <w:szCs w:val="21"/>
      <w:lang w:val="en-US" w:eastAsia="zh-CN" w:bidi="ar-SA"/>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nhbz\Desktop\&#36861;&#21152;&#32463;&#3615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nhbz\Desktop\&#36861;&#21152;&#32463;&#3615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nhbz\Desktop\&#36861;&#21152;&#32463;&#3615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nhbz\Desktop\&#36861;&#21152;&#32463;&#3615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nhbz\Desktop\&#36861;&#21152;&#32463;&#3615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nhbz\Desktop\&#36861;&#21152;&#32463;&#361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74444444444444"/>
          <c:y val="0.0474537037037037"/>
          <c:w val="0.882"/>
          <c:h val="0.83712962962963"/>
        </c:manualLayout>
      </c:layout>
      <c:barChart>
        <c:barDir val="col"/>
        <c:grouping val="clustered"/>
        <c:varyColors val="false"/>
        <c:ser>
          <c:idx val="0"/>
          <c:order val="0"/>
          <c:tx>
            <c:strRef>
              <c:f>[追加经费.xlsx]Sheet2!$B$1</c:f>
              <c:strCache>
                <c:ptCount val="1"/>
                <c:pt idx="0">
                  <c:v>预算</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425.19</a:t>
                    </a:r>
                    <a:r>
                      <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万元</a:t>
                    </a:r>
                    <a:endPar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3496.63</a:t>
                    </a:r>
                    <a:r>
                      <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万元</a:t>
                    </a:r>
                    <a:endPar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[追加经费.xlsx]Sheet2!$A$2:$A$3</c:f>
              <c:numCache>
                <c:formatCode>General</c:formatCode>
                <c:ptCount val="2"/>
                <c:pt idx="0">
                  <c:v>2020</c:v>
                </c:pt>
                <c:pt idx="1">
                  <c:v>2021</c:v>
                </c:pt>
              </c:numCache>
            </c:numRef>
          </c:cat>
          <c:val>
            <c:numRef>
              <c:f>[追加经费.xlsx]Sheet2!$B$2:$B$3</c:f>
              <c:numCache>
                <c:formatCode>General</c:formatCode>
                <c:ptCount val="2"/>
                <c:pt idx="0">
                  <c:v>425.19</c:v>
                </c:pt>
                <c:pt idx="1">
                  <c:v>3496.63</c:v>
                </c:pt>
              </c:numCache>
            </c:numRef>
          </c:val>
        </c:ser>
        <c:dLbls>
          <c:showLegendKey val="false"/>
          <c:showVal val="true"/>
          <c:showCatName val="false"/>
          <c:showSerName val="false"/>
          <c:showPercent val="false"/>
          <c:showBubbleSize val="false"/>
        </c:dLbls>
        <c:gapWidth val="150"/>
        <c:axId val="101251503"/>
        <c:axId val="318328943"/>
      </c:barChart>
      <c:catAx>
        <c:axId val="101251503"/>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8328943"/>
        <c:crosses val="autoZero"/>
        <c:auto val="true"/>
        <c:lblAlgn val="ctr"/>
        <c:lblOffset val="100"/>
        <c:noMultiLvlLbl val="false"/>
      </c:catAx>
      <c:valAx>
        <c:axId val="31832894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0125150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9.79</a:t>
                    </a:r>
                    <a:r>
                      <a:rPr lang="en-US">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ctr"/>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90.21%</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ctr"/>
              <c:showLegendKey val="false"/>
              <c:showVal val="false"/>
              <c:showCatName val="false"/>
              <c:showSerName val="false"/>
              <c:showPercent val="true"/>
              <c:showBubbleSize val="false"/>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[追加经费.xlsx]Sheet2!$A$7:$A$8</c:f>
              <c:strCache>
                <c:ptCount val="2"/>
                <c:pt idx="0">
                  <c:v>基本支出</c:v>
                </c:pt>
                <c:pt idx="1">
                  <c:v>项目支出</c:v>
                </c:pt>
              </c:strCache>
            </c:strRef>
          </c:cat>
          <c:val>
            <c:numRef>
              <c:f>[追加经费.xlsx]Sheet2!$B$7:$B$8</c:f>
              <c:numCache>
                <c:formatCode>0.00_ </c:formatCode>
                <c:ptCount val="2"/>
                <c:pt idx="0">
                  <c:v>342.39</c:v>
                </c:pt>
                <c:pt idx="1">
                  <c:v>3154.24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59981197116891"/>
          <c:y val="0.392815533980582"/>
        </c:manualLayout>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74444444444444"/>
          <c:y val="0.0474537037037037"/>
          <c:w val="0.882"/>
          <c:h val="0.83712962962963"/>
        </c:manualLayout>
      </c:layout>
      <c:barChart>
        <c:barDir val="col"/>
        <c:grouping val="clustered"/>
        <c:varyColors val="false"/>
        <c:ser>
          <c:idx val="0"/>
          <c:order val="0"/>
          <c:tx>
            <c:strRef>
              <c:f>[追加经费.xlsx]Sheet2!$B$1</c:f>
              <c:strCache>
                <c:ptCount val="1"/>
                <c:pt idx="0">
                  <c:v>预算</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425.19</a:t>
                    </a:r>
                    <a:r>
                      <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万元</a:t>
                    </a:r>
                    <a:endPar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3496.63</a:t>
                    </a:r>
                    <a:r>
                      <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万元</a:t>
                    </a:r>
                    <a:endPar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false"/>
            <c:dispEq val="false"/>
          </c:trendline>
          <c:trendline>
            <c:spPr>
              <a:ln w="19050" cap="rnd">
                <a:solidFill>
                  <a:schemeClr val="accent1"/>
                </a:solidFill>
                <a:prstDash val="sysDot"/>
              </a:ln>
              <a:effectLst/>
            </c:spPr>
            <c:trendlineType val="linear"/>
            <c:dispRSqr val="false"/>
            <c:dispEq val="false"/>
          </c:trendline>
          <c:cat>
            <c:numRef>
              <c:f>[追加经费.xlsx]Sheet2!$A$2:$A$3</c:f>
              <c:numCache>
                <c:formatCode>General</c:formatCode>
                <c:ptCount val="2"/>
                <c:pt idx="0">
                  <c:v>2020</c:v>
                </c:pt>
                <c:pt idx="1">
                  <c:v>2021</c:v>
                </c:pt>
              </c:numCache>
            </c:numRef>
          </c:cat>
          <c:val>
            <c:numRef>
              <c:f>[追加经费.xlsx]Sheet2!$B$2:$B$3</c:f>
              <c:numCache>
                <c:formatCode>General</c:formatCode>
                <c:ptCount val="2"/>
                <c:pt idx="0">
                  <c:v>425.19</c:v>
                </c:pt>
                <c:pt idx="1">
                  <c:v>3496.63</c:v>
                </c:pt>
              </c:numCache>
            </c:numRef>
          </c:val>
        </c:ser>
        <c:dLbls>
          <c:showLegendKey val="false"/>
          <c:showVal val="true"/>
          <c:showCatName val="false"/>
          <c:showSerName val="false"/>
          <c:showPercent val="false"/>
          <c:showBubbleSize val="false"/>
        </c:dLbls>
        <c:gapWidth val="150"/>
        <c:axId val="101251503"/>
        <c:axId val="318328943"/>
      </c:barChart>
      <c:catAx>
        <c:axId val="101251503"/>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8328943"/>
        <c:crosses val="autoZero"/>
        <c:auto val="true"/>
        <c:lblAlgn val="ctr"/>
        <c:lblOffset val="100"/>
        <c:noMultiLvlLbl val="false"/>
      </c:catAx>
      <c:valAx>
        <c:axId val="31832894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0125150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74444444444444"/>
          <c:y val="0.0474537037037037"/>
          <c:w val="0.882"/>
          <c:h val="0.83712962962963"/>
        </c:manualLayout>
      </c:layout>
      <c:barChart>
        <c:barDir val="col"/>
        <c:grouping val="clustered"/>
        <c:varyColors val="false"/>
        <c:ser>
          <c:idx val="0"/>
          <c:order val="0"/>
          <c:tx>
            <c:strRef>
              <c:f>[追加经费.xlsx]Sheet2!$B$1</c:f>
              <c:strCache>
                <c:ptCount val="1"/>
                <c:pt idx="0">
                  <c:v>预算</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425.19</a:t>
                    </a:r>
                    <a:r>
                      <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万元</a:t>
                    </a:r>
                    <a:endPar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3496.63</a:t>
                    </a:r>
                    <a:r>
                      <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万元</a:t>
                    </a:r>
                    <a:endParaRPr lang="zh-CN" alt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false"/>
            <c:dispEq val="false"/>
          </c:trendline>
          <c:trendline>
            <c:spPr>
              <a:ln w="19050" cap="rnd">
                <a:solidFill>
                  <a:schemeClr val="accent1"/>
                </a:solidFill>
                <a:prstDash val="sysDot"/>
              </a:ln>
              <a:effectLst/>
            </c:spPr>
            <c:trendlineType val="linear"/>
            <c:dispRSqr val="false"/>
            <c:dispEq val="false"/>
          </c:trendline>
          <c:cat>
            <c:numRef>
              <c:f>[追加经费.xlsx]Sheet2!$A$2:$A$3</c:f>
              <c:numCache>
                <c:formatCode>General</c:formatCode>
                <c:ptCount val="2"/>
                <c:pt idx="0">
                  <c:v>2020</c:v>
                </c:pt>
                <c:pt idx="1">
                  <c:v>2021</c:v>
                </c:pt>
              </c:numCache>
            </c:numRef>
          </c:cat>
          <c:val>
            <c:numRef>
              <c:f>[追加经费.xlsx]Sheet2!$B$2:$B$3</c:f>
              <c:numCache>
                <c:formatCode>General</c:formatCode>
                <c:ptCount val="2"/>
                <c:pt idx="0">
                  <c:v>425.19</c:v>
                </c:pt>
                <c:pt idx="1">
                  <c:v>3496.63</c:v>
                </c:pt>
              </c:numCache>
            </c:numRef>
          </c:val>
        </c:ser>
        <c:dLbls>
          <c:showLegendKey val="false"/>
          <c:showVal val="true"/>
          <c:showCatName val="false"/>
          <c:showSerName val="false"/>
          <c:showPercent val="false"/>
          <c:showBubbleSize val="false"/>
        </c:dLbls>
        <c:gapWidth val="150"/>
        <c:axId val="101251503"/>
        <c:axId val="318328943"/>
      </c:barChart>
      <c:catAx>
        <c:axId val="101251503"/>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8328943"/>
        <c:crosses val="autoZero"/>
        <c:auto val="true"/>
        <c:lblAlgn val="ctr"/>
        <c:lblOffset val="100"/>
        <c:noMultiLvlLbl val="false"/>
      </c:catAx>
      <c:valAx>
        <c:axId val="31832894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01251503"/>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Pt>
            <c:idx val="3"/>
            <c:bubble3D val="false"/>
            <c:spPr>
              <a:solidFill>
                <a:schemeClr val="accent4"/>
              </a:solidFill>
              <a:ln>
                <a:noFill/>
              </a:ln>
              <a:effectLst>
                <a:outerShdw blurRad="254000" sx="102000" sy="102000" algn="ctr" rotWithShape="0">
                  <a:prstClr val="black">
                    <a:alpha val="20000"/>
                  </a:prstClr>
                </a:outerShdw>
              </a:effectLst>
            </c:spPr>
          </c:dPt>
          <c:dLbls>
            <c:dLbl>
              <c:idx val="0"/>
              <c:layout>
                <c:manualLayout>
                  <c:x val="0.00302692593883027"/>
                  <c:y val="0.271126925277961"/>
                </c:manualLayout>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0.13%</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0557706154109038"/>
                  <c:y val="-0.28345061367334"/>
                </c:manualLayout>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98.43%</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638808518838423"/>
                  <c:y val="0.12702337172185"/>
                </c:manualLayout>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0.88</a:t>
                    </a:r>
                    <a:r>
                      <a:rPr lang="en-US">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manualLayout>
                      <c:w val="0.148840105869531"/>
                      <c:h val="0.0803251255080086"/>
                    </c:manualLayout>
                  </c15:layout>
                </c:ext>
              </c:extLst>
            </c:dLbl>
            <c:dLbl>
              <c:idx val="3"/>
              <c:layout>
                <c:manualLayout>
                  <c:x val="-0.0576623447283641"/>
                  <c:y val="0.0657595834337664"/>
                </c:manualLayout>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0.56</a:t>
                    </a:r>
                    <a:r>
                      <a:rPr lang="en-US">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[追加经费.xlsx]Sheet2!$A$11:$A$14</c:f>
              <c:strCache>
                <c:ptCount val="4"/>
                <c:pt idx="0">
                  <c:v>教育（类）支出</c:v>
                </c:pt>
                <c:pt idx="1">
                  <c:v>社会保障和就业（类）支出</c:v>
                </c:pt>
                <c:pt idx="2">
                  <c:v>卫生健康（类）支出</c:v>
                </c:pt>
                <c:pt idx="3">
                  <c:v>住房保障（类）支出</c:v>
                </c:pt>
              </c:strCache>
            </c:strRef>
          </c:cat>
          <c:val>
            <c:numRef>
              <c:f>[追加经费.xlsx]Sheet2!$B$11:$B$14</c:f>
              <c:numCache>
                <c:formatCode>General</c:formatCode>
                <c:ptCount val="4"/>
                <c:pt idx="0">
                  <c:v>4.6</c:v>
                </c:pt>
                <c:pt idx="1">
                  <c:v>3441.5</c:v>
                </c:pt>
                <c:pt idx="2">
                  <c:v>19.75</c:v>
                </c:pt>
                <c:pt idx="3">
                  <c:v>30.78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95.30</a:t>
                    </a:r>
                    <a:r>
                      <a:rPr lang="en-US">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ctr"/>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4.70</a:t>
                    </a:r>
                    <a:r>
                      <a:rPr lang="en-US">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ctr"/>
              <c:showLegendKey val="false"/>
              <c:showVal val="false"/>
              <c:showCatName val="false"/>
              <c:showSerName val="false"/>
              <c:showPercent val="true"/>
              <c:showBubbleSize val="false"/>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[追加经费.xlsx]Sheet2!$A$19:$A$20</c:f>
              <c:strCache>
                <c:ptCount val="2"/>
                <c:pt idx="0">
                  <c:v>公务用车购置及运行维护费支出</c:v>
                </c:pt>
                <c:pt idx="1">
                  <c:v>公务接待费支出</c:v>
                </c:pt>
              </c:strCache>
            </c:strRef>
          </c:cat>
          <c:val>
            <c:numRef>
              <c:f>[追加经费.xlsx]Sheet2!$B$19:$B$20</c:f>
              <c:numCache>
                <c:formatCode>General</c:formatCode>
                <c:ptCount val="2"/>
                <c:pt idx="0">
                  <c:v>3.65</c:v>
                </c:pt>
                <c:pt idx="1">
                  <c:v>0.18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1196</Words>
  <Characters>6818</Characters>
  <Lines>56</Lines>
  <Paragraphs>15</Paragraphs>
  <TotalTime>0</TotalTime>
  <ScaleCrop>false</ScaleCrop>
  <LinksUpToDate>false</LinksUpToDate>
  <CharactersWithSpaces>7999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2022-09-07T22:25:00Z</dcterms:created>
  <dc:creator>曹颖</dc:creator>
  <cp:lastModifiedBy>user</cp:lastModifiedBy>
  <cp:lastPrinted>2021-09-10T23:51:00Z</cp:lastPrinted>
  <dcterms:modified xsi:type="dcterms:W3CDTF">2022-11-14T11:22:13Z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30FB44BFC1EB8176FCFF1663550A17DD</vt:lpwstr>
  </property>
</Properties>
</file>