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ascii="方正小标宋简体" w:hAnsi="宋体" w:eastAsia="方正小标宋简体"/>
          <w:sz w:val="72"/>
          <w:szCs w:val="72"/>
        </w:rPr>
      </w:pPr>
      <w:bookmarkStart w:id="1" w:name="_Toc15377425"/>
      <w:bookmarkStart w:id="2" w:name="_Toc15378441"/>
      <w:bookmarkStart w:id="3" w:name="_Toc15396475"/>
      <w:bookmarkStart w:id="4" w:name="_Toc15396597"/>
      <w:bookmarkStart w:id="5" w:name="_Toc81667021"/>
      <w:bookmarkStart w:id="6" w:name="_Toc15377193"/>
      <w:r>
        <w:rPr>
          <w:rFonts w:ascii="方正小标宋简体" w:hAnsi="宋体" w:eastAsia="方正小标宋简体" w:cs="方正小标宋简体"/>
          <w:sz w:val="72"/>
          <w:szCs w:val="72"/>
        </w:rPr>
        <w:t>2020</w:t>
      </w:r>
      <w:r>
        <w:rPr>
          <w:rFonts w:hint="eastAsia" w:ascii="方正小标宋简体" w:hAnsi="宋体" w:eastAsia="方正小标宋简体" w:cs="方正小标宋简体"/>
          <w:sz w:val="72"/>
          <w:szCs w:val="72"/>
        </w:rPr>
        <w:t>年度</w:t>
      </w:r>
      <w:bookmarkEnd w:id="1"/>
      <w:bookmarkEnd w:id="2"/>
      <w:bookmarkEnd w:id="3"/>
      <w:bookmarkEnd w:id="4"/>
      <w:bookmarkEnd w:id="5"/>
      <w:bookmarkEnd w:id="6"/>
    </w:p>
    <w:p>
      <w:pPr>
        <w:adjustRightInd w:val="0"/>
        <w:snapToGrid w:val="0"/>
        <w:spacing w:line="1000" w:lineRule="exact"/>
        <w:jc w:val="center"/>
        <w:outlineLvl w:val="0"/>
        <w:rPr>
          <w:rFonts w:ascii="方正小标宋简体" w:hAnsi="宋体" w:eastAsia="方正小标宋简体"/>
          <w:color w:val="000000"/>
          <w:sz w:val="72"/>
          <w:szCs w:val="72"/>
        </w:rPr>
      </w:pPr>
      <w:bookmarkStart w:id="7" w:name="_Toc81667022"/>
      <w:bookmarkStart w:id="8" w:name="_Toc15378442"/>
      <w:bookmarkStart w:id="9" w:name="_Toc15377426"/>
      <w:bookmarkStart w:id="10" w:name="_Toc15396598"/>
      <w:bookmarkStart w:id="11" w:name="_Toc15396476"/>
      <w:bookmarkStart w:id="12" w:name="_Toc15377194"/>
      <w:r>
        <w:rPr>
          <w:rFonts w:hint="eastAsia" w:ascii="方正小标宋简体" w:hAnsi="宋体" w:eastAsia="方正小标宋简体" w:cs="方正小标宋简体"/>
          <w:sz w:val="72"/>
          <w:szCs w:val="72"/>
        </w:rPr>
        <w:t>四</w:t>
      </w:r>
      <w:r>
        <w:rPr>
          <w:rFonts w:hint="eastAsia" w:ascii="方正小标宋简体" w:hAnsi="宋体" w:eastAsia="方正小标宋简体" w:cs="方正小标宋简体"/>
          <w:spacing w:val="-18"/>
          <w:sz w:val="72"/>
          <w:szCs w:val="72"/>
        </w:rPr>
        <w:t>川省</w:t>
      </w:r>
      <w:bookmarkEnd w:id="0"/>
      <w:bookmarkStart w:id="13" w:name="_Toc15306268"/>
      <w:r>
        <w:rPr>
          <w:rFonts w:hint="eastAsia" w:ascii="方正小标宋简体" w:hAnsi="宋体" w:eastAsia="方正小标宋简体" w:cs="方正小标宋简体"/>
          <w:color w:val="000000"/>
          <w:spacing w:val="-18"/>
          <w:sz w:val="72"/>
          <w:szCs w:val="72"/>
        </w:rPr>
        <w:t>人力资源和社会</w:t>
      </w:r>
      <w:bookmarkEnd w:id="7"/>
      <w:bookmarkStart w:id="14" w:name="_Toc81667023"/>
      <w:r>
        <w:rPr>
          <w:rFonts w:hint="eastAsia" w:ascii="方正小标宋简体" w:hAnsi="宋体" w:eastAsia="方正小标宋简体" w:cs="方正小标宋简体"/>
          <w:color w:val="000000"/>
          <w:spacing w:val="-18"/>
          <w:sz w:val="72"/>
          <w:szCs w:val="72"/>
        </w:rPr>
        <w:t>保障</w:t>
      </w:r>
      <w:r>
        <w:rPr>
          <w:rFonts w:hint="eastAsia" w:ascii="方正小标宋简体" w:hAnsi="宋体" w:eastAsia="方正小标宋简体" w:cs="方正小标宋简体"/>
          <w:color w:val="000000"/>
          <w:sz w:val="72"/>
          <w:szCs w:val="72"/>
        </w:rPr>
        <w:t>厅机关服务中心</w:t>
      </w:r>
      <w:bookmarkEnd w:id="14"/>
    </w:p>
    <w:p>
      <w:pPr>
        <w:adjustRightInd w:val="0"/>
        <w:snapToGrid w:val="0"/>
        <w:spacing w:line="1000" w:lineRule="exact"/>
        <w:jc w:val="center"/>
        <w:outlineLvl w:val="0"/>
        <w:rPr>
          <w:rFonts w:ascii="方正小标宋简体" w:hAnsi="宋体" w:eastAsia="方正小标宋简体"/>
          <w:sz w:val="72"/>
          <w:szCs w:val="72"/>
        </w:rPr>
      </w:pPr>
      <w:bookmarkStart w:id="15" w:name="_Toc81667024"/>
      <w:r>
        <w:rPr>
          <w:rFonts w:hint="eastAsia" w:ascii="方正小标宋简体" w:hAnsi="宋体" w:eastAsia="方正小标宋简体" w:cs="方正小标宋简体"/>
          <w:sz w:val="72"/>
          <w:szCs w:val="72"/>
        </w:rPr>
        <w:t>单位决算</w:t>
      </w:r>
      <w:bookmarkEnd w:id="8"/>
      <w:bookmarkEnd w:id="9"/>
      <w:bookmarkEnd w:id="10"/>
      <w:bookmarkEnd w:id="11"/>
      <w:bookmarkEnd w:id="12"/>
      <w:bookmarkEnd w:id="13"/>
      <w:bookmarkEnd w:id="15"/>
    </w:p>
    <w:p>
      <w:pPr>
        <w:adjustRightInd w:val="0"/>
        <w:snapToGrid w:val="0"/>
        <w:spacing w:line="1000" w:lineRule="exact"/>
        <w:jc w:val="center"/>
        <w:outlineLvl w:val="0"/>
        <w:rPr>
          <w:rFonts w:ascii="黑体" w:hAnsi="黑体" w:eastAsia="黑体"/>
          <w:sz w:val="44"/>
          <w:szCs w:val="44"/>
        </w:rPr>
      </w:pPr>
      <w:r>
        <w:rPr>
          <w:rFonts w:ascii="方正小标宋简体" w:hAnsi="宋体" w:eastAsia="方正小标宋简体"/>
          <w:sz w:val="72"/>
          <w:szCs w:val="72"/>
        </w:rPr>
        <w:br w:type="column"/>
      </w:r>
      <w:r>
        <w:rPr>
          <w:rFonts w:hint="eastAsia" w:ascii="黑体" w:hAnsi="黑体" w:eastAsia="黑体" w:cs="黑体"/>
          <w:sz w:val="44"/>
          <w:szCs w:val="44"/>
          <w:lang w:val="zh-CN"/>
        </w:rPr>
        <w:t>目录</w:t>
      </w:r>
    </w:p>
    <w:p>
      <w:pPr>
        <w:pStyle w:val="10"/>
        <w:rPr>
          <w:rStyle w:val="16"/>
          <w:rFonts w:cs="Times New Roman"/>
          <w:b w:val="0"/>
          <w:bCs w:val="0"/>
          <w:u w:val="none"/>
        </w:rPr>
      </w:pPr>
      <w:r>
        <w:fldChar w:fldCharType="begin"/>
      </w:r>
      <w:r>
        <w:instrText xml:space="preserve"> TOC \o "1-3" \h \z \u </w:instrText>
      </w:r>
      <w:r>
        <w:fldChar w:fldCharType="separate"/>
      </w:r>
    </w:p>
    <w:p>
      <w:pPr>
        <w:pStyle w:val="10"/>
        <w:rPr>
          <w:rFonts w:cs="Times New Roman"/>
        </w:rPr>
      </w:pPr>
      <w:r>
        <w:rPr>
          <w:rFonts w:hint="eastAsia"/>
        </w:rPr>
        <w:t>公开时间：</w:t>
      </w:r>
      <w:r>
        <w:t>2021</w:t>
      </w:r>
      <w:r>
        <w:rPr>
          <w:rFonts w:hint="eastAsia"/>
        </w:rPr>
        <w:t>年</w:t>
      </w:r>
      <w:r>
        <w:t>9</w:t>
      </w:r>
      <w:r>
        <w:rPr>
          <w:rFonts w:hint="eastAsia"/>
        </w:rPr>
        <w:t>月</w:t>
      </w:r>
      <w:r>
        <w:t>10</w:t>
      </w:r>
      <w:r>
        <w:rPr>
          <w:rFonts w:hint="eastAsia"/>
        </w:rPr>
        <w:t>日</w:t>
      </w:r>
    </w:p>
    <w:p>
      <w:pPr>
        <w:pStyle w:val="10"/>
        <w:rPr>
          <w:rFonts w:cs="Times New Roman"/>
        </w:rPr>
      </w:pPr>
      <w:r>
        <w:fldChar w:fldCharType="begin"/>
      </w:r>
      <w:r>
        <w:instrText xml:space="preserve"> HYPERLINK \l "_Toc81667025" </w:instrText>
      </w:r>
      <w:r>
        <w:fldChar w:fldCharType="separate"/>
      </w:r>
      <w:r>
        <w:rPr>
          <w:rStyle w:val="16"/>
          <w:rFonts w:hint="eastAsia"/>
        </w:rPr>
        <w:t>第一部分</w:t>
      </w:r>
      <w:r>
        <w:rPr>
          <w:rStyle w:val="16"/>
        </w:rPr>
        <w:t xml:space="preserve"> </w:t>
      </w:r>
      <w:r>
        <w:rPr>
          <w:rStyle w:val="16"/>
          <w:rFonts w:hint="eastAsia"/>
        </w:rPr>
        <w:t>单位概况</w:t>
      </w:r>
      <w:r>
        <w:rPr>
          <w:rFonts w:cs="Times New Roman"/>
        </w:rPr>
        <w:tab/>
      </w:r>
      <w:r>
        <w:fldChar w:fldCharType="begin"/>
      </w:r>
      <w:r>
        <w:instrText xml:space="preserve"> PAGEREF _Toc81667025 \h </w:instrText>
      </w:r>
      <w:r>
        <w:fldChar w:fldCharType="separate"/>
      </w:r>
      <w:r>
        <w:t>1</w:t>
      </w:r>
      <w:r>
        <w:fldChar w:fldCharType="end"/>
      </w:r>
      <w:r>
        <w:fldChar w:fldCharType="end"/>
      </w:r>
    </w:p>
    <w:p>
      <w:pPr>
        <w:pStyle w:val="12"/>
        <w:ind w:left="31680"/>
        <w:rPr>
          <w:rFonts w:ascii="仿宋" w:hAnsi="仿宋" w:eastAsia="仿宋"/>
          <w:sz w:val="28"/>
          <w:szCs w:val="28"/>
        </w:rPr>
      </w:pPr>
      <w:r>
        <w:fldChar w:fldCharType="begin"/>
      </w:r>
      <w:r>
        <w:instrText xml:space="preserve"> HYPERLINK \l "_Toc81667026" </w:instrText>
      </w:r>
      <w:r>
        <w:fldChar w:fldCharType="separate"/>
      </w:r>
      <w:r>
        <w:rPr>
          <w:rStyle w:val="16"/>
          <w:rFonts w:hint="eastAsia" w:ascii="仿宋" w:hAnsi="仿宋" w:eastAsia="仿宋" w:cs="仿宋"/>
          <w:sz w:val="28"/>
          <w:szCs w:val="28"/>
        </w:rPr>
        <w:t>一、职能简介</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_Toc81667026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cs="仿宋"/>
          <w:sz w:val="28"/>
          <w:szCs w:val="28"/>
        </w:rPr>
      </w:pPr>
      <w:r>
        <w:fldChar w:fldCharType="begin"/>
      </w:r>
      <w:r>
        <w:instrText xml:space="preserve"> HYPERLINK \l "_Toc81667027" </w:instrText>
      </w:r>
      <w:r>
        <w:fldChar w:fldCharType="separate"/>
      </w:r>
      <w:r>
        <w:rPr>
          <w:rStyle w:val="16"/>
          <w:rFonts w:hint="eastAsia" w:ascii="仿宋" w:hAnsi="仿宋" w:eastAsia="仿宋" w:cs="仿宋"/>
          <w:sz w:val="28"/>
          <w:szCs w:val="28"/>
        </w:rPr>
        <w:t>二、</w:t>
      </w:r>
      <w:r>
        <w:rPr>
          <w:rStyle w:val="16"/>
          <w:rFonts w:ascii="仿宋" w:hAnsi="仿宋" w:eastAsia="仿宋" w:cs="仿宋"/>
          <w:sz w:val="28"/>
          <w:szCs w:val="28"/>
        </w:rPr>
        <w:t>2020</w:t>
      </w:r>
      <w:r>
        <w:rPr>
          <w:rStyle w:val="16"/>
          <w:rFonts w:hint="eastAsia" w:ascii="仿宋" w:hAnsi="仿宋" w:eastAsia="仿宋" w:cs="仿宋"/>
          <w:sz w:val="28"/>
          <w:szCs w:val="28"/>
        </w:rPr>
        <w:t>年重点工作完成情况</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_Toc81667027 \h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cs="仿宋"/>
          <w:sz w:val="28"/>
          <w:szCs w:val="28"/>
        </w:rPr>
      </w:pPr>
      <w:r>
        <w:fldChar w:fldCharType="begin"/>
      </w:r>
      <w:r>
        <w:instrText xml:space="preserve"> HYPERLINK \l "_Toc81667027" </w:instrText>
      </w:r>
      <w:r>
        <w:fldChar w:fldCharType="separate"/>
      </w:r>
      <w:r>
        <w:rPr>
          <w:rStyle w:val="16"/>
          <w:rFonts w:hint="eastAsia" w:ascii="仿宋" w:hAnsi="仿宋" w:eastAsia="仿宋" w:cs="仿宋"/>
          <w:sz w:val="28"/>
          <w:szCs w:val="28"/>
          <w:lang w:eastAsia="zh-CN"/>
        </w:rPr>
        <w:t>三</w:t>
      </w:r>
      <w:r>
        <w:rPr>
          <w:rStyle w:val="16"/>
          <w:rFonts w:hint="eastAsia" w:ascii="仿宋" w:hAnsi="仿宋" w:eastAsia="仿宋" w:cs="仿宋"/>
          <w:sz w:val="28"/>
          <w:szCs w:val="28"/>
        </w:rPr>
        <w:t>、</w:t>
      </w:r>
      <w:r>
        <w:rPr>
          <w:rStyle w:val="16"/>
          <w:rFonts w:hint="eastAsia" w:ascii="仿宋" w:hAnsi="仿宋" w:eastAsia="仿宋" w:cs="仿宋"/>
          <w:sz w:val="28"/>
          <w:szCs w:val="28"/>
          <w:lang w:eastAsia="zh-CN"/>
        </w:rPr>
        <w:t>机构设置</w:t>
      </w:r>
      <w:r>
        <w:rPr>
          <w:rStyle w:val="16"/>
          <w:rFonts w:hint="eastAsia" w:ascii="仿宋" w:hAnsi="仿宋" w:eastAsia="仿宋" w:cs="仿宋"/>
          <w:sz w:val="28"/>
          <w:szCs w:val="28"/>
        </w:rPr>
        <w:t>情况</w:t>
      </w:r>
      <w:r>
        <w:rPr>
          <w:rFonts w:ascii="仿宋" w:hAnsi="仿宋" w:eastAsia="仿宋"/>
          <w:sz w:val="28"/>
          <w:szCs w:val="28"/>
        </w:rPr>
        <w:tab/>
      </w:r>
      <w:r>
        <w:rPr>
          <w:rFonts w:hint="eastAsia" w:ascii="仿宋" w:hAnsi="仿宋" w:eastAsia="仿宋" w:cs="仿宋"/>
          <w:sz w:val="28"/>
          <w:szCs w:val="28"/>
          <w:lang w:val="en-US" w:eastAsia="zh-CN"/>
        </w:rPr>
        <w:t>3</w:t>
      </w:r>
      <w:r>
        <w:rPr>
          <w:rFonts w:ascii="仿宋" w:hAnsi="仿宋" w:eastAsia="仿宋" w:cs="仿宋"/>
          <w:sz w:val="28"/>
          <w:szCs w:val="28"/>
        </w:rPr>
        <w:fldChar w:fldCharType="end"/>
      </w:r>
    </w:p>
    <w:p>
      <w:pPr>
        <w:pStyle w:val="10"/>
        <w:rPr>
          <w:rFonts w:cs="Times New Roman"/>
        </w:rPr>
      </w:pPr>
      <w:r>
        <w:fldChar w:fldCharType="begin"/>
      </w:r>
      <w:r>
        <w:instrText xml:space="preserve"> HYPERLINK \l "_Toc81667028" </w:instrText>
      </w:r>
      <w:r>
        <w:fldChar w:fldCharType="separate"/>
      </w:r>
      <w:r>
        <w:rPr>
          <w:rStyle w:val="16"/>
          <w:rFonts w:hint="eastAsia"/>
        </w:rPr>
        <w:t>第二部分</w:t>
      </w:r>
      <w:r>
        <w:rPr>
          <w:rStyle w:val="16"/>
        </w:rPr>
        <w:t xml:space="preserve"> 2020</w:t>
      </w:r>
      <w:r>
        <w:rPr>
          <w:rStyle w:val="16"/>
          <w:rFonts w:hint="eastAsia"/>
        </w:rPr>
        <w:t>年度单位决算情况说明</w:t>
      </w:r>
      <w:r>
        <w:rPr>
          <w:rFonts w:cs="Times New Roman"/>
        </w:rPr>
        <w:tab/>
      </w:r>
      <w:bookmarkStart w:id="114" w:name="_GoBack"/>
      <w:bookmarkEnd w:id="114"/>
      <w:r>
        <w:fldChar w:fldCharType="begin"/>
      </w:r>
      <w:r>
        <w:instrText xml:space="preserve"> PAGEREF _Toc81667028 \h </w:instrText>
      </w:r>
      <w:r>
        <w:fldChar w:fldCharType="separate"/>
      </w:r>
      <w:r>
        <w:t>4</w:t>
      </w:r>
      <w:r>
        <w:fldChar w:fldCharType="end"/>
      </w:r>
      <w:r>
        <w:fldChar w:fldCharType="end"/>
      </w:r>
    </w:p>
    <w:p>
      <w:pPr>
        <w:pStyle w:val="12"/>
        <w:ind w:left="31680"/>
        <w:rPr>
          <w:rFonts w:ascii="仿宋" w:hAnsi="仿宋" w:eastAsia="仿宋"/>
          <w:sz w:val="28"/>
          <w:szCs w:val="28"/>
        </w:rPr>
      </w:pPr>
      <w:r>
        <w:fldChar w:fldCharType="begin"/>
      </w:r>
      <w:r>
        <w:instrText xml:space="preserve"> HYPERLINK \l "_Toc81667029" </w:instrText>
      </w:r>
      <w:r>
        <w:fldChar w:fldCharType="separate"/>
      </w:r>
      <w:r>
        <w:rPr>
          <w:rStyle w:val="16"/>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_Toc81667029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"_Toc81667030" </w:instrText>
      </w:r>
      <w:r>
        <w:fldChar w:fldCharType="separate"/>
      </w:r>
      <w:r>
        <w:rPr>
          <w:rStyle w:val="16"/>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_Toc81667030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"_Toc81667032" </w:instrText>
      </w:r>
      <w:r>
        <w:fldChar w:fldCharType="separate"/>
      </w:r>
      <w:r>
        <w:rPr>
          <w:rStyle w:val="16"/>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_Toc81667032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"_Toc81667034" </w:instrText>
      </w:r>
      <w:r>
        <w:fldChar w:fldCharType="separate"/>
      </w:r>
      <w:r>
        <w:rPr>
          <w:rStyle w:val="16"/>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_Toc81667034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"_Toc81667035" </w:instrText>
      </w:r>
      <w:r>
        <w:fldChar w:fldCharType="separate"/>
      </w:r>
      <w:r>
        <w:rPr>
          <w:rStyle w:val="16"/>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_Toc81667035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"_Toc81667040" </w:instrText>
      </w:r>
      <w:r>
        <w:fldChar w:fldCharType="separate"/>
      </w:r>
      <w:r>
        <w:rPr>
          <w:rStyle w:val="16"/>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_Toc81667040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"_Toc81667041" </w:instrText>
      </w:r>
      <w:r>
        <w:fldChar w:fldCharType="separate"/>
      </w:r>
      <w:r>
        <w:rPr>
          <w:rStyle w:val="16"/>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_Toc81667041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"_Toc81667044" </w:instrText>
      </w:r>
      <w:r>
        <w:fldChar w:fldCharType="separate"/>
      </w:r>
      <w:r>
        <w:rPr>
          <w:rStyle w:val="16"/>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_Toc81667044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"_Toc81667045" </w:instrText>
      </w:r>
      <w:r>
        <w:fldChar w:fldCharType="separate"/>
      </w:r>
      <w:r>
        <w:rPr>
          <w:rStyle w:val="16"/>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_Toc81667045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"_Toc81667046" </w:instrText>
      </w:r>
      <w:r>
        <w:fldChar w:fldCharType="separate"/>
      </w:r>
      <w:r>
        <w:rPr>
          <w:rStyle w:val="16"/>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_Toc81667046 \h </w:instrText>
      </w:r>
      <w:r>
        <w:rPr>
          <w:rFonts w:ascii="仿宋" w:hAnsi="仿宋" w:eastAsia="仿宋" w:cs="仿宋"/>
          <w:sz w:val="28"/>
          <w:szCs w:val="28"/>
        </w:rPr>
        <w:fldChar w:fldCharType="separate"/>
      </w:r>
      <w:r>
        <w:rPr>
          <w:rFonts w:ascii="仿宋" w:hAnsi="仿宋" w:eastAsia="仿宋" w:cs="仿宋"/>
          <w:sz w:val="28"/>
          <w:szCs w:val="28"/>
        </w:rPr>
        <w:t>10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"_Toc81667051" </w:instrText>
      </w:r>
      <w:r>
        <w:fldChar w:fldCharType="separate"/>
      </w:r>
      <w:r>
        <w:rPr>
          <w:rStyle w:val="16"/>
          <w:rFonts w:hint="eastAsia"/>
          <w:kern w:val="44"/>
        </w:rPr>
        <w:t>第三部分</w:t>
      </w:r>
      <w:r>
        <w:rPr>
          <w:rStyle w:val="16"/>
          <w:kern w:val="44"/>
        </w:rPr>
        <w:t xml:space="preserve"> </w:t>
      </w:r>
      <w:r>
        <w:rPr>
          <w:rStyle w:val="16"/>
          <w:rFonts w:hint="eastAsia"/>
        </w:rPr>
        <w:t>名</w:t>
      </w:r>
      <w:r>
        <w:rPr>
          <w:rStyle w:val="16"/>
          <w:rFonts w:hint="eastAsia"/>
          <w:kern w:val="44"/>
        </w:rPr>
        <w:t>词解释</w:t>
      </w:r>
      <w:r>
        <w:rPr>
          <w:rFonts w:cs="Times New Roman"/>
        </w:rPr>
        <w:tab/>
      </w:r>
      <w:r>
        <w:fldChar w:fldCharType="begin"/>
      </w:r>
      <w:r>
        <w:instrText xml:space="preserve"> PAGEREF _Toc81667051 \h </w:instrText>
      </w:r>
      <w:r>
        <w:fldChar w:fldCharType="separate"/>
      </w:r>
      <w:r>
        <w:t>14</w:t>
      </w:r>
      <w:r>
        <w:fldChar w:fldCharType="end"/>
      </w:r>
      <w:r>
        <w:fldChar w:fldCharType="end"/>
      </w:r>
    </w:p>
    <w:p>
      <w:pPr>
        <w:pStyle w:val="10"/>
        <w:rPr>
          <w:rFonts w:cs="Times New Roman"/>
        </w:rPr>
      </w:pPr>
      <w:r>
        <w:fldChar w:fldCharType="begin"/>
      </w:r>
      <w:r>
        <w:instrText xml:space="preserve"> HYPERLINK \l "_Toc81667052" </w:instrText>
      </w:r>
      <w:r>
        <w:fldChar w:fldCharType="separate"/>
      </w:r>
      <w:r>
        <w:rPr>
          <w:rStyle w:val="16"/>
          <w:rFonts w:hint="eastAsia"/>
        </w:rPr>
        <w:t>第</w:t>
      </w:r>
      <w:r>
        <w:rPr>
          <w:rStyle w:val="16"/>
          <w:rFonts w:hint="eastAsia"/>
          <w:kern w:val="44"/>
        </w:rPr>
        <w:t>四部分</w:t>
      </w:r>
      <w:r>
        <w:rPr>
          <w:rStyle w:val="16"/>
          <w:kern w:val="44"/>
        </w:rPr>
        <w:t xml:space="preserve"> </w:t>
      </w:r>
      <w:r>
        <w:rPr>
          <w:rStyle w:val="16"/>
          <w:rFonts w:hint="eastAsia"/>
          <w:kern w:val="44"/>
        </w:rPr>
        <w:t>附件</w:t>
      </w:r>
      <w:r>
        <w:rPr>
          <w:rFonts w:cs="Times New Roman"/>
        </w:rPr>
        <w:tab/>
      </w:r>
      <w:r>
        <w:fldChar w:fldCharType="begin"/>
      </w:r>
      <w:r>
        <w:instrText xml:space="preserve"> PAGEREF _Toc81667052 \h </w:instrText>
      </w:r>
      <w:r>
        <w:fldChar w:fldCharType="separate"/>
      </w:r>
      <w:r>
        <w:t>17</w:t>
      </w:r>
      <w:r>
        <w:fldChar w:fldCharType="end"/>
      </w:r>
      <w:r>
        <w:fldChar w:fldCharType="end"/>
      </w:r>
    </w:p>
    <w:p>
      <w:pPr>
        <w:pStyle w:val="10"/>
        <w:rPr>
          <w:rFonts w:cs="Times New Roman"/>
        </w:rPr>
      </w:pPr>
      <w:r>
        <w:fldChar w:fldCharType="begin"/>
      </w:r>
      <w:r>
        <w:instrText xml:space="preserve"> HYPERLINK \l "_Toc81667053" </w:instrText>
      </w:r>
      <w:r>
        <w:fldChar w:fldCharType="separate"/>
      </w:r>
      <w:r>
        <w:rPr>
          <w:rStyle w:val="16"/>
          <w:rFonts w:hint="eastAsia"/>
        </w:rPr>
        <w:t>第</w:t>
      </w:r>
      <w:r>
        <w:rPr>
          <w:rStyle w:val="16"/>
          <w:rFonts w:hint="eastAsia"/>
          <w:kern w:val="44"/>
        </w:rPr>
        <w:t>五部分</w:t>
      </w:r>
      <w:r>
        <w:rPr>
          <w:rStyle w:val="16"/>
          <w:kern w:val="44"/>
        </w:rPr>
        <w:t xml:space="preserve"> </w:t>
      </w:r>
      <w:r>
        <w:rPr>
          <w:rStyle w:val="16"/>
          <w:rFonts w:hint="eastAsia"/>
          <w:kern w:val="44"/>
        </w:rPr>
        <w:t>附表</w:t>
      </w:r>
      <w:r>
        <w:rPr>
          <w:rFonts w:cs="Times New Roman"/>
        </w:rPr>
        <w:tab/>
      </w:r>
      <w:r>
        <w:fldChar w:fldCharType="begin"/>
      </w:r>
      <w:r>
        <w:instrText xml:space="preserve"> PAGEREF _Toc81667053 \h </w:instrText>
      </w:r>
      <w:r>
        <w:fldChar w:fldCharType="separate"/>
      </w:r>
      <w:r>
        <w:t>18</w:t>
      </w:r>
      <w:r>
        <w:fldChar w:fldCharType="end"/>
      </w:r>
      <w:r>
        <w:fldChar w:fldCharType="end"/>
      </w:r>
    </w:p>
    <w:p>
      <w:pPr>
        <w:pStyle w:val="12"/>
        <w:ind w:left="31680"/>
        <w:rPr>
          <w:rFonts w:ascii="仿宋" w:hAnsi="仿宋" w:eastAsia="仿宋"/>
          <w:sz w:val="28"/>
          <w:szCs w:val="28"/>
        </w:rPr>
      </w:pPr>
      <w:r>
        <w:fldChar w:fldCharType="begin"/>
      </w:r>
      <w:r>
        <w:instrText xml:space="preserve"> HYPERLINK \l "_Toc81667054" </w:instrText>
      </w:r>
      <w:r>
        <w:fldChar w:fldCharType="separate"/>
      </w:r>
      <w:r>
        <w:rPr>
          <w:rStyle w:val="16"/>
          <w:rFonts w:hint="eastAsia" w:ascii="仿宋" w:hAnsi="仿宋" w:eastAsia="仿宋" w:cs="仿宋"/>
          <w:sz w:val="28"/>
          <w:szCs w:val="28"/>
        </w:rPr>
        <w:t>一、收入支出决算总表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_Toc81667054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"_Toc81667055" </w:instrText>
      </w:r>
      <w:r>
        <w:fldChar w:fldCharType="separate"/>
      </w:r>
      <w:r>
        <w:rPr>
          <w:rStyle w:val="16"/>
          <w:rFonts w:hint="eastAsia" w:ascii="仿宋" w:hAnsi="仿宋" w:eastAsia="仿宋" w:cs="仿宋"/>
          <w:sz w:val="28"/>
          <w:szCs w:val="28"/>
        </w:rPr>
        <w:t>二、收入决算表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_Toc81667055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"_Toc81667056" </w:instrText>
      </w:r>
      <w:r>
        <w:fldChar w:fldCharType="separate"/>
      </w:r>
      <w:r>
        <w:rPr>
          <w:rStyle w:val="16"/>
          <w:rFonts w:hint="eastAsia" w:ascii="仿宋" w:hAnsi="仿宋" w:eastAsia="仿宋" w:cs="仿宋"/>
          <w:sz w:val="28"/>
          <w:szCs w:val="28"/>
        </w:rPr>
        <w:t>三、支出决算表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_Toc81667056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"_Toc81667057" </w:instrText>
      </w:r>
      <w:r>
        <w:fldChar w:fldCharType="separate"/>
      </w:r>
      <w:r>
        <w:rPr>
          <w:rStyle w:val="16"/>
          <w:rFonts w:hint="eastAsia" w:ascii="仿宋" w:hAnsi="仿宋" w:eastAsia="仿宋" w:cs="仿宋"/>
          <w:sz w:val="28"/>
          <w:szCs w:val="28"/>
        </w:rPr>
        <w:t>四、财政拨款收入支出决算总表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_Toc81667057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"_Toc81667058" </w:instrText>
      </w:r>
      <w:r>
        <w:fldChar w:fldCharType="separate"/>
      </w:r>
      <w:r>
        <w:rPr>
          <w:rStyle w:val="16"/>
          <w:rFonts w:hint="eastAsia" w:ascii="仿宋" w:hAnsi="仿宋" w:eastAsia="仿宋" w:cs="仿宋"/>
          <w:sz w:val="28"/>
          <w:szCs w:val="28"/>
        </w:rPr>
        <w:t>五、财政拨款支出决算明细表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_Toc81667058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"_Toc81667059" </w:instrText>
      </w:r>
      <w:r>
        <w:fldChar w:fldCharType="separate"/>
      </w:r>
      <w:r>
        <w:rPr>
          <w:rStyle w:val="16"/>
          <w:rFonts w:hint="eastAsia" w:ascii="仿宋" w:hAnsi="仿宋" w:eastAsia="仿宋" w:cs="仿宋"/>
          <w:sz w:val="28"/>
          <w:szCs w:val="28"/>
        </w:rPr>
        <w:t>六、一般公共预算财政拨款支出决算表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_Toc81667059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"_Toc81667060" </w:instrText>
      </w:r>
      <w:r>
        <w:fldChar w:fldCharType="separate"/>
      </w:r>
      <w:r>
        <w:rPr>
          <w:rStyle w:val="16"/>
          <w:rFonts w:hint="eastAsia" w:ascii="仿宋" w:hAnsi="仿宋" w:eastAsia="仿宋" w:cs="仿宋"/>
          <w:sz w:val="28"/>
          <w:szCs w:val="28"/>
        </w:rPr>
        <w:t>七、一般公共预算财政拨款支出决算明细表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_Toc81667060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"_Toc81667061" </w:instrText>
      </w:r>
      <w:r>
        <w:fldChar w:fldCharType="separate"/>
      </w:r>
      <w:r>
        <w:rPr>
          <w:rStyle w:val="16"/>
          <w:rFonts w:hint="eastAsia" w:ascii="仿宋" w:hAnsi="仿宋" w:eastAsia="仿宋" w:cs="仿宋"/>
          <w:sz w:val="28"/>
          <w:szCs w:val="28"/>
        </w:rPr>
        <w:t>八、一般公共预算财政拨款基本支出决算表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_Toc81667061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"_Toc81667062" </w:instrText>
      </w:r>
      <w:r>
        <w:fldChar w:fldCharType="separate"/>
      </w:r>
      <w:r>
        <w:rPr>
          <w:rStyle w:val="16"/>
          <w:rFonts w:hint="eastAsia" w:ascii="仿宋" w:hAnsi="仿宋" w:eastAsia="仿宋" w:cs="仿宋"/>
          <w:sz w:val="28"/>
          <w:szCs w:val="28"/>
        </w:rPr>
        <w:t>九、一般公共预算财政拨款项目支出决算表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_Toc81667062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"_Toc81667063" </w:instrText>
      </w:r>
      <w:r>
        <w:fldChar w:fldCharType="separate"/>
      </w:r>
      <w:r>
        <w:rPr>
          <w:rStyle w:val="16"/>
          <w:rFonts w:hint="eastAsia" w:ascii="仿宋" w:hAnsi="仿宋" w:eastAsia="仿宋" w:cs="仿宋"/>
          <w:sz w:val="28"/>
          <w:szCs w:val="28"/>
        </w:rPr>
        <w:t>十、一般公共预算财政拨款“三公”经费支出决算表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_Toc81667063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"_Toc81667064" </w:instrText>
      </w:r>
      <w:r>
        <w:fldChar w:fldCharType="separate"/>
      </w:r>
      <w:r>
        <w:rPr>
          <w:rStyle w:val="16"/>
          <w:rFonts w:hint="eastAsia" w:ascii="仿宋" w:hAnsi="仿宋" w:eastAsia="仿宋" w:cs="仿宋"/>
          <w:sz w:val="28"/>
          <w:szCs w:val="28"/>
        </w:rPr>
        <w:t>十一、政府性基金预算财政拨款收入支出决算表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_Toc81667064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"_Toc81667065" </w:instrText>
      </w:r>
      <w:r>
        <w:fldChar w:fldCharType="separate"/>
      </w:r>
      <w:r>
        <w:rPr>
          <w:rStyle w:val="16"/>
          <w:rFonts w:hint="eastAsia" w:ascii="仿宋" w:hAnsi="仿宋" w:eastAsia="仿宋" w:cs="仿宋"/>
          <w:sz w:val="28"/>
          <w:szCs w:val="28"/>
        </w:rPr>
        <w:t>十二、政府性基金预算财政拨款“三公”经费支出决算表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_Toc81667065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"_Toc81667066" </w:instrText>
      </w:r>
      <w:r>
        <w:fldChar w:fldCharType="separate"/>
      </w:r>
      <w:r>
        <w:rPr>
          <w:rStyle w:val="16"/>
          <w:rFonts w:hint="eastAsia" w:ascii="仿宋" w:hAnsi="仿宋" w:eastAsia="仿宋" w:cs="仿宋"/>
          <w:sz w:val="28"/>
          <w:szCs w:val="28"/>
        </w:rPr>
        <w:t>十三、国有资本经营预算财政拨款收入支出决算表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_Toc81667066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ind w:left="31680"/>
        <w:rPr>
          <w:rFonts w:ascii="仿宋" w:hAnsi="仿宋" w:eastAsia="仿宋"/>
          <w:sz w:val="28"/>
          <w:szCs w:val="28"/>
        </w:rPr>
      </w:pPr>
      <w:r>
        <w:fldChar w:fldCharType="begin"/>
      </w:r>
      <w:r>
        <w:instrText xml:space="preserve"> HYPERLINK \l "_Toc81667067" </w:instrText>
      </w:r>
      <w:r>
        <w:fldChar w:fldCharType="separate"/>
      </w:r>
      <w:r>
        <w:rPr>
          <w:rStyle w:val="16"/>
          <w:rFonts w:hint="eastAsia" w:ascii="仿宋" w:hAnsi="仿宋" w:eastAsia="仿宋" w:cs="仿宋"/>
          <w:sz w:val="28"/>
          <w:szCs w:val="28"/>
        </w:rPr>
        <w:t>十四、国有资本经营预算财政拨款支出决算表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_Toc81667067 \h </w:instrText>
      </w:r>
      <w:r>
        <w:rPr>
          <w:rFonts w:ascii="仿宋" w:hAnsi="仿宋" w:eastAsia="仿宋" w:cs="仿宋"/>
          <w:sz w:val="28"/>
          <w:szCs w:val="28"/>
        </w:rPr>
        <w:fldChar w:fldCharType="separate"/>
      </w:r>
      <w:r>
        <w:rPr>
          <w:rFonts w:ascii="仿宋" w:hAnsi="仿宋" w:eastAsia="仿宋" w:cs="仿宋"/>
          <w:sz w:val="28"/>
          <w:szCs w:val="28"/>
        </w:rPr>
        <w:t>18</w:t>
      </w:r>
      <w:r>
        <w:rPr>
          <w:rFonts w:ascii="仿宋" w:hAnsi="仿宋" w:eastAsia="仿宋" w:cs="仿宋"/>
          <w:sz w:val="28"/>
          <w:szCs w:val="28"/>
        </w:rPr>
        <w:fldChar w:fldCharType="end"/>
      </w:r>
      <w:r>
        <w:rPr>
          <w:rFonts w:ascii="仿宋" w:hAnsi="仿宋" w:eastAsia="仿宋" w:cs="仿宋"/>
          <w:sz w:val="28"/>
          <w:szCs w:val="28"/>
        </w:rPr>
        <w:fldChar w:fldCharType="end"/>
      </w:r>
    </w:p>
    <w:p>
      <w:pPr>
        <w:rPr>
          <w:rFonts w:ascii="仿宋" w:hAnsi="仿宋" w:eastAsia="仿宋"/>
          <w:sz w:val="28"/>
          <w:szCs w:val="28"/>
          <w:lang w:val="zh-CN"/>
        </w:rPr>
        <w:sectPr>
          <w:headerReference r:id="rId3" w:type="default"/>
          <w:pgSz w:w="11906" w:h="16838"/>
          <w:pgMar w:top="1440" w:right="1800" w:bottom="1440" w:left="1800" w:header="851" w:footer="992" w:gutter="0"/>
          <w:pgNumType w:start="1"/>
          <w:cols w:space="425" w:num="1"/>
          <w:docGrid w:type="lines" w:linePitch="312" w:charSpace="0"/>
        </w:sectPr>
      </w:pPr>
      <w:r>
        <w:fldChar w:fldCharType="end"/>
      </w:r>
    </w:p>
    <w:p>
      <w:pPr>
        <w:pStyle w:val="3"/>
        <w:jc w:val="center"/>
        <w:rPr>
          <w:rFonts w:ascii="黑体" w:hAnsi="黑体" w:eastAsia="黑体"/>
          <w:b w:val="0"/>
          <w:bCs w:val="0"/>
        </w:rPr>
      </w:pPr>
      <w:bookmarkStart w:id="16" w:name="_Toc15396599"/>
      <w:bookmarkStart w:id="17" w:name="_Toc81667025"/>
      <w:bookmarkStart w:id="18" w:name="_Toc15377196"/>
      <w:r>
        <w:rPr>
          <w:rFonts w:hint="eastAsia" w:ascii="黑体" w:hAnsi="黑体" w:eastAsia="黑体" w:cs="黑体"/>
          <w:b w:val="0"/>
          <w:bCs w:val="0"/>
        </w:rPr>
        <w:t>第一部分</w:t>
      </w:r>
      <w:r>
        <w:rPr>
          <w:rFonts w:ascii="黑体" w:hAnsi="黑体" w:eastAsia="黑体" w:cs="黑体"/>
          <w:b w:val="0"/>
          <w:bCs w:val="0"/>
        </w:rPr>
        <w:t xml:space="preserve"> </w:t>
      </w:r>
      <w:r>
        <w:rPr>
          <w:rFonts w:hint="eastAsia" w:ascii="黑体" w:hAnsi="黑体" w:eastAsia="黑体" w:cs="黑体"/>
          <w:b w:val="0"/>
          <w:bCs w:val="0"/>
        </w:rPr>
        <w:t>单位</w:t>
      </w:r>
      <w:r>
        <w:rPr>
          <w:rStyle w:val="17"/>
          <w:rFonts w:hint="eastAsia" w:ascii="黑体" w:hAnsi="黑体" w:eastAsia="黑体" w:cs="黑体"/>
          <w:b w:val="0"/>
          <w:bCs w:val="0"/>
        </w:rPr>
        <w:t>概况</w:t>
      </w:r>
      <w:bookmarkEnd w:id="16"/>
      <w:bookmarkEnd w:id="17"/>
      <w:bookmarkEnd w:id="18"/>
    </w:p>
    <w:p>
      <w:pPr>
        <w:pStyle w:val="4"/>
        <w:numPr>
          <w:ilvl w:val="0"/>
          <w:numId w:val="1"/>
        </w:numPr>
        <w:spacing w:before="200" w:after="200" w:line="360" w:lineRule="auto"/>
        <w:ind w:firstLine="707" w:firstLineChars="221"/>
        <w:rPr>
          <w:rStyle w:val="18"/>
          <w:rFonts w:ascii="黑体" w:hAnsi="黑体" w:eastAsia="黑体" w:cs="Times New Roman"/>
          <w:b w:val="0"/>
          <w:bCs w:val="0"/>
        </w:rPr>
      </w:pPr>
      <w:bookmarkStart w:id="19" w:name="_Toc81667026"/>
      <w:bookmarkStart w:id="20" w:name="_Toc15396600"/>
      <w:bookmarkStart w:id="21" w:name="_Toc15377197"/>
      <w:r>
        <w:rPr>
          <w:rStyle w:val="18"/>
          <w:rFonts w:hint="eastAsia" w:ascii="黑体" w:hAnsi="黑体" w:eastAsia="黑体" w:cs="黑体"/>
          <w:b w:val="0"/>
          <w:bCs w:val="0"/>
        </w:rPr>
        <w:t>职能简介</w:t>
      </w:r>
      <w:bookmarkEnd w:id="19"/>
    </w:p>
    <w:p>
      <w:pPr>
        <w:ind w:firstLine="640" w:firstLineChars="200"/>
        <w:rPr>
          <w:rFonts w:ascii="仿宋" w:hAnsi="仿宋" w:eastAsia="仿宋"/>
        </w:rPr>
      </w:pPr>
      <w:r>
        <w:rPr>
          <w:rFonts w:hint="eastAsia" w:ascii="仿宋" w:hAnsi="仿宋" w:eastAsia="仿宋" w:cs="仿宋"/>
          <w:color w:val="000000"/>
          <w:sz w:val="32"/>
          <w:szCs w:val="32"/>
        </w:rPr>
        <w:t>主要负责机关车辆、通讯、文印、消防、安全、环卫、房管等服务保障工作；承办厅有关会务和接待工作；承担机关委托的部分行政管理事务性工作和机关交其使用的固定资产的管理工作；负责厅交办的其他工作。</w:t>
      </w:r>
    </w:p>
    <w:p>
      <w:pPr>
        <w:pStyle w:val="4"/>
        <w:numPr>
          <w:ilvl w:val="0"/>
          <w:numId w:val="1"/>
        </w:numPr>
        <w:spacing w:before="200" w:after="200" w:line="240" w:lineRule="auto"/>
        <w:ind w:firstLine="707" w:firstLineChars="221"/>
        <w:rPr>
          <w:rFonts w:ascii="黑体" w:hAnsi="黑体" w:eastAsia="黑体" w:cs="Times New Roman"/>
          <w:b w:val="0"/>
          <w:bCs w:val="0"/>
        </w:rPr>
      </w:pPr>
      <w:bookmarkStart w:id="22" w:name="_Toc81667027"/>
      <w:r>
        <w:rPr>
          <w:rFonts w:ascii="黑体" w:hAnsi="黑体" w:eastAsia="黑体" w:cs="黑体"/>
          <w:b w:val="0"/>
          <w:bCs w:val="0"/>
        </w:rPr>
        <w:t>2020</w:t>
      </w:r>
      <w:r>
        <w:rPr>
          <w:rFonts w:hint="eastAsia" w:ascii="黑体" w:hAnsi="黑体" w:eastAsia="黑体" w:cs="黑体"/>
          <w:b w:val="0"/>
          <w:bCs w:val="0"/>
        </w:rPr>
        <w:t>年重点工作</w:t>
      </w:r>
      <w:bookmarkEnd w:id="20"/>
      <w:bookmarkEnd w:id="21"/>
      <w:r>
        <w:rPr>
          <w:rFonts w:hint="eastAsia" w:ascii="黑体" w:hAnsi="黑体" w:eastAsia="黑体" w:cs="黑体"/>
          <w:b w:val="0"/>
          <w:bCs w:val="0"/>
        </w:rPr>
        <w:t>完成情况</w:t>
      </w:r>
      <w:bookmarkEnd w:id="22"/>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（一）抓重点、重实效，着力优化机关办公环境</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kern w:val="0"/>
          <w:sz w:val="32"/>
          <w:szCs w:val="32"/>
        </w:rPr>
        <w:t>始终把机关建设重点工作摆在突出位置，按照年度工作安排，加强统筹协调、强化跟踪督导、严把工程质量，做好项目立项、挂网招标、财政评审、工程审计等相关工作，确保机关建设各项重点工作有序推进。</w:t>
      </w:r>
    </w:p>
    <w:p>
      <w:pPr>
        <w:adjustRightInd w:val="0"/>
        <w:snapToGrid w:val="0"/>
        <w:spacing w:line="58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一是认真落实省委主要领导指示精神，做好机关办公楼电梯加装工作。二是装点美化南院机关食堂。三是完成机关值班室全面改造工作。四是完成厅信访接待室改造任务。五是完成办公用房调整。六是开展厅机关会议室维修改造项目立项工作。七是开展南院办公区</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栋厕所改造、门卫室改造以及南院办公区、</w:t>
      </w:r>
      <w:r>
        <w:rPr>
          <w:rFonts w:ascii="仿宋" w:hAnsi="仿宋" w:eastAsia="仿宋" w:cs="仿宋"/>
          <w:color w:val="000000"/>
          <w:kern w:val="0"/>
          <w:sz w:val="32"/>
          <w:szCs w:val="32"/>
        </w:rPr>
        <w:t>266</w:t>
      </w:r>
      <w:r>
        <w:rPr>
          <w:rFonts w:hint="eastAsia" w:ascii="仿宋" w:hAnsi="仿宋" w:eastAsia="仿宋" w:cs="仿宋"/>
          <w:color w:val="000000"/>
          <w:kern w:val="0"/>
          <w:sz w:val="32"/>
          <w:szCs w:val="32"/>
        </w:rPr>
        <w:t>号家属院门禁设备安装，完成厅机关理发室设施设备提档升级。八是审慎推进北院办公区搬迁置换工作。</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（二）抓制度、强管理，着力提升后勤服务水平</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始终把巡视、内审反馈问题摆在突出位置，按照厅党组要求，通过进一步“完善制度、强化管理、防范风险”，着力加强在制度建设、疫情防控、资产管理、公务用车管理、食堂管理、消费扶贫、节能减排降耗、临聘人员管理等方面的工作。</w:t>
      </w:r>
    </w:p>
    <w:p>
      <w:pPr>
        <w:adjustRightInd w:val="0"/>
        <w:snapToGrid w:val="0"/>
        <w:spacing w:line="58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一是修订完善系列规章制度。二是着力推进厅机关铺面移交及厅机关公有产权住房摸底排查工作。三是积极做好机关防疫工作。四是完成厅属事业单位公务用车改革任务。五是启动固定资产盘点工作。六是完成全厅第五批住房补贴申报工作。七是完成全厅办公用房测量报备工作，对部分超标办公用房进行改造。八是彻底解决</w:t>
      </w:r>
      <w:r>
        <w:rPr>
          <w:rFonts w:ascii="仿宋" w:hAnsi="仿宋" w:eastAsia="仿宋" w:cs="仿宋"/>
          <w:color w:val="000000"/>
          <w:kern w:val="0"/>
          <w:sz w:val="32"/>
          <w:szCs w:val="32"/>
        </w:rPr>
        <w:t>266</w:t>
      </w:r>
      <w:r>
        <w:rPr>
          <w:rFonts w:hint="eastAsia" w:ascii="仿宋" w:hAnsi="仿宋" w:eastAsia="仿宋" w:cs="仿宋"/>
          <w:color w:val="000000"/>
          <w:kern w:val="0"/>
          <w:sz w:val="32"/>
          <w:szCs w:val="32"/>
        </w:rPr>
        <w:t>家属院“停车难、停车乱”问题。九是实现公务用车平台化管理。十是全力打造温馨食堂、放心食堂、满意食堂。十一是积极助力脱贫攻坚，完成“以购代捐”采购任务。十二是更新办公设备，改善办公条件。十三是抓好节能减排及消防安全工作。十四是加强编外人员管理。十五是做好巡视期间服务保障工作及其他重大活动保障工作。</w:t>
      </w:r>
    </w:p>
    <w:p>
      <w:pPr>
        <w:adjustRightInd w:val="0"/>
        <w:snapToGrid w:val="0"/>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（三）抓党建、带队伍，着力履行党建工作主体责任</w:t>
      </w:r>
    </w:p>
    <w:p>
      <w:pPr>
        <w:widowControl/>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始终把党建工作在突出位置，严格执行党风廉政建设各项规定，切实把主体责任扛在肩上、抓在手上，把监督责任盯到岗位、落到人头。</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一是认真开展支部生活。二是深化党风廉政教育。三是从严管理干部。</w:t>
      </w:r>
    </w:p>
    <w:p>
      <w:pPr>
        <w:widowControl/>
        <w:adjustRightInd w:val="0"/>
        <w:snapToGrid w:val="0"/>
        <w:spacing w:line="579" w:lineRule="exact"/>
        <w:ind w:firstLine="640" w:firstLineChars="200"/>
        <w:jc w:val="left"/>
        <w:rPr>
          <w:rStyle w:val="32"/>
          <w:rFonts w:hint="eastAsia" w:eastAsia="黑体"/>
          <w:b w:val="0"/>
          <w:bCs w:val="0"/>
          <w:lang w:eastAsia="zh-CN"/>
        </w:rPr>
      </w:pPr>
      <w:r>
        <w:rPr>
          <w:rStyle w:val="32"/>
          <w:rFonts w:hint="eastAsia" w:eastAsia="黑体"/>
          <w:b w:val="0"/>
          <w:bCs w:val="0"/>
          <w:lang w:eastAsia="zh-CN"/>
        </w:rPr>
        <w:t>三</w:t>
      </w:r>
      <w:r>
        <w:rPr>
          <w:rStyle w:val="32"/>
          <w:rFonts w:ascii="Times New Roman" w:hAnsi="Times New Roman" w:eastAsia="黑体"/>
          <w:b w:val="0"/>
          <w:bCs w:val="0"/>
        </w:rPr>
        <w:t>、</w:t>
      </w:r>
      <w:r>
        <w:rPr>
          <w:rStyle w:val="32"/>
          <w:rFonts w:hint="eastAsia" w:eastAsia="黑体"/>
          <w:b w:val="0"/>
          <w:bCs w:val="0"/>
          <w:lang w:eastAsia="zh-CN"/>
        </w:rPr>
        <w:t>机构设置情况</w:t>
      </w:r>
    </w:p>
    <w:p>
      <w:pPr>
        <w:pStyle w:val="2"/>
        <w:ind w:firstLine="640" w:firstLineChars="200"/>
      </w:pPr>
      <w:r>
        <w:rPr>
          <w:rFonts w:eastAsia="仿宋_GB2312"/>
          <w:sz w:val="32"/>
          <w:szCs w:val="32"/>
        </w:rPr>
        <w:t>省人社厅机关服务中心</w:t>
      </w:r>
      <w:r>
        <w:rPr>
          <w:rFonts w:hint="eastAsia" w:eastAsia="仿宋_GB2312"/>
          <w:sz w:val="32"/>
          <w:szCs w:val="32"/>
        </w:rPr>
        <w:t>暂未设置内设机构。</w:t>
      </w:r>
    </w:p>
    <w:p/>
    <w:p>
      <w:pPr>
        <w:pStyle w:val="3"/>
        <w:jc w:val="center"/>
        <w:rPr>
          <w:rStyle w:val="17"/>
          <w:rFonts w:ascii="黑体" w:hAnsi="黑体" w:eastAsia="黑体"/>
          <w:b w:val="0"/>
          <w:bCs w:val="0"/>
        </w:rPr>
      </w:pPr>
      <w:r>
        <w:rPr>
          <w:rFonts w:ascii="仿宋" w:hAnsi="仿宋" w:eastAsia="仿宋"/>
          <w:sz w:val="32"/>
          <w:szCs w:val="32"/>
        </w:rPr>
        <w:br w:type="page"/>
      </w:r>
      <w:bookmarkStart w:id="23" w:name="_Toc15396602"/>
      <w:bookmarkStart w:id="24" w:name="_Toc15377204"/>
      <w:bookmarkStart w:id="25" w:name="_Toc81667028"/>
      <w:r>
        <w:rPr>
          <w:rStyle w:val="17"/>
          <w:rFonts w:hint="eastAsia" w:ascii="黑体" w:hAnsi="黑体" w:eastAsia="黑体" w:cs="黑体"/>
          <w:b w:val="0"/>
          <w:bCs w:val="0"/>
        </w:rPr>
        <w:t>第二部分</w:t>
      </w:r>
      <w:r>
        <w:rPr>
          <w:rStyle w:val="17"/>
          <w:rFonts w:ascii="黑体" w:hAnsi="黑体" w:eastAsia="黑体" w:cs="黑体"/>
          <w:b w:val="0"/>
          <w:bCs w:val="0"/>
        </w:rPr>
        <w:t xml:space="preserve"> 2020</w:t>
      </w:r>
      <w:r>
        <w:rPr>
          <w:rStyle w:val="17"/>
          <w:rFonts w:hint="eastAsia" w:ascii="黑体" w:hAnsi="黑体" w:eastAsia="黑体" w:cs="黑体"/>
          <w:b w:val="0"/>
          <w:bCs w:val="0"/>
        </w:rPr>
        <w:t>年度单位决算情况说明</w:t>
      </w:r>
      <w:bookmarkEnd w:id="23"/>
      <w:bookmarkEnd w:id="24"/>
      <w:bookmarkEnd w:id="25"/>
    </w:p>
    <w:p>
      <w:pPr>
        <w:pStyle w:val="28"/>
        <w:numPr>
          <w:ilvl w:val="0"/>
          <w:numId w:val="2"/>
        </w:numPr>
        <w:ind w:left="1361" w:firstLineChars="0"/>
        <w:outlineLvl w:val="1"/>
        <w:rPr>
          <w:rStyle w:val="18"/>
          <w:rFonts w:ascii="黑体" w:hAnsi="黑体" w:eastAsia="黑体" w:cs="Times New Roman"/>
          <w:b w:val="0"/>
          <w:bCs w:val="0"/>
        </w:rPr>
      </w:pPr>
      <w:bookmarkStart w:id="26" w:name="_Toc15396603"/>
      <w:bookmarkStart w:id="27" w:name="_Toc81667029"/>
      <w:bookmarkStart w:id="28" w:name="_Toc15377205"/>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26"/>
      <w:bookmarkEnd w:id="27"/>
      <w:bookmarkEnd w:id="28"/>
    </w:p>
    <w:p>
      <w:pPr>
        <w:spacing w:line="600" w:lineRule="exact"/>
        <w:ind w:firstLine="640" w:firstLineChars="200"/>
        <w:rPr>
          <w:rFonts w:ascii="仿宋" w:hAnsi="仿宋" w:eastAsia="仿宋"/>
          <w:color w:val="000000"/>
          <w:sz w:val="32"/>
          <w:szCs w:val="32"/>
        </w:rPr>
      </w:pPr>
      <w:r>
        <w:rPr>
          <w:rFonts w:ascii="仿宋" w:hAnsi="仿宋" w:eastAsia="仿宋" w:cs="仿宋"/>
          <w:sz w:val="32"/>
          <w:szCs w:val="32"/>
        </w:rPr>
        <w:t>2020</w:t>
      </w:r>
      <w:r>
        <w:rPr>
          <w:rFonts w:hint="eastAsia" w:ascii="仿宋" w:hAnsi="仿宋" w:eastAsia="仿宋" w:cs="仿宋"/>
          <w:sz w:val="32"/>
          <w:szCs w:val="32"/>
        </w:rPr>
        <w:t>年度收、支总计</w:t>
      </w:r>
      <w:r>
        <w:rPr>
          <w:rFonts w:ascii="仿宋" w:hAnsi="仿宋" w:eastAsia="仿宋" w:cs="仿宋"/>
          <w:color w:val="000000"/>
          <w:sz w:val="32"/>
          <w:szCs w:val="32"/>
        </w:rPr>
        <w:t>1,031.72</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年相比，收、支总计各增加</w:t>
      </w:r>
      <w:r>
        <w:rPr>
          <w:rFonts w:ascii="仿宋" w:hAnsi="仿宋" w:eastAsia="仿宋" w:cs="仿宋"/>
          <w:color w:val="000000"/>
          <w:sz w:val="32"/>
          <w:szCs w:val="32"/>
        </w:rPr>
        <w:t>838.01</w:t>
      </w:r>
      <w:r>
        <w:rPr>
          <w:rFonts w:hint="eastAsia" w:ascii="仿宋" w:hAnsi="仿宋" w:eastAsia="仿宋" w:cs="仿宋"/>
          <w:color w:val="000000"/>
          <w:sz w:val="32"/>
          <w:szCs w:val="32"/>
        </w:rPr>
        <w:t>万元，增长</w:t>
      </w:r>
      <w:r>
        <w:rPr>
          <w:rFonts w:ascii="仿宋" w:hAnsi="仿宋" w:eastAsia="仿宋" w:cs="仿宋"/>
          <w:color w:val="000000"/>
          <w:sz w:val="32"/>
          <w:szCs w:val="32"/>
        </w:rPr>
        <w:t>432.61%</w:t>
      </w:r>
      <w:r>
        <w:rPr>
          <w:rFonts w:hint="eastAsia" w:ascii="仿宋" w:hAnsi="仿宋" w:eastAsia="仿宋" w:cs="仿宋"/>
          <w:color w:val="000000"/>
          <w:sz w:val="32"/>
          <w:szCs w:val="32"/>
        </w:rPr>
        <w:t>。主要变动原因是机构改革，原人事厅机关服务中心和原劳动和社会保障厅机关服务中心合并，预算经费增加。</w:t>
      </w:r>
    </w:p>
    <w:p>
      <w:pPr>
        <w:spacing w:line="600" w:lineRule="exact"/>
        <w:ind w:firstLine="420" w:firstLineChars="200"/>
        <w:rPr>
          <w:rFonts w:ascii="仿宋" w:hAnsi="仿宋" w:eastAsia="仿宋"/>
          <w:sz w:val="32"/>
          <w:szCs w:val="32"/>
        </w:rPr>
      </w:pPr>
      <w:r>
        <w:pict>
          <v:shape id="_x0000_s1026" o:spid="_x0000_s1026" o:spt="75" type="#_x0000_t75" style="position:absolute;left:0pt;margin-left:68.25pt;margin-top:37.55pt;height:147.85pt;width:278.3pt;mso-wrap-distance-bottom:0pt;mso-wrap-distance-top:0pt;z-index:251658240;mso-width-relative:page;mso-height-relative:page;" o:ole="t" filled="f" o:preferrelative="t" stroked="f" coordsize="21600,21600">
            <v:path/>
            <v:fill on="f" focussize="0,0"/>
            <v:stroke on="f" joinstyle="miter"/>
            <v:imagedata r:id="rId8" o:title=""/>
            <o:lock v:ext="edit" aspectratio="t"/>
            <w10:wrap type="topAndBottom"/>
          </v:shape>
          <o:OLEObject Type="Embed" ProgID="MSGraph.Chart.8" ShapeID="_x0000_s1026" DrawAspect="Content" ObjectID="_1468075725" r:id="rId7">
            <o:LockedField>false</o:LockedField>
          </o:OLEObject>
        </w:pict>
      </w: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：收、支决算总计变动情况图）（单位：万元）</w:t>
      </w:r>
    </w:p>
    <w:p>
      <w:pPr>
        <w:pStyle w:val="28"/>
        <w:numPr>
          <w:ilvl w:val="0"/>
          <w:numId w:val="2"/>
        </w:numPr>
        <w:ind w:left="1361" w:firstLineChars="0"/>
        <w:outlineLvl w:val="1"/>
        <w:rPr>
          <w:rStyle w:val="18"/>
          <w:rFonts w:ascii="黑体" w:hAnsi="黑体" w:eastAsia="黑体" w:cs="Times New Roman"/>
          <w:b w:val="0"/>
          <w:bCs w:val="0"/>
        </w:rPr>
      </w:pPr>
      <w:bookmarkStart w:id="29" w:name="_Toc15377206"/>
      <w:bookmarkStart w:id="30" w:name="_Toc81667030"/>
      <w:bookmarkStart w:id="31" w:name="_Toc15396604"/>
      <w:r>
        <w:rPr>
          <w:rFonts w:hint="eastAsia" w:ascii="黑体" w:hAnsi="黑体" w:eastAsia="黑体" w:cs="黑体"/>
          <w:sz w:val="32"/>
          <w:szCs w:val="32"/>
        </w:rPr>
        <w:t>收</w:t>
      </w:r>
      <w:r>
        <w:rPr>
          <w:rStyle w:val="18"/>
          <w:rFonts w:hint="eastAsia" w:ascii="黑体" w:hAnsi="黑体" w:eastAsia="黑体" w:cs="黑体"/>
          <w:b w:val="0"/>
          <w:bCs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81667031"/>
      <w:r>
        <w:rPr>
          <w:rFonts w:ascii="仿宋" w:hAnsi="仿宋" w:eastAsia="仿宋" w:cs="仿宋"/>
          <w:sz w:val="32"/>
          <w:szCs w:val="32"/>
        </w:rPr>
        <w:t>2020</w:t>
      </w:r>
      <w:r>
        <w:rPr>
          <w:rFonts w:hint="eastAsia" w:ascii="仿宋" w:hAnsi="仿宋" w:eastAsia="仿宋" w:cs="仿宋"/>
          <w:sz w:val="32"/>
          <w:szCs w:val="32"/>
        </w:rPr>
        <w:t>年本年收入合计</w:t>
      </w:r>
      <w:r>
        <w:rPr>
          <w:rFonts w:ascii="仿宋" w:hAnsi="仿宋" w:eastAsia="仿宋" w:cs="仿宋"/>
          <w:color w:val="000000"/>
          <w:sz w:val="32"/>
          <w:szCs w:val="32"/>
        </w:rPr>
        <w:t>1,022.01</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1,022.01</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w:t>
      </w:r>
      <w:bookmarkEnd w:id="32"/>
    </w:p>
    <w:p>
      <w:pPr>
        <w:tabs>
          <w:tab w:val="left" w:pos="420"/>
        </w:tabs>
        <w:spacing w:line="600" w:lineRule="exact"/>
        <w:ind w:firstLine="420" w:firstLineChars="200"/>
        <w:rPr>
          <w:rFonts w:ascii="仿宋" w:hAnsi="仿宋" w:eastAsia="仿宋"/>
          <w:sz w:val="32"/>
          <w:szCs w:val="32"/>
        </w:rPr>
      </w:pPr>
      <w:r>
        <w:pict>
          <v:shape id="_x0000_s1027" o:spid="_x0000_s1027" o:spt="75" type="#_x0000_t75" style="position:absolute;left:0pt;margin-left:68.25pt;margin-top:33.6pt;height:140.45pt;width:267.85pt;mso-wrap-distance-bottom:0pt;mso-wrap-distance-top:0pt;z-index:251659264;mso-width-relative:page;mso-height-relative:page;" o:ole="t" filled="f" o:preferrelative="t" stroked="f" coordsize="21600,21600">
            <v:path/>
            <v:fill on="f" focussize="0,0"/>
            <v:stroke on="f" joinstyle="miter"/>
            <v:imagedata r:id="rId10" o:title=""/>
            <o:lock v:ext="edit" aspectratio="t"/>
            <w10:wrap type="topAndBottom"/>
          </v:shape>
          <o:OLEObject Type="Embed" ProgID="MSGraph.Chart.8" ShapeID="_x0000_s1027" DrawAspect="Content" ObjectID="_1468075726" r:id="rId9">
            <o:LockedField>false</o:LockedField>
          </o:OLEObject>
        </w:pict>
      </w: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pStyle w:val="28"/>
        <w:numPr>
          <w:ilvl w:val="0"/>
          <w:numId w:val="2"/>
        </w:numPr>
        <w:spacing w:line="600" w:lineRule="exact"/>
        <w:ind w:firstLineChars="0"/>
        <w:outlineLvl w:val="1"/>
        <w:rPr>
          <w:rStyle w:val="18"/>
          <w:rFonts w:ascii="黑体" w:hAnsi="黑体" w:eastAsia="黑体" w:cs="Times New Roman"/>
          <w:b w:val="0"/>
          <w:bCs w:val="0"/>
        </w:rPr>
      </w:pPr>
      <w:bookmarkStart w:id="33" w:name="_Toc15396605"/>
      <w:bookmarkStart w:id="34" w:name="_Toc15377207"/>
      <w:bookmarkStart w:id="35" w:name="_Toc81667032"/>
      <w:r>
        <w:rPr>
          <w:rFonts w:hint="eastAsia" w:ascii="黑体" w:hAnsi="黑体" w:eastAsia="黑体" w:cs="黑体"/>
          <w:sz w:val="32"/>
          <w:szCs w:val="32"/>
        </w:rPr>
        <w:t>支</w:t>
      </w:r>
      <w:r>
        <w:rPr>
          <w:rStyle w:val="18"/>
          <w:rFonts w:hint="eastAsia" w:ascii="黑体" w:hAnsi="黑体" w:eastAsia="黑体" w:cs="黑体"/>
          <w:b w:val="0"/>
          <w:bCs w:val="0"/>
        </w:rPr>
        <w:t>出决算情况说明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81667033"/>
      <w:r>
        <w:rPr>
          <w:rFonts w:ascii="仿宋" w:hAnsi="仿宋" w:eastAsia="仿宋" w:cs="仿宋"/>
          <w:sz w:val="32"/>
          <w:szCs w:val="32"/>
        </w:rPr>
        <w:t>2020</w:t>
      </w:r>
      <w:r>
        <w:rPr>
          <w:rFonts w:hint="eastAsia" w:ascii="仿宋" w:hAnsi="仿宋" w:eastAsia="仿宋" w:cs="仿宋"/>
          <w:sz w:val="32"/>
          <w:szCs w:val="32"/>
        </w:rPr>
        <w:t>年本年支出合计</w:t>
      </w:r>
      <w:r>
        <w:rPr>
          <w:rFonts w:ascii="仿宋" w:hAnsi="仿宋" w:eastAsia="仿宋" w:cs="仿宋"/>
          <w:color w:val="000000"/>
          <w:sz w:val="32"/>
          <w:szCs w:val="32"/>
        </w:rPr>
        <w:t>1,031.72</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576.78</w:t>
      </w:r>
      <w:r>
        <w:rPr>
          <w:rFonts w:hint="eastAsia" w:ascii="仿宋" w:hAnsi="仿宋" w:eastAsia="仿宋" w:cs="仿宋"/>
          <w:color w:val="000000"/>
          <w:sz w:val="32"/>
          <w:szCs w:val="32"/>
        </w:rPr>
        <w:t>万元，占</w:t>
      </w:r>
      <w:r>
        <w:rPr>
          <w:rFonts w:ascii="仿宋" w:hAnsi="仿宋" w:eastAsia="仿宋" w:cs="仿宋"/>
          <w:color w:val="000000"/>
          <w:sz w:val="32"/>
          <w:szCs w:val="32"/>
        </w:rPr>
        <w:t>55.9%</w:t>
      </w:r>
      <w:r>
        <w:rPr>
          <w:rFonts w:hint="eastAsia" w:ascii="仿宋" w:hAnsi="仿宋" w:eastAsia="仿宋" w:cs="仿宋"/>
          <w:color w:val="000000"/>
          <w:sz w:val="32"/>
          <w:szCs w:val="32"/>
        </w:rPr>
        <w:t>；项目支出</w:t>
      </w:r>
      <w:r>
        <w:rPr>
          <w:rFonts w:ascii="仿宋" w:hAnsi="仿宋" w:eastAsia="仿宋" w:cs="仿宋"/>
          <w:color w:val="000000"/>
          <w:sz w:val="32"/>
          <w:szCs w:val="32"/>
        </w:rPr>
        <w:t>454.94</w:t>
      </w:r>
      <w:r>
        <w:rPr>
          <w:rFonts w:hint="eastAsia" w:ascii="仿宋" w:hAnsi="仿宋" w:eastAsia="仿宋" w:cs="仿宋"/>
          <w:color w:val="000000"/>
          <w:sz w:val="32"/>
          <w:szCs w:val="32"/>
        </w:rPr>
        <w:t>万元，占</w:t>
      </w:r>
      <w:r>
        <w:rPr>
          <w:rFonts w:ascii="仿宋" w:hAnsi="仿宋" w:eastAsia="仿宋" w:cs="仿宋"/>
          <w:color w:val="000000"/>
          <w:sz w:val="32"/>
          <w:szCs w:val="32"/>
        </w:rPr>
        <w:t>44.1%</w:t>
      </w:r>
      <w:r>
        <w:rPr>
          <w:rFonts w:hint="eastAsia" w:ascii="仿宋" w:hAnsi="仿宋" w:eastAsia="仿宋" w:cs="仿宋"/>
          <w:color w:val="000000"/>
          <w:sz w:val="32"/>
          <w:szCs w:val="32"/>
        </w:rPr>
        <w:t>。</w:t>
      </w:r>
      <w:bookmarkEnd w:id="36"/>
    </w:p>
    <w:p>
      <w:pPr>
        <w:spacing w:line="600" w:lineRule="exact"/>
        <w:ind w:firstLine="420" w:firstLineChars="200"/>
        <w:rPr>
          <w:rFonts w:ascii="仿宋" w:hAnsi="仿宋" w:eastAsia="仿宋"/>
          <w:sz w:val="32"/>
          <w:szCs w:val="32"/>
        </w:rPr>
      </w:pPr>
      <w:r>
        <w:pict>
          <v:shape id="_x0000_s1028" o:spid="_x0000_s1028" o:spt="75" type="#_x0000_t75" style="position:absolute;left:0pt;margin-left:52.5pt;margin-top:36pt;height:148.25pt;width:294.3pt;mso-wrap-distance-bottom:0pt;mso-wrap-distance-top:0pt;z-index:251660288;mso-width-relative:page;mso-height-relative:page;" o:ole="t" filled="f" o:preferrelative="t" stroked="f" coordsize="21600,21600">
            <v:path/>
            <v:fill on="f" focussize="0,0"/>
            <v:stroke on="f" joinstyle="miter"/>
            <v:imagedata r:id="rId12" o:title=""/>
            <o:lock v:ext="edit" aspectratio="t"/>
            <w10:wrap type="topAndBottom"/>
          </v:shape>
          <o:OLEObject Type="Embed" ProgID="MSGraph.Chart.8" ShapeID="_x0000_s1028" DrawAspect="Content" ObjectID="_1468075727" r:id="rId11">
            <o:LockedField>false</o:LockedField>
          </o:OLEObject>
        </w:pict>
      </w: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spacing w:line="600" w:lineRule="exact"/>
        <w:ind w:firstLine="640" w:firstLineChars="200"/>
        <w:outlineLvl w:val="1"/>
        <w:rPr>
          <w:rStyle w:val="18"/>
          <w:rFonts w:ascii="黑体" w:hAnsi="黑体" w:eastAsia="黑体" w:cs="Times New Roman"/>
          <w:b w:val="0"/>
          <w:bCs w:val="0"/>
        </w:rPr>
      </w:pPr>
      <w:bookmarkStart w:id="37" w:name="_Toc15377208"/>
      <w:bookmarkStart w:id="38" w:name="_Toc81667034"/>
      <w:bookmarkStart w:id="39" w:name="_Toc15396606"/>
      <w:r>
        <w:rPr>
          <w:rFonts w:hint="eastAsia" w:ascii="黑体" w:hAnsi="黑体" w:eastAsia="黑体" w:cs="黑体"/>
          <w:sz w:val="32"/>
          <w:szCs w:val="32"/>
        </w:rPr>
        <w:t>四、财</w:t>
      </w:r>
      <w:r>
        <w:rPr>
          <w:rStyle w:val="18"/>
          <w:rFonts w:hint="eastAsia" w:ascii="黑体" w:hAnsi="黑体" w:eastAsia="黑体" w:cs="黑体"/>
          <w:b w:val="0"/>
          <w:bCs w:val="0"/>
        </w:rPr>
        <w:t>政拨款收入支出决算总体情况说明</w:t>
      </w:r>
      <w:bookmarkEnd w:id="37"/>
      <w:bookmarkEnd w:id="38"/>
      <w:bookmarkEnd w:id="39"/>
    </w:p>
    <w:p>
      <w:pPr>
        <w:spacing w:line="600" w:lineRule="exact"/>
        <w:rPr>
          <w:rFonts w:ascii="仿宋" w:hAnsi="仿宋" w:eastAsia="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年财政拨款收、支总计</w:t>
      </w:r>
      <w:r>
        <w:rPr>
          <w:rFonts w:ascii="仿宋" w:hAnsi="仿宋" w:eastAsia="仿宋" w:cs="仿宋"/>
          <w:color w:val="000000"/>
          <w:sz w:val="32"/>
          <w:szCs w:val="32"/>
        </w:rPr>
        <w:t>1,022.01</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年相比，财政拨款收、支总计各增加</w:t>
      </w:r>
      <w:r>
        <w:rPr>
          <w:rFonts w:ascii="仿宋" w:hAnsi="仿宋" w:eastAsia="仿宋" w:cs="仿宋"/>
          <w:color w:val="000000"/>
          <w:sz w:val="32"/>
          <w:szCs w:val="32"/>
        </w:rPr>
        <w:t>828.3</w:t>
      </w:r>
      <w:r>
        <w:rPr>
          <w:rFonts w:hint="eastAsia" w:ascii="仿宋" w:hAnsi="仿宋" w:eastAsia="仿宋" w:cs="仿宋"/>
          <w:color w:val="000000"/>
          <w:sz w:val="32"/>
          <w:szCs w:val="32"/>
        </w:rPr>
        <w:t>万元，增长</w:t>
      </w:r>
      <w:r>
        <w:rPr>
          <w:rFonts w:ascii="仿宋" w:hAnsi="仿宋" w:eastAsia="仿宋" w:cs="仿宋"/>
          <w:color w:val="000000"/>
          <w:sz w:val="32"/>
          <w:szCs w:val="32"/>
        </w:rPr>
        <w:t>427.6%</w:t>
      </w:r>
      <w:r>
        <w:rPr>
          <w:rFonts w:hint="eastAsia" w:ascii="仿宋" w:hAnsi="仿宋" w:eastAsia="仿宋" w:cs="仿宋"/>
          <w:color w:val="000000"/>
          <w:sz w:val="32"/>
          <w:szCs w:val="32"/>
        </w:rPr>
        <w:t>。主要变动原因是机构改革，原人事厅机关服务中心和原劳动和社会保障厅机关服务中心合并，预算经费增加。</w:t>
      </w:r>
    </w:p>
    <w:p>
      <w:pPr>
        <w:spacing w:line="600" w:lineRule="exact"/>
        <w:ind w:firstLine="420" w:firstLineChars="200"/>
        <w:rPr>
          <w:rFonts w:ascii="仿宋" w:hAnsi="仿宋" w:eastAsia="仿宋"/>
          <w:spacing w:val="-8"/>
          <w:sz w:val="32"/>
          <w:szCs w:val="32"/>
        </w:rPr>
      </w:pPr>
      <w:r>
        <w:pict>
          <v:shape id="_x0000_s1029" o:spid="_x0000_s1029" o:spt="75" type="#_x0000_t75" style="position:absolute;left:0pt;margin-left:63pt;margin-top:35.95pt;height:163.8pt;width:291.7pt;mso-wrap-distance-bottom:0pt;mso-wrap-distance-top:0pt;z-index:251661312;mso-width-relative:page;mso-height-relative:page;" o:ole="t" filled="f" o:preferrelative="t" stroked="f" coordsize="21600,21600">
            <v:path/>
            <v:fill on="f" focussize="0,0"/>
            <v:stroke on="f" joinstyle="miter"/>
            <v:imagedata r:id="rId14" o:title=""/>
            <o:lock v:ext="edit" aspectratio="t"/>
            <w10:wrap type="topAndBottom"/>
          </v:shape>
          <o:OLEObject Type="Embed" ProgID="MSGraph.Chart.8" ShapeID="_x0000_s1029" DrawAspect="Content" ObjectID="_1468075728" r:id="rId13">
            <o:LockedField>false</o:LockedField>
          </o:OLEObject>
        </w:pict>
      </w:r>
      <w:r>
        <w:rPr>
          <w:rFonts w:hint="eastAsia" w:ascii="仿宋" w:hAnsi="仿宋" w:eastAsia="仿宋" w:cs="仿宋"/>
          <w:sz w:val="32"/>
          <w:szCs w:val="32"/>
        </w:rPr>
        <w:t>（</w:t>
      </w:r>
      <w:r>
        <w:rPr>
          <w:rFonts w:hint="eastAsia" w:ascii="仿宋" w:hAnsi="仿宋" w:eastAsia="仿宋" w:cs="仿宋"/>
          <w:spacing w:val="-8"/>
          <w:sz w:val="32"/>
          <w:szCs w:val="32"/>
        </w:rPr>
        <w:t>图</w:t>
      </w:r>
      <w:r>
        <w:rPr>
          <w:rFonts w:ascii="仿宋" w:hAnsi="仿宋" w:eastAsia="仿宋" w:cs="仿宋"/>
          <w:spacing w:val="-8"/>
          <w:sz w:val="32"/>
          <w:szCs w:val="32"/>
        </w:rPr>
        <w:t>4</w:t>
      </w:r>
      <w:r>
        <w:rPr>
          <w:rFonts w:hint="eastAsia" w:ascii="仿宋" w:hAnsi="仿宋" w:eastAsia="仿宋" w:cs="仿宋"/>
          <w:spacing w:val="-8"/>
          <w:sz w:val="32"/>
          <w:szCs w:val="32"/>
        </w:rPr>
        <w:t>：财政拨款收、支决算总计变动情况）（单位：万元）</w:t>
      </w:r>
    </w:p>
    <w:p>
      <w:pPr>
        <w:spacing w:line="600" w:lineRule="exact"/>
        <w:ind w:firstLine="640" w:firstLineChars="200"/>
        <w:outlineLvl w:val="1"/>
        <w:rPr>
          <w:rStyle w:val="18"/>
          <w:rFonts w:ascii="黑体" w:hAnsi="黑体" w:eastAsia="黑体" w:cs="Times New Roman"/>
          <w:b w:val="0"/>
          <w:bCs w:val="0"/>
        </w:rPr>
      </w:pPr>
      <w:bookmarkStart w:id="40" w:name="_Toc15377209"/>
      <w:bookmarkStart w:id="41" w:name="_Toc15396607"/>
      <w:bookmarkStart w:id="42" w:name="_Toc81667035"/>
      <w:r>
        <w:rPr>
          <w:rFonts w:hint="eastAsia" w:ascii="黑体" w:hAnsi="黑体" w:eastAsia="黑体" w:cs="黑体"/>
          <w:sz w:val="32"/>
          <w:szCs w:val="32"/>
        </w:rPr>
        <w:t>五、</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般公共预算财政拨款支出决算情况说明</w:t>
      </w:r>
      <w:bookmarkEnd w:id="40"/>
      <w:bookmarkEnd w:id="41"/>
      <w:bookmarkEnd w:id="42"/>
    </w:p>
    <w:p>
      <w:pPr>
        <w:spacing w:line="600" w:lineRule="exact"/>
        <w:ind w:firstLine="642" w:firstLineChars="200"/>
        <w:outlineLvl w:val="2"/>
        <w:rPr>
          <w:rFonts w:ascii="仿宋" w:hAnsi="仿宋" w:eastAsia="仿宋"/>
          <w:b/>
          <w:bCs/>
          <w:sz w:val="32"/>
          <w:szCs w:val="32"/>
        </w:rPr>
      </w:pPr>
      <w:bookmarkStart w:id="43" w:name="_Toc15377210"/>
      <w:bookmarkStart w:id="44" w:name="_Toc81667036"/>
      <w:r>
        <w:rPr>
          <w:rFonts w:hint="eastAsia" w:ascii="仿宋" w:hAnsi="仿宋" w:eastAsia="仿宋" w:cs="仿宋"/>
          <w:b/>
          <w:bCs/>
          <w:sz w:val="32"/>
          <w:szCs w:val="32"/>
        </w:rPr>
        <w:t>（一）一般公共预算财政拨款支出决算总体情况</w:t>
      </w:r>
      <w:bookmarkEnd w:id="43"/>
      <w:bookmarkEnd w:id="44"/>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color w:val="000000"/>
          <w:sz w:val="32"/>
          <w:szCs w:val="32"/>
        </w:rPr>
        <w:t>1,022.01</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99.06%</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828.3</w:t>
      </w:r>
      <w:r>
        <w:rPr>
          <w:rFonts w:hint="eastAsia" w:ascii="仿宋" w:hAnsi="仿宋" w:eastAsia="仿宋" w:cs="仿宋"/>
          <w:color w:val="000000"/>
          <w:sz w:val="32"/>
          <w:szCs w:val="32"/>
        </w:rPr>
        <w:t>万元，增长</w:t>
      </w:r>
      <w:r>
        <w:rPr>
          <w:rFonts w:ascii="仿宋" w:hAnsi="仿宋" w:eastAsia="仿宋" w:cs="仿宋"/>
          <w:color w:val="000000"/>
          <w:sz w:val="32"/>
          <w:szCs w:val="32"/>
        </w:rPr>
        <w:t>427.6%</w:t>
      </w:r>
      <w:r>
        <w:rPr>
          <w:rFonts w:hint="eastAsia" w:ascii="仿宋" w:hAnsi="仿宋" w:eastAsia="仿宋" w:cs="仿宋"/>
          <w:color w:val="000000"/>
          <w:sz w:val="32"/>
          <w:szCs w:val="32"/>
        </w:rPr>
        <w:t>。主要变动原因是机构改革，原人事厅机关服务中心和原劳动和社会保障厅机关服务中心合并，预算经费增加。</w:t>
      </w:r>
    </w:p>
    <w:p>
      <w:pPr>
        <w:spacing w:line="600" w:lineRule="exact"/>
        <w:ind w:firstLine="420" w:firstLineChars="200"/>
        <w:rPr>
          <w:rFonts w:ascii="仿宋" w:hAnsi="仿宋" w:eastAsia="仿宋"/>
          <w:sz w:val="32"/>
          <w:szCs w:val="32"/>
        </w:rPr>
      </w:pPr>
      <w:r>
        <w:pict>
          <v:shape id="_x0000_s1030" o:spid="_x0000_s1030" o:spt="75" type="#_x0000_t75" style="position:absolute;left:0pt;margin-left:68.25pt;margin-top:37.2pt;height:163.8pt;width:273pt;mso-wrap-distance-bottom:0pt;mso-wrap-distance-top:0pt;z-index:251662336;mso-width-relative:page;mso-height-relative:page;" o:ole="t" filled="f" o:preferrelative="t" stroked="f" coordsize="21600,21600">
            <v:path/>
            <v:fill on="f" focussize="0,0"/>
            <v:stroke on="f" joinstyle="miter"/>
            <v:imagedata r:id="rId16" o:title=""/>
            <o:lock v:ext="edit" aspectratio="t"/>
            <w10:wrap type="topAndBottom"/>
          </v:shape>
          <o:OLEObject Type="Embed" ProgID="MSGraph.Chart.8" ShapeID="_x0000_s1030" DrawAspect="Content" ObjectID="_1468075729" r:id="rId15">
            <o:LockedField>false</o:LockedField>
          </o:OLEObject>
        </w:pict>
      </w:r>
      <w:r>
        <w:rPr>
          <w:rFonts w:hint="eastAsia" w:ascii="仿宋" w:hAnsi="仿宋" w:eastAsia="仿宋" w:cs="仿宋"/>
          <w:sz w:val="32"/>
          <w:szCs w:val="32"/>
        </w:rPr>
        <w:t>（</w:t>
      </w:r>
      <w:r>
        <w:rPr>
          <w:rFonts w:hint="eastAsia" w:ascii="仿宋" w:hAnsi="仿宋" w:eastAsia="仿宋" w:cs="仿宋"/>
          <w:spacing w:val="-20"/>
          <w:sz w:val="32"/>
          <w:szCs w:val="32"/>
        </w:rPr>
        <w:t>图</w:t>
      </w:r>
      <w:r>
        <w:rPr>
          <w:rFonts w:ascii="仿宋" w:hAnsi="仿宋" w:eastAsia="仿宋" w:cs="仿宋"/>
          <w:spacing w:val="-20"/>
          <w:sz w:val="32"/>
          <w:szCs w:val="32"/>
        </w:rPr>
        <w:t>5</w:t>
      </w:r>
      <w:r>
        <w:rPr>
          <w:rFonts w:hint="eastAsia" w:ascii="仿宋" w:hAnsi="仿宋" w:eastAsia="仿宋" w:cs="仿宋"/>
          <w:spacing w:val="-20"/>
          <w:sz w:val="32"/>
          <w:szCs w:val="32"/>
        </w:rPr>
        <w:t>：一般公共预算财政拨款支出决算变动情况）（单位：万元</w:t>
      </w:r>
      <w:r>
        <w:rPr>
          <w:rFonts w:hint="eastAsia" w:ascii="仿宋" w:hAnsi="仿宋" w:eastAsia="仿宋" w:cs="仿宋"/>
          <w:sz w:val="32"/>
          <w:szCs w:val="32"/>
        </w:rPr>
        <w:t>）</w:t>
      </w:r>
    </w:p>
    <w:p>
      <w:pPr>
        <w:spacing w:line="600" w:lineRule="exact"/>
        <w:ind w:firstLine="642" w:firstLineChars="200"/>
        <w:outlineLvl w:val="2"/>
        <w:rPr>
          <w:rFonts w:ascii="仿宋" w:hAnsi="仿宋" w:eastAsia="仿宋"/>
          <w:b/>
          <w:bCs/>
          <w:sz w:val="32"/>
          <w:szCs w:val="32"/>
        </w:rPr>
      </w:pPr>
      <w:bookmarkStart w:id="45" w:name="_Toc81667037"/>
      <w:bookmarkStart w:id="46" w:name="_Toc15377211"/>
      <w:r>
        <w:rPr>
          <w:rFonts w:hint="eastAsia" w:ascii="仿宋" w:hAnsi="仿宋" w:eastAsia="仿宋" w:cs="仿宋"/>
          <w:b/>
          <w:bCs/>
          <w:sz w:val="32"/>
          <w:szCs w:val="32"/>
        </w:rPr>
        <w:t>（二）一般公共预算财政拨款支出决算结构情况</w:t>
      </w:r>
      <w:bookmarkEnd w:id="45"/>
      <w:bookmarkEnd w:id="46"/>
    </w:p>
    <w:p>
      <w:pPr>
        <w:spacing w:line="600" w:lineRule="exact"/>
        <w:ind w:firstLine="640"/>
        <w:rPr>
          <w:rFonts w:ascii="仿宋" w:hAnsi="仿宋" w:eastAsia="仿宋"/>
          <w:b/>
          <w:bCs/>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color w:val="000000"/>
          <w:sz w:val="32"/>
          <w:szCs w:val="32"/>
        </w:rPr>
        <w:t>1,022.01</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984.85</w:t>
      </w:r>
      <w:r>
        <w:rPr>
          <w:rFonts w:hint="eastAsia" w:ascii="仿宋" w:hAnsi="仿宋" w:eastAsia="仿宋" w:cs="仿宋"/>
          <w:color w:val="000000"/>
          <w:sz w:val="32"/>
          <w:szCs w:val="32"/>
        </w:rPr>
        <w:t>万元，占</w:t>
      </w:r>
      <w:r>
        <w:rPr>
          <w:rFonts w:ascii="仿宋" w:hAnsi="仿宋" w:eastAsia="仿宋" w:cs="仿宋"/>
          <w:color w:val="000000"/>
          <w:sz w:val="32"/>
          <w:szCs w:val="32"/>
        </w:rPr>
        <w:t>96.36%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卫生健康（类）</w:t>
      </w:r>
      <w:r>
        <w:rPr>
          <w:rFonts w:hint="eastAsia" w:ascii="仿宋" w:hAnsi="仿宋" w:eastAsia="仿宋" w:cs="仿宋"/>
          <w:color w:val="000000"/>
          <w:sz w:val="32"/>
          <w:szCs w:val="32"/>
        </w:rPr>
        <w:t>支出</w:t>
      </w:r>
      <w:r>
        <w:rPr>
          <w:rFonts w:ascii="仿宋" w:hAnsi="仿宋" w:eastAsia="仿宋" w:cs="仿宋"/>
          <w:color w:val="000000"/>
          <w:sz w:val="32"/>
          <w:szCs w:val="32"/>
        </w:rPr>
        <w:t>26.49</w:t>
      </w:r>
      <w:r>
        <w:rPr>
          <w:rFonts w:hint="eastAsia" w:ascii="仿宋" w:hAnsi="仿宋" w:eastAsia="仿宋" w:cs="仿宋"/>
          <w:color w:val="000000"/>
          <w:sz w:val="32"/>
          <w:szCs w:val="32"/>
        </w:rPr>
        <w:t>万元，占</w:t>
      </w:r>
      <w:r>
        <w:rPr>
          <w:rFonts w:ascii="仿宋" w:hAnsi="仿宋" w:eastAsia="仿宋" w:cs="仿宋"/>
          <w:color w:val="000000"/>
          <w:sz w:val="32"/>
          <w:szCs w:val="32"/>
        </w:rPr>
        <w:t>2.59%</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住房保障（类）</w:t>
      </w:r>
      <w:r>
        <w:rPr>
          <w:rFonts w:hint="eastAsia" w:ascii="仿宋" w:hAnsi="仿宋" w:eastAsia="仿宋" w:cs="仿宋"/>
          <w:color w:val="000000"/>
          <w:sz w:val="32"/>
          <w:szCs w:val="32"/>
        </w:rPr>
        <w:t>支出</w:t>
      </w:r>
      <w:r>
        <w:rPr>
          <w:rFonts w:ascii="仿宋" w:hAnsi="仿宋" w:eastAsia="仿宋" w:cs="仿宋"/>
          <w:color w:val="000000"/>
          <w:sz w:val="32"/>
          <w:szCs w:val="32"/>
        </w:rPr>
        <w:t>10.67</w:t>
      </w:r>
      <w:r>
        <w:rPr>
          <w:rFonts w:hint="eastAsia" w:ascii="仿宋" w:hAnsi="仿宋" w:eastAsia="仿宋" w:cs="仿宋"/>
          <w:color w:val="000000"/>
          <w:sz w:val="32"/>
          <w:szCs w:val="32"/>
        </w:rPr>
        <w:t>万元，占</w:t>
      </w:r>
      <w:r>
        <w:rPr>
          <w:rFonts w:ascii="仿宋" w:hAnsi="仿宋" w:eastAsia="仿宋" w:cs="仿宋"/>
          <w:color w:val="000000"/>
          <w:sz w:val="32"/>
          <w:szCs w:val="32"/>
        </w:rPr>
        <w:t>1.05%</w:t>
      </w:r>
      <w:r>
        <w:rPr>
          <w:rFonts w:hint="eastAsia" w:ascii="仿宋" w:hAnsi="仿宋" w:eastAsia="仿宋" w:cs="仿宋"/>
          <w:color w:val="000000"/>
          <w:sz w:val="32"/>
          <w:szCs w:val="32"/>
        </w:rPr>
        <w:t>。</w:t>
      </w:r>
    </w:p>
    <w:p>
      <w:pPr>
        <w:spacing w:line="600" w:lineRule="exact"/>
        <w:ind w:firstLine="420" w:firstLineChars="200"/>
        <w:rPr>
          <w:rFonts w:ascii="仿宋" w:hAnsi="仿宋" w:eastAsia="仿宋"/>
          <w:sz w:val="32"/>
          <w:szCs w:val="32"/>
        </w:rPr>
      </w:pPr>
      <w:r>
        <w:pict>
          <v:shape id="_x0000_s1031" o:spid="_x0000_s1031" o:spt="75" type="#_x0000_t75" style="position:absolute;left:0pt;margin-left:73.5pt;margin-top:37.2pt;height:165.1pt;width:276.8pt;mso-wrap-distance-bottom:0pt;mso-wrap-distance-top:0pt;z-index:251663360;mso-width-relative:page;mso-height-relative:page;" o:ole="t" filled="f" o:preferrelative="t" stroked="f" coordsize="21600,21600">
            <v:path/>
            <v:fill on="f" focussize="0,0"/>
            <v:stroke on="f" joinstyle="miter"/>
            <v:imagedata r:id="rId18" o:title=""/>
            <o:lock v:ext="edit" aspectratio="t"/>
            <w10:wrap type="topAndBottom"/>
          </v:shape>
          <o:OLEObject Type="Embed" ProgID="MSGraph.Chart.8" ShapeID="_x0000_s1031" DrawAspect="Content" ObjectID="_1468075730" r:id="rId17">
            <o:LockedField>false</o:LockedField>
          </o:OLEObject>
        </w:pict>
      </w: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spacing w:line="600" w:lineRule="exact"/>
        <w:ind w:firstLine="642" w:firstLineChars="200"/>
        <w:outlineLvl w:val="2"/>
        <w:rPr>
          <w:rFonts w:ascii="仿宋" w:hAnsi="仿宋" w:eastAsia="仿宋"/>
          <w:b/>
          <w:bCs/>
          <w:sz w:val="32"/>
          <w:szCs w:val="32"/>
        </w:rPr>
      </w:pPr>
      <w:bookmarkStart w:id="47" w:name="_Toc81667038"/>
      <w:bookmarkStart w:id="48" w:name="_Toc15377212"/>
      <w:r>
        <w:rPr>
          <w:rFonts w:hint="eastAsia" w:ascii="仿宋" w:hAnsi="仿宋" w:eastAsia="仿宋" w:cs="仿宋"/>
          <w:b/>
          <w:bCs/>
          <w:sz w:val="32"/>
          <w:szCs w:val="32"/>
        </w:rPr>
        <w:t>（三）一般公共预算财政拨款支出决算具体情况</w:t>
      </w:r>
      <w:bookmarkEnd w:id="47"/>
      <w:bookmarkEnd w:id="48"/>
    </w:p>
    <w:p>
      <w:pPr>
        <w:spacing w:line="600" w:lineRule="exact"/>
        <w:ind w:firstLine="642" w:firstLineChars="200"/>
        <w:outlineLvl w:val="2"/>
        <w:rPr>
          <w:rFonts w:ascii="仿宋" w:hAnsi="仿宋" w:eastAsia="仿宋"/>
          <w:color w:val="FF0000"/>
          <w:sz w:val="32"/>
          <w:szCs w:val="32"/>
        </w:rPr>
      </w:pPr>
      <w:bookmarkStart w:id="49" w:name="_Toc15378460"/>
      <w:bookmarkStart w:id="50" w:name="_Toc15377444"/>
      <w:bookmarkStart w:id="51" w:name="_Toc15377213"/>
      <w:bookmarkStart w:id="52" w:name="_Toc81667039"/>
      <w:r>
        <w:rPr>
          <w:rFonts w:ascii="仿宋" w:hAnsi="仿宋" w:eastAsia="仿宋" w:cs="仿宋"/>
          <w:b/>
          <w:bCs/>
          <w:sz w:val="32"/>
          <w:szCs w:val="32"/>
        </w:rPr>
        <w:t>2020</w:t>
      </w:r>
      <w:r>
        <w:rPr>
          <w:rFonts w:hint="eastAsia" w:ascii="仿宋" w:hAnsi="仿宋" w:eastAsia="仿宋" w:cs="仿宋"/>
          <w:b/>
          <w:bCs/>
          <w:sz w:val="32"/>
          <w:szCs w:val="32"/>
        </w:rPr>
        <w:t>年一般公共预算支出决算数为</w:t>
      </w:r>
      <w:bookmarkEnd w:id="49"/>
      <w:bookmarkEnd w:id="50"/>
      <w:bookmarkEnd w:id="51"/>
      <w:r>
        <w:rPr>
          <w:rFonts w:ascii="仿宋" w:hAnsi="仿宋" w:eastAsia="仿宋" w:cs="仿宋"/>
          <w:b/>
          <w:bCs/>
          <w:color w:val="000000"/>
          <w:sz w:val="32"/>
          <w:szCs w:val="32"/>
        </w:rPr>
        <w:t>1,022.01</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5"/>
          <w:rFonts w:hint="eastAsia" w:ascii="仿宋" w:hAnsi="仿宋" w:eastAsia="仿宋" w:cs="仿宋"/>
          <w:color w:val="000000"/>
          <w:sz w:val="32"/>
          <w:szCs w:val="32"/>
        </w:rPr>
        <w:t>完成预算</w:t>
      </w:r>
      <w:r>
        <w:rPr>
          <w:rStyle w:val="15"/>
          <w:rFonts w:ascii="仿宋" w:hAnsi="仿宋" w:eastAsia="仿宋" w:cs="仿宋"/>
          <w:color w:val="000000"/>
          <w:sz w:val="32"/>
          <w:szCs w:val="32"/>
        </w:rPr>
        <w:t>87.52%</w:t>
      </w:r>
      <w:r>
        <w:rPr>
          <w:rStyle w:val="15"/>
          <w:rFonts w:hint="eastAsia" w:ascii="仿宋" w:hAnsi="仿宋" w:eastAsia="仿宋" w:cs="仿宋"/>
          <w:color w:val="000000"/>
          <w:sz w:val="32"/>
          <w:szCs w:val="32"/>
        </w:rPr>
        <w:t>。其中：</w:t>
      </w:r>
      <w:bookmarkEnd w:id="52"/>
    </w:p>
    <w:p>
      <w:pPr>
        <w:spacing w:line="600" w:lineRule="exact"/>
        <w:ind w:firstLine="642" w:firstLineChars="200"/>
        <w:rPr>
          <w:rFonts w:ascii="仿宋" w:hAnsi="仿宋" w:eastAsia="仿宋"/>
          <w:b/>
          <w:bCs/>
          <w:color w:val="00000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社会保障和就业（类）人力资源和社会保障管理事务（款）机关服务（项）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899.32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88.79%</w:t>
      </w:r>
      <w:r>
        <w:rPr>
          <w:rStyle w:val="15"/>
          <w:rFonts w:hint="eastAsia" w:ascii="仿宋" w:hAnsi="仿宋" w:eastAsia="仿宋" w:cs="仿宋"/>
          <w:b w:val="0"/>
          <w:bCs w:val="0"/>
          <w:color w:val="000000"/>
          <w:sz w:val="32"/>
          <w:szCs w:val="32"/>
        </w:rPr>
        <w:t>，决算数小于预算数的主要原因是人员变动，造成经费结余。</w:t>
      </w:r>
    </w:p>
    <w:p>
      <w:pPr>
        <w:spacing w:line="600" w:lineRule="exact"/>
        <w:ind w:firstLine="642" w:firstLineChars="200"/>
        <w:rPr>
          <w:rFonts w:ascii="仿宋" w:hAnsi="仿宋" w:eastAsia="仿宋"/>
          <w:b/>
          <w:bCs/>
          <w:color w:val="000000"/>
          <w:sz w:val="32"/>
          <w:szCs w:val="32"/>
        </w:rPr>
      </w:pPr>
      <w:r>
        <w:rPr>
          <w:rStyle w:val="15"/>
          <w:rFonts w:hint="eastAsia" w:ascii="仿宋" w:hAnsi="仿宋" w:eastAsia="仿宋" w:cs="仿宋"/>
          <w:color w:val="000000"/>
          <w:sz w:val="32"/>
          <w:szCs w:val="32"/>
        </w:rPr>
        <w:t>社会保障和就业（类）人力资源和社会保障管理事务（款）信息化建设（项）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13.11</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15"/>
          <w:rFonts w:hint="eastAsia" w:ascii="仿宋" w:hAnsi="仿宋" w:eastAsia="仿宋" w:cs="仿宋"/>
          <w:color w:val="000000"/>
          <w:sz w:val="32"/>
          <w:szCs w:val="32"/>
        </w:rPr>
        <w:t>社会保障和就业（类）行政事业单位养老支出（款）事业单位离退休（项）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39.12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15"/>
          <w:rFonts w:hint="eastAsia" w:ascii="仿宋" w:hAnsi="仿宋" w:eastAsia="仿宋" w:cs="仿宋"/>
          <w:color w:val="000000"/>
          <w:sz w:val="32"/>
          <w:szCs w:val="32"/>
        </w:rPr>
        <w:t>社会保障和就业（类）行政事业单位养老支出（款）机关事业单位基本养老保险缴费支出（项）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15.07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60.58%</w:t>
      </w:r>
      <w:r>
        <w:rPr>
          <w:rStyle w:val="15"/>
          <w:rFonts w:hint="eastAsia" w:ascii="仿宋" w:hAnsi="仿宋" w:eastAsia="仿宋" w:cs="仿宋"/>
          <w:b w:val="0"/>
          <w:bCs w:val="0"/>
          <w:color w:val="000000"/>
          <w:sz w:val="32"/>
          <w:szCs w:val="32"/>
        </w:rPr>
        <w:t>，决算数小于预算数的主要原因是人员变动，造成经费结余。</w:t>
      </w:r>
    </w:p>
    <w:p>
      <w:pPr>
        <w:spacing w:line="600" w:lineRule="exact"/>
        <w:ind w:firstLine="642" w:firstLineChars="200"/>
        <w:rPr>
          <w:rFonts w:ascii="仿宋" w:hAnsi="仿宋" w:eastAsia="仿宋"/>
          <w:b/>
          <w:bCs/>
          <w:color w:val="000000"/>
          <w:sz w:val="32"/>
          <w:szCs w:val="32"/>
        </w:rPr>
      </w:pPr>
      <w:r>
        <w:rPr>
          <w:rStyle w:val="15"/>
          <w:rFonts w:hint="eastAsia" w:ascii="仿宋" w:hAnsi="仿宋" w:eastAsia="仿宋" w:cs="仿宋"/>
          <w:color w:val="000000"/>
          <w:sz w:val="32"/>
          <w:szCs w:val="32"/>
        </w:rPr>
        <w:t>社会保障和就业（类）行政事业单位养老支出（款）机关事业单位职业年金缴费支出（项）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18.23</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2.</w:t>
      </w:r>
      <w:r>
        <w:rPr>
          <w:rFonts w:hint="eastAsia" w:ascii="仿宋" w:hAnsi="仿宋" w:eastAsia="仿宋" w:cs="仿宋"/>
          <w:b/>
          <w:bCs/>
          <w:color w:val="000000"/>
          <w:sz w:val="32"/>
          <w:szCs w:val="32"/>
        </w:rPr>
        <w:t>卫生健康（类）行政事业单位医疗（款）事业单位医疗（项）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26.49</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spacing w:line="600" w:lineRule="exact"/>
        <w:ind w:firstLine="642"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3.</w:t>
      </w:r>
      <w:r>
        <w:rPr>
          <w:rFonts w:hint="eastAsia" w:ascii="仿宋" w:hAnsi="仿宋" w:eastAsia="仿宋" w:cs="仿宋"/>
          <w:b/>
          <w:bCs/>
          <w:color w:val="000000"/>
          <w:sz w:val="32"/>
          <w:szCs w:val="32"/>
        </w:rPr>
        <w:t>住房保障（类）住房改革支出（款）住房公积金（项）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7.55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29.59%</w:t>
      </w:r>
      <w:r>
        <w:rPr>
          <w:rStyle w:val="15"/>
          <w:rFonts w:hint="eastAsia" w:ascii="仿宋" w:hAnsi="仿宋" w:eastAsia="仿宋" w:cs="仿宋"/>
          <w:b w:val="0"/>
          <w:bCs w:val="0"/>
          <w:color w:val="000000"/>
          <w:sz w:val="32"/>
          <w:szCs w:val="32"/>
        </w:rPr>
        <w:t>，决算数小于预算数的主要原因是人员变动，造成经费结余。</w:t>
      </w:r>
    </w:p>
    <w:p>
      <w:pPr>
        <w:spacing w:line="600" w:lineRule="exact"/>
        <w:rPr>
          <w:rFonts w:ascii="仿宋" w:hAnsi="仿宋" w:eastAsia="仿宋"/>
          <w:color w:val="000000"/>
          <w:sz w:val="32"/>
          <w:szCs w:val="32"/>
        </w:rPr>
      </w:pPr>
      <w:r>
        <w:rPr>
          <w:rFonts w:hint="eastAsia" w:ascii="仿宋" w:hAnsi="仿宋" w:eastAsia="仿宋" w:cs="仿宋"/>
          <w:b/>
          <w:bCs/>
          <w:color w:val="000000"/>
          <w:sz w:val="32"/>
          <w:szCs w:val="32"/>
        </w:rPr>
        <w:t>住房保障（类）住房改革支出（款）购房补贴（项）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3.12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w:t>
      </w:r>
    </w:p>
    <w:p>
      <w:pPr>
        <w:tabs>
          <w:tab w:val="right" w:pos="8306"/>
        </w:tabs>
        <w:spacing w:line="600" w:lineRule="exact"/>
        <w:ind w:firstLine="640"/>
        <w:outlineLvl w:val="1"/>
        <w:rPr>
          <w:rStyle w:val="18"/>
        </w:rPr>
      </w:pPr>
      <w:bookmarkStart w:id="53" w:name="_Toc15377214"/>
      <w:bookmarkStart w:id="54" w:name="_Toc15396608"/>
      <w:bookmarkStart w:id="55" w:name="_Toc81667040"/>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般公共预算财政拨款基本支出决算情况说明</w:t>
      </w:r>
      <w:bookmarkEnd w:id="53"/>
      <w:bookmarkEnd w:id="54"/>
      <w:bookmarkEnd w:id="55"/>
      <w:r>
        <w:rPr>
          <w:rStyle w:val="18"/>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年一般公共预算财政拨款基本支出</w:t>
      </w:r>
      <w:r>
        <w:rPr>
          <w:rFonts w:ascii="仿宋" w:hAnsi="仿宋" w:eastAsia="仿宋" w:cs="仿宋"/>
          <w:color w:val="000000"/>
          <w:sz w:val="32"/>
          <w:szCs w:val="32"/>
        </w:rPr>
        <w:t>567.07</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292.44</w:t>
      </w:r>
      <w:r>
        <w:rPr>
          <w:rFonts w:hint="eastAsia" w:ascii="仿宋" w:hAnsi="仿宋" w:eastAsia="仿宋" w:cs="仿宋"/>
          <w:color w:val="000000"/>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w:t>
      </w:r>
      <w:r>
        <w:rPr>
          <w:rFonts w:ascii="仿宋" w:hAnsi="仿宋" w:eastAsia="仿宋"/>
          <w:color w:val="000000"/>
          <w:sz w:val="32"/>
          <w:szCs w:val="32"/>
        </w:rPr>
        <w:br w:type="textWrapping"/>
      </w:r>
      <w:r>
        <w:rPr>
          <w:rFonts w:ascii="仿宋" w:hAnsi="仿宋" w:eastAsia="仿宋" w:cs="仿宋"/>
          <w:color w:val="000000"/>
          <w:sz w:val="32"/>
          <w:szCs w:val="32"/>
        </w:rPr>
        <w:t xml:space="preserve">    </w:t>
      </w:r>
      <w:r>
        <w:rPr>
          <w:rFonts w:hint="eastAsia" w:ascii="仿宋" w:hAnsi="仿宋" w:eastAsia="仿宋" w:cs="仿宋"/>
          <w:color w:val="000000"/>
          <w:sz w:val="32"/>
          <w:szCs w:val="32"/>
        </w:rPr>
        <w:t>日常公用经费</w:t>
      </w:r>
      <w:r>
        <w:rPr>
          <w:rFonts w:ascii="仿宋" w:hAnsi="仿宋" w:eastAsia="仿宋" w:cs="仿宋"/>
          <w:color w:val="000000"/>
          <w:sz w:val="32"/>
          <w:szCs w:val="32"/>
        </w:rPr>
        <w:t>274.63</w:t>
      </w:r>
      <w:r>
        <w:rPr>
          <w:rFonts w:hint="eastAsia" w:ascii="仿宋" w:hAnsi="仿宋" w:eastAsia="仿宋" w:cs="仿宋"/>
          <w:color w:val="000000"/>
          <w:sz w:val="32"/>
          <w:szCs w:val="32"/>
        </w:rPr>
        <w:t>万元，主要包括：办公费、水费、电费、邮电费、物业管理费、差旅费、维修（护）费、工会经费、福利费、公务用车运行维护费、其他交通费用、其他商品和服务支出、大型修缮。</w:t>
      </w:r>
    </w:p>
    <w:p>
      <w:pPr>
        <w:spacing w:line="600" w:lineRule="exact"/>
        <w:ind w:firstLine="640"/>
        <w:outlineLvl w:val="1"/>
        <w:rPr>
          <w:rStyle w:val="18"/>
          <w:rFonts w:ascii="黑体" w:hAnsi="黑体" w:eastAsia="黑体" w:cs="Times New Roman"/>
          <w:b w:val="0"/>
          <w:bCs w:val="0"/>
        </w:rPr>
      </w:pPr>
      <w:bookmarkStart w:id="56" w:name="_Toc15377215"/>
      <w:bookmarkStart w:id="57" w:name="_Toc15396609"/>
      <w:bookmarkStart w:id="58" w:name="_Toc81667041"/>
      <w:r>
        <w:rPr>
          <w:rFonts w:hint="eastAsia" w:ascii="黑体" w:eastAsia="黑体" w:cs="黑体"/>
          <w:sz w:val="32"/>
          <w:szCs w:val="32"/>
        </w:rPr>
        <w:t>七、</w:t>
      </w:r>
      <w:r>
        <w:rPr>
          <w:rStyle w:val="18"/>
          <w:rFonts w:hint="eastAsia" w:ascii="黑体" w:hAnsi="黑体" w:eastAsia="黑体" w:cs="黑体"/>
          <w:b w:val="0"/>
          <w:bCs w:val="0"/>
        </w:rPr>
        <w:t>“三公”经费财政拨款支出决算情况说明</w:t>
      </w:r>
      <w:bookmarkEnd w:id="56"/>
      <w:bookmarkEnd w:id="57"/>
      <w:bookmarkEnd w:id="58"/>
    </w:p>
    <w:p>
      <w:pPr>
        <w:spacing w:line="600" w:lineRule="exact"/>
        <w:ind w:firstLine="640"/>
        <w:outlineLvl w:val="2"/>
        <w:rPr>
          <w:rFonts w:ascii="仿宋" w:hAnsi="仿宋" w:eastAsia="仿宋"/>
          <w:b/>
          <w:bCs/>
          <w:sz w:val="32"/>
          <w:szCs w:val="32"/>
        </w:rPr>
      </w:pPr>
      <w:bookmarkStart w:id="59" w:name="_Toc15377216"/>
      <w:bookmarkStart w:id="60" w:name="_Toc81667042"/>
      <w:r>
        <w:rPr>
          <w:rFonts w:hint="eastAsia" w:ascii="仿宋" w:hAnsi="仿宋" w:eastAsia="仿宋" w:cs="仿宋"/>
          <w:b/>
          <w:bCs/>
          <w:sz w:val="32"/>
          <w:szCs w:val="32"/>
        </w:rPr>
        <w:t>（一）“三公”经费财政拨款支出决算总体情况说明</w:t>
      </w:r>
      <w:bookmarkEnd w:id="59"/>
      <w:bookmarkEnd w:id="60"/>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年“三公”经费财政拨款支出决算为</w:t>
      </w:r>
      <w:r>
        <w:rPr>
          <w:rFonts w:ascii="仿宋" w:hAnsi="仿宋" w:eastAsia="仿宋" w:cs="仿宋"/>
          <w:color w:val="000000"/>
          <w:sz w:val="32"/>
          <w:szCs w:val="32"/>
        </w:rPr>
        <w:t>2.58</w:t>
      </w:r>
      <w:r>
        <w:rPr>
          <w:rFonts w:hint="eastAsia" w:ascii="仿宋" w:hAnsi="仿宋" w:eastAsia="仿宋" w:cs="仿宋"/>
          <w:color w:val="000000"/>
          <w:sz w:val="32"/>
          <w:szCs w:val="32"/>
        </w:rPr>
        <w:t>万元，完成预算</w:t>
      </w:r>
      <w:r>
        <w:rPr>
          <w:rFonts w:ascii="仿宋" w:hAnsi="仿宋" w:eastAsia="仿宋" w:cs="仿宋"/>
          <w:color w:val="000000"/>
          <w:sz w:val="32"/>
          <w:szCs w:val="32"/>
        </w:rPr>
        <w:t>68.86%</w:t>
      </w:r>
      <w:r>
        <w:rPr>
          <w:rFonts w:hint="eastAsia" w:ascii="仿宋" w:hAnsi="仿宋" w:eastAsia="仿宋" w:cs="仿宋"/>
          <w:color w:val="000000"/>
          <w:sz w:val="32"/>
          <w:szCs w:val="32"/>
        </w:rPr>
        <w:t>，</w:t>
      </w:r>
      <w:r>
        <w:rPr>
          <w:rFonts w:hint="eastAsia" w:ascii="仿宋" w:hAnsi="仿宋" w:eastAsia="仿宋" w:cs="仿宋"/>
          <w:sz w:val="32"/>
          <w:szCs w:val="32"/>
        </w:rPr>
        <w:t>决算数小于预算数的主要原因是受疫情影响，公车使用减少。</w:t>
      </w:r>
    </w:p>
    <w:p>
      <w:pPr>
        <w:spacing w:line="600" w:lineRule="exact"/>
        <w:ind w:firstLine="640"/>
        <w:outlineLvl w:val="2"/>
        <w:rPr>
          <w:rFonts w:ascii="仿宋" w:hAnsi="仿宋" w:eastAsia="仿宋"/>
          <w:b/>
          <w:bCs/>
          <w:sz w:val="32"/>
          <w:szCs w:val="32"/>
        </w:rPr>
      </w:pPr>
      <w:bookmarkStart w:id="61" w:name="_Toc15377217"/>
      <w:bookmarkStart w:id="62" w:name="_Toc81667043"/>
      <w:r>
        <w:rPr>
          <w:rFonts w:hint="eastAsia" w:ascii="仿宋" w:hAnsi="仿宋" w:eastAsia="仿宋" w:cs="仿宋"/>
          <w:b/>
          <w:bCs/>
          <w:sz w:val="32"/>
          <w:szCs w:val="32"/>
        </w:rPr>
        <w:t>（二）“三公”经费财政拨款支出决算具体情况说明</w:t>
      </w:r>
      <w:bookmarkEnd w:id="61"/>
      <w:bookmarkEnd w:id="62"/>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2.58</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w:t>
      </w:r>
      <w:r>
        <w:rPr>
          <w:rFonts w:hint="eastAsia" w:ascii="仿宋" w:hAnsi="仿宋" w:eastAsia="仿宋" w:cs="仿宋"/>
          <w:sz w:val="32"/>
          <w:szCs w:val="32"/>
        </w:rPr>
        <w:t>公务接待费支出决算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。具体情况如下：</w:t>
      </w:r>
    </w:p>
    <w:p>
      <w:pPr>
        <w:spacing w:line="600" w:lineRule="exact"/>
        <w:ind w:firstLine="640"/>
        <w:rPr>
          <w:rFonts w:ascii="仿宋" w:hAnsi="仿宋" w:eastAsia="仿宋"/>
          <w:sz w:val="32"/>
          <w:szCs w:val="32"/>
        </w:rPr>
      </w:pPr>
      <w:r>
        <w:pict>
          <v:shape id="_x0000_s1032" o:spid="_x0000_s1032" o:spt="75" type="#_x0000_t75" style="position:absolute;left:0pt;margin-left:57.75pt;margin-top:31.2pt;height:163.8pt;width:299.3pt;mso-wrap-distance-bottom:0pt;mso-wrap-distance-top:0pt;z-index:251664384;mso-width-relative:page;mso-height-relative:page;" o:ole="t" filled="f" o:preferrelative="t" stroked="f" coordsize="21600,21600">
            <v:path/>
            <v:fill on="f" focussize="0,0"/>
            <v:stroke on="f" joinstyle="miter"/>
            <v:imagedata r:id="rId20" o:title=""/>
            <o:lock v:ext="edit" aspectratio="t"/>
            <w10:wrap type="topAndBottom"/>
          </v:shape>
          <o:OLEObject Type="Embed" ProgID="MSGraph.Chart.8" ShapeID="_x0000_s1032" DrawAspect="Content" ObjectID="_1468075731" r:id="rId19">
            <o:LockedField>false</o:LockedField>
          </o:OLEObject>
        </w:pict>
      </w: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w:t>
      </w:r>
    </w:p>
    <w:p>
      <w:pPr>
        <w:spacing w:line="600" w:lineRule="exact"/>
        <w:ind w:firstLine="640"/>
        <w:rPr>
          <w:rFonts w:ascii="仿宋" w:hAnsi="仿宋" w:eastAsia="仿宋"/>
          <w:color w:val="000000"/>
          <w:sz w:val="32"/>
          <w:szCs w:val="32"/>
        </w:rPr>
      </w:pPr>
      <w:r>
        <w:rPr>
          <w:rFonts w:ascii="仿宋" w:hAnsi="仿宋" w:eastAsia="仿宋" w:cs="仿宋"/>
          <w:b/>
          <w:bCs/>
          <w:sz w:val="32"/>
          <w:szCs w:val="32"/>
        </w:rPr>
        <w:t>1.</w:t>
      </w:r>
      <w:r>
        <w:rPr>
          <w:rFonts w:hint="eastAsia" w:ascii="仿宋" w:hAnsi="仿宋" w:eastAsia="仿宋" w:cs="仿宋"/>
          <w:b/>
          <w:bCs/>
          <w:sz w:val="32"/>
          <w:szCs w:val="32"/>
        </w:rPr>
        <w:t>因公出国（境）经费支出</w:t>
      </w:r>
      <w:r>
        <w:rPr>
          <w:rFonts w:ascii="仿宋" w:hAnsi="仿宋" w:eastAsia="仿宋" w:cs="仿宋"/>
          <w:sz w:val="32"/>
          <w:szCs w:val="32"/>
        </w:rPr>
        <w:t>0</w:t>
      </w:r>
      <w:r>
        <w:rPr>
          <w:rFonts w:hint="eastAsia" w:ascii="仿宋" w:hAnsi="仿宋" w:eastAsia="仿宋" w:cs="仿宋"/>
          <w:sz w:val="32"/>
          <w:szCs w:val="32"/>
        </w:rPr>
        <w:t>万元</w:t>
      </w:r>
      <w:r>
        <w:rPr>
          <w:rStyle w:val="15"/>
          <w:rFonts w:hint="eastAsia" w:ascii="仿宋" w:hAnsi="仿宋" w:eastAsia="仿宋" w:cs="仿宋"/>
          <w:b w:val="0"/>
          <w:bCs w:val="0"/>
        </w:rPr>
        <w:t>，</w:t>
      </w:r>
      <w:r>
        <w:rPr>
          <w:rFonts w:hint="eastAsia" w:ascii="仿宋" w:hAnsi="仿宋" w:eastAsia="仿宋" w:cs="仿宋"/>
          <w:color w:val="000000"/>
          <w:sz w:val="32"/>
          <w:szCs w:val="32"/>
        </w:rPr>
        <w:t>完成预算</w:t>
      </w:r>
      <w:r>
        <w:rPr>
          <w:rFonts w:ascii="仿宋" w:hAnsi="仿宋" w:eastAsia="仿宋" w:cs="仿宋"/>
          <w:color w:val="000000"/>
          <w:sz w:val="32"/>
          <w:szCs w:val="32"/>
        </w:rPr>
        <w:t>100%</w:t>
      </w:r>
      <w:r>
        <w:rPr>
          <w:rFonts w:hint="eastAsia" w:ascii="仿宋" w:hAnsi="仿宋" w:eastAsia="仿宋" w:cs="仿宋"/>
          <w:color w:val="000000"/>
          <w:sz w:val="32"/>
          <w:szCs w:val="32"/>
        </w:rPr>
        <w:t>。全年安排因公出国（境）团组</w:t>
      </w:r>
      <w:r>
        <w:rPr>
          <w:rFonts w:ascii="仿宋" w:hAnsi="仿宋" w:eastAsia="仿宋" w:cs="仿宋"/>
          <w:color w:val="000000"/>
          <w:sz w:val="32"/>
          <w:szCs w:val="32"/>
        </w:rPr>
        <w:t>0</w:t>
      </w:r>
      <w:r>
        <w:rPr>
          <w:rFonts w:hint="eastAsia" w:ascii="仿宋" w:hAnsi="仿宋" w:eastAsia="仿宋" w:cs="仿宋"/>
          <w:color w:val="000000"/>
          <w:sz w:val="32"/>
          <w:szCs w:val="32"/>
        </w:rPr>
        <w:t>次，出国（境）</w:t>
      </w:r>
      <w:r>
        <w:rPr>
          <w:rFonts w:ascii="仿宋" w:hAnsi="仿宋" w:eastAsia="仿宋" w:cs="仿宋"/>
          <w:color w:val="000000"/>
          <w:sz w:val="32"/>
          <w:szCs w:val="32"/>
        </w:rPr>
        <w:t>0</w:t>
      </w:r>
      <w:r>
        <w:rPr>
          <w:rFonts w:hint="eastAsia" w:ascii="仿宋" w:hAnsi="仿宋" w:eastAsia="仿宋" w:cs="仿宋"/>
          <w:color w:val="000000"/>
          <w:sz w:val="32"/>
          <w:szCs w:val="32"/>
        </w:rPr>
        <w:t>人。因公出国（境）支出决算与</w:t>
      </w:r>
      <w:r>
        <w:rPr>
          <w:rFonts w:ascii="仿宋" w:hAnsi="仿宋" w:eastAsia="仿宋" w:cs="仿宋"/>
          <w:color w:val="000000"/>
          <w:sz w:val="32"/>
          <w:szCs w:val="32"/>
        </w:rPr>
        <w:t>2019</w:t>
      </w:r>
      <w:r>
        <w:rPr>
          <w:rFonts w:hint="eastAsia" w:ascii="仿宋" w:hAnsi="仿宋" w:eastAsia="仿宋" w:cs="仿宋"/>
          <w:color w:val="000000"/>
          <w:sz w:val="32"/>
          <w:szCs w:val="32"/>
        </w:rPr>
        <w:t>年持平。</w:t>
      </w:r>
    </w:p>
    <w:p>
      <w:pPr>
        <w:spacing w:line="600" w:lineRule="exact"/>
        <w:ind w:firstLine="640"/>
        <w:rPr>
          <w:rFonts w:ascii="仿宋_GB2312" w:eastAsia="仿宋_GB2312"/>
          <w:b/>
          <w:bCs/>
          <w:color w:val="000000"/>
          <w:sz w:val="32"/>
          <w:szCs w:val="32"/>
        </w:rPr>
      </w:pPr>
      <w:r>
        <w:rPr>
          <w:rFonts w:ascii="仿宋" w:hAnsi="仿宋" w:eastAsia="仿宋" w:cs="仿宋"/>
          <w:b/>
          <w:bCs/>
          <w:sz w:val="32"/>
          <w:szCs w:val="32"/>
        </w:rPr>
        <w:t>2.</w:t>
      </w:r>
      <w:r>
        <w:rPr>
          <w:rFonts w:hint="eastAsia" w:ascii="仿宋" w:hAnsi="仿宋" w:eastAsia="仿宋" w:cs="仿宋"/>
          <w:b/>
          <w:bCs/>
          <w:sz w:val="32"/>
          <w:szCs w:val="32"/>
        </w:rPr>
        <w:t>公务用车购置及运行维护费支出</w:t>
      </w:r>
      <w:r>
        <w:rPr>
          <w:rFonts w:ascii="仿宋" w:hAnsi="仿宋" w:eastAsia="仿宋" w:cs="仿宋"/>
          <w:color w:val="000000"/>
          <w:sz w:val="32"/>
          <w:szCs w:val="32"/>
        </w:rPr>
        <w:t>2.58</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68.86%</w:t>
      </w:r>
      <w:r>
        <w:rPr>
          <w:rStyle w:val="15"/>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公务用车购置及运行维护费支出决算比</w:t>
      </w:r>
      <w:r>
        <w:rPr>
          <w:rFonts w:ascii="仿宋" w:hAnsi="仿宋" w:eastAsia="仿宋" w:cs="仿宋"/>
          <w:color w:val="000000"/>
          <w:sz w:val="32"/>
          <w:szCs w:val="32"/>
        </w:rPr>
        <w:t>2019</w:t>
      </w:r>
      <w:r>
        <w:rPr>
          <w:rFonts w:hint="eastAsia" w:ascii="仿宋" w:hAnsi="仿宋" w:eastAsia="仿宋" w:cs="仿宋"/>
          <w:color w:val="000000"/>
          <w:sz w:val="32"/>
          <w:szCs w:val="32"/>
        </w:rPr>
        <w:t>年增加</w:t>
      </w:r>
      <w:r>
        <w:rPr>
          <w:rFonts w:ascii="仿宋" w:hAnsi="仿宋" w:eastAsia="仿宋" w:cs="仿宋"/>
          <w:color w:val="000000"/>
          <w:sz w:val="32"/>
          <w:szCs w:val="32"/>
        </w:rPr>
        <w:t>2.58</w:t>
      </w:r>
      <w:r>
        <w:rPr>
          <w:rFonts w:hint="eastAsia" w:ascii="仿宋" w:hAnsi="仿宋" w:eastAsia="仿宋" w:cs="仿宋"/>
          <w:color w:val="000000"/>
          <w:sz w:val="32"/>
          <w:szCs w:val="32"/>
        </w:rPr>
        <w:t>万元，增长</w:t>
      </w:r>
      <w:r>
        <w:rPr>
          <w:rFonts w:ascii="仿宋" w:hAnsi="仿宋" w:eastAsia="仿宋" w:cs="仿宋"/>
          <w:color w:val="000000"/>
          <w:sz w:val="32"/>
          <w:szCs w:val="32"/>
        </w:rPr>
        <w:t>100%</w:t>
      </w:r>
      <w:r>
        <w:rPr>
          <w:rFonts w:hint="eastAsia" w:ascii="仿宋" w:hAnsi="仿宋" w:eastAsia="仿宋" w:cs="仿宋"/>
          <w:color w:val="000000"/>
          <w:sz w:val="32"/>
          <w:szCs w:val="32"/>
        </w:rPr>
        <w:t>。主要原因是机构改革，原人事厅机关服务中心和原劳动和社会保障厅机关服务中心合并，预算经费增加</w:t>
      </w:r>
      <w:r>
        <w:rPr>
          <w:rFonts w:hint="eastAsia" w:ascii="仿宋_GB2312" w:eastAsia="仿宋_GB2312" w:cs="仿宋_GB2312"/>
          <w:color w:val="00000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其中：</w:t>
      </w:r>
      <w:r>
        <w:rPr>
          <w:rFonts w:hint="eastAsia" w:ascii="仿宋" w:hAnsi="仿宋" w:eastAsia="仿宋" w:cs="仿宋"/>
          <w:b/>
          <w:bCs/>
          <w:sz w:val="32"/>
          <w:szCs w:val="32"/>
        </w:rPr>
        <w:t>公务用车购置支出</w:t>
      </w:r>
      <w:r>
        <w:rPr>
          <w:rFonts w:ascii="仿宋" w:hAnsi="仿宋" w:eastAsia="仿宋" w:cs="仿宋"/>
          <w:sz w:val="32"/>
          <w:szCs w:val="32"/>
        </w:rPr>
        <w:t>0</w:t>
      </w:r>
      <w:r>
        <w:rPr>
          <w:rFonts w:hint="eastAsia" w:ascii="仿宋" w:hAnsi="仿宋" w:eastAsia="仿宋" w:cs="仿宋"/>
          <w:sz w:val="32"/>
          <w:szCs w:val="32"/>
        </w:rPr>
        <w:t>万元。全年按规定更新购置公务用车</w:t>
      </w:r>
      <w:r>
        <w:rPr>
          <w:rFonts w:ascii="仿宋" w:hAnsi="仿宋" w:eastAsia="仿宋" w:cs="仿宋"/>
          <w:sz w:val="32"/>
          <w:szCs w:val="32"/>
        </w:rPr>
        <w:t>0</w:t>
      </w:r>
      <w:r>
        <w:rPr>
          <w:rFonts w:hint="eastAsia" w:ascii="仿宋" w:hAnsi="仿宋" w:eastAsia="仿宋" w:cs="仿宋"/>
          <w:sz w:val="32"/>
          <w:szCs w:val="32"/>
        </w:rPr>
        <w:t>辆。截至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月底，单位共有公务用车</w:t>
      </w:r>
      <w:r>
        <w:rPr>
          <w:rFonts w:ascii="仿宋" w:hAnsi="仿宋" w:eastAsia="仿宋" w:cs="仿宋"/>
          <w:sz w:val="32"/>
          <w:szCs w:val="32"/>
        </w:rPr>
        <w:t>1</w:t>
      </w:r>
      <w:r>
        <w:rPr>
          <w:rFonts w:hint="eastAsia" w:ascii="仿宋" w:hAnsi="仿宋" w:eastAsia="仿宋" w:cs="仿宋"/>
          <w:sz w:val="32"/>
          <w:szCs w:val="32"/>
        </w:rPr>
        <w:t>辆，其中：轿车</w:t>
      </w:r>
      <w:r>
        <w:rPr>
          <w:rFonts w:ascii="仿宋" w:hAnsi="仿宋" w:eastAsia="仿宋" w:cs="仿宋"/>
          <w:sz w:val="32"/>
          <w:szCs w:val="32"/>
        </w:rPr>
        <w:t>1</w:t>
      </w:r>
      <w:r>
        <w:rPr>
          <w:rFonts w:hint="eastAsia" w:ascii="仿宋" w:hAnsi="仿宋" w:eastAsia="仿宋" w:cs="仿宋"/>
          <w:sz w:val="32"/>
          <w:szCs w:val="32"/>
        </w:rPr>
        <w:t>辆。</w:t>
      </w:r>
    </w:p>
    <w:p>
      <w:pPr>
        <w:spacing w:line="600" w:lineRule="exact"/>
        <w:ind w:firstLine="642" w:firstLineChars="200"/>
        <w:rPr>
          <w:rFonts w:ascii="仿宋" w:hAnsi="仿宋" w:eastAsia="仿宋"/>
          <w:color w:val="000000"/>
          <w:sz w:val="32"/>
          <w:szCs w:val="32"/>
        </w:rPr>
      </w:pPr>
      <w:r>
        <w:rPr>
          <w:rFonts w:hint="eastAsia" w:ascii="仿宋" w:hAnsi="仿宋" w:eastAsia="仿宋" w:cs="仿宋"/>
          <w:b/>
          <w:bCs/>
          <w:sz w:val="32"/>
          <w:szCs w:val="32"/>
        </w:rPr>
        <w:t>公务用车运行维护费支出</w:t>
      </w:r>
      <w:r>
        <w:rPr>
          <w:rFonts w:ascii="仿宋" w:hAnsi="仿宋" w:eastAsia="仿宋" w:cs="仿宋"/>
          <w:color w:val="000000"/>
          <w:sz w:val="32"/>
          <w:szCs w:val="32"/>
        </w:rPr>
        <w:t>2.58</w:t>
      </w:r>
      <w:r>
        <w:rPr>
          <w:rFonts w:hint="eastAsia" w:ascii="仿宋" w:hAnsi="仿宋" w:eastAsia="仿宋" w:cs="仿宋"/>
          <w:color w:val="000000"/>
          <w:sz w:val="32"/>
          <w:szCs w:val="32"/>
        </w:rPr>
        <w:t>万元。主要用于机关后勤保障工作所需的公务用车燃料费、维修费、过路过桥费、保险费等支出。</w:t>
      </w:r>
    </w:p>
    <w:p>
      <w:pPr>
        <w:pStyle w:val="2"/>
        <w:spacing w:before="93"/>
        <w:ind w:firstLine="629" w:firstLineChars="196"/>
        <w:rPr>
          <w:rFonts w:ascii="仿宋" w:hAnsi="仿宋" w:eastAsia="仿宋" w:cs="Times New Roman"/>
        </w:rPr>
      </w:pPr>
      <w:r>
        <w:rPr>
          <w:rFonts w:ascii="仿宋" w:hAnsi="仿宋" w:eastAsia="仿宋" w:cs="仿宋"/>
          <w:b/>
          <w:bCs/>
          <w:sz w:val="32"/>
          <w:szCs w:val="32"/>
        </w:rPr>
        <w:t>3.</w:t>
      </w:r>
      <w:r>
        <w:rPr>
          <w:rFonts w:hint="eastAsia" w:ascii="仿宋" w:hAnsi="仿宋" w:eastAsia="仿宋" w:cs="仿宋"/>
          <w:b/>
          <w:bCs/>
          <w:sz w:val="32"/>
          <w:szCs w:val="32"/>
        </w:rPr>
        <w:t>公务接待费支出</w:t>
      </w:r>
      <w:r>
        <w:rPr>
          <w:rFonts w:ascii="仿宋" w:hAnsi="仿宋" w:eastAsia="仿宋" w:cs="仿宋"/>
          <w:sz w:val="32"/>
          <w:szCs w:val="32"/>
        </w:rPr>
        <w:t>0</w:t>
      </w:r>
      <w:r>
        <w:rPr>
          <w:rFonts w:hint="eastAsia" w:ascii="仿宋" w:hAnsi="仿宋" w:eastAsia="仿宋" w:cs="仿宋"/>
          <w:sz w:val="32"/>
          <w:szCs w:val="32"/>
        </w:rPr>
        <w:t>万元，</w:t>
      </w:r>
      <w:r>
        <w:rPr>
          <w:rStyle w:val="15"/>
          <w:rFonts w:hint="eastAsia" w:ascii="仿宋" w:hAnsi="仿宋" w:eastAsia="仿宋" w:cs="仿宋"/>
          <w:b w:val="0"/>
          <w:bCs w:val="0"/>
          <w:sz w:val="32"/>
          <w:szCs w:val="32"/>
        </w:rPr>
        <w:t>完成预算</w:t>
      </w:r>
      <w:r>
        <w:rPr>
          <w:rStyle w:val="15"/>
          <w:rFonts w:ascii="仿宋" w:hAnsi="仿宋" w:eastAsia="仿宋" w:cs="仿宋"/>
          <w:b w:val="0"/>
          <w:bCs w:val="0"/>
          <w:sz w:val="32"/>
          <w:szCs w:val="32"/>
        </w:rPr>
        <w:t>100%</w:t>
      </w:r>
      <w:r>
        <w:rPr>
          <w:rStyle w:val="15"/>
          <w:rFonts w:hint="eastAsia" w:ascii="仿宋" w:hAnsi="仿宋" w:eastAsia="仿宋" w:cs="仿宋"/>
          <w:b w:val="0"/>
          <w:bCs w:val="0"/>
          <w:sz w:val="32"/>
          <w:szCs w:val="32"/>
        </w:rPr>
        <w:t>。</w:t>
      </w:r>
      <w:r>
        <w:rPr>
          <w:rFonts w:hint="eastAsia" w:ascii="仿宋" w:hAnsi="仿宋" w:eastAsia="仿宋" w:cs="仿宋"/>
          <w:sz w:val="32"/>
          <w:szCs w:val="32"/>
        </w:rPr>
        <w:t>公务接待费支出决算与</w:t>
      </w:r>
      <w:r>
        <w:rPr>
          <w:rFonts w:ascii="仿宋" w:hAnsi="仿宋" w:eastAsia="仿宋" w:cs="仿宋"/>
          <w:sz w:val="32"/>
          <w:szCs w:val="32"/>
        </w:rPr>
        <w:t>2019</w:t>
      </w:r>
      <w:r>
        <w:rPr>
          <w:rFonts w:hint="eastAsia" w:ascii="仿宋" w:hAnsi="仿宋" w:eastAsia="仿宋" w:cs="仿宋"/>
          <w:sz w:val="32"/>
          <w:szCs w:val="32"/>
        </w:rPr>
        <w:t>年持平。</w:t>
      </w:r>
    </w:p>
    <w:p>
      <w:pPr>
        <w:spacing w:line="600" w:lineRule="exact"/>
        <w:ind w:firstLine="640"/>
        <w:outlineLvl w:val="1"/>
        <w:rPr>
          <w:rStyle w:val="18"/>
          <w:rFonts w:ascii="黑体" w:hAnsi="黑体" w:eastAsia="黑体" w:cs="Times New Roman"/>
        </w:rPr>
      </w:pPr>
      <w:bookmarkStart w:id="63" w:name="_Toc15396610"/>
      <w:bookmarkStart w:id="64" w:name="_Toc15377218"/>
      <w:bookmarkStart w:id="65" w:name="_Toc81667044"/>
      <w:r>
        <w:rPr>
          <w:rFonts w:hint="eastAsia" w:ascii="黑体" w:eastAsia="黑体" w:cs="黑体"/>
          <w:sz w:val="32"/>
          <w:szCs w:val="32"/>
        </w:rPr>
        <w:t>八、</w:t>
      </w:r>
      <w:r>
        <w:rPr>
          <w:rStyle w:val="18"/>
          <w:rFonts w:hint="eastAsia" w:ascii="黑体" w:hAnsi="黑体" w:eastAsia="黑体" w:cs="黑体"/>
          <w:b w:val="0"/>
          <w:bCs w:val="0"/>
        </w:rPr>
        <w:t>政府性基金预算支出决算情况说明</w:t>
      </w:r>
      <w:bookmarkEnd w:id="63"/>
      <w:bookmarkEnd w:id="64"/>
      <w:bookmarkEnd w:id="65"/>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年政府性基金预算财政拨款支出</w:t>
      </w:r>
      <w:r>
        <w:rPr>
          <w:rFonts w:ascii="仿宋" w:hAnsi="仿宋" w:eastAsia="仿宋" w:cs="仿宋"/>
          <w:sz w:val="32"/>
          <w:szCs w:val="32"/>
        </w:rPr>
        <w:t>0</w:t>
      </w:r>
      <w:r>
        <w:rPr>
          <w:rFonts w:hint="eastAsia" w:ascii="仿宋" w:hAnsi="仿宋" w:eastAsia="仿宋" w:cs="仿宋"/>
          <w:sz w:val="32"/>
          <w:szCs w:val="32"/>
        </w:rPr>
        <w:t>万元。</w:t>
      </w:r>
    </w:p>
    <w:p>
      <w:pPr>
        <w:numPr>
          <w:ilvl w:val="0"/>
          <w:numId w:val="3"/>
        </w:numPr>
        <w:spacing w:line="600" w:lineRule="exact"/>
        <w:ind w:firstLine="640"/>
        <w:outlineLvl w:val="1"/>
        <w:rPr>
          <w:rStyle w:val="18"/>
          <w:rFonts w:ascii="黑体" w:hAnsi="黑体" w:eastAsia="黑体" w:cs="Times New Roman"/>
          <w:b w:val="0"/>
          <w:bCs w:val="0"/>
        </w:rPr>
      </w:pPr>
      <w:bookmarkStart w:id="66" w:name="_Toc15377219"/>
      <w:bookmarkStart w:id="67" w:name="_Toc15396611"/>
      <w:bookmarkStart w:id="68" w:name="_Toc81667045"/>
      <w:r>
        <w:rPr>
          <w:rStyle w:val="18"/>
          <w:rFonts w:hint="eastAsia" w:ascii="黑体" w:hAnsi="黑体" w:eastAsia="黑体" w:cs="黑体"/>
          <w:b w:val="0"/>
          <w:bCs w:val="0"/>
        </w:rPr>
        <w:t>国有资本经营预算支出决算情况说明</w:t>
      </w:r>
      <w:bookmarkEnd w:id="66"/>
      <w:bookmarkEnd w:id="67"/>
      <w:bookmarkEnd w:id="68"/>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年国有资本经营预算财政拨款支出</w:t>
      </w:r>
      <w:r>
        <w:rPr>
          <w:rFonts w:ascii="仿宋" w:hAnsi="仿宋" w:eastAsia="仿宋" w:cs="仿宋"/>
          <w:sz w:val="32"/>
          <w:szCs w:val="32"/>
        </w:rPr>
        <w:t>0</w:t>
      </w:r>
      <w:r>
        <w:rPr>
          <w:rFonts w:hint="eastAsia" w:ascii="仿宋" w:hAnsi="仿宋" w:eastAsia="仿宋" w:cs="仿宋"/>
          <w:sz w:val="32"/>
          <w:szCs w:val="32"/>
        </w:rPr>
        <w:t>万元。</w:t>
      </w:r>
    </w:p>
    <w:p>
      <w:pPr>
        <w:numPr>
          <w:ilvl w:val="0"/>
          <w:numId w:val="3"/>
        </w:numPr>
        <w:spacing w:line="600" w:lineRule="exact"/>
        <w:ind w:firstLine="640"/>
        <w:outlineLvl w:val="1"/>
        <w:rPr>
          <w:rStyle w:val="18"/>
          <w:rFonts w:ascii="黑体" w:hAnsi="黑体" w:eastAsia="黑体" w:cs="Times New Roman"/>
          <w:b w:val="0"/>
          <w:bCs w:val="0"/>
        </w:rPr>
      </w:pPr>
      <w:bookmarkStart w:id="69" w:name="_Toc81667046"/>
      <w:bookmarkStart w:id="70" w:name="_Toc15396612"/>
      <w:bookmarkStart w:id="71" w:name="_Toc15377221"/>
      <w:r>
        <w:rPr>
          <w:rStyle w:val="18"/>
          <w:rFonts w:hint="eastAsia" w:ascii="黑体" w:hAnsi="黑体" w:eastAsia="黑体" w:cs="黑体"/>
          <w:b w:val="0"/>
          <w:bCs w:val="0"/>
        </w:rPr>
        <w:t>其他重要事项的情况说明</w:t>
      </w:r>
      <w:bookmarkEnd w:id="69"/>
      <w:bookmarkEnd w:id="70"/>
      <w:bookmarkEnd w:id="71"/>
    </w:p>
    <w:p>
      <w:pPr>
        <w:spacing w:line="600" w:lineRule="exact"/>
        <w:ind w:firstLine="642" w:firstLineChars="200"/>
        <w:outlineLvl w:val="2"/>
        <w:rPr>
          <w:rFonts w:ascii="仿宋" w:hAnsi="仿宋" w:eastAsia="仿宋"/>
          <w:sz w:val="32"/>
          <w:szCs w:val="32"/>
        </w:rPr>
      </w:pPr>
      <w:bookmarkStart w:id="72" w:name="_Toc81667047"/>
      <w:bookmarkStart w:id="73" w:name="_Toc15377222"/>
      <w:r>
        <w:rPr>
          <w:rFonts w:hint="eastAsia" w:ascii="仿宋" w:hAnsi="仿宋" w:eastAsia="仿宋" w:cs="仿宋"/>
          <w:b/>
          <w:bCs/>
          <w:sz w:val="32"/>
          <w:szCs w:val="32"/>
        </w:rPr>
        <w:t>（一）机关运行经费支出情况</w:t>
      </w:r>
      <w:bookmarkEnd w:id="72"/>
      <w:bookmarkEnd w:id="73"/>
    </w:p>
    <w:p>
      <w:pPr>
        <w:autoSpaceDE w:val="0"/>
        <w:autoSpaceDN w:val="0"/>
        <w:adjustRightInd w:val="0"/>
        <w:spacing w:line="600" w:lineRule="exact"/>
        <w:ind w:firstLine="640" w:firstLineChars="200"/>
        <w:jc w:val="left"/>
        <w:outlineLvl w:val="2"/>
        <w:rPr>
          <w:rFonts w:ascii="仿宋" w:hAnsi="仿宋" w:eastAsia="仿宋"/>
          <w:sz w:val="32"/>
          <w:szCs w:val="32"/>
        </w:rPr>
      </w:pPr>
      <w:bookmarkStart w:id="74" w:name="_Toc81667048"/>
      <w:bookmarkStart w:id="75" w:name="_Toc15377223"/>
      <w:r>
        <w:rPr>
          <w:rFonts w:hint="eastAsia" w:ascii="仿宋" w:hAnsi="仿宋" w:eastAsia="仿宋" w:cs="仿宋"/>
          <w:sz w:val="32"/>
          <w:szCs w:val="32"/>
        </w:rPr>
        <w:t>省人社厅机关服务中心为事业单位，未开支机关运行经费。</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（二）政府采购支出情况</w:t>
      </w:r>
      <w:bookmarkEnd w:id="74"/>
      <w:bookmarkEnd w:id="75"/>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年，省人社厅机关服务中心政府采购支出总额</w:t>
      </w:r>
      <w:r>
        <w:rPr>
          <w:rFonts w:ascii="仿宋" w:hAnsi="仿宋" w:eastAsia="仿宋" w:cs="仿宋"/>
          <w:color w:val="000000"/>
          <w:sz w:val="32"/>
          <w:szCs w:val="32"/>
        </w:rPr>
        <w:t>49.27</w:t>
      </w:r>
      <w:r>
        <w:rPr>
          <w:rFonts w:hint="eastAsia" w:ascii="仿宋" w:hAnsi="仿宋" w:eastAsia="仿宋" w:cs="仿宋"/>
          <w:color w:val="000000"/>
          <w:sz w:val="32"/>
          <w:szCs w:val="32"/>
        </w:rPr>
        <w:t>万元，其中：政府采购工程支出</w:t>
      </w:r>
      <w:r>
        <w:rPr>
          <w:rFonts w:ascii="仿宋" w:hAnsi="仿宋" w:eastAsia="仿宋" w:cs="仿宋"/>
          <w:color w:val="000000"/>
          <w:sz w:val="32"/>
          <w:szCs w:val="32"/>
        </w:rPr>
        <w:t>47.33</w:t>
      </w:r>
      <w:r>
        <w:rPr>
          <w:rFonts w:hint="eastAsia" w:ascii="仿宋" w:hAnsi="仿宋" w:eastAsia="仿宋" w:cs="仿宋"/>
          <w:color w:val="000000"/>
          <w:sz w:val="32"/>
          <w:szCs w:val="32"/>
        </w:rPr>
        <w:t>万元、政府采购服务支出</w:t>
      </w:r>
      <w:r>
        <w:rPr>
          <w:rFonts w:ascii="仿宋" w:hAnsi="仿宋" w:eastAsia="仿宋" w:cs="仿宋"/>
          <w:color w:val="000000"/>
          <w:sz w:val="32"/>
          <w:szCs w:val="32"/>
        </w:rPr>
        <w:t>1.94</w:t>
      </w:r>
      <w:r>
        <w:rPr>
          <w:rFonts w:hint="eastAsia" w:ascii="仿宋" w:hAnsi="仿宋" w:eastAsia="仿宋" w:cs="仿宋"/>
          <w:color w:val="000000"/>
          <w:sz w:val="32"/>
          <w:szCs w:val="32"/>
        </w:rPr>
        <w:t>万元。主要用于机关食堂维修改造费及机关后勤保障工作所需的公务用车燃料费、维修费、保险费。授予中小企业合同金额</w:t>
      </w:r>
      <w:r>
        <w:rPr>
          <w:rFonts w:ascii="仿宋" w:hAnsi="仿宋" w:eastAsia="仿宋" w:cs="仿宋"/>
          <w:color w:val="000000"/>
          <w:sz w:val="32"/>
          <w:szCs w:val="32"/>
        </w:rPr>
        <w:t>0</w:t>
      </w:r>
      <w:r>
        <w:rPr>
          <w:rFonts w:hint="eastAsia" w:ascii="仿宋" w:hAnsi="仿宋" w:eastAsia="仿宋" w:cs="仿宋"/>
          <w:color w:val="000000"/>
          <w:sz w:val="32"/>
          <w:szCs w:val="32"/>
        </w:rPr>
        <w:t>万元，占政府采购支出总额的</w:t>
      </w:r>
      <w:r>
        <w:rPr>
          <w:rFonts w:ascii="仿宋" w:hAnsi="仿宋" w:eastAsia="仿宋" w:cs="仿宋"/>
          <w:color w:val="000000"/>
          <w:sz w:val="32"/>
          <w:szCs w:val="32"/>
        </w:rPr>
        <w:t>0%</w:t>
      </w:r>
      <w:r>
        <w:rPr>
          <w:rFonts w:hint="eastAsia" w:ascii="仿宋_GB2312" w:eastAsia="仿宋_GB2312" w:cs="仿宋_GB2312"/>
          <w:sz w:val="32"/>
          <w:szCs w:val="32"/>
        </w:rPr>
        <w:t>，</w:t>
      </w:r>
      <w:r>
        <w:rPr>
          <w:rFonts w:hint="eastAsia" w:ascii="仿宋" w:hAnsi="仿宋" w:eastAsia="仿宋" w:cs="仿宋"/>
          <w:sz w:val="32"/>
          <w:szCs w:val="32"/>
        </w:rPr>
        <w:t>其中：授予小微企业合同金额</w:t>
      </w:r>
      <w:r>
        <w:rPr>
          <w:rFonts w:ascii="仿宋" w:hAnsi="仿宋" w:eastAsia="仿宋" w:cs="仿宋"/>
          <w:sz w:val="32"/>
          <w:szCs w:val="32"/>
        </w:rPr>
        <w:t>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6" w:name="_Toc81667049"/>
      <w:bookmarkStart w:id="77" w:name="_Toc15377224"/>
      <w:r>
        <w:rPr>
          <w:rFonts w:hint="eastAsia" w:ascii="仿宋" w:hAnsi="仿宋" w:eastAsia="仿宋" w:cs="仿宋"/>
          <w:b/>
          <w:bCs/>
          <w:sz w:val="32"/>
          <w:szCs w:val="32"/>
        </w:rPr>
        <w:t>（三）国有资产占有使用情况</w:t>
      </w:r>
      <w:bookmarkEnd w:id="76"/>
      <w:bookmarkEnd w:id="77"/>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s="仿宋"/>
          <w:sz w:val="32"/>
          <w:szCs w:val="32"/>
        </w:rPr>
        <w:t>截至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日，省人社厅机关服务中心共有车辆</w:t>
      </w:r>
      <w:r>
        <w:rPr>
          <w:rFonts w:ascii="仿宋" w:hAnsi="仿宋" w:eastAsia="仿宋" w:cs="仿宋"/>
          <w:color w:val="000000"/>
          <w:sz w:val="32"/>
          <w:szCs w:val="32"/>
        </w:rPr>
        <w:t>1</w:t>
      </w:r>
      <w:r>
        <w:rPr>
          <w:rFonts w:hint="eastAsia" w:ascii="仿宋" w:hAnsi="仿宋" w:eastAsia="仿宋" w:cs="仿宋"/>
          <w:color w:val="000000"/>
          <w:sz w:val="32"/>
          <w:szCs w:val="32"/>
        </w:rPr>
        <w:t>辆，其中：其他用车</w:t>
      </w:r>
      <w:r>
        <w:rPr>
          <w:rFonts w:ascii="仿宋" w:hAnsi="仿宋" w:eastAsia="仿宋" w:cs="仿宋"/>
          <w:color w:val="000000"/>
          <w:sz w:val="32"/>
          <w:szCs w:val="32"/>
        </w:rPr>
        <w:t>1</w:t>
      </w:r>
      <w:r>
        <w:rPr>
          <w:rFonts w:hint="eastAsia" w:ascii="仿宋" w:hAnsi="仿宋" w:eastAsia="仿宋" w:cs="仿宋"/>
          <w:color w:val="000000"/>
          <w:sz w:val="32"/>
          <w:szCs w:val="32"/>
        </w:rPr>
        <w:t>辆。其他用车主要是用于机关后勤保障工作。单价</w:t>
      </w:r>
      <w:r>
        <w:rPr>
          <w:rFonts w:ascii="仿宋" w:hAnsi="仿宋" w:eastAsia="仿宋" w:cs="仿宋"/>
          <w:color w:val="000000"/>
          <w:sz w:val="32"/>
          <w:szCs w:val="32"/>
        </w:rPr>
        <w:t>50</w:t>
      </w:r>
      <w:r>
        <w:rPr>
          <w:rFonts w:hint="eastAsia" w:ascii="仿宋" w:hAnsi="仿宋" w:eastAsia="仿宋" w:cs="仿宋"/>
          <w:color w:val="000000"/>
          <w:sz w:val="32"/>
          <w:szCs w:val="32"/>
        </w:rPr>
        <w:t>万元以上通用设备</w:t>
      </w:r>
      <w:r>
        <w:rPr>
          <w:rFonts w:ascii="仿宋" w:hAnsi="仿宋" w:eastAsia="仿宋" w:cs="仿宋"/>
          <w:color w:val="000000"/>
          <w:sz w:val="32"/>
          <w:szCs w:val="32"/>
        </w:rPr>
        <w:t>0</w:t>
      </w:r>
      <w:r>
        <w:rPr>
          <w:rFonts w:hint="eastAsia" w:ascii="仿宋" w:hAnsi="仿宋" w:eastAsia="仿宋" w:cs="仿宋"/>
          <w:color w:val="000000"/>
          <w:sz w:val="32"/>
          <w:szCs w:val="32"/>
        </w:rPr>
        <w:t>台（套），单价</w:t>
      </w:r>
      <w:r>
        <w:rPr>
          <w:rFonts w:ascii="仿宋" w:hAnsi="仿宋" w:eastAsia="仿宋" w:cs="仿宋"/>
          <w:color w:val="000000"/>
          <w:sz w:val="32"/>
          <w:szCs w:val="32"/>
        </w:rPr>
        <w:t>100</w:t>
      </w:r>
      <w:r>
        <w:rPr>
          <w:rFonts w:hint="eastAsia" w:ascii="仿宋" w:hAnsi="仿宋" w:eastAsia="仿宋" w:cs="仿宋"/>
          <w:color w:val="000000"/>
          <w:sz w:val="32"/>
          <w:szCs w:val="32"/>
        </w:rPr>
        <w:t>万元以上专用设备</w:t>
      </w:r>
      <w:r>
        <w:rPr>
          <w:rFonts w:ascii="仿宋" w:hAnsi="仿宋" w:eastAsia="仿宋" w:cs="仿宋"/>
          <w:color w:val="000000"/>
          <w:sz w:val="32"/>
          <w:szCs w:val="32"/>
        </w:rPr>
        <w:t>0</w:t>
      </w:r>
      <w:r>
        <w:rPr>
          <w:rFonts w:hint="eastAsia" w:ascii="仿宋" w:hAnsi="仿宋" w:eastAsia="仿宋" w:cs="仿宋"/>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8" w:name="_Toc81667050"/>
      <w:r>
        <w:rPr>
          <w:rFonts w:hint="eastAsia" w:ascii="仿宋" w:hAnsi="仿宋" w:eastAsia="仿宋" w:cs="仿宋"/>
          <w:b/>
          <w:bCs/>
          <w:sz w:val="32"/>
          <w:szCs w:val="32"/>
        </w:rPr>
        <w:t>（四）预算绩效管理情况</w:t>
      </w:r>
      <w:bookmarkEnd w:id="78"/>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根据预算绩效管理要求，本单位在</w:t>
      </w:r>
      <w:r>
        <w:rPr>
          <w:rFonts w:ascii="仿宋" w:hAnsi="仿宋" w:eastAsia="仿宋" w:cs="仿宋"/>
          <w:sz w:val="32"/>
          <w:szCs w:val="32"/>
        </w:rPr>
        <w:t>2020</w:t>
      </w:r>
      <w:r>
        <w:rPr>
          <w:rFonts w:hint="eastAsia" w:ascii="仿宋" w:hAnsi="仿宋" w:eastAsia="仿宋" w:cs="仿宋"/>
          <w:sz w:val="32"/>
          <w:szCs w:val="32"/>
        </w:rPr>
        <w:t>年度预算编制阶段，对</w:t>
      </w:r>
      <w:r>
        <w:rPr>
          <w:rFonts w:ascii="仿宋" w:hAnsi="仿宋" w:eastAsia="仿宋" w:cs="仿宋"/>
          <w:sz w:val="32"/>
          <w:szCs w:val="32"/>
        </w:rPr>
        <w:t>1</w:t>
      </w:r>
      <w:r>
        <w:rPr>
          <w:rFonts w:hint="eastAsia" w:ascii="仿宋" w:hAnsi="仿宋" w:eastAsia="仿宋" w:cs="仿宋"/>
          <w:sz w:val="32"/>
          <w:szCs w:val="32"/>
        </w:rPr>
        <w:t>个项目编制了绩效目标，预算执行过程中，选取</w:t>
      </w:r>
      <w:r>
        <w:rPr>
          <w:rFonts w:ascii="仿宋" w:hAnsi="仿宋" w:eastAsia="仿宋" w:cs="仿宋"/>
          <w:sz w:val="32"/>
          <w:szCs w:val="32"/>
        </w:rPr>
        <w:t>1</w:t>
      </w:r>
      <w:r>
        <w:rPr>
          <w:rFonts w:hint="eastAsia" w:ascii="仿宋" w:hAnsi="仿宋" w:eastAsia="仿宋" w:cs="仿宋"/>
          <w:sz w:val="32"/>
          <w:szCs w:val="32"/>
        </w:rPr>
        <w:t>个项目开展绩效监控，年终执行完毕后，对</w:t>
      </w:r>
      <w:r>
        <w:rPr>
          <w:rFonts w:ascii="仿宋" w:hAnsi="仿宋" w:eastAsia="仿宋" w:cs="仿宋"/>
          <w:sz w:val="32"/>
          <w:szCs w:val="32"/>
        </w:rPr>
        <w:t>1</w:t>
      </w:r>
      <w:r>
        <w:rPr>
          <w:rFonts w:hint="eastAsia" w:ascii="仿宋" w:hAnsi="仿宋" w:eastAsia="仿宋" w:cs="仿宋"/>
          <w:sz w:val="32"/>
          <w:szCs w:val="32"/>
        </w:rPr>
        <w:t>个项目开展了绩效目标完成情况自评。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本单位按要求对</w:t>
      </w:r>
      <w:r>
        <w:rPr>
          <w:rFonts w:ascii="仿宋" w:hAnsi="仿宋" w:eastAsia="仿宋" w:cs="仿宋"/>
          <w:sz w:val="32"/>
          <w:szCs w:val="32"/>
        </w:rPr>
        <w:t>2020</w:t>
      </w:r>
      <w:r>
        <w:rPr>
          <w:rFonts w:hint="eastAsia" w:ascii="仿宋" w:hAnsi="仿宋" w:eastAsia="仿宋" w:cs="仿宋"/>
          <w:sz w:val="32"/>
          <w:szCs w:val="32"/>
        </w:rPr>
        <w:t>年整体支出开展绩效自评，从评价情况来看，</w:t>
      </w:r>
      <w:r>
        <w:rPr>
          <w:rFonts w:ascii="仿宋" w:hAnsi="仿宋" w:eastAsia="仿宋" w:cs="仿宋"/>
          <w:sz w:val="32"/>
          <w:szCs w:val="32"/>
        </w:rPr>
        <w:t>2020</w:t>
      </w:r>
      <w:r>
        <w:rPr>
          <w:rFonts w:hint="eastAsia" w:ascii="仿宋" w:hAnsi="仿宋" w:eastAsia="仿宋" w:cs="仿宋"/>
          <w:sz w:val="32"/>
          <w:szCs w:val="32"/>
        </w:rPr>
        <w:t>年我单位整体支出绩效评价自查自评结果良好，全年项目支出保障了重点工作的开展，绩效目标得到较好实现，绩效管理水平不断提高，绩效指标体系逐渐丰富和完善。</w:t>
      </w:r>
    </w:p>
    <w:p>
      <w:pPr>
        <w:pStyle w:val="2"/>
        <w:spacing w:before="93"/>
        <w:ind w:firstLine="640" w:firstLineChars="200"/>
        <w:rPr>
          <w:rFonts w:ascii="仿宋" w:hAnsi="仿宋" w:eastAsia="仿宋" w:cs="Times New Roman"/>
        </w:rPr>
      </w:pPr>
      <w:r>
        <w:rPr>
          <w:rFonts w:hint="eastAsia" w:ascii="仿宋" w:hAnsi="仿宋" w:eastAsia="仿宋" w:cs="仿宋"/>
          <w:sz w:val="32"/>
          <w:szCs w:val="32"/>
        </w:rPr>
        <w:t>本单位未组织开展项目支出绩效评价。</w:t>
      </w:r>
    </w:p>
    <w:p>
      <w:pPr>
        <w:spacing w:line="580" w:lineRule="exact"/>
        <w:ind w:firstLine="640" w:firstLineChars="200"/>
        <w:rPr>
          <w:rFonts w:ascii="楷体" w:hAnsi="楷体" w:eastAsia="楷体"/>
          <w:sz w:val="32"/>
          <w:szCs w:val="32"/>
        </w:rPr>
      </w:pPr>
      <w:r>
        <w:rPr>
          <w:rFonts w:ascii="楷体" w:hAnsi="楷体" w:eastAsia="楷体" w:cs="楷体"/>
          <w:sz w:val="32"/>
          <w:szCs w:val="32"/>
        </w:rPr>
        <w:t>1.</w:t>
      </w:r>
      <w:r>
        <w:rPr>
          <w:rFonts w:hint="eastAsia" w:ascii="楷体" w:hAnsi="楷体" w:eastAsia="楷体" w:cs="楷体"/>
          <w:sz w:val="32"/>
          <w:szCs w:val="32"/>
        </w:rPr>
        <w:t>项目绩效目标完成情况。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本单位在</w:t>
      </w:r>
      <w:r>
        <w:rPr>
          <w:rFonts w:ascii="仿宋" w:hAnsi="仿宋" w:eastAsia="仿宋" w:cs="仿宋"/>
          <w:sz w:val="32"/>
          <w:szCs w:val="32"/>
        </w:rPr>
        <w:t>2020</w:t>
      </w:r>
      <w:r>
        <w:rPr>
          <w:rFonts w:hint="eastAsia" w:ascii="仿宋" w:hAnsi="仿宋" w:eastAsia="仿宋" w:cs="仿宋"/>
          <w:sz w:val="32"/>
          <w:szCs w:val="32"/>
        </w:rPr>
        <w:t>年度部门决算中反映“劳务费”</w:t>
      </w:r>
      <w:r>
        <w:rPr>
          <w:rFonts w:ascii="仿宋" w:hAnsi="仿宋" w:eastAsia="仿宋" w:cs="仿宋"/>
          <w:sz w:val="32"/>
          <w:szCs w:val="32"/>
        </w:rPr>
        <w:t>1</w:t>
      </w:r>
      <w:r>
        <w:rPr>
          <w:rFonts w:hint="eastAsia" w:ascii="仿宋" w:hAnsi="仿宋" w:eastAsia="仿宋" w:cs="仿宋"/>
          <w:sz w:val="32"/>
          <w:szCs w:val="32"/>
        </w:rPr>
        <w:t>个项目绩效目标实际完成情况。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“劳务费”项目绩效目标完成情况综述。项目全年预算数</w:t>
      </w:r>
      <w:r>
        <w:rPr>
          <w:rFonts w:ascii="仿宋" w:hAnsi="仿宋" w:eastAsia="仿宋" w:cs="仿宋"/>
          <w:sz w:val="32"/>
          <w:szCs w:val="32"/>
        </w:rPr>
        <w:t>413.8</w:t>
      </w:r>
      <w:r>
        <w:rPr>
          <w:rFonts w:hint="eastAsia" w:ascii="仿宋" w:hAnsi="仿宋" w:eastAsia="仿宋" w:cs="仿宋"/>
          <w:sz w:val="32"/>
          <w:szCs w:val="32"/>
        </w:rPr>
        <w:t>万元，执行数为</w:t>
      </w:r>
      <w:r>
        <w:rPr>
          <w:rFonts w:ascii="仿宋" w:hAnsi="仿宋" w:eastAsia="仿宋" w:cs="仿宋"/>
          <w:sz w:val="32"/>
          <w:szCs w:val="32"/>
        </w:rPr>
        <w:t>411.88</w:t>
      </w:r>
      <w:r>
        <w:rPr>
          <w:rFonts w:hint="eastAsia" w:ascii="仿宋" w:hAnsi="仿宋" w:eastAsia="仿宋" w:cs="仿宋"/>
          <w:sz w:val="32"/>
          <w:szCs w:val="32"/>
        </w:rPr>
        <w:t>万元，完成预算的</w:t>
      </w:r>
      <w:r>
        <w:rPr>
          <w:rFonts w:ascii="仿宋" w:hAnsi="仿宋" w:eastAsia="仿宋" w:cs="仿宋"/>
          <w:sz w:val="32"/>
          <w:szCs w:val="32"/>
        </w:rPr>
        <w:t>99.54%</w:t>
      </w:r>
      <w:r>
        <w:rPr>
          <w:rFonts w:hint="eastAsia" w:ascii="仿宋" w:hAnsi="仿宋" w:eastAsia="仿宋" w:cs="仿宋"/>
          <w:sz w:val="32"/>
          <w:szCs w:val="32"/>
        </w:rPr>
        <w:t>。通过项目实施，保障了厅机关各项业务的正常开展，满足了干部职工的工作生活需求。发现的主要问题：绩效评价认识尚不到位，绩效目标评价分析尚有欠缺绩。下一步改进措施：积极组织绩效评价人员参加财政厅等相关单位的绩效评价相关培训，更加主动向指导部门咨询具体业务操作。</w:t>
      </w:r>
    </w:p>
    <w:p>
      <w:pPr>
        <w:spacing w:line="580" w:lineRule="exact"/>
        <w:ind w:firstLine="640" w:firstLineChars="200"/>
        <w:rPr>
          <w:rFonts w:ascii="仿宋" w:hAnsi="仿宋" w:eastAsia="仿宋"/>
          <w:sz w:val="32"/>
          <w:szCs w:val="32"/>
        </w:rPr>
      </w:pPr>
    </w:p>
    <w:p>
      <w:pPr>
        <w:spacing w:line="580" w:lineRule="exact"/>
        <w:rPr>
          <w:rFonts w:ascii="仿宋_GB2312" w:hAnsi="仿宋_GB2312" w:eastAsia="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620"/>
        <w:gridCol w:w="772"/>
        <w:gridCol w:w="278"/>
        <w:gridCol w:w="2114"/>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sz w:val="36"/>
                <w:szCs w:val="36"/>
              </w:rPr>
            </w:pPr>
            <w:r>
              <w:rPr>
                <w:rFonts w:hint="eastAsia" w:ascii="宋体" w:hAnsi="宋体" w:cs="宋体"/>
                <w:b/>
                <w:bCs/>
                <w:kern w:val="0"/>
                <w:sz w:val="36"/>
                <w:szCs w:val="36"/>
              </w:rPr>
              <w:t>项目绩效目标完成情况表</w:t>
            </w:r>
            <w:r>
              <w:rPr>
                <w:rFonts w:ascii="宋体"/>
                <w:b/>
                <w:bCs/>
                <w:kern w:val="0"/>
                <w:sz w:val="36"/>
                <w:szCs w:val="36"/>
              </w:rPr>
              <w:br w:type="textWrapping"/>
            </w:r>
            <w:r>
              <w:rPr>
                <w:rFonts w:ascii="宋体" w:hAnsi="宋体" w:cs="宋体"/>
                <w:kern w:val="0"/>
                <w:sz w:val="36"/>
                <w:szCs w:val="36"/>
              </w:rPr>
              <w:t>(2020</w:t>
            </w:r>
            <w:r>
              <w:rPr>
                <w:rFonts w:hint="eastAsia" w:ascii="宋体" w:hAnsi="宋体" w:cs="宋体"/>
                <w:kern w:val="0"/>
                <w:sz w:val="36"/>
                <w:szCs w:val="36"/>
              </w:rPr>
              <w:t>年度</w:t>
            </w:r>
            <w:r>
              <w:rPr>
                <w:rFonts w:ascii="宋体" w:hAnsi="宋体" w:cs="宋体"/>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cs="宋体"/>
                <w:sz w:val="24"/>
                <w:szCs w:val="24"/>
              </w:rPr>
              <w:t>劳务费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cs="宋体"/>
                <w:sz w:val="24"/>
                <w:szCs w:val="24"/>
              </w:rPr>
              <w:t>四川省人力资源和社会保障厅机关服务中心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预算执行情况</w:t>
            </w:r>
            <w:r>
              <w:rPr>
                <w:rFonts w:ascii="宋体" w:hAnsi="宋体" w:cs="宋体"/>
                <w:kern w:val="0"/>
                <w:sz w:val="24"/>
                <w:szCs w:val="24"/>
              </w:rPr>
              <w:t>(</w:t>
            </w:r>
            <w:r>
              <w:rPr>
                <w:rFonts w:hint="eastAsia" w:ascii="宋体" w:hAnsi="宋体" w:cs="宋体"/>
                <w:kern w:val="0"/>
                <w:sz w:val="24"/>
                <w:szCs w:val="24"/>
              </w:rPr>
              <w:t>万元</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预算数</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413.8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执行数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411.88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413.8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其中</w:t>
            </w:r>
            <w:r>
              <w:rPr>
                <w:rFonts w:ascii="宋体" w:cs="宋体"/>
                <w:kern w:val="0"/>
                <w:sz w:val="24"/>
                <w:szCs w:val="24"/>
              </w:rPr>
              <w:t>-</w:t>
            </w:r>
            <w:r>
              <w:rPr>
                <w:rFonts w:hint="eastAsia" w:ascii="宋体" w:hAnsi="宋体" w:cs="宋体"/>
                <w:kern w:val="0"/>
                <w:sz w:val="24"/>
                <w:szCs w:val="24"/>
              </w:rPr>
              <w:t>财政拨款</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411.88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4"/>
                <w:szCs w:val="24"/>
              </w:rPr>
            </w:pPr>
            <w:r>
              <w:rPr>
                <w:rFonts w:ascii="宋体" w:cs="宋体"/>
                <w:kern w:val="0"/>
                <w:sz w:val="24"/>
                <w:szCs w:val="24"/>
              </w:rPr>
              <w:t>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其它资金</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kern w:val="0"/>
                <w:sz w:val="24"/>
                <w:szCs w:val="24"/>
              </w:rPr>
            </w:pPr>
            <w:r>
              <w:rPr>
                <w:rFonts w:ascii="宋体" w:cs="宋体"/>
                <w:kern w:val="0"/>
                <w:sz w:val="24"/>
                <w:szCs w:val="24"/>
              </w:rPr>
              <w:t>0.0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sz w:val="24"/>
                <w:szCs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sz w:val="24"/>
                <w:szCs w:val="24"/>
              </w:rPr>
            </w:pPr>
            <w:r>
              <w:t>2020</w:t>
            </w:r>
            <w:r>
              <w:rPr>
                <w:rFonts w:hint="eastAsia" w:cs="宋体"/>
              </w:rPr>
              <w:t>年按照人力资源社会保障厅机构改革后工作任务和人员编制实有人员情况，仍需聘请综合、工勤等劳务人员从事辅助工作，主要从事机关大院环境卫生、绿化维护、大院安全、信访维稳、食堂服务等工作，需支付相关人员劳务报酬、五险一金、体检费以及因未实行物业市场化管理的食堂支出，保障厅机关各项业务的正常开展，满足干部职工的工作生活需求。</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sz w:val="24"/>
                <w:szCs w:val="24"/>
              </w:rPr>
            </w:pPr>
            <w:r>
              <w:t>2020</w:t>
            </w:r>
            <w:r>
              <w:rPr>
                <w:rFonts w:hint="eastAsia" w:cs="宋体"/>
              </w:rPr>
              <w:t>年按照人力资源社会保障厅机构改革后工作任务和人员编制实有人员情况，仍需聘请综合、工勤等劳务人员从事辅助工作，主要从事机关大院环境卫生、绿化维护、大院安全、信访维稳、食堂服务等工作，需支付相关人员劳务报酬、五险一金、体检费以及因未实行物业市场化管理的食堂支出，保障厅机关各项业务的正常开展，满足干部职工的工作生活需求。</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sz w:val="24"/>
                <w:szCs w:val="24"/>
              </w:rPr>
              <w:t>绩效指标完成情况</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一级指标</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二级指标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预期指标值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实际完成指标值</w:t>
            </w:r>
            <w:r>
              <w:rPr>
                <w:rFonts w:ascii="宋体" w:hAnsi="宋体" w:cs="宋体"/>
                <w:kern w:val="0"/>
                <w:sz w:val="24"/>
                <w:szCs w:val="24"/>
              </w:rPr>
              <w:t>(</w:t>
            </w:r>
            <w:r>
              <w:rPr>
                <w:rFonts w:hint="eastAsia" w:ascii="宋体" w:hAnsi="宋体" w:cs="宋体"/>
                <w:kern w:val="0"/>
                <w:sz w:val="24"/>
                <w:szCs w:val="24"/>
              </w:rPr>
              <w:t>包含数字及文字描述</w:t>
            </w:r>
            <w:r>
              <w:rPr>
                <w:rFonts w:ascii="宋体" w:hAnsi="宋体" w:cs="宋体"/>
                <w:kern w:val="0"/>
                <w:sz w:val="24"/>
                <w:szCs w:val="24"/>
              </w:rPr>
              <w:t>)</w:t>
            </w:r>
          </w:p>
        </w:tc>
      </w:tr>
      <w:tr>
        <w:tblPrEx>
          <w:tblCellMar>
            <w:top w:w="0" w:type="dxa"/>
            <w:left w:w="0" w:type="dxa"/>
            <w:bottom w:w="0" w:type="dxa"/>
            <w:right w:w="0" w:type="dxa"/>
          </w:tblCellMar>
        </w:tblPrEx>
        <w:trPr>
          <w:trHeight w:val="52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数量指标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聘用人员人数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55</w:t>
            </w:r>
            <w:r>
              <w:rPr>
                <w:rFonts w:hint="eastAsia" w:ascii="宋体" w:hAnsi="宋体" w:cs="宋体"/>
                <w:kern w:val="0"/>
                <w:sz w:val="24"/>
                <w:szCs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55</w:t>
            </w:r>
            <w:r>
              <w:rPr>
                <w:rFonts w:hint="eastAsia" w:ascii="宋体" w:hAnsi="宋体" w:cs="宋体"/>
                <w:kern w:val="0"/>
                <w:sz w:val="24"/>
                <w:szCs w:val="24"/>
              </w:rPr>
              <w:t>人</w:t>
            </w:r>
          </w:p>
        </w:tc>
      </w:tr>
      <w:tr>
        <w:tblPrEx>
          <w:tblCellMar>
            <w:top w:w="0" w:type="dxa"/>
            <w:left w:w="0" w:type="dxa"/>
            <w:bottom w:w="0" w:type="dxa"/>
            <w:right w:w="0" w:type="dxa"/>
          </w:tblCellMar>
        </w:tblPrEx>
        <w:trPr>
          <w:trHeight w:val="59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5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质量指标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重大安全事故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保持</w:t>
            </w:r>
            <w:r>
              <w:rPr>
                <w:rFonts w:ascii="宋体" w:cs="宋体"/>
                <w:kern w:val="0"/>
                <w:sz w:val="24"/>
                <w:szCs w:val="24"/>
              </w:rPr>
              <w:t>0</w:t>
            </w:r>
            <w:r>
              <w:rPr>
                <w:rFonts w:hint="eastAsia" w:ascii="宋体" w:hAnsi="宋体" w:cs="宋体"/>
                <w:kern w:val="0"/>
                <w:sz w:val="24"/>
                <w:szCs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cs="宋体"/>
                <w:kern w:val="0"/>
                <w:sz w:val="24"/>
                <w:szCs w:val="24"/>
              </w:rPr>
              <w:t>0</w:t>
            </w:r>
            <w:r>
              <w:rPr>
                <w:rFonts w:hint="eastAsia" w:ascii="宋体" w:cs="宋体"/>
                <w:kern w:val="0"/>
                <w:sz w:val="24"/>
                <w:szCs w:val="24"/>
              </w:rPr>
              <w:t>次</w:t>
            </w:r>
          </w:p>
        </w:tc>
      </w:tr>
      <w:tr>
        <w:tblPrEx>
          <w:tblCellMar>
            <w:top w:w="0" w:type="dxa"/>
            <w:left w:w="0" w:type="dxa"/>
            <w:bottom w:w="0" w:type="dxa"/>
            <w:right w:w="0" w:type="dxa"/>
          </w:tblCellMar>
        </w:tblPrEx>
        <w:trPr>
          <w:trHeight w:val="75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项目完成指标</w:t>
            </w:r>
          </w:p>
        </w:tc>
        <w:tc>
          <w:tcPr>
            <w:tcW w:w="1050"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机关大院的服务范围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8000</w:t>
            </w:r>
            <w:r>
              <w:rPr>
                <w:rFonts w:hint="eastAsia" w:ascii="宋体" w:hAnsi="宋体" w:cs="宋体"/>
                <w:kern w:val="0"/>
                <w:sz w:val="24"/>
                <w:szCs w:val="24"/>
              </w:rPr>
              <w:t>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8000</w:t>
            </w:r>
            <w:r>
              <w:rPr>
                <w:rFonts w:hint="eastAsia" w:ascii="宋体" w:hAnsi="宋体" w:cs="宋体"/>
                <w:kern w:val="0"/>
                <w:sz w:val="24"/>
                <w:szCs w:val="24"/>
              </w:rPr>
              <w:t>平方米</w:t>
            </w:r>
          </w:p>
        </w:tc>
      </w:tr>
      <w:tr>
        <w:tblPrEx>
          <w:tblCellMar>
            <w:top w:w="0" w:type="dxa"/>
            <w:left w:w="0" w:type="dxa"/>
            <w:bottom w:w="0" w:type="dxa"/>
            <w:right w:w="0" w:type="dxa"/>
          </w:tblCellMar>
        </w:tblPrEx>
        <w:trPr>
          <w:trHeight w:val="60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项目完成指标</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时效指标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服务时效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效益指标</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可持续影响指标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对行政机关运转的保障作用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kern w:val="0"/>
                <w:sz w:val="24"/>
                <w:szCs w:val="24"/>
              </w:rPr>
            </w:pPr>
            <w:r>
              <w:rPr>
                <w:rFonts w:hint="eastAsia" w:ascii="宋体" w:hAnsi="宋体" w:cs="宋体"/>
                <w:kern w:val="0"/>
                <w:sz w:val="24"/>
                <w:szCs w:val="24"/>
              </w:rPr>
              <w:t>确保行政机关运行效率和各项业务正常开展，满足干部职工的工作生活需求。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kern w:val="0"/>
                <w:sz w:val="24"/>
                <w:szCs w:val="24"/>
              </w:rPr>
            </w:pPr>
            <w:r>
              <w:rPr>
                <w:rFonts w:hint="eastAsia" w:ascii="宋体" w:hAnsi="宋体" w:cs="宋体"/>
                <w:kern w:val="0"/>
                <w:sz w:val="24"/>
                <w:szCs w:val="24"/>
              </w:rPr>
              <w:t>确保行政机关运行效率和各项业务正常开展，满足干部职工的工作生活需求。</w:t>
            </w:r>
          </w:p>
        </w:tc>
      </w:tr>
      <w:tr>
        <w:tblPrEx>
          <w:tblCellMar>
            <w:top w:w="0" w:type="dxa"/>
            <w:left w:w="0" w:type="dxa"/>
            <w:bottom w:w="0" w:type="dxa"/>
            <w:right w:w="0" w:type="dxa"/>
          </w:tblCellMar>
        </w:tblPrEx>
        <w:trPr>
          <w:trHeight w:val="677"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sz w:val="24"/>
                <w:szCs w:val="24"/>
              </w:rPr>
            </w:pPr>
            <w:r>
              <w:rPr>
                <w:rFonts w:hint="eastAsia" w:ascii="宋体" w:hAnsi="宋体" w:cs="宋体"/>
                <w:kern w:val="0"/>
                <w:sz w:val="24"/>
                <w:szCs w:val="24"/>
              </w:rPr>
              <w:t>满意度指标</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满意度指标</w:t>
            </w:r>
          </w:p>
        </w:tc>
        <w:tc>
          <w:tcPr>
            <w:tcW w:w="2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kern w:val="0"/>
                <w:sz w:val="24"/>
                <w:szCs w:val="24"/>
              </w:rPr>
            </w:pPr>
            <w:r>
              <w:rPr>
                <w:rFonts w:hint="eastAsia" w:ascii="宋体" w:hAnsi="宋体" w:cs="宋体"/>
                <w:kern w:val="0"/>
                <w:sz w:val="24"/>
                <w:szCs w:val="24"/>
              </w:rPr>
              <w:t>聘用人员服务测评满意度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大于</w:t>
            </w:r>
            <w:r>
              <w:rPr>
                <w:rFonts w:ascii="宋体" w:hAnsi="宋体" w:cs="宋体"/>
                <w:kern w:val="0"/>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大于</w:t>
            </w:r>
            <w:r>
              <w:rPr>
                <w:rFonts w:ascii="宋体" w:hAnsi="宋体" w:cs="宋体"/>
                <w:kern w:val="0"/>
                <w:sz w:val="24"/>
                <w:szCs w:val="24"/>
              </w:rPr>
              <w:t>95%</w:t>
            </w:r>
          </w:p>
        </w:tc>
      </w:tr>
    </w:tbl>
    <w:p>
      <w:pPr>
        <w:spacing w:line="580" w:lineRule="exact"/>
        <w:ind w:firstLine="640" w:firstLineChars="200"/>
        <w:rPr>
          <w:rFonts w:ascii="仿宋_GB2312" w:hAnsi="仿宋_GB2312" w:eastAsia="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单位绩效评价结果。</w:t>
      </w:r>
    </w:p>
    <w:p>
      <w:pPr>
        <w:pStyle w:val="11"/>
        <w:spacing w:before="93"/>
        <w:ind w:left="950" w:leftChars="300" w:hanging="320" w:hangingChars="100"/>
        <w:rPr>
          <w:rFonts w:ascii="仿宋" w:hAnsi="仿宋" w:eastAsia="仿宋"/>
        </w:rPr>
      </w:pPr>
      <w:r>
        <w:rPr>
          <w:rFonts w:hint="eastAsia" w:ascii="仿宋" w:hAnsi="仿宋" w:eastAsia="仿宋" w:cs="仿宋"/>
        </w:rPr>
        <w:t>本单位未组织开展项目支出绩效评价。</w:t>
      </w: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4"/>
        </w:numPr>
        <w:spacing w:line="600" w:lineRule="exact"/>
        <w:ind w:firstLine="660" w:firstLineChars="150"/>
        <w:jc w:val="center"/>
        <w:outlineLvl w:val="0"/>
        <w:rPr>
          <w:rStyle w:val="17"/>
          <w:rFonts w:ascii="黑体" w:hAnsi="黑体" w:eastAsia="黑体"/>
          <w:b w:val="0"/>
          <w:bCs w:val="0"/>
        </w:rPr>
      </w:pPr>
      <w:bookmarkStart w:id="79" w:name="_Toc15396613"/>
      <w:bookmarkStart w:id="80" w:name="_Toc81667051"/>
      <w:bookmarkStart w:id="81" w:name="_Toc15377225"/>
      <w:r>
        <w:rPr>
          <w:rFonts w:hint="eastAsia" w:ascii="黑体" w:hAnsi="黑体" w:eastAsia="黑体" w:cs="黑体"/>
          <w:color w:val="000000"/>
          <w:sz w:val="44"/>
          <w:szCs w:val="44"/>
        </w:rPr>
        <w:t>名</w:t>
      </w:r>
      <w:r>
        <w:rPr>
          <w:rStyle w:val="17"/>
          <w:rFonts w:hint="eastAsia" w:ascii="黑体" w:hAnsi="黑体" w:eastAsia="黑体" w:cs="黑体"/>
          <w:b w:val="0"/>
          <w:bCs w:val="0"/>
        </w:rPr>
        <w:t>词解释</w:t>
      </w:r>
      <w:bookmarkEnd w:id="79"/>
      <w:bookmarkEnd w:id="80"/>
      <w:bookmarkEnd w:id="81"/>
    </w:p>
    <w:p>
      <w:pPr>
        <w:spacing w:line="600" w:lineRule="exact"/>
        <w:jc w:val="left"/>
        <w:rPr>
          <w:rFonts w:ascii="宋体"/>
          <w:b/>
          <w:bCs/>
          <w:color w:val="000000"/>
          <w:sz w:val="44"/>
          <w:szCs w:val="44"/>
        </w:rPr>
      </w:pPr>
    </w:p>
    <w:p>
      <w:pPr>
        <w:pStyle w:val="27"/>
        <w:spacing w:line="560" w:lineRule="exact"/>
        <w:ind w:firstLine="640" w:firstLineChars="200"/>
        <w:rPr>
          <w:rFonts w:hAnsi="仿宋" w:cs="Times New Roman"/>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7"/>
        <w:spacing w:line="560" w:lineRule="exact"/>
        <w:ind w:firstLine="640" w:firstLineChars="200"/>
        <w:rPr>
          <w:rFonts w:hAnsi="仿宋" w:cs="Times New Roman"/>
          <w:sz w:val="32"/>
          <w:szCs w:val="32"/>
        </w:rPr>
      </w:pPr>
      <w:r>
        <w:rPr>
          <w:rFonts w:hAnsi="仿宋"/>
          <w:sz w:val="32"/>
          <w:szCs w:val="32"/>
        </w:rPr>
        <w:t>2.</w:t>
      </w:r>
      <w:r>
        <w:rPr>
          <w:rFonts w:hint="eastAsia" w:hAnsi="仿宋"/>
          <w:sz w:val="32"/>
          <w:szCs w:val="32"/>
        </w:rPr>
        <w:t>事业收入：指事业单位开展专业业务活动及辅助活动取得的收入。</w:t>
      </w:r>
    </w:p>
    <w:p>
      <w:pPr>
        <w:pStyle w:val="27"/>
        <w:spacing w:line="560" w:lineRule="exact"/>
        <w:ind w:firstLine="640" w:firstLineChars="200"/>
        <w:rPr>
          <w:rFonts w:hAnsi="仿宋" w:cs="Times New Roman"/>
          <w:sz w:val="32"/>
          <w:szCs w:val="32"/>
        </w:rPr>
      </w:pPr>
      <w:r>
        <w:rPr>
          <w:rFonts w:hAnsi="仿宋"/>
          <w:sz w:val="32"/>
          <w:szCs w:val="32"/>
        </w:rPr>
        <w:t>3.</w:t>
      </w:r>
      <w:r>
        <w:rPr>
          <w:rFonts w:hint="eastAsia" w:hAnsi="仿宋"/>
          <w:sz w:val="32"/>
          <w:szCs w:val="32"/>
        </w:rPr>
        <w:t>经营收入：指事业单位在专业业务活动及其辅助活动之外开展非独立核算经营活动取得的收入。</w:t>
      </w:r>
    </w:p>
    <w:p>
      <w:pPr>
        <w:pStyle w:val="27"/>
        <w:spacing w:line="560" w:lineRule="exact"/>
        <w:ind w:firstLine="640" w:firstLineChars="200"/>
        <w:rPr>
          <w:rFonts w:hAnsi="仿宋" w:cs="Times New Roman"/>
          <w:sz w:val="32"/>
          <w:szCs w:val="32"/>
        </w:rPr>
      </w:pPr>
      <w:r>
        <w:rPr>
          <w:rFonts w:hAnsi="仿宋"/>
          <w:sz w:val="32"/>
          <w:szCs w:val="32"/>
        </w:rPr>
        <w:t>4.</w:t>
      </w:r>
      <w:r>
        <w:rPr>
          <w:rFonts w:hint="eastAsia" w:hAnsi="仿宋"/>
          <w:sz w:val="32"/>
          <w:szCs w:val="32"/>
        </w:rPr>
        <w:t>其他收入：指单位取得的除上述收入以外的各项收入。</w:t>
      </w:r>
    </w:p>
    <w:p>
      <w:pPr>
        <w:pStyle w:val="27"/>
        <w:spacing w:line="560" w:lineRule="exact"/>
        <w:ind w:firstLine="640" w:firstLineChars="200"/>
        <w:rPr>
          <w:rFonts w:hAnsi="仿宋" w:cs="Times New Roman"/>
          <w:sz w:val="32"/>
          <w:szCs w:val="32"/>
        </w:rPr>
      </w:pPr>
      <w:r>
        <w:rPr>
          <w:rFonts w:hAnsi="仿宋"/>
          <w:sz w:val="32"/>
          <w:szCs w:val="32"/>
        </w:rPr>
        <w:t>5.</w:t>
      </w:r>
      <w:r>
        <w:rPr>
          <w:rFonts w:hint="eastAsia" w:hAnsi="仿宋"/>
          <w:sz w:val="32"/>
          <w:szCs w:val="32"/>
        </w:rPr>
        <w:t>使用非财政拨款结余：指事业单位使用以前年度积累的非财政拨款结余弥补当年收支差额的金额。</w:t>
      </w:r>
    </w:p>
    <w:p>
      <w:pPr>
        <w:pStyle w:val="27"/>
        <w:spacing w:line="560" w:lineRule="exact"/>
        <w:ind w:firstLine="640" w:firstLineChars="200"/>
        <w:rPr>
          <w:rFonts w:hAnsi="仿宋" w:cs="Times New Roman"/>
          <w:sz w:val="32"/>
          <w:szCs w:val="32"/>
        </w:rPr>
      </w:pPr>
      <w:r>
        <w:rPr>
          <w:rFonts w:hAnsi="仿宋"/>
          <w:sz w:val="32"/>
          <w:szCs w:val="32"/>
        </w:rPr>
        <w:t>6.</w:t>
      </w:r>
      <w:r>
        <w:rPr>
          <w:rFonts w:hint="eastAsia" w:hAnsi="仿宋"/>
          <w:sz w:val="32"/>
          <w:szCs w:val="32"/>
        </w:rPr>
        <w:t>年初结转和结余：指以前年度尚未完成、结转到本年按有关规定继续使用的资金。</w:t>
      </w:r>
    </w:p>
    <w:p>
      <w:pPr>
        <w:pStyle w:val="27"/>
        <w:spacing w:line="560" w:lineRule="exact"/>
        <w:ind w:firstLine="640" w:firstLineChars="200"/>
        <w:rPr>
          <w:rFonts w:hAnsi="仿宋" w:cs="Times New Roman"/>
          <w:sz w:val="32"/>
          <w:szCs w:val="32"/>
        </w:rPr>
      </w:pPr>
      <w:r>
        <w:rPr>
          <w:rFonts w:hAnsi="仿宋"/>
          <w:sz w:val="32"/>
          <w:szCs w:val="32"/>
        </w:rPr>
        <w:t>7.</w:t>
      </w:r>
      <w:r>
        <w:rPr>
          <w:rFonts w:hint="eastAsia" w:hAnsi="仿宋"/>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hAnsi="仿宋" w:cs="Times New Roman"/>
          <w:sz w:val="32"/>
          <w:szCs w:val="32"/>
        </w:rPr>
      </w:pPr>
      <w:r>
        <w:rPr>
          <w:rFonts w:hAnsi="仿宋"/>
          <w:sz w:val="32"/>
          <w:szCs w:val="32"/>
        </w:rPr>
        <w:t>8.</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sz w:val="32"/>
          <w:szCs w:val="32"/>
        </w:rPr>
      </w:pPr>
      <w:r>
        <w:rPr>
          <w:rFonts w:ascii="仿宋" w:hAnsi="仿宋" w:eastAsia="仿宋" w:cs="仿宋"/>
          <w:color w:val="000000"/>
          <w:sz w:val="32"/>
          <w:szCs w:val="32"/>
        </w:rPr>
        <w:t>9.</w:t>
      </w:r>
      <w:r>
        <w:rPr>
          <w:rFonts w:hint="eastAsia" w:ascii="仿宋" w:hAnsi="仿宋" w:eastAsia="仿宋" w:cs="仿宋"/>
          <w:color w:val="000000"/>
          <w:sz w:val="32"/>
          <w:szCs w:val="32"/>
        </w:rPr>
        <w:t>社会保障和就业（类）人力资源和社会保障管理事务（款）机关服务（项）</w:t>
      </w:r>
      <w:r>
        <w:rPr>
          <w:rFonts w:ascii="仿宋" w:hAnsi="仿宋" w:eastAsia="仿宋" w:cs="仿宋"/>
          <w:color w:val="000000"/>
          <w:sz w:val="32"/>
          <w:szCs w:val="32"/>
        </w:rPr>
        <w:t>:</w:t>
      </w:r>
      <w:r>
        <w:rPr>
          <w:rFonts w:hint="eastAsia" w:ascii="仿宋" w:hAnsi="仿宋" w:eastAsia="仿宋" w:cs="仿宋"/>
          <w:color w:val="000000"/>
          <w:sz w:val="32"/>
          <w:szCs w:val="32"/>
        </w:rPr>
        <w:t>指为行政单位提供后勤服务的后勤服务中心的支出，</w:t>
      </w:r>
      <w:r>
        <w:rPr>
          <w:rFonts w:hint="eastAsia" w:ascii="仿宋" w:hAnsi="仿宋" w:eastAsia="仿宋" w:cs="仿宋"/>
          <w:sz w:val="32"/>
          <w:szCs w:val="32"/>
        </w:rPr>
        <w:t>主要用于中心基本支出和项目支出</w:t>
      </w:r>
      <w:r>
        <w:rPr>
          <w:rFonts w:ascii="仿宋" w:hAnsi="仿宋" w:eastAsia="仿宋" w:cs="仿宋"/>
          <w:sz w:val="32"/>
          <w:szCs w:val="32"/>
        </w:rPr>
        <w:t>(</w:t>
      </w:r>
      <w:r>
        <w:rPr>
          <w:rFonts w:hint="eastAsia" w:ascii="仿宋" w:hAnsi="仿宋" w:eastAsia="仿宋" w:cs="仿宋"/>
          <w:sz w:val="32"/>
          <w:szCs w:val="32"/>
        </w:rPr>
        <w:t>后勤服务支出</w:t>
      </w:r>
      <w:r>
        <w:rPr>
          <w:rFonts w:ascii="仿宋" w:hAnsi="仿宋" w:eastAsia="仿宋" w:cs="仿宋"/>
          <w:sz w:val="32"/>
          <w:szCs w:val="32"/>
        </w:rPr>
        <w:t>)</w:t>
      </w:r>
      <w:r>
        <w:rPr>
          <w:rFonts w:hint="eastAsia" w:ascii="仿宋" w:hAnsi="仿宋" w:eastAsia="仿宋" w:cs="仿宋"/>
          <w:sz w:val="32"/>
          <w:szCs w:val="32"/>
        </w:rPr>
        <w:t>。</w:t>
      </w:r>
    </w:p>
    <w:p>
      <w:pPr>
        <w:pStyle w:val="2"/>
        <w:spacing w:before="93"/>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社会保障和就业（类）人力资源和社会保障管理事务（款）信息化建设（项）</w:t>
      </w:r>
      <w:r>
        <w:rPr>
          <w:rFonts w:ascii="仿宋" w:hAnsi="仿宋" w:eastAsia="仿宋" w:cs="仿宋"/>
          <w:color w:val="000000"/>
          <w:sz w:val="32"/>
          <w:szCs w:val="32"/>
        </w:rPr>
        <w:t>:</w:t>
      </w:r>
      <w:r>
        <w:rPr>
          <w:rFonts w:hint="eastAsia" w:ascii="仿宋" w:hAnsi="仿宋" w:eastAsia="仿宋" w:cs="仿宋"/>
          <w:color w:val="000000"/>
          <w:sz w:val="32"/>
          <w:szCs w:val="32"/>
        </w:rPr>
        <w:t>指人力资源和社会保障部门用于信息化建设、运行维护和数据分析等方面的支出。</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社会保障和就业（类）行政事业单位养老支出（款）事业单位离退休（项）</w:t>
      </w:r>
      <w:r>
        <w:rPr>
          <w:rFonts w:ascii="仿宋" w:hAnsi="仿宋" w:eastAsia="仿宋" w:cs="仿宋"/>
          <w:color w:val="000000"/>
          <w:sz w:val="32"/>
          <w:szCs w:val="32"/>
        </w:rPr>
        <w:t>:</w:t>
      </w:r>
      <w:r>
        <w:rPr>
          <w:rFonts w:hint="eastAsia" w:ascii="仿宋" w:hAnsi="仿宋" w:eastAsia="仿宋" w:cs="仿宋"/>
          <w:color w:val="000000"/>
          <w:sz w:val="32"/>
          <w:szCs w:val="32"/>
        </w:rPr>
        <w:t>指反映实行归口管理的事业单位开支的离退休经费。</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社会保障和就业（类）行政事业单位养老支出</w:t>
      </w:r>
      <w:r>
        <w:rPr>
          <w:rFonts w:ascii="仿宋" w:hAnsi="仿宋" w:eastAsia="仿宋" w:cs="仿宋"/>
          <w:color w:val="000000"/>
          <w:sz w:val="32"/>
          <w:szCs w:val="32"/>
        </w:rPr>
        <w:t>(</w:t>
      </w:r>
      <w:r>
        <w:rPr>
          <w:rFonts w:hint="eastAsia" w:ascii="仿宋" w:hAnsi="仿宋" w:eastAsia="仿宋" w:cs="仿宋"/>
          <w:color w:val="000000"/>
          <w:sz w:val="32"/>
          <w:szCs w:val="32"/>
        </w:rPr>
        <w:t>款</w:t>
      </w:r>
      <w:r>
        <w:rPr>
          <w:rFonts w:ascii="仿宋" w:hAnsi="仿宋" w:eastAsia="仿宋" w:cs="仿宋"/>
          <w:color w:val="000000"/>
          <w:sz w:val="32"/>
          <w:szCs w:val="32"/>
        </w:rPr>
        <w:t>)</w:t>
      </w:r>
      <w:r>
        <w:rPr>
          <w:rFonts w:hint="eastAsia" w:ascii="仿宋" w:hAnsi="仿宋" w:eastAsia="仿宋" w:cs="仿宋"/>
          <w:color w:val="000000"/>
          <w:sz w:val="32"/>
          <w:szCs w:val="32"/>
        </w:rPr>
        <w:t>机关事业单位基本养老保险缴费支出（项）</w:t>
      </w:r>
      <w:r>
        <w:rPr>
          <w:rFonts w:ascii="仿宋" w:hAnsi="仿宋" w:eastAsia="仿宋" w:cs="仿宋"/>
          <w:color w:val="000000"/>
          <w:sz w:val="32"/>
          <w:szCs w:val="32"/>
        </w:rPr>
        <w:t xml:space="preserve">: </w:t>
      </w:r>
      <w:r>
        <w:rPr>
          <w:rFonts w:hint="eastAsia" w:ascii="仿宋" w:hAnsi="仿宋" w:eastAsia="仿宋" w:cs="仿宋"/>
          <w:color w:val="000000"/>
          <w:sz w:val="32"/>
          <w:szCs w:val="32"/>
        </w:rPr>
        <w:t>指机关事业单位实施养老保险制度由单位缴纳的基本养老保险费支出。</w:t>
      </w:r>
    </w:p>
    <w:p>
      <w:pPr>
        <w:pStyle w:val="2"/>
        <w:spacing w:before="93"/>
        <w:ind w:firstLine="640" w:firstLineChars="200"/>
        <w:rPr>
          <w:rFonts w:ascii="仿宋" w:hAnsi="仿宋" w:eastAsia="仿宋" w:cs="Times New Roman"/>
        </w:rPr>
      </w:pPr>
      <w:r>
        <w:rPr>
          <w:rFonts w:hint="eastAsia" w:ascii="仿宋" w:hAnsi="仿宋" w:eastAsia="仿宋" w:cs="仿宋"/>
          <w:color w:val="000000"/>
          <w:sz w:val="32"/>
          <w:szCs w:val="32"/>
        </w:rPr>
        <w:t>社会保障和就业（类）行政事业单位养老支出</w:t>
      </w:r>
      <w:r>
        <w:rPr>
          <w:rFonts w:ascii="仿宋" w:hAnsi="仿宋" w:eastAsia="仿宋" w:cs="仿宋"/>
          <w:color w:val="000000"/>
          <w:sz w:val="32"/>
          <w:szCs w:val="32"/>
        </w:rPr>
        <w:t>(</w:t>
      </w:r>
      <w:r>
        <w:rPr>
          <w:rFonts w:hint="eastAsia" w:ascii="仿宋" w:hAnsi="仿宋" w:eastAsia="仿宋" w:cs="仿宋"/>
          <w:color w:val="000000"/>
          <w:sz w:val="32"/>
          <w:szCs w:val="32"/>
        </w:rPr>
        <w:t>款</w:t>
      </w:r>
      <w:r>
        <w:rPr>
          <w:rFonts w:ascii="仿宋" w:hAnsi="仿宋" w:eastAsia="仿宋" w:cs="仿宋"/>
          <w:color w:val="000000"/>
          <w:sz w:val="32"/>
          <w:szCs w:val="32"/>
        </w:rPr>
        <w:t>)</w:t>
      </w:r>
      <w:r>
        <w:rPr>
          <w:rFonts w:hint="eastAsia" w:ascii="仿宋" w:hAnsi="仿宋" w:eastAsia="仿宋" w:cs="仿宋"/>
          <w:color w:val="000000"/>
          <w:sz w:val="32"/>
          <w:szCs w:val="32"/>
        </w:rPr>
        <w:t>机关事业单位职业年金缴费支出（项）：指机关事业单位实施养老保险制度由单位实际缴纳的职业年金支出。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卫生健康（类）行政事业单位医疗（款）事业单位医疗（项）</w:t>
      </w:r>
      <w:r>
        <w:rPr>
          <w:rFonts w:ascii="仿宋" w:hAnsi="仿宋" w:eastAsia="仿宋" w:cs="仿宋"/>
          <w:color w:val="000000"/>
          <w:sz w:val="32"/>
          <w:szCs w:val="32"/>
        </w:rPr>
        <w:t>:</w:t>
      </w:r>
      <w:r>
        <w:rPr>
          <w:rFonts w:hint="eastAsia" w:ascii="仿宋" w:hAnsi="仿宋" w:eastAsia="仿宋" w:cs="仿宋"/>
          <w:color w:val="000000"/>
          <w:sz w:val="32"/>
          <w:szCs w:val="32"/>
        </w:rPr>
        <w:t>指</w:t>
      </w:r>
      <w:r>
        <w:rPr>
          <w:rFonts w:hint="eastAsia" w:ascii="仿宋" w:hAnsi="仿宋" w:eastAsia="仿宋" w:cs="仿宋"/>
          <w:sz w:val="32"/>
          <w:szCs w:val="32"/>
        </w:rPr>
        <w:t>主要用于厅属事业单位按照国家政策规定用于基本医疗缴费支出。</w:t>
      </w:r>
    </w:p>
    <w:p>
      <w:pPr>
        <w:adjustRightInd w:val="0"/>
        <w:snapToGrid w:val="0"/>
        <w:spacing w:line="58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住房保障（类）住房改革支出（款）住房公积金（项）</w:t>
      </w:r>
      <w:r>
        <w:rPr>
          <w:rFonts w:ascii="仿宋" w:hAnsi="仿宋" w:eastAsia="仿宋" w:cs="仿宋"/>
          <w:color w:val="000000"/>
          <w:sz w:val="32"/>
          <w:szCs w:val="32"/>
        </w:rPr>
        <w:t>:</w:t>
      </w:r>
      <w:r>
        <w:rPr>
          <w:rFonts w:hint="eastAsia" w:ascii="仿宋" w:hAnsi="仿宋" w:eastAsia="仿宋" w:cs="仿宋"/>
          <w:color w:val="000000"/>
          <w:sz w:val="32"/>
          <w:szCs w:val="32"/>
        </w:rPr>
        <w:t>指行政事业单位按人力资源社会保障部、财政部规定的基本工资和津贴补贴以及规定比例为职工缴纳的住房公积金。</w:t>
      </w:r>
    </w:p>
    <w:p>
      <w:pPr>
        <w:ind w:firstLine="640" w:firstLineChars="200"/>
        <w:rPr>
          <w:rFonts w:ascii="仿宋" w:hAnsi="仿宋" w:eastAsia="仿宋"/>
          <w:color w:val="000000"/>
          <w:sz w:val="32"/>
          <w:szCs w:val="32"/>
        </w:rPr>
      </w:pPr>
      <w:r>
        <w:rPr>
          <w:rFonts w:hint="eastAsia" w:ascii="仿宋" w:hAnsi="仿宋" w:eastAsia="仿宋" w:cs="仿宋"/>
          <w:color w:val="000000"/>
          <w:sz w:val="32"/>
          <w:szCs w:val="32"/>
        </w:rPr>
        <w:t>住房保障（类）住房改革支出（款）购房补贴（项）</w:t>
      </w:r>
      <w:r>
        <w:rPr>
          <w:rFonts w:ascii="仿宋" w:hAnsi="仿宋" w:eastAsia="仿宋" w:cs="仿宋"/>
          <w:color w:val="000000"/>
          <w:sz w:val="32"/>
          <w:szCs w:val="32"/>
        </w:rPr>
        <w:t xml:space="preserve">: </w:t>
      </w:r>
      <w:r>
        <w:rPr>
          <w:rFonts w:hint="eastAsia" w:ascii="仿宋" w:hAnsi="仿宋" w:eastAsia="仿宋" w:cs="仿宋"/>
          <w:color w:val="000000"/>
          <w:sz w:val="32"/>
          <w:szCs w:val="32"/>
        </w:rPr>
        <w:t>指按房改政策规定，行政事业单位向符合条件职工发放的用于购买住房的补贴。</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13.</w:t>
      </w:r>
      <w:r>
        <w:rPr>
          <w:rFonts w:hint="eastAsia" w:ascii="仿宋" w:hAnsi="仿宋" w:eastAsia="仿宋" w:cs="仿宋"/>
          <w:color w:val="000000"/>
          <w:sz w:val="32"/>
          <w:szCs w:val="32"/>
        </w:rPr>
        <w:t>项目支出：指在基本支出之外为完成特定行政任务和事业发展目标所发生的支出。</w:t>
      </w:r>
    </w:p>
    <w:p>
      <w:pPr>
        <w:pStyle w:val="27"/>
        <w:spacing w:line="560" w:lineRule="exact"/>
        <w:ind w:firstLine="640" w:firstLineChars="200"/>
        <w:rPr>
          <w:rFonts w:hAnsi="仿宋" w:cs="Times New Roman"/>
          <w:sz w:val="32"/>
          <w:szCs w:val="32"/>
        </w:rPr>
      </w:pPr>
      <w:r>
        <w:rPr>
          <w:rFonts w:hAnsi="仿宋"/>
          <w:sz w:val="32"/>
          <w:szCs w:val="32"/>
        </w:rPr>
        <w:t>14.</w:t>
      </w:r>
      <w:r>
        <w:rPr>
          <w:rFonts w:hint="eastAsia" w:hAnsi="仿宋"/>
          <w:sz w:val="32"/>
          <w:szCs w:val="32"/>
        </w:rPr>
        <w:t>经营支出：指事业单位在专业业务活动及其辅助活动之外开展非独立核算经营活动发生的支出。</w:t>
      </w:r>
    </w:p>
    <w:p>
      <w:pPr>
        <w:pStyle w:val="27"/>
        <w:spacing w:line="560" w:lineRule="exact"/>
        <w:ind w:firstLine="640" w:firstLineChars="200"/>
        <w:rPr>
          <w:rFonts w:hAnsi="仿宋" w:cs="Times New Roman"/>
          <w:sz w:val="32"/>
          <w:szCs w:val="32"/>
        </w:rPr>
      </w:pPr>
      <w:r>
        <w:rPr>
          <w:rFonts w:hAnsi="仿宋"/>
          <w:sz w:val="32"/>
          <w:szCs w:val="32"/>
        </w:rPr>
        <w:t>15.</w:t>
      </w:r>
      <w:r>
        <w:rPr>
          <w:rFonts w:hint="eastAsia" w:hAnsi="仿宋"/>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Ansi="仿宋" w:cs="Times New Roman"/>
          <w:sz w:val="32"/>
          <w:szCs w:val="32"/>
        </w:rPr>
      </w:pPr>
      <w:r>
        <w:rPr>
          <w:rFonts w:hAnsi="仿宋"/>
          <w:sz w:val="32"/>
          <w:szCs w:val="32"/>
        </w:rPr>
        <w:t>16.</w:t>
      </w:r>
      <w:r>
        <w:rPr>
          <w:rFonts w:hint="eastAsia" w:hAnsi="仿宋"/>
          <w:sz w:val="32"/>
          <w:szCs w:val="32"/>
        </w:rPr>
        <w:t>机关运行经费：</w:t>
      </w:r>
      <w:r>
        <w:rPr>
          <w:rFonts w:hint="eastAsia" w:hAnsi="仿宋"/>
          <w:kern w:val="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bCs/>
          <w:color w:val="000000"/>
          <w:sz w:val="44"/>
          <w:szCs w:val="44"/>
        </w:rPr>
      </w:pPr>
      <w:bookmarkStart w:id="82" w:name="_Toc15377226"/>
      <w:r>
        <w:rPr>
          <w:rFonts w:ascii="宋体"/>
          <w:b/>
          <w:bCs/>
          <w:color w:val="000000"/>
          <w:sz w:val="44"/>
          <w:szCs w:val="44"/>
        </w:rPr>
        <w:br w:type="page"/>
      </w:r>
      <w:bookmarkStart w:id="83" w:name="_Toc81667052"/>
      <w:bookmarkStart w:id="84" w:name="_Toc15396614"/>
    </w:p>
    <w:p>
      <w:pPr>
        <w:spacing w:line="600" w:lineRule="exact"/>
        <w:jc w:val="center"/>
        <w:outlineLvl w:val="0"/>
        <w:rPr>
          <w:rStyle w:val="17"/>
          <w:rFonts w:ascii="黑体" w:hAnsi="黑体" w:eastAsia="黑体"/>
          <w:b w:val="0"/>
          <w:bCs w:val="0"/>
        </w:rPr>
      </w:pPr>
      <w:r>
        <w:rPr>
          <w:rFonts w:hint="eastAsia" w:ascii="黑体" w:hAnsi="黑体" w:eastAsia="黑体" w:cs="黑体"/>
          <w:color w:val="000000"/>
          <w:sz w:val="44"/>
          <w:szCs w:val="44"/>
        </w:rPr>
        <w:t>第</w:t>
      </w:r>
      <w:r>
        <w:rPr>
          <w:rStyle w:val="17"/>
          <w:rFonts w:hint="eastAsia" w:ascii="黑体" w:hAnsi="黑体" w:eastAsia="黑体" w:cs="黑体"/>
          <w:b w:val="0"/>
          <w:bCs w:val="0"/>
        </w:rPr>
        <w:t>四部分</w:t>
      </w:r>
      <w:r>
        <w:rPr>
          <w:rStyle w:val="17"/>
          <w:rFonts w:ascii="黑体" w:hAnsi="黑体" w:eastAsia="黑体" w:cs="黑体"/>
          <w:b w:val="0"/>
          <w:bCs w:val="0"/>
        </w:rPr>
        <w:t xml:space="preserve"> </w:t>
      </w:r>
      <w:r>
        <w:rPr>
          <w:rStyle w:val="17"/>
          <w:rFonts w:hint="eastAsia" w:ascii="黑体" w:hAnsi="黑体" w:eastAsia="黑体" w:cs="黑体"/>
          <w:b w:val="0"/>
          <w:bCs w:val="0"/>
        </w:rPr>
        <w:t>附件</w:t>
      </w:r>
      <w:bookmarkEnd w:id="83"/>
      <w:bookmarkEnd w:id="84"/>
    </w:p>
    <w:p>
      <w:pPr>
        <w:spacing w:line="580" w:lineRule="exact"/>
        <w:rPr>
          <w:rFonts w:ascii="仿宋_GB2312" w:hAnsi="仿宋_GB2312" w:eastAsia="仿宋_GB2312"/>
          <w:sz w:val="32"/>
          <w:szCs w:val="32"/>
        </w:rPr>
      </w:pPr>
    </w:p>
    <w:p>
      <w:pPr>
        <w:pStyle w:val="11"/>
        <w:spacing w:before="93"/>
        <w:ind w:left="950" w:leftChars="300" w:hanging="320" w:hangingChars="100"/>
        <w:rPr>
          <w:rFonts w:ascii="仿宋" w:hAnsi="仿宋" w:eastAsia="仿宋"/>
        </w:rPr>
      </w:pPr>
      <w:bookmarkStart w:id="85" w:name="_Toc15396618"/>
      <w:r>
        <w:rPr>
          <w:rFonts w:hint="eastAsia" w:ascii="仿宋" w:hAnsi="仿宋" w:eastAsia="仿宋" w:cs="仿宋"/>
        </w:rPr>
        <w:t>本单位未自行组织开展项目支出绩效评价。</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r>
        <w:rPr>
          <w:rFonts w:ascii="黑体" w:hAnsi="黑体" w:eastAsia="黑体"/>
          <w:color w:val="000000"/>
          <w:sz w:val="44"/>
          <w:szCs w:val="44"/>
        </w:rPr>
        <w:br w:type="page"/>
      </w:r>
    </w:p>
    <w:p>
      <w:pPr>
        <w:spacing w:line="600" w:lineRule="exact"/>
        <w:jc w:val="center"/>
        <w:outlineLvl w:val="0"/>
        <w:rPr>
          <w:rStyle w:val="17"/>
          <w:rFonts w:ascii="黑体" w:hAnsi="黑体" w:eastAsia="黑体"/>
          <w:b w:val="0"/>
          <w:bCs w:val="0"/>
        </w:rPr>
      </w:pPr>
      <w:bookmarkStart w:id="86" w:name="_Toc81667053"/>
      <w:r>
        <w:rPr>
          <w:rFonts w:hint="eastAsia" w:ascii="黑体" w:hAnsi="黑体" w:eastAsia="黑体" w:cs="黑体"/>
          <w:color w:val="000000"/>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82"/>
      <w:bookmarkEnd w:id="85"/>
      <w:bookmarkEnd w:id="86"/>
      <w:bookmarkStart w:id="87" w:name="_Toc15396619"/>
    </w:p>
    <w:p>
      <w:pPr>
        <w:pStyle w:val="2"/>
        <w:spacing w:before="93"/>
        <w:rPr>
          <w:rFonts w:cs="Times New Roman"/>
        </w:rPr>
      </w:pPr>
    </w:p>
    <w:p>
      <w:pPr>
        <w:pStyle w:val="4"/>
        <w:rPr>
          <w:rFonts w:ascii="仿宋" w:hAnsi="仿宋" w:eastAsia="仿宋" w:cs="Times New Roman"/>
          <w:color w:val="000000"/>
        </w:rPr>
      </w:pPr>
      <w:bookmarkStart w:id="88" w:name="_Toc81667054"/>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87"/>
      <w:bookmarkEnd w:id="88"/>
    </w:p>
    <w:p>
      <w:pPr>
        <w:pStyle w:val="4"/>
        <w:rPr>
          <w:rFonts w:ascii="仿宋" w:hAnsi="仿宋" w:eastAsia="仿宋" w:cs="Times New Roman"/>
          <w:color w:val="000000"/>
        </w:rPr>
      </w:pPr>
      <w:bookmarkStart w:id="89" w:name="_Toc15396620"/>
      <w:bookmarkStart w:id="90" w:name="_Toc81667055"/>
      <w:r>
        <w:rPr>
          <w:rFonts w:hint="eastAsia" w:ascii="仿宋" w:hAnsi="仿宋" w:eastAsia="仿宋" w:cs="仿宋"/>
          <w:b w:val="0"/>
          <w:bCs w:val="0"/>
          <w:color w:val="000000"/>
        </w:rPr>
        <w:t>二、收</w:t>
      </w:r>
      <w:r>
        <w:rPr>
          <w:rStyle w:val="18"/>
          <w:rFonts w:hint="eastAsia" w:ascii="仿宋" w:hAnsi="仿宋" w:eastAsia="仿宋" w:cs="仿宋"/>
          <w:b w:val="0"/>
          <w:bCs w:val="0"/>
        </w:rPr>
        <w:t>入决算表</w:t>
      </w:r>
      <w:bookmarkEnd w:id="89"/>
      <w:bookmarkEnd w:id="90"/>
    </w:p>
    <w:p>
      <w:pPr>
        <w:pStyle w:val="4"/>
        <w:rPr>
          <w:rFonts w:ascii="仿宋" w:hAnsi="仿宋" w:eastAsia="仿宋" w:cs="Times New Roman"/>
          <w:color w:val="000000"/>
        </w:rPr>
      </w:pPr>
      <w:bookmarkStart w:id="91" w:name="_Toc15396621"/>
      <w:bookmarkStart w:id="92" w:name="_Toc81667056"/>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出决算表</w:t>
      </w:r>
      <w:bookmarkEnd w:id="91"/>
      <w:bookmarkEnd w:id="92"/>
    </w:p>
    <w:p>
      <w:pPr>
        <w:pStyle w:val="4"/>
        <w:rPr>
          <w:rFonts w:ascii="仿宋" w:hAnsi="仿宋" w:eastAsia="仿宋" w:cs="Times New Roman"/>
          <w:b w:val="0"/>
          <w:bCs w:val="0"/>
          <w:color w:val="000000"/>
        </w:rPr>
      </w:pPr>
      <w:bookmarkStart w:id="93" w:name="_Toc15396622"/>
      <w:bookmarkStart w:id="94" w:name="_Toc81667057"/>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93"/>
      <w:bookmarkEnd w:id="94"/>
    </w:p>
    <w:p>
      <w:pPr>
        <w:pStyle w:val="4"/>
        <w:rPr>
          <w:rStyle w:val="18"/>
          <w:rFonts w:ascii="仿宋" w:hAnsi="仿宋" w:eastAsia="仿宋" w:cs="Times New Roman"/>
          <w:b w:val="0"/>
          <w:bCs w:val="0"/>
        </w:rPr>
      </w:pPr>
      <w:bookmarkStart w:id="95" w:name="_Toc15396623"/>
      <w:bookmarkStart w:id="96" w:name="_Toc81667058"/>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w:t>
      </w:r>
      <w:bookmarkEnd w:id="95"/>
      <w:bookmarkEnd w:id="96"/>
      <w:bookmarkStart w:id="97" w:name="_Toc15396624"/>
    </w:p>
    <w:p>
      <w:pPr>
        <w:pStyle w:val="4"/>
        <w:rPr>
          <w:rFonts w:ascii="仿宋" w:hAnsi="仿宋" w:eastAsia="仿宋" w:cs="Times New Roman"/>
          <w:color w:val="000000"/>
        </w:rPr>
      </w:pPr>
      <w:bookmarkStart w:id="98" w:name="_Toc81667059"/>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97"/>
      <w:bookmarkEnd w:id="98"/>
    </w:p>
    <w:p>
      <w:pPr>
        <w:pStyle w:val="4"/>
        <w:rPr>
          <w:rFonts w:ascii="仿宋" w:hAnsi="仿宋" w:eastAsia="仿宋" w:cs="Times New Roman"/>
          <w:color w:val="000000"/>
        </w:rPr>
      </w:pPr>
      <w:bookmarkStart w:id="99" w:name="_Toc15396625"/>
      <w:bookmarkStart w:id="100" w:name="_Toc81667060"/>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99"/>
      <w:bookmarkEnd w:id="100"/>
    </w:p>
    <w:p>
      <w:pPr>
        <w:pStyle w:val="4"/>
        <w:rPr>
          <w:rFonts w:ascii="仿宋" w:hAnsi="仿宋" w:eastAsia="仿宋" w:cs="Times New Roman"/>
          <w:color w:val="000000"/>
        </w:rPr>
      </w:pPr>
      <w:bookmarkStart w:id="101" w:name="_Toc15396626"/>
      <w:bookmarkStart w:id="102" w:name="_Toc81667061"/>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101"/>
      <w:bookmarkEnd w:id="102"/>
    </w:p>
    <w:p>
      <w:pPr>
        <w:pStyle w:val="4"/>
        <w:rPr>
          <w:rFonts w:ascii="仿宋" w:hAnsi="仿宋" w:eastAsia="仿宋" w:cs="Times New Roman"/>
          <w:color w:val="000000"/>
        </w:rPr>
      </w:pPr>
      <w:bookmarkStart w:id="103" w:name="_Toc81667062"/>
      <w:bookmarkStart w:id="104" w:name="_Toc15396627"/>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103"/>
      <w:bookmarkEnd w:id="104"/>
    </w:p>
    <w:p>
      <w:pPr>
        <w:pStyle w:val="4"/>
        <w:rPr>
          <w:rFonts w:ascii="仿宋" w:hAnsi="仿宋" w:eastAsia="仿宋" w:cs="Times New Roman"/>
          <w:color w:val="000000"/>
        </w:rPr>
      </w:pPr>
      <w:bookmarkStart w:id="105" w:name="_Toc81667063"/>
      <w:bookmarkStart w:id="106" w:name="_Toc15396628"/>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105"/>
      <w:bookmarkEnd w:id="106"/>
    </w:p>
    <w:p>
      <w:pPr>
        <w:pStyle w:val="4"/>
        <w:rPr>
          <w:rFonts w:ascii="仿宋" w:hAnsi="仿宋" w:eastAsia="仿宋" w:cs="Times New Roman"/>
          <w:color w:val="000000"/>
        </w:rPr>
      </w:pPr>
      <w:bookmarkStart w:id="107" w:name="_Toc15396629"/>
      <w:bookmarkStart w:id="108" w:name="_Toc81667064"/>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107"/>
      <w:bookmarkEnd w:id="108"/>
    </w:p>
    <w:p>
      <w:pPr>
        <w:pStyle w:val="4"/>
        <w:rPr>
          <w:rFonts w:ascii="仿宋" w:hAnsi="仿宋" w:eastAsia="仿宋" w:cs="Times New Roman"/>
          <w:color w:val="000000"/>
        </w:rPr>
      </w:pPr>
      <w:bookmarkStart w:id="109" w:name="_Toc15396630"/>
      <w:bookmarkStart w:id="110" w:name="_Toc81667065"/>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109"/>
      <w:bookmarkEnd w:id="110"/>
    </w:p>
    <w:p>
      <w:pPr>
        <w:pStyle w:val="4"/>
        <w:rPr>
          <w:rStyle w:val="18"/>
          <w:rFonts w:ascii="仿宋" w:hAnsi="仿宋" w:eastAsia="仿宋" w:cs="Times New Roman"/>
          <w:b w:val="0"/>
          <w:bCs w:val="0"/>
        </w:rPr>
      </w:pPr>
      <w:bookmarkStart w:id="111" w:name="_Toc15396631"/>
      <w:bookmarkStart w:id="112" w:name="_Toc81667066"/>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有资本经营预算财政拨款收入支出决算表</w:t>
      </w:r>
      <w:bookmarkEnd w:id="111"/>
      <w:bookmarkEnd w:id="112"/>
    </w:p>
    <w:p>
      <w:pPr>
        <w:rPr>
          <w:rFonts w:eastAsia="仿宋"/>
        </w:rPr>
      </w:pPr>
      <w:bookmarkStart w:id="113" w:name="_Toc81667067"/>
      <w:r>
        <w:rPr>
          <w:rStyle w:val="18"/>
          <w:rFonts w:hint="eastAsia" w:ascii="仿宋" w:hAnsi="仿宋" w:eastAsia="仿宋" w:cs="仿宋"/>
          <w:b w:val="0"/>
          <w:bCs w:val="0"/>
        </w:rPr>
        <w:t>十四、国有资本经营预算财政拨款支出决算表</w:t>
      </w:r>
      <w:bookmarkEnd w:id="113"/>
    </w:p>
    <w:sectPr>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等线 Light">
    <w:altName w:val="仿宋"/>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19</w:t>
    </w:r>
    <w:r>
      <w:rPr>
        <w:rFonts w:ascii="宋体" w:hAnsi="宋体" w:cs="宋体"/>
        <w:sz w:val="28"/>
        <w:szCs w:val="28"/>
      </w:rPr>
      <w:fldChar w:fldCharType="end"/>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20</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318B2"/>
    <w:rsid w:val="00037DB8"/>
    <w:rsid w:val="000468DB"/>
    <w:rsid w:val="000518D5"/>
    <w:rsid w:val="0006487A"/>
    <w:rsid w:val="00065F8F"/>
    <w:rsid w:val="00070A43"/>
    <w:rsid w:val="000768F2"/>
    <w:rsid w:val="0009184B"/>
    <w:rsid w:val="00094236"/>
    <w:rsid w:val="0009593C"/>
    <w:rsid w:val="00097322"/>
    <w:rsid w:val="000A37E1"/>
    <w:rsid w:val="000A6A92"/>
    <w:rsid w:val="000B047F"/>
    <w:rsid w:val="000B2F9A"/>
    <w:rsid w:val="000B5923"/>
    <w:rsid w:val="000B5A48"/>
    <w:rsid w:val="000B6FF3"/>
    <w:rsid w:val="000C3467"/>
    <w:rsid w:val="000C3CA6"/>
    <w:rsid w:val="000D1267"/>
    <w:rsid w:val="000D19C2"/>
    <w:rsid w:val="000D1D50"/>
    <w:rsid w:val="000D2A20"/>
    <w:rsid w:val="000D4C6D"/>
    <w:rsid w:val="000D5782"/>
    <w:rsid w:val="000E6613"/>
    <w:rsid w:val="000E7119"/>
    <w:rsid w:val="000F0319"/>
    <w:rsid w:val="000F55D4"/>
    <w:rsid w:val="00114E9B"/>
    <w:rsid w:val="00125B36"/>
    <w:rsid w:val="00142216"/>
    <w:rsid w:val="00144D6A"/>
    <w:rsid w:val="0014598B"/>
    <w:rsid w:val="0014729F"/>
    <w:rsid w:val="00157BAB"/>
    <w:rsid w:val="001654D1"/>
    <w:rsid w:val="00165B97"/>
    <w:rsid w:val="00174493"/>
    <w:rsid w:val="00174518"/>
    <w:rsid w:val="0018106D"/>
    <w:rsid w:val="001877A7"/>
    <w:rsid w:val="00191536"/>
    <w:rsid w:val="00192875"/>
    <w:rsid w:val="00196687"/>
    <w:rsid w:val="001A18D7"/>
    <w:rsid w:val="001B38A6"/>
    <w:rsid w:val="001C0962"/>
    <w:rsid w:val="001D6127"/>
    <w:rsid w:val="001D7531"/>
    <w:rsid w:val="001E573D"/>
    <w:rsid w:val="001E737D"/>
    <w:rsid w:val="001F0592"/>
    <w:rsid w:val="001F7506"/>
    <w:rsid w:val="002006CD"/>
    <w:rsid w:val="00202B36"/>
    <w:rsid w:val="00204B7A"/>
    <w:rsid w:val="00204CDE"/>
    <w:rsid w:val="00205812"/>
    <w:rsid w:val="0021101A"/>
    <w:rsid w:val="00220536"/>
    <w:rsid w:val="00235629"/>
    <w:rsid w:val="00240262"/>
    <w:rsid w:val="00260C38"/>
    <w:rsid w:val="002616C0"/>
    <w:rsid w:val="00265372"/>
    <w:rsid w:val="002662AA"/>
    <w:rsid w:val="00280496"/>
    <w:rsid w:val="00281A6A"/>
    <w:rsid w:val="00284597"/>
    <w:rsid w:val="00292861"/>
    <w:rsid w:val="00294DC9"/>
    <w:rsid w:val="00295495"/>
    <w:rsid w:val="002A31DE"/>
    <w:rsid w:val="002B2613"/>
    <w:rsid w:val="002D6D05"/>
    <w:rsid w:val="002E213D"/>
    <w:rsid w:val="002F1818"/>
    <w:rsid w:val="002F567B"/>
    <w:rsid w:val="00313FC0"/>
    <w:rsid w:val="003216A9"/>
    <w:rsid w:val="003307B2"/>
    <w:rsid w:val="00331766"/>
    <w:rsid w:val="00335A74"/>
    <w:rsid w:val="00351B6E"/>
    <w:rsid w:val="0035705F"/>
    <w:rsid w:val="003616FA"/>
    <w:rsid w:val="00365345"/>
    <w:rsid w:val="0036561B"/>
    <w:rsid w:val="0037013F"/>
    <w:rsid w:val="00380C92"/>
    <w:rsid w:val="00382ABB"/>
    <w:rsid w:val="00390F17"/>
    <w:rsid w:val="003A484F"/>
    <w:rsid w:val="003A4883"/>
    <w:rsid w:val="003B0BE0"/>
    <w:rsid w:val="003B0C1B"/>
    <w:rsid w:val="003B688C"/>
    <w:rsid w:val="003C0291"/>
    <w:rsid w:val="003C399F"/>
    <w:rsid w:val="003C39AE"/>
    <w:rsid w:val="003C3A88"/>
    <w:rsid w:val="003C64B9"/>
    <w:rsid w:val="003C7B60"/>
    <w:rsid w:val="003D0C0F"/>
    <w:rsid w:val="003D1FB2"/>
    <w:rsid w:val="003D66DA"/>
    <w:rsid w:val="003E1310"/>
    <w:rsid w:val="003E6F55"/>
    <w:rsid w:val="003F7EAA"/>
    <w:rsid w:val="00406254"/>
    <w:rsid w:val="00411615"/>
    <w:rsid w:val="004223DE"/>
    <w:rsid w:val="00434489"/>
    <w:rsid w:val="00437085"/>
    <w:rsid w:val="00442742"/>
    <w:rsid w:val="00443880"/>
    <w:rsid w:val="004464F4"/>
    <w:rsid w:val="00450332"/>
    <w:rsid w:val="0045445B"/>
    <w:rsid w:val="00471401"/>
    <w:rsid w:val="00473F31"/>
    <w:rsid w:val="0048263A"/>
    <w:rsid w:val="00487E5D"/>
    <w:rsid w:val="004A711F"/>
    <w:rsid w:val="004B199D"/>
    <w:rsid w:val="004B4690"/>
    <w:rsid w:val="004C147E"/>
    <w:rsid w:val="004C58CE"/>
    <w:rsid w:val="004D2565"/>
    <w:rsid w:val="004E0A2D"/>
    <w:rsid w:val="004E206B"/>
    <w:rsid w:val="004E2E0C"/>
    <w:rsid w:val="004E6DF7"/>
    <w:rsid w:val="004F0FBD"/>
    <w:rsid w:val="00505A47"/>
    <w:rsid w:val="00512FDA"/>
    <w:rsid w:val="00520DA0"/>
    <w:rsid w:val="00551943"/>
    <w:rsid w:val="005664BB"/>
    <w:rsid w:val="00566FFA"/>
    <w:rsid w:val="005708FC"/>
    <w:rsid w:val="0057481D"/>
    <w:rsid w:val="0058486E"/>
    <w:rsid w:val="00585B33"/>
    <w:rsid w:val="00587BB5"/>
    <w:rsid w:val="0059014D"/>
    <w:rsid w:val="005B3451"/>
    <w:rsid w:val="005B5C64"/>
    <w:rsid w:val="005C5337"/>
    <w:rsid w:val="005C6BD0"/>
    <w:rsid w:val="005C7C7F"/>
    <w:rsid w:val="005D0058"/>
    <w:rsid w:val="005D1C8B"/>
    <w:rsid w:val="005D468D"/>
    <w:rsid w:val="005D5CED"/>
    <w:rsid w:val="005E49C0"/>
    <w:rsid w:val="005F1A4C"/>
    <w:rsid w:val="00605688"/>
    <w:rsid w:val="006070AF"/>
    <w:rsid w:val="00607E6C"/>
    <w:rsid w:val="006101B1"/>
    <w:rsid w:val="00610872"/>
    <w:rsid w:val="00614E44"/>
    <w:rsid w:val="00615FCA"/>
    <w:rsid w:val="00621D34"/>
    <w:rsid w:val="0062270A"/>
    <w:rsid w:val="00622830"/>
    <w:rsid w:val="00623DA0"/>
    <w:rsid w:val="00630AEF"/>
    <w:rsid w:val="006325F8"/>
    <w:rsid w:val="00633463"/>
    <w:rsid w:val="00634C9A"/>
    <w:rsid w:val="006440E4"/>
    <w:rsid w:val="0066343B"/>
    <w:rsid w:val="00664730"/>
    <w:rsid w:val="00664777"/>
    <w:rsid w:val="006748A4"/>
    <w:rsid w:val="00680840"/>
    <w:rsid w:val="00681A31"/>
    <w:rsid w:val="00683E73"/>
    <w:rsid w:val="006A3141"/>
    <w:rsid w:val="006A5E34"/>
    <w:rsid w:val="006B2422"/>
    <w:rsid w:val="006B2B9A"/>
    <w:rsid w:val="006C1937"/>
    <w:rsid w:val="006C24ED"/>
    <w:rsid w:val="006F020C"/>
    <w:rsid w:val="00700648"/>
    <w:rsid w:val="00712484"/>
    <w:rsid w:val="007127B7"/>
    <w:rsid w:val="00712F37"/>
    <w:rsid w:val="0071798E"/>
    <w:rsid w:val="007239FC"/>
    <w:rsid w:val="007416B6"/>
    <w:rsid w:val="00746F48"/>
    <w:rsid w:val="0075404D"/>
    <w:rsid w:val="00757293"/>
    <w:rsid w:val="0076182A"/>
    <w:rsid w:val="00767B7E"/>
    <w:rsid w:val="007770C3"/>
    <w:rsid w:val="00784D24"/>
    <w:rsid w:val="00785FBA"/>
    <w:rsid w:val="00786E4A"/>
    <w:rsid w:val="007875EB"/>
    <w:rsid w:val="007941E7"/>
    <w:rsid w:val="0079426B"/>
    <w:rsid w:val="007C0622"/>
    <w:rsid w:val="007C5957"/>
    <w:rsid w:val="007D1682"/>
    <w:rsid w:val="007D312A"/>
    <w:rsid w:val="007D3F19"/>
    <w:rsid w:val="007E23B0"/>
    <w:rsid w:val="007E23E5"/>
    <w:rsid w:val="007E27E4"/>
    <w:rsid w:val="007F1991"/>
    <w:rsid w:val="007F2C2F"/>
    <w:rsid w:val="007F55FC"/>
    <w:rsid w:val="007F5665"/>
    <w:rsid w:val="00800112"/>
    <w:rsid w:val="00813348"/>
    <w:rsid w:val="008229B5"/>
    <w:rsid w:val="00822CE3"/>
    <w:rsid w:val="008253BB"/>
    <w:rsid w:val="0083706E"/>
    <w:rsid w:val="008408F6"/>
    <w:rsid w:val="008423A5"/>
    <w:rsid w:val="00850625"/>
    <w:rsid w:val="00853718"/>
    <w:rsid w:val="00855221"/>
    <w:rsid w:val="00857791"/>
    <w:rsid w:val="00860645"/>
    <w:rsid w:val="00864B3E"/>
    <w:rsid w:val="00871F71"/>
    <w:rsid w:val="00872FD8"/>
    <w:rsid w:val="00885AF4"/>
    <w:rsid w:val="00890206"/>
    <w:rsid w:val="008939CD"/>
    <w:rsid w:val="008B5BB3"/>
    <w:rsid w:val="008B768C"/>
    <w:rsid w:val="008C4DB1"/>
    <w:rsid w:val="008C4EAF"/>
    <w:rsid w:val="008C5176"/>
    <w:rsid w:val="008C7FD0"/>
    <w:rsid w:val="008E1DE7"/>
    <w:rsid w:val="008E707C"/>
    <w:rsid w:val="00900B08"/>
    <w:rsid w:val="00901D6D"/>
    <w:rsid w:val="00902155"/>
    <w:rsid w:val="00902FA3"/>
    <w:rsid w:val="00915F53"/>
    <w:rsid w:val="00923564"/>
    <w:rsid w:val="0092392E"/>
    <w:rsid w:val="009315F9"/>
    <w:rsid w:val="00933499"/>
    <w:rsid w:val="00935C98"/>
    <w:rsid w:val="00942014"/>
    <w:rsid w:val="00946945"/>
    <w:rsid w:val="00951248"/>
    <w:rsid w:val="0095152F"/>
    <w:rsid w:val="00954C49"/>
    <w:rsid w:val="00955E37"/>
    <w:rsid w:val="0097099F"/>
    <w:rsid w:val="00971997"/>
    <w:rsid w:val="00971FFC"/>
    <w:rsid w:val="0098660A"/>
    <w:rsid w:val="009931C3"/>
    <w:rsid w:val="009A01E6"/>
    <w:rsid w:val="009B0C83"/>
    <w:rsid w:val="009B2C43"/>
    <w:rsid w:val="009B4EAE"/>
    <w:rsid w:val="009B558A"/>
    <w:rsid w:val="009B7573"/>
    <w:rsid w:val="009C22F4"/>
    <w:rsid w:val="009C2A4B"/>
    <w:rsid w:val="009C2E98"/>
    <w:rsid w:val="009D2F1D"/>
    <w:rsid w:val="009D3447"/>
    <w:rsid w:val="009D4711"/>
    <w:rsid w:val="009F1185"/>
    <w:rsid w:val="009F18CD"/>
    <w:rsid w:val="009F2A13"/>
    <w:rsid w:val="009F6750"/>
    <w:rsid w:val="009F7527"/>
    <w:rsid w:val="00A04EB0"/>
    <w:rsid w:val="00A13CC1"/>
    <w:rsid w:val="00A16847"/>
    <w:rsid w:val="00A237D8"/>
    <w:rsid w:val="00A268C4"/>
    <w:rsid w:val="00A307CD"/>
    <w:rsid w:val="00A331C8"/>
    <w:rsid w:val="00A37324"/>
    <w:rsid w:val="00A40A00"/>
    <w:rsid w:val="00A4142F"/>
    <w:rsid w:val="00A422EB"/>
    <w:rsid w:val="00A45BB7"/>
    <w:rsid w:val="00A52F81"/>
    <w:rsid w:val="00A56DF2"/>
    <w:rsid w:val="00A56E6E"/>
    <w:rsid w:val="00A67AB5"/>
    <w:rsid w:val="00A733B2"/>
    <w:rsid w:val="00A741C2"/>
    <w:rsid w:val="00A74AB7"/>
    <w:rsid w:val="00A91760"/>
    <w:rsid w:val="00A93B00"/>
    <w:rsid w:val="00A93C21"/>
    <w:rsid w:val="00AA75B1"/>
    <w:rsid w:val="00AB64C9"/>
    <w:rsid w:val="00AC3C6A"/>
    <w:rsid w:val="00AD5169"/>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482C"/>
    <w:rsid w:val="00B67F59"/>
    <w:rsid w:val="00B77EA6"/>
    <w:rsid w:val="00B81598"/>
    <w:rsid w:val="00B82855"/>
    <w:rsid w:val="00B830D2"/>
    <w:rsid w:val="00B841F1"/>
    <w:rsid w:val="00B944D6"/>
    <w:rsid w:val="00BB4DF0"/>
    <w:rsid w:val="00BC289F"/>
    <w:rsid w:val="00BC2D50"/>
    <w:rsid w:val="00BC5361"/>
    <w:rsid w:val="00BC5460"/>
    <w:rsid w:val="00BC6B50"/>
    <w:rsid w:val="00BD0E25"/>
    <w:rsid w:val="00BD1495"/>
    <w:rsid w:val="00BF37F8"/>
    <w:rsid w:val="00BF5BD6"/>
    <w:rsid w:val="00C03E31"/>
    <w:rsid w:val="00C33E72"/>
    <w:rsid w:val="00C354B2"/>
    <w:rsid w:val="00C35554"/>
    <w:rsid w:val="00C42709"/>
    <w:rsid w:val="00C51725"/>
    <w:rsid w:val="00C533CC"/>
    <w:rsid w:val="00C56016"/>
    <w:rsid w:val="00C5751C"/>
    <w:rsid w:val="00C61BFC"/>
    <w:rsid w:val="00C62B85"/>
    <w:rsid w:val="00C65438"/>
    <w:rsid w:val="00C87FD8"/>
    <w:rsid w:val="00C91381"/>
    <w:rsid w:val="00C91CBB"/>
    <w:rsid w:val="00CB4E70"/>
    <w:rsid w:val="00CC09B6"/>
    <w:rsid w:val="00CC666F"/>
    <w:rsid w:val="00CC7073"/>
    <w:rsid w:val="00CD1E3F"/>
    <w:rsid w:val="00CE115A"/>
    <w:rsid w:val="00CE44F6"/>
    <w:rsid w:val="00CE49DA"/>
    <w:rsid w:val="00CE7B61"/>
    <w:rsid w:val="00D00095"/>
    <w:rsid w:val="00D114F0"/>
    <w:rsid w:val="00D11D3B"/>
    <w:rsid w:val="00D20620"/>
    <w:rsid w:val="00D254F7"/>
    <w:rsid w:val="00D26091"/>
    <w:rsid w:val="00D2685C"/>
    <w:rsid w:val="00D32E71"/>
    <w:rsid w:val="00D34E7C"/>
    <w:rsid w:val="00D35489"/>
    <w:rsid w:val="00D36AFE"/>
    <w:rsid w:val="00D51276"/>
    <w:rsid w:val="00D55827"/>
    <w:rsid w:val="00D65BE2"/>
    <w:rsid w:val="00D7035F"/>
    <w:rsid w:val="00D91B8A"/>
    <w:rsid w:val="00DA634F"/>
    <w:rsid w:val="00DA65AC"/>
    <w:rsid w:val="00DB1913"/>
    <w:rsid w:val="00DC410D"/>
    <w:rsid w:val="00DC5A81"/>
    <w:rsid w:val="00DC68CA"/>
    <w:rsid w:val="00DC7CBA"/>
    <w:rsid w:val="00DD73B7"/>
    <w:rsid w:val="00DF28BC"/>
    <w:rsid w:val="00DF321C"/>
    <w:rsid w:val="00DF34B9"/>
    <w:rsid w:val="00DF7136"/>
    <w:rsid w:val="00E01053"/>
    <w:rsid w:val="00E02CE1"/>
    <w:rsid w:val="00E07ACF"/>
    <w:rsid w:val="00E30CE1"/>
    <w:rsid w:val="00E331A1"/>
    <w:rsid w:val="00E33202"/>
    <w:rsid w:val="00E336A9"/>
    <w:rsid w:val="00E40DFF"/>
    <w:rsid w:val="00E472B1"/>
    <w:rsid w:val="00E50624"/>
    <w:rsid w:val="00E568DF"/>
    <w:rsid w:val="00E64269"/>
    <w:rsid w:val="00E658C5"/>
    <w:rsid w:val="00E82267"/>
    <w:rsid w:val="00E853CE"/>
    <w:rsid w:val="00E867B6"/>
    <w:rsid w:val="00EA010F"/>
    <w:rsid w:val="00EA3708"/>
    <w:rsid w:val="00ED1B63"/>
    <w:rsid w:val="00ED3C1F"/>
    <w:rsid w:val="00ED4085"/>
    <w:rsid w:val="00ED420E"/>
    <w:rsid w:val="00ED6FBE"/>
    <w:rsid w:val="00EE2F57"/>
    <w:rsid w:val="00EF4C34"/>
    <w:rsid w:val="00EF77C6"/>
    <w:rsid w:val="00F05438"/>
    <w:rsid w:val="00F1361C"/>
    <w:rsid w:val="00F156F0"/>
    <w:rsid w:val="00F160C7"/>
    <w:rsid w:val="00F22E1F"/>
    <w:rsid w:val="00F2408F"/>
    <w:rsid w:val="00F240E9"/>
    <w:rsid w:val="00F306BD"/>
    <w:rsid w:val="00F36D8F"/>
    <w:rsid w:val="00F40CBD"/>
    <w:rsid w:val="00F417B1"/>
    <w:rsid w:val="00F43998"/>
    <w:rsid w:val="00F45853"/>
    <w:rsid w:val="00F602DF"/>
    <w:rsid w:val="00F754A1"/>
    <w:rsid w:val="00F81FD9"/>
    <w:rsid w:val="00F841AA"/>
    <w:rsid w:val="00F84A94"/>
    <w:rsid w:val="00F87E96"/>
    <w:rsid w:val="00F94888"/>
    <w:rsid w:val="00FA23E8"/>
    <w:rsid w:val="00FB326D"/>
    <w:rsid w:val="00FC7B55"/>
    <w:rsid w:val="00FD147A"/>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 w:val="EEFF65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qFormat="1" w:unhideWhenUsed="0"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b/>
      <w:bCs/>
      <w:sz w:val="28"/>
      <w:szCs w:val="28"/>
    </w:rPr>
  </w:style>
  <w:style w:type="paragraph" w:styleId="11">
    <w:name w:val="table of figures"/>
    <w:basedOn w:val="1"/>
    <w:next w:val="1"/>
    <w:semiHidden/>
    <w:qFormat/>
    <w:locked/>
    <w:uiPriority w:val="99"/>
    <w:pPr>
      <w:ind w:left="200" w:leftChars="200" w:hanging="200" w:hangingChars="200"/>
    </w:pPr>
    <w:rPr>
      <w:rFonts w:eastAsia="方正仿宋_GBK"/>
      <w:sz w:val="32"/>
      <w:szCs w:val="32"/>
    </w:rPr>
  </w:style>
  <w:style w:type="paragraph" w:styleId="12">
    <w:name w:val="toc 2"/>
    <w:basedOn w:val="1"/>
    <w:next w:val="1"/>
    <w:semiHidden/>
    <w:qFormat/>
    <w:uiPriority w:val="99"/>
    <w:pPr>
      <w:tabs>
        <w:tab w:val="right" w:leader="dot" w:pos="8296"/>
      </w:tabs>
      <w:ind w:left="420" w:leftChars="200"/>
    </w:p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Cambria"/>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locked/>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locked/>
    <w:uiPriority w:val="99"/>
    <w:rPr>
      <w:rFonts w:ascii="Times New Roman" w:hAnsi="Times New Roman" w:cs="Times New Roman"/>
      <w:sz w:val="18"/>
      <w:szCs w:val="18"/>
    </w:rPr>
  </w:style>
  <w:style w:type="character" w:customStyle="1" w:styleId="23">
    <w:name w:val="Header Char"/>
    <w:basedOn w:val="14"/>
    <w:link w:val="9"/>
    <w:semiHidden/>
    <w:qFormat/>
    <w:locked/>
    <w:uiPriority w:val="99"/>
    <w:rPr>
      <w:rFonts w:ascii="Times New Roman" w:hAnsi="Times New Roman" w:cs="Times New Roman"/>
      <w:sz w:val="18"/>
      <w:szCs w:val="18"/>
    </w:rPr>
  </w:style>
  <w:style w:type="character" w:customStyle="1" w:styleId="24">
    <w:name w:val="Header Char1"/>
    <w:link w:val="9"/>
    <w:semiHidden/>
    <w:qFormat/>
    <w:locked/>
    <w:uiPriority w:val="99"/>
    <w:rPr>
      <w:sz w:val="18"/>
      <w:szCs w:val="18"/>
    </w:rPr>
  </w:style>
  <w:style w:type="character" w:customStyle="1" w:styleId="25">
    <w:name w:val="Footer Char1"/>
    <w:link w:val="8"/>
    <w:qFormat/>
    <w:locked/>
    <w:uiPriority w:val="99"/>
    <w:rPr>
      <w:sz w:val="18"/>
      <w:szCs w:val="18"/>
    </w:rPr>
  </w:style>
  <w:style w:type="character" w:customStyle="1" w:styleId="26">
    <w:name w:val="Body Text Char1"/>
    <w:link w:val="2"/>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Heading"/>
    <w:basedOn w:val="3"/>
    <w:next w:val="1"/>
    <w:qFormat/>
    <w:uiPriority w:val="99"/>
    <w:pPr>
      <w:widowControl/>
      <w:spacing w:before="240" w:after="0" w:line="259" w:lineRule="auto"/>
      <w:jc w:val="left"/>
      <w:outlineLvl w:val="9"/>
    </w:pPr>
    <w:rPr>
      <w:rFonts w:ascii="等线 Light" w:hAnsi="等线 Light" w:eastAsia="等线 Light" w:cs="等线 Light"/>
      <w:b w:val="0"/>
      <w:bCs w:val="0"/>
      <w:color w:val="2E74B5"/>
      <w:kern w:val="0"/>
      <w:sz w:val="32"/>
      <w:szCs w:val="32"/>
    </w:rPr>
  </w:style>
  <w:style w:type="character" w:customStyle="1" w:styleId="32">
    <w:name w:val="标题 2 字符"/>
    <w:link w:val="4"/>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20</Pages>
  <Words>1375</Words>
  <Characters>7842</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2021-09-07T10:55:00Z</cp:lastPrinted>
  <dcterms:modified xsi:type="dcterms:W3CDTF">2022-11-14T10:10:54Z</dcterms:modified>
  <dc:title>四川省***</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