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eastAsia="方正小标宋简体"/>
          <w:color w:val="000000"/>
          <w:sz w:val="30"/>
          <w:szCs w:val="30"/>
        </w:rPr>
      </w:pPr>
      <w:bookmarkStart w:id="0" w:name="_Toc15306267"/>
    </w:p>
    <w:p>
      <w:pPr>
        <w:spacing w:line="600" w:lineRule="exact"/>
        <w:jc w:val="center"/>
        <w:outlineLvl w:val="0"/>
        <w:rPr>
          <w:rFonts w:eastAsia="方正小标宋简体"/>
          <w:color w:val="000000"/>
          <w:sz w:val="72"/>
          <w:szCs w:val="72"/>
        </w:rPr>
      </w:pPr>
    </w:p>
    <w:p>
      <w:pPr>
        <w:spacing w:line="600" w:lineRule="exact"/>
        <w:jc w:val="center"/>
        <w:outlineLvl w:val="0"/>
        <w:rPr>
          <w:rFonts w:eastAsia="方正小标宋简体"/>
          <w:color w:val="000000"/>
          <w:sz w:val="72"/>
          <w:szCs w:val="72"/>
        </w:rPr>
      </w:pPr>
    </w:p>
    <w:p>
      <w:pPr>
        <w:pStyle w:val="2"/>
        <w:spacing w:before="93"/>
        <w:rPr>
          <w:rFonts w:ascii="Times New Roman" w:cs="Times New Roman"/>
        </w:rPr>
      </w:pPr>
    </w:p>
    <w:p>
      <w:pPr>
        <w:pStyle w:val="2"/>
        <w:spacing w:before="93"/>
        <w:rPr>
          <w:rFonts w:ascii="Times New Roman" w:cs="Times New Roman"/>
        </w:rPr>
      </w:pPr>
    </w:p>
    <w:p>
      <w:pPr>
        <w:spacing w:line="600" w:lineRule="exact"/>
        <w:jc w:val="center"/>
        <w:outlineLvl w:val="0"/>
        <w:rPr>
          <w:rFonts w:eastAsia="方正小标宋简体"/>
          <w:color w:val="000000"/>
          <w:sz w:val="72"/>
          <w:szCs w:val="72"/>
        </w:rPr>
      </w:pPr>
    </w:p>
    <w:p>
      <w:pPr>
        <w:adjustRightInd w:val="0"/>
        <w:snapToGrid w:val="0"/>
        <w:spacing w:line="1300" w:lineRule="exact"/>
        <w:jc w:val="center"/>
        <w:outlineLvl w:val="0"/>
        <w:rPr>
          <w:rFonts w:ascii="方正小标宋简体" w:eastAsia="方正小标宋简体"/>
          <w:sz w:val="68"/>
          <w:szCs w:val="68"/>
        </w:rPr>
      </w:pPr>
      <w:bookmarkStart w:id="1" w:name="_Toc15377193"/>
      <w:bookmarkStart w:id="2" w:name="_Toc81293305"/>
      <w:bookmarkStart w:id="3" w:name="_Toc15378441"/>
      <w:bookmarkStart w:id="4" w:name="_Toc15396597"/>
      <w:bookmarkStart w:id="5" w:name="_Toc15377425"/>
      <w:bookmarkStart w:id="6" w:name="_Toc15396475"/>
      <w:bookmarkStart w:id="7" w:name="_Toc81293483"/>
      <w:bookmarkStart w:id="8" w:name="_Toc81380029"/>
      <w:r>
        <w:rPr>
          <w:rFonts w:ascii="方正小标宋简体" w:eastAsia="方正小标宋简体" w:cs="方正小标宋简体"/>
          <w:sz w:val="68"/>
          <w:szCs w:val="68"/>
        </w:rPr>
        <w:t>2020</w:t>
      </w:r>
      <w:r>
        <w:rPr>
          <w:rFonts w:hint="eastAsia" w:ascii="方正小标宋简体" w:eastAsia="方正小标宋简体" w:cs="方正小标宋简体"/>
          <w:sz w:val="68"/>
          <w:szCs w:val="68"/>
        </w:rPr>
        <w:t>年度</w:t>
      </w:r>
      <w:bookmarkEnd w:id="1"/>
      <w:bookmarkEnd w:id="2"/>
      <w:bookmarkEnd w:id="3"/>
      <w:bookmarkEnd w:id="4"/>
      <w:bookmarkEnd w:id="5"/>
      <w:bookmarkEnd w:id="6"/>
      <w:bookmarkEnd w:id="7"/>
      <w:bookmarkEnd w:id="8"/>
    </w:p>
    <w:p>
      <w:pPr>
        <w:adjustRightInd w:val="0"/>
        <w:snapToGrid w:val="0"/>
        <w:spacing w:line="1300" w:lineRule="exact"/>
        <w:jc w:val="center"/>
        <w:outlineLvl w:val="0"/>
        <w:rPr>
          <w:rFonts w:hint="eastAsia" w:ascii="方正小标宋简体" w:eastAsia="方正小标宋简体" w:cs="方正小标宋简体"/>
          <w:spacing w:val="200"/>
          <w:sz w:val="68"/>
          <w:szCs w:val="68"/>
        </w:rPr>
      </w:pPr>
      <w:bookmarkStart w:id="9" w:name="_Toc81293306"/>
      <w:bookmarkStart w:id="10" w:name="_Toc81380030"/>
      <w:bookmarkStart w:id="11" w:name="_Toc81293484"/>
      <w:bookmarkStart w:id="12" w:name="_Toc15378442"/>
      <w:bookmarkStart w:id="13" w:name="_Toc15396598"/>
      <w:bookmarkStart w:id="14" w:name="_Toc15377426"/>
      <w:bookmarkStart w:id="15" w:name="_Toc15396476"/>
      <w:bookmarkStart w:id="16" w:name="_Toc15377194"/>
      <w:r>
        <w:rPr>
          <w:rFonts w:hint="eastAsia" w:ascii="方正小标宋简体" w:eastAsia="方正小标宋简体" w:cs="方正小标宋简体"/>
          <w:sz w:val="68"/>
          <w:szCs w:val="68"/>
        </w:rPr>
        <w:t>四川省</w:t>
      </w:r>
      <w:bookmarkEnd w:id="0"/>
      <w:bookmarkStart w:id="17" w:name="_Toc15306268"/>
      <w:r>
        <w:rPr>
          <w:rFonts w:hint="eastAsia" w:ascii="方正小标宋简体" w:eastAsia="方正小标宋简体" w:cs="方正小标宋简体"/>
          <w:sz w:val="68"/>
          <w:szCs w:val="68"/>
        </w:rPr>
        <w:t>人力资源和社会保障厅</w:t>
      </w:r>
      <w:r>
        <w:rPr>
          <w:rFonts w:hint="eastAsia" w:ascii="方正小标宋简体" w:eastAsia="方正小标宋简体" w:cs="方正小标宋简体"/>
          <w:spacing w:val="200"/>
          <w:sz w:val="68"/>
          <w:szCs w:val="68"/>
        </w:rPr>
        <w:t>机关</w:t>
      </w:r>
      <w:bookmarkEnd w:id="9"/>
      <w:bookmarkEnd w:id="10"/>
      <w:bookmarkEnd w:id="11"/>
      <w:bookmarkStart w:id="18" w:name="_Toc81293485"/>
      <w:bookmarkStart w:id="19" w:name="_Toc81293307"/>
      <w:bookmarkStart w:id="20" w:name="_Toc81380031"/>
    </w:p>
    <w:p>
      <w:pPr>
        <w:adjustRightInd w:val="0"/>
        <w:snapToGrid w:val="0"/>
        <w:spacing w:line="1300" w:lineRule="exact"/>
        <w:jc w:val="center"/>
        <w:outlineLvl w:val="0"/>
        <w:rPr>
          <w:rFonts w:ascii="方正小标宋简体" w:eastAsia="方正小标宋简体"/>
          <w:spacing w:val="200"/>
          <w:sz w:val="68"/>
          <w:szCs w:val="68"/>
        </w:rPr>
      </w:pPr>
      <w:r>
        <w:rPr>
          <w:rFonts w:hint="eastAsia" w:ascii="方正小标宋简体" w:eastAsia="方正小标宋简体" w:cs="方正小标宋简体"/>
          <w:spacing w:val="200"/>
          <w:sz w:val="68"/>
          <w:szCs w:val="68"/>
        </w:rPr>
        <w:t>单位决算</w:t>
      </w:r>
      <w:bookmarkEnd w:id="12"/>
      <w:bookmarkEnd w:id="13"/>
      <w:bookmarkEnd w:id="14"/>
      <w:bookmarkEnd w:id="15"/>
      <w:bookmarkEnd w:id="16"/>
      <w:bookmarkEnd w:id="17"/>
      <w:bookmarkEnd w:id="18"/>
      <w:bookmarkEnd w:id="19"/>
      <w:bookmarkEnd w:id="20"/>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widowControl/>
        <w:jc w:val="center"/>
        <w:rPr>
          <w:rFonts w:eastAsia="方正小标宋简体"/>
          <w:sz w:val="36"/>
          <w:szCs w:val="36"/>
        </w:rPr>
        <w:sectPr>
          <w:footerReference r:id="rId3" w:type="default"/>
          <w:type w:val="oddPage"/>
          <w:pgSz w:w="11906" w:h="16838"/>
          <w:pgMar w:top="1928" w:right="1418" w:bottom="1474" w:left="1418" w:header="851" w:footer="992" w:gutter="0"/>
          <w:cols w:space="425" w:num="1"/>
          <w:docGrid w:type="lines" w:linePitch="312" w:charSpace="0"/>
        </w:sectPr>
      </w:pPr>
    </w:p>
    <w:p>
      <w:pPr>
        <w:widowControl/>
        <w:rPr>
          <w:rFonts w:eastAsia="方正小标宋简体"/>
          <w:sz w:val="36"/>
          <w:szCs w:val="36"/>
        </w:rPr>
      </w:pPr>
    </w:p>
    <w:p>
      <w:pPr>
        <w:widowControl/>
        <w:jc w:val="center"/>
        <w:rPr>
          <w:rFonts w:eastAsia="仿宋_GB2312"/>
          <w:sz w:val="32"/>
          <w:szCs w:val="32"/>
        </w:rPr>
      </w:pPr>
      <w:r>
        <w:rPr>
          <w:rFonts w:hint="eastAsia" w:eastAsia="黑体" w:cs="黑体"/>
          <w:sz w:val="48"/>
          <w:szCs w:val="48"/>
        </w:rPr>
        <w:t>目录</w:t>
      </w:r>
    </w:p>
    <w:p>
      <w:pPr>
        <w:widowControl/>
        <w:jc w:val="center"/>
        <w:rPr>
          <w:rFonts w:eastAsia="仿宋_GB2312"/>
          <w:sz w:val="32"/>
          <w:szCs w:val="32"/>
        </w:rPr>
      </w:pPr>
    </w:p>
    <w:p>
      <w:pPr>
        <w:pStyle w:val="10"/>
        <w:ind w:left="31680" w:firstLine="31680"/>
        <w:jc w:val="center"/>
        <w:rPr>
          <w:rFonts w:ascii="Times New Roman" w:hAnsi="Times New Roman" w:cs="Times New Roman"/>
        </w:rPr>
      </w:pPr>
      <w:r>
        <w:rPr>
          <w:rFonts w:hint="eastAsia" w:ascii="Times New Roman" w:eastAsia="仿宋_GB2312" w:cs="仿宋_GB2312"/>
          <w:sz w:val="32"/>
          <w:szCs w:val="32"/>
        </w:rPr>
        <w:t>公开时间：</w:t>
      </w:r>
      <w:r>
        <w:rPr>
          <w:rFonts w:ascii="Times New Roman" w:hAnsi="Times New Roman" w:eastAsia="仿宋_GB2312" w:cs="Times New Roman"/>
          <w:sz w:val="32"/>
          <w:szCs w:val="32"/>
        </w:rPr>
        <w:t>2021</w:t>
      </w:r>
      <w:r>
        <w:rPr>
          <w:rFonts w:hint="eastAsia" w:ascii="Times New Roman" w:eastAsia="仿宋_GB2312" w:cs="仿宋_GB2312"/>
          <w:sz w:val="32"/>
          <w:szCs w:val="32"/>
        </w:rPr>
        <w:t>年</w:t>
      </w:r>
      <w:r>
        <w:rPr>
          <w:rFonts w:ascii="Times New Roman" w:hAnsi="Times New Roman" w:eastAsia="仿宋_GB2312" w:cs="Times New Roman"/>
          <w:sz w:val="32"/>
          <w:szCs w:val="32"/>
        </w:rPr>
        <w:t>9</w:t>
      </w:r>
      <w:r>
        <w:rPr>
          <w:rFonts w:hint="eastAsia" w:ascii="Times New Roman" w:eastAsia="仿宋_GB2312" w:cs="仿宋_GB2312"/>
          <w:sz w:val="32"/>
          <w:szCs w:val="32"/>
        </w:rPr>
        <w:t>月</w:t>
      </w:r>
      <w:r>
        <w:rPr>
          <w:rFonts w:ascii="Times New Roman" w:eastAsia="仿宋_GB2312" w:cs="Times New Roman"/>
          <w:sz w:val="32"/>
          <w:szCs w:val="32"/>
        </w:rPr>
        <w:t>10</w:t>
      </w:r>
      <w:r>
        <w:rPr>
          <w:rFonts w:hint="eastAsia" w:ascii="Times New Roman" w:eastAsia="仿宋_GB2312" w:cs="仿宋_GB2312"/>
          <w:sz w:val="32"/>
          <w:szCs w:val="32"/>
        </w:rPr>
        <w:t>日</w:t>
      </w: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p>
    <w:p>
      <w:pPr>
        <w:jc w:val="center"/>
        <w:rPr>
          <w:rFonts w:eastAsia="仿宋_GB2312"/>
          <w:sz w:val="32"/>
          <w:szCs w:val="32"/>
        </w:rPr>
      </w:pPr>
      <w:r>
        <w:fldChar w:fldCharType="end"/>
      </w:r>
      <w:bookmarkStart w:id="208" w:name="_GoBack"/>
      <w:bookmarkEnd w:id="208"/>
    </w:p>
    <w:p>
      <w:pPr>
        <w:pStyle w:val="11"/>
        <w:ind w:left="31680" w:firstLine="31680"/>
        <w:rPr>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"_Toc81380032" </w:instrText>
      </w:r>
      <w:r>
        <w:fldChar w:fldCharType="separate"/>
      </w:r>
      <w:r>
        <w:rPr>
          <w:rStyle w:val="16"/>
          <w:rFonts w:hint="eastAsia" w:eastAsia="黑体" w:cs="黑体"/>
          <w:sz w:val="28"/>
          <w:szCs w:val="28"/>
        </w:rPr>
        <w:t>第一部分单位概况</w:t>
      </w:r>
      <w:r>
        <w:rPr>
          <w:sz w:val="28"/>
          <w:szCs w:val="28"/>
        </w:rPr>
        <w:tab/>
      </w:r>
      <w:r>
        <w:rPr>
          <w:sz w:val="28"/>
          <w:szCs w:val="28"/>
        </w:rPr>
        <w:fldChar w:fldCharType="begin"/>
      </w:r>
      <w:r>
        <w:rPr>
          <w:sz w:val="28"/>
          <w:szCs w:val="28"/>
        </w:rPr>
        <w:instrText xml:space="preserve"> PAGEREF _Toc81380032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ind w:left="420" w:leftChars="100" w:hanging="210" w:hangingChars="100"/>
        <w:rPr>
          <w:rStyle w:val="16"/>
          <w:rFonts w:eastAsia="仿宋_GB2312"/>
          <w:sz w:val="28"/>
          <w:szCs w:val="28"/>
        </w:rPr>
      </w:pPr>
      <w:r>
        <w:fldChar w:fldCharType="begin"/>
      </w:r>
      <w:r>
        <w:instrText xml:space="preserve"> HYPERLINK \l "_Toc81380033" </w:instrText>
      </w:r>
      <w:r>
        <w:fldChar w:fldCharType="separate"/>
      </w:r>
      <w:r>
        <w:rPr>
          <w:rStyle w:val="16"/>
          <w:rFonts w:hint="eastAsia" w:eastAsia="仿宋_GB2312" w:cs="仿宋_GB2312"/>
          <w:sz w:val="28"/>
          <w:szCs w:val="28"/>
        </w:rPr>
        <w:t>一、职能简介</w:t>
      </w:r>
      <w:r>
        <w:rPr>
          <w:rStyle w:val="16"/>
          <w:rFonts w:eastAsia="仿宋_GB2312"/>
          <w:sz w:val="28"/>
          <w:szCs w:val="28"/>
        </w:rPr>
        <w:tab/>
      </w:r>
      <w:r>
        <w:rPr>
          <w:rStyle w:val="16"/>
          <w:rFonts w:eastAsia="仿宋_GB2312"/>
          <w:sz w:val="28"/>
          <w:szCs w:val="28"/>
        </w:rPr>
        <w:fldChar w:fldCharType="begin"/>
      </w:r>
      <w:r>
        <w:rPr>
          <w:rStyle w:val="16"/>
          <w:rFonts w:eastAsia="仿宋_GB2312"/>
          <w:sz w:val="28"/>
          <w:szCs w:val="28"/>
        </w:rPr>
        <w:instrText xml:space="preserve"> PAGEREF _Toc81380033 \h </w:instrText>
      </w:r>
      <w:r>
        <w:rPr>
          <w:rStyle w:val="16"/>
          <w:rFonts w:eastAsia="仿宋_GB2312"/>
          <w:sz w:val="28"/>
          <w:szCs w:val="28"/>
        </w:rPr>
        <w:fldChar w:fldCharType="separate"/>
      </w:r>
      <w:r>
        <w:rPr>
          <w:rStyle w:val="16"/>
          <w:rFonts w:eastAsia="仿宋_GB2312"/>
          <w:sz w:val="28"/>
          <w:szCs w:val="28"/>
        </w:rPr>
        <w:t>1</w:t>
      </w:r>
      <w:r>
        <w:rPr>
          <w:rStyle w:val="16"/>
          <w:rFonts w:eastAsia="仿宋_GB2312"/>
          <w:sz w:val="28"/>
          <w:szCs w:val="28"/>
        </w:rPr>
        <w:fldChar w:fldCharType="end"/>
      </w:r>
      <w:r>
        <w:rPr>
          <w:rStyle w:val="16"/>
          <w:rFonts w:eastAsia="仿宋_GB2312"/>
          <w:sz w:val="28"/>
          <w:szCs w:val="28"/>
        </w:rPr>
        <w:fldChar w:fldCharType="end"/>
      </w:r>
    </w:p>
    <w:p>
      <w:pPr>
        <w:pStyle w:val="11"/>
        <w:ind w:left="420" w:leftChars="100" w:hanging="210" w:hangingChars="100"/>
        <w:rPr>
          <w:sz w:val="28"/>
          <w:szCs w:val="28"/>
        </w:rPr>
      </w:pPr>
      <w:r>
        <w:fldChar w:fldCharType="begin"/>
      </w:r>
      <w:r>
        <w:instrText xml:space="preserve"> HYPERLINK \l "_Toc81380035" </w:instrText>
      </w:r>
      <w:r>
        <w:fldChar w:fldCharType="separate"/>
      </w:r>
      <w:r>
        <w:rPr>
          <w:rStyle w:val="16"/>
          <w:rFonts w:hint="eastAsia" w:eastAsia="仿宋_GB2312" w:cs="仿宋_GB2312"/>
          <w:sz w:val="28"/>
          <w:szCs w:val="28"/>
        </w:rPr>
        <w:t>二、</w:t>
      </w:r>
      <w:r>
        <w:rPr>
          <w:rStyle w:val="16"/>
          <w:rFonts w:eastAsia="仿宋_GB2312"/>
          <w:sz w:val="28"/>
          <w:szCs w:val="28"/>
        </w:rPr>
        <w:t>2020</w:t>
      </w:r>
      <w:r>
        <w:rPr>
          <w:rStyle w:val="16"/>
          <w:rFonts w:hint="eastAsia" w:eastAsia="仿宋_GB2312" w:cs="仿宋_GB2312"/>
          <w:sz w:val="28"/>
          <w:szCs w:val="28"/>
        </w:rPr>
        <w:t>年重点工作完成情况</w:t>
      </w:r>
      <w:r>
        <w:rPr>
          <w:sz w:val="28"/>
          <w:szCs w:val="28"/>
        </w:rPr>
        <w:tab/>
      </w:r>
      <w:r>
        <w:rPr>
          <w:sz w:val="28"/>
          <w:szCs w:val="28"/>
        </w:rPr>
        <w:fldChar w:fldCharType="begin"/>
      </w:r>
      <w:r>
        <w:rPr>
          <w:sz w:val="28"/>
          <w:szCs w:val="28"/>
        </w:rPr>
        <w:instrText xml:space="preserve"> PAGEREF _Toc81380035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"_Toc81380035" </w:instrText>
      </w:r>
      <w:r>
        <w:fldChar w:fldCharType="separate"/>
      </w:r>
      <w:r>
        <w:rPr>
          <w:rStyle w:val="16"/>
          <w:rFonts w:hint="eastAsia" w:eastAsia="仿宋_GB2312" w:cs="仿宋_GB2312"/>
          <w:sz w:val="28"/>
          <w:szCs w:val="28"/>
          <w:lang w:eastAsia="zh-CN"/>
        </w:rPr>
        <w:t>三</w:t>
      </w:r>
      <w:r>
        <w:rPr>
          <w:rStyle w:val="16"/>
          <w:rFonts w:hint="eastAsia" w:eastAsia="仿宋_GB2312" w:cs="仿宋_GB2312"/>
          <w:sz w:val="28"/>
          <w:szCs w:val="28"/>
        </w:rPr>
        <w:t>、</w:t>
      </w:r>
      <w:r>
        <w:rPr>
          <w:rStyle w:val="16"/>
          <w:rFonts w:hint="eastAsia" w:eastAsia="仿宋_GB2312"/>
          <w:sz w:val="28"/>
          <w:szCs w:val="28"/>
          <w:lang w:eastAsia="zh-CN"/>
        </w:rPr>
        <w:t>机构设置情况</w:t>
      </w:r>
      <w:r>
        <w:rPr>
          <w:sz w:val="28"/>
          <w:szCs w:val="28"/>
        </w:rPr>
        <w:tab/>
      </w:r>
      <w:r>
        <w:rPr>
          <w:rFonts w:hint="eastAsia"/>
          <w:sz w:val="28"/>
          <w:szCs w:val="28"/>
          <w:lang w:val="en-US" w:eastAsia="zh-CN"/>
        </w:rPr>
        <w:t>9</w:t>
      </w:r>
      <w:r>
        <w:rPr>
          <w:sz w:val="28"/>
          <w:szCs w:val="28"/>
        </w:rPr>
        <w:fldChar w:fldCharType="end"/>
      </w:r>
    </w:p>
    <w:p>
      <w:pPr>
        <w:pStyle w:val="10"/>
        <w:ind w:left="31680" w:firstLine="31680"/>
        <w:rPr>
          <w:rFonts w:ascii="Times New Roman" w:hAnsi="Times New Roman" w:cs="Times New Roman"/>
        </w:rPr>
      </w:pPr>
      <w:r>
        <w:fldChar w:fldCharType="begin"/>
      </w:r>
      <w:r>
        <w:instrText xml:space="preserve"> HYPERLINK \l "_Toc81380037" </w:instrText>
      </w:r>
      <w:r>
        <w:fldChar w:fldCharType="separate"/>
      </w:r>
      <w:r>
        <w:rPr>
          <w:rStyle w:val="16"/>
          <w:rFonts w:hint="eastAsia" w:ascii="Times New Roman" w:hAnsi="Times New Roman" w:eastAsia="黑体" w:cs="黑体"/>
        </w:rPr>
        <w:t>第二部分</w:t>
      </w:r>
      <w:r>
        <w:rPr>
          <w:rStyle w:val="16"/>
          <w:rFonts w:ascii="Times New Roman" w:hAnsi="Times New Roman" w:eastAsia="黑体" w:cs="Times New Roman"/>
        </w:rPr>
        <w:t xml:space="preserve"> 2020</w:t>
      </w:r>
      <w:r>
        <w:rPr>
          <w:rStyle w:val="16"/>
          <w:rFonts w:hint="eastAsia" w:ascii="Times New Roman" w:hAnsi="Times New Roman" w:eastAsia="黑体" w:cs="黑体"/>
        </w:rPr>
        <w:t>年度单位决算情况说明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_Toc81380037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11"/>
        <w:ind w:left="420" w:leftChars="100" w:hanging="210" w:hangingChars="100"/>
        <w:rPr>
          <w:sz w:val="28"/>
          <w:szCs w:val="28"/>
        </w:rPr>
      </w:pPr>
      <w:r>
        <w:fldChar w:fldCharType="begin"/>
      </w:r>
      <w:r>
        <w:instrText xml:space="preserve"> HYPERLINK \l "_Toc81380038" </w:instrText>
      </w:r>
      <w:r>
        <w:fldChar w:fldCharType="separate"/>
      </w:r>
      <w:r>
        <w:rPr>
          <w:rStyle w:val="16"/>
          <w:rFonts w:hint="eastAsia" w:eastAsia="仿宋_GB2312" w:cs="仿宋_GB2312"/>
          <w:sz w:val="28"/>
          <w:szCs w:val="28"/>
        </w:rPr>
        <w:t>一、收入支出决算总体情况说明</w:t>
      </w:r>
      <w:r>
        <w:rPr>
          <w:sz w:val="28"/>
          <w:szCs w:val="28"/>
        </w:rPr>
        <w:tab/>
      </w:r>
      <w:r>
        <w:rPr>
          <w:sz w:val="28"/>
          <w:szCs w:val="28"/>
        </w:rPr>
        <w:fldChar w:fldCharType="begin"/>
      </w:r>
      <w:r>
        <w:rPr>
          <w:sz w:val="28"/>
          <w:szCs w:val="28"/>
        </w:rPr>
        <w:instrText xml:space="preserve"> PAGEREF _Toc81380038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"_Toc81380039" </w:instrText>
      </w:r>
      <w:r>
        <w:fldChar w:fldCharType="separate"/>
      </w:r>
      <w:r>
        <w:rPr>
          <w:rStyle w:val="16"/>
          <w:rFonts w:hint="eastAsia" w:eastAsia="仿宋_GB2312" w:cs="仿宋_GB2312"/>
          <w:sz w:val="28"/>
          <w:szCs w:val="28"/>
        </w:rPr>
        <w:t>二、收入决算情况说明</w:t>
      </w:r>
      <w:r>
        <w:rPr>
          <w:sz w:val="28"/>
          <w:szCs w:val="28"/>
        </w:rPr>
        <w:tab/>
      </w:r>
      <w:r>
        <w:rPr>
          <w:sz w:val="28"/>
          <w:szCs w:val="28"/>
        </w:rPr>
        <w:fldChar w:fldCharType="begin"/>
      </w:r>
      <w:r>
        <w:rPr>
          <w:sz w:val="28"/>
          <w:szCs w:val="28"/>
        </w:rPr>
        <w:instrText xml:space="preserve"> PAGEREF _Toc81380039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"_Toc81380041" </w:instrText>
      </w:r>
      <w:r>
        <w:fldChar w:fldCharType="separate"/>
      </w:r>
      <w:r>
        <w:rPr>
          <w:rStyle w:val="16"/>
          <w:rFonts w:hint="eastAsia" w:eastAsia="仿宋_GB2312" w:cs="仿宋_GB2312"/>
          <w:sz w:val="28"/>
          <w:szCs w:val="28"/>
        </w:rPr>
        <w:t>三、支出决算情况说明</w:t>
      </w:r>
      <w:r>
        <w:rPr>
          <w:sz w:val="28"/>
          <w:szCs w:val="28"/>
        </w:rPr>
        <w:tab/>
      </w:r>
      <w:r>
        <w:rPr>
          <w:sz w:val="28"/>
          <w:szCs w:val="28"/>
        </w:rPr>
        <w:fldChar w:fldCharType="begin"/>
      </w:r>
      <w:r>
        <w:rPr>
          <w:sz w:val="28"/>
          <w:szCs w:val="28"/>
        </w:rPr>
        <w:instrText xml:space="preserve"> PAGEREF _Toc81380041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"_Toc81380043" </w:instrText>
      </w:r>
      <w:r>
        <w:fldChar w:fldCharType="separate"/>
      </w:r>
      <w:r>
        <w:rPr>
          <w:rStyle w:val="16"/>
          <w:rFonts w:hint="eastAsia" w:eastAsia="仿宋_GB2312" w:cs="仿宋_GB2312"/>
          <w:sz w:val="28"/>
          <w:szCs w:val="28"/>
        </w:rPr>
        <w:t>四、财政拨款收入支出决算总体情况说明</w:t>
      </w:r>
      <w:r>
        <w:rPr>
          <w:sz w:val="28"/>
          <w:szCs w:val="28"/>
        </w:rPr>
        <w:tab/>
      </w:r>
      <w:r>
        <w:rPr>
          <w:sz w:val="28"/>
          <w:szCs w:val="28"/>
        </w:rPr>
        <w:fldChar w:fldCharType="begin"/>
      </w:r>
      <w:r>
        <w:rPr>
          <w:sz w:val="28"/>
          <w:szCs w:val="28"/>
        </w:rPr>
        <w:instrText xml:space="preserve"> PAGEREF _Toc81380043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"_Toc81380044" </w:instrText>
      </w:r>
      <w:r>
        <w:fldChar w:fldCharType="separate"/>
      </w:r>
      <w:r>
        <w:rPr>
          <w:rStyle w:val="16"/>
          <w:rFonts w:hint="eastAsia" w:eastAsia="仿宋_GB2312" w:cs="仿宋_GB2312"/>
          <w:sz w:val="28"/>
          <w:szCs w:val="28"/>
        </w:rPr>
        <w:t>五、</w:t>
      </w:r>
      <w:r>
        <w:rPr>
          <w:rStyle w:val="16"/>
          <w:rFonts w:hint="eastAsia" w:eastAsia="仿宋_GB2312" w:cs="仿宋_GB2312"/>
          <w:b/>
          <w:bCs/>
          <w:sz w:val="28"/>
          <w:szCs w:val="28"/>
        </w:rPr>
        <w:t>一</w:t>
      </w:r>
      <w:r>
        <w:rPr>
          <w:rStyle w:val="16"/>
          <w:rFonts w:hint="eastAsia" w:eastAsia="仿宋_GB2312" w:cs="仿宋_GB2312"/>
          <w:sz w:val="28"/>
          <w:szCs w:val="28"/>
        </w:rPr>
        <w:t>般公共预算财政拨款支出决算情况说明</w:t>
      </w:r>
      <w:r>
        <w:rPr>
          <w:sz w:val="28"/>
          <w:szCs w:val="28"/>
        </w:rPr>
        <w:tab/>
      </w:r>
      <w:r>
        <w:rPr>
          <w:sz w:val="28"/>
          <w:szCs w:val="28"/>
        </w:rPr>
        <w:fldChar w:fldCharType="begin"/>
      </w:r>
      <w:r>
        <w:rPr>
          <w:sz w:val="28"/>
          <w:szCs w:val="28"/>
        </w:rPr>
        <w:instrText xml:space="preserve"> PAGEREF _Toc81380044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"_Toc81380049" </w:instrText>
      </w:r>
      <w:r>
        <w:fldChar w:fldCharType="separate"/>
      </w:r>
      <w:r>
        <w:rPr>
          <w:rStyle w:val="16"/>
          <w:rFonts w:hint="eastAsia" w:eastAsia="仿宋_GB2312" w:cs="仿宋_GB2312"/>
          <w:sz w:val="28"/>
          <w:szCs w:val="28"/>
        </w:rPr>
        <w:t>六、一般公共预算财政拨款基本支出决算情况说明</w:t>
      </w:r>
      <w:r>
        <w:rPr>
          <w:sz w:val="28"/>
          <w:szCs w:val="28"/>
        </w:rPr>
        <w:tab/>
      </w:r>
      <w:r>
        <w:rPr>
          <w:sz w:val="28"/>
          <w:szCs w:val="28"/>
        </w:rPr>
        <w:fldChar w:fldCharType="begin"/>
      </w:r>
      <w:r>
        <w:rPr>
          <w:sz w:val="28"/>
          <w:szCs w:val="28"/>
        </w:rPr>
        <w:instrText xml:space="preserve"> PAGEREF _Toc81380049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"_Toc81380050" </w:instrText>
      </w:r>
      <w:r>
        <w:fldChar w:fldCharType="separate"/>
      </w:r>
      <w:r>
        <w:rPr>
          <w:rStyle w:val="16"/>
          <w:rFonts w:hint="eastAsia" w:eastAsia="仿宋_GB2312" w:cs="仿宋_GB2312"/>
          <w:sz w:val="28"/>
          <w:szCs w:val="28"/>
        </w:rPr>
        <w:t>七、“三公”经费财政拨款支出决算情况说明</w:t>
      </w:r>
      <w:r>
        <w:rPr>
          <w:sz w:val="28"/>
          <w:szCs w:val="28"/>
        </w:rPr>
        <w:tab/>
      </w:r>
      <w:r>
        <w:rPr>
          <w:sz w:val="28"/>
          <w:szCs w:val="28"/>
        </w:rPr>
        <w:fldChar w:fldCharType="begin"/>
      </w:r>
      <w:r>
        <w:rPr>
          <w:sz w:val="28"/>
          <w:szCs w:val="28"/>
        </w:rPr>
        <w:instrText xml:space="preserve"> PAGEREF _Toc81380050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"_Toc81380053" </w:instrText>
      </w:r>
      <w:r>
        <w:fldChar w:fldCharType="separate"/>
      </w:r>
      <w:r>
        <w:rPr>
          <w:rStyle w:val="16"/>
          <w:rFonts w:hint="eastAsia" w:eastAsia="仿宋_GB2312" w:cs="仿宋_GB2312"/>
          <w:sz w:val="28"/>
          <w:szCs w:val="28"/>
        </w:rPr>
        <w:t>八、政府性基金预算支出决算情况说明</w:t>
      </w:r>
      <w:r>
        <w:rPr>
          <w:sz w:val="28"/>
          <w:szCs w:val="28"/>
        </w:rPr>
        <w:tab/>
      </w:r>
      <w:r>
        <w:rPr>
          <w:sz w:val="28"/>
          <w:szCs w:val="28"/>
        </w:rPr>
        <w:fldChar w:fldCharType="begin"/>
      </w:r>
      <w:r>
        <w:rPr>
          <w:sz w:val="28"/>
          <w:szCs w:val="28"/>
        </w:rPr>
        <w:instrText xml:space="preserve"> PAGEREF _Toc81380053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"_Toc81380054" </w:instrText>
      </w:r>
      <w:r>
        <w:fldChar w:fldCharType="separate"/>
      </w:r>
      <w:r>
        <w:rPr>
          <w:rStyle w:val="16"/>
          <w:rFonts w:hint="eastAsia" w:eastAsia="仿宋_GB2312" w:cs="仿宋_GB2312"/>
          <w:sz w:val="28"/>
          <w:szCs w:val="28"/>
        </w:rPr>
        <w:t>九、国有资本经营预算支出决算情况说明</w:t>
      </w:r>
      <w:r>
        <w:rPr>
          <w:sz w:val="28"/>
          <w:szCs w:val="28"/>
        </w:rPr>
        <w:tab/>
      </w:r>
      <w:r>
        <w:rPr>
          <w:sz w:val="28"/>
          <w:szCs w:val="28"/>
        </w:rPr>
        <w:fldChar w:fldCharType="begin"/>
      </w:r>
      <w:r>
        <w:rPr>
          <w:sz w:val="28"/>
          <w:szCs w:val="28"/>
        </w:rPr>
        <w:instrText xml:space="preserve"> PAGEREF _Toc81380054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1"/>
        <w:ind w:left="420" w:leftChars="100" w:hanging="210" w:hangingChars="100"/>
        <w:rPr>
          <w:sz w:val="28"/>
          <w:szCs w:val="28"/>
        </w:rPr>
      </w:pPr>
      <w:r>
        <w:fldChar w:fldCharType="begin"/>
      </w:r>
      <w:r>
        <w:instrText xml:space="preserve"> HYPERLINK \l "_Toc81380055" </w:instrText>
      </w:r>
      <w:r>
        <w:fldChar w:fldCharType="separate"/>
      </w:r>
      <w:r>
        <w:rPr>
          <w:rStyle w:val="16"/>
          <w:rFonts w:hint="eastAsia" w:eastAsia="仿宋_GB2312" w:cs="仿宋_GB2312"/>
          <w:sz w:val="28"/>
          <w:szCs w:val="28"/>
        </w:rPr>
        <w:t>十、其他重要事项的情况说明</w:t>
      </w:r>
      <w:r>
        <w:rPr>
          <w:sz w:val="28"/>
          <w:szCs w:val="28"/>
        </w:rPr>
        <w:tab/>
      </w:r>
      <w:r>
        <w:rPr>
          <w:sz w:val="28"/>
          <w:szCs w:val="28"/>
        </w:rPr>
        <w:fldChar w:fldCharType="begin"/>
      </w:r>
      <w:r>
        <w:rPr>
          <w:sz w:val="28"/>
          <w:szCs w:val="28"/>
        </w:rPr>
        <w:instrText xml:space="preserve"> PAGEREF _Toc81380055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
        <w:spacing w:line="580" w:lineRule="exact"/>
        <w:ind w:left="31680" w:firstLine="31680"/>
        <w:rPr>
          <w:rFonts w:ascii="Times New Roman" w:hAnsi="Times New Roman" w:cs="Times New Roman"/>
        </w:rPr>
      </w:pPr>
      <w:r>
        <w:fldChar w:fldCharType="begin"/>
      </w:r>
      <w:r>
        <w:instrText xml:space="preserve"> HYPERLINK \l "_Toc81380060" </w:instrText>
      </w:r>
      <w:r>
        <w:fldChar w:fldCharType="separate"/>
      </w:r>
      <w:r>
        <w:rPr>
          <w:rStyle w:val="16"/>
          <w:rFonts w:hint="eastAsia" w:ascii="Times New Roman" w:hAnsi="Times New Roman" w:eastAsia="黑体" w:cs="黑体"/>
          <w:kern w:val="44"/>
        </w:rPr>
        <w:t>第三部分</w:t>
      </w:r>
      <w:r>
        <w:rPr>
          <w:rStyle w:val="16"/>
          <w:rFonts w:hint="eastAsia" w:ascii="Times New Roman" w:hAnsi="Times New Roman" w:eastAsia="黑体" w:cs="黑体"/>
        </w:rPr>
        <w:t>名</w:t>
      </w:r>
      <w:r>
        <w:rPr>
          <w:rStyle w:val="16"/>
          <w:rFonts w:hint="eastAsia" w:ascii="Times New Roman" w:hAnsi="Times New Roman" w:eastAsia="黑体" w:cs="黑体"/>
          <w:kern w:val="44"/>
        </w:rPr>
        <w:t>词解释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_Toc81380060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0"/>
        <w:spacing w:line="580" w:lineRule="exact"/>
        <w:ind w:left="31680" w:firstLine="31680"/>
        <w:rPr>
          <w:rFonts w:ascii="Times New Roman" w:hAnsi="Times New Roman" w:cs="Times New Roman"/>
        </w:rPr>
      </w:pPr>
      <w:r>
        <w:fldChar w:fldCharType="begin"/>
      </w:r>
      <w:r>
        <w:instrText xml:space="preserve"> HYPERLINK \l "_Toc81380060" </w:instrText>
      </w:r>
      <w:r>
        <w:fldChar w:fldCharType="separate"/>
      </w:r>
      <w:r>
        <w:rPr>
          <w:rStyle w:val="16"/>
          <w:rFonts w:hint="eastAsia" w:ascii="Times New Roman" w:hAnsi="Times New Roman" w:eastAsia="黑体" w:cs="黑体"/>
          <w:kern w:val="44"/>
        </w:rPr>
        <w:t>第四部分</w:t>
      </w:r>
      <w:r>
        <w:rPr>
          <w:rStyle w:val="16"/>
          <w:rFonts w:hint="eastAsia" w:ascii="Times New Roman" w:hAnsi="Times New Roman" w:eastAsia="黑体" w:cs="黑体"/>
        </w:rPr>
        <w:t>附件</w:t>
      </w:r>
      <w:r>
        <w:rPr>
          <w:rFonts w:ascii="Times New Roman" w:hAnsi="Times New Roman" w:cs="Times New Roman"/>
        </w:rPr>
        <w:tab/>
      </w:r>
      <w:r>
        <w:rPr>
          <w:rFonts w:ascii="Times New Roman" w:hAnsi="Times New Roman" w:cs="Times New Roman"/>
        </w:rPr>
        <w:t>3</w:t>
      </w:r>
      <w:r>
        <w:rPr>
          <w:rFonts w:hint="eastAsia" w:ascii="Times New Roman" w:hAnsi="Times New Roman" w:cs="Times New Roman"/>
          <w:lang w:val="en-US" w:eastAsia="zh-CN"/>
        </w:rPr>
        <w:t>7</w:t>
      </w:r>
      <w:r>
        <w:rPr>
          <w:rFonts w:ascii="Times New Roman" w:hAnsi="Times New Roman" w:cs="Times New Roman"/>
        </w:rPr>
        <w:fldChar w:fldCharType="end"/>
      </w:r>
    </w:p>
    <w:p>
      <w:pPr>
        <w:spacing w:line="580" w:lineRule="exact"/>
        <w:sectPr>
          <w:footerReference r:id="rId4" w:type="default"/>
          <w:footerReference r:id="rId5" w:type="even"/>
          <w:type w:val="oddPage"/>
          <w:pgSz w:w="11906" w:h="16838"/>
          <w:pgMar w:top="1928" w:right="1418" w:bottom="1474" w:left="1418" w:header="851" w:footer="992" w:gutter="0"/>
          <w:cols w:space="425" w:num="1"/>
          <w:docGrid w:type="lines" w:linePitch="312" w:charSpace="0"/>
        </w:sectPr>
      </w:pPr>
    </w:p>
    <w:p>
      <w:pPr>
        <w:pStyle w:val="10"/>
        <w:ind w:left="31680" w:firstLine="31680"/>
        <w:rPr>
          <w:rFonts w:ascii="Times New Roman" w:hAnsi="Times New Roman" w:eastAsia="黑体" w:cs="Times New Roman"/>
        </w:rPr>
      </w:pPr>
      <w:r>
        <w:fldChar w:fldCharType="begin"/>
      </w:r>
      <w:r>
        <w:instrText xml:space="preserve"> HYPERLINK \l "_Toc81380062" </w:instrText>
      </w:r>
      <w:r>
        <w:fldChar w:fldCharType="separate"/>
      </w:r>
      <w:r>
        <w:rPr>
          <w:rStyle w:val="16"/>
          <w:rFonts w:hint="eastAsia" w:ascii="Times New Roman" w:hAnsi="Times New Roman" w:eastAsia="黑体" w:cs="黑体"/>
        </w:rPr>
        <w:t>第</w:t>
      </w:r>
      <w:r>
        <w:rPr>
          <w:rStyle w:val="16"/>
          <w:rFonts w:hint="eastAsia" w:ascii="Times New Roman" w:hAnsi="Times New Roman" w:eastAsia="黑体" w:cs="黑体"/>
          <w:kern w:val="44"/>
        </w:rPr>
        <w:t>五部分附表</w:t>
      </w:r>
      <w:r>
        <w:rPr>
          <w:rFonts w:ascii="Times New Roman" w:hAnsi="Times New Roman" w:eastAsia="黑体" w:cs="Times New Roman"/>
        </w:rPr>
        <w:tab/>
      </w:r>
      <w:r>
        <w:rPr>
          <w:rFonts w:ascii="Times New Roman" w:hAnsi="Times New Roman" w:eastAsia="黑体" w:cs="Times New Roman"/>
        </w:rPr>
        <w:t>3</w:t>
      </w:r>
      <w:r>
        <w:rPr>
          <w:rFonts w:hint="eastAsia" w:ascii="Times New Roman" w:hAnsi="Times New Roman" w:eastAsia="黑体" w:cs="Times New Roman"/>
          <w:lang w:val="en-US" w:eastAsia="zh-CN"/>
        </w:rPr>
        <w:t>8</w:t>
      </w:r>
      <w:r>
        <w:rPr>
          <w:rFonts w:ascii="Times New Roman" w:hAnsi="Times New Roman" w:eastAsia="黑体" w:cs="Times New Roman"/>
        </w:rPr>
        <w:fldChar w:fldCharType="end"/>
      </w:r>
    </w:p>
    <w:p>
      <w:pPr>
        <w:pStyle w:val="11"/>
        <w:ind w:left="420" w:leftChars="100" w:hanging="210" w:hangingChars="100"/>
        <w:rPr>
          <w:rFonts w:eastAsia="仿宋_GB2312"/>
          <w:sz w:val="28"/>
          <w:szCs w:val="28"/>
        </w:rPr>
      </w:pPr>
      <w:r>
        <w:fldChar w:fldCharType="begin"/>
      </w:r>
      <w:r>
        <w:instrText xml:space="preserve"> HYPERLINK \l "_Toc81380063" </w:instrText>
      </w:r>
      <w:r>
        <w:fldChar w:fldCharType="separate"/>
      </w:r>
      <w:r>
        <w:rPr>
          <w:rStyle w:val="16"/>
          <w:rFonts w:hint="eastAsia" w:eastAsia="仿宋_GB2312" w:cs="仿宋_GB2312"/>
          <w:sz w:val="28"/>
          <w:szCs w:val="28"/>
        </w:rPr>
        <w:t>一、收入支出决算总表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"_Toc81380064" </w:instrText>
      </w:r>
      <w:r>
        <w:fldChar w:fldCharType="separate"/>
      </w:r>
      <w:r>
        <w:rPr>
          <w:rStyle w:val="16"/>
          <w:rFonts w:hint="eastAsia" w:eastAsia="仿宋_GB2312" w:cs="仿宋_GB2312"/>
          <w:sz w:val="28"/>
          <w:szCs w:val="28"/>
        </w:rPr>
        <w:t>二、收入决算表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"_Toc81380065" </w:instrText>
      </w:r>
      <w:r>
        <w:fldChar w:fldCharType="separate"/>
      </w:r>
      <w:r>
        <w:rPr>
          <w:rStyle w:val="16"/>
          <w:rFonts w:hint="eastAsia" w:eastAsia="仿宋_GB2312" w:cs="仿宋_GB2312"/>
          <w:sz w:val="28"/>
          <w:szCs w:val="28"/>
        </w:rPr>
        <w:t>三、支出决算表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"_Toc81380066" </w:instrText>
      </w:r>
      <w:r>
        <w:fldChar w:fldCharType="separate"/>
      </w:r>
      <w:r>
        <w:rPr>
          <w:rStyle w:val="16"/>
          <w:rFonts w:hint="eastAsia" w:eastAsia="仿宋_GB2312" w:cs="仿宋_GB2312"/>
          <w:sz w:val="28"/>
          <w:szCs w:val="28"/>
        </w:rPr>
        <w:t>四、财政拨款收入支出决算总表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"_Toc81380067" </w:instrText>
      </w:r>
      <w:r>
        <w:fldChar w:fldCharType="separate"/>
      </w:r>
      <w:r>
        <w:rPr>
          <w:rFonts w:hint="eastAsia" w:eastAsia="仿宋_GB2312" w:cs="仿宋_GB2312"/>
          <w:sz w:val="28"/>
          <w:szCs w:val="28"/>
        </w:rPr>
        <w:t>五、财政拨款支出决算明细表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"_Toc81380068" </w:instrText>
      </w:r>
      <w:r>
        <w:fldChar w:fldCharType="separate"/>
      </w:r>
      <w:r>
        <w:rPr>
          <w:rStyle w:val="16"/>
          <w:rFonts w:hint="eastAsia" w:eastAsia="仿宋_GB2312" w:cs="仿宋_GB2312"/>
          <w:sz w:val="28"/>
          <w:szCs w:val="28"/>
        </w:rPr>
        <w:t>六、一般公共预算财政拨款支出决算表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"_Toc81380069" </w:instrText>
      </w:r>
      <w:r>
        <w:fldChar w:fldCharType="separate"/>
      </w:r>
      <w:r>
        <w:rPr>
          <w:rStyle w:val="16"/>
          <w:rFonts w:hint="eastAsia" w:eastAsia="仿宋_GB2312" w:cs="仿宋_GB2312"/>
          <w:sz w:val="28"/>
          <w:szCs w:val="28"/>
        </w:rPr>
        <w:t>七、一般公共预算财政拨款支出决算明细表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"_Toc81380070" </w:instrText>
      </w:r>
      <w:r>
        <w:fldChar w:fldCharType="separate"/>
      </w:r>
      <w:r>
        <w:rPr>
          <w:rStyle w:val="16"/>
          <w:rFonts w:hint="eastAsia" w:eastAsia="仿宋_GB2312" w:cs="仿宋_GB2312"/>
          <w:sz w:val="28"/>
          <w:szCs w:val="28"/>
        </w:rPr>
        <w:t>八、一般公共预算财政拨款基本支出决算表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"_Toc81380071" </w:instrText>
      </w:r>
      <w:r>
        <w:fldChar w:fldCharType="separate"/>
      </w:r>
      <w:r>
        <w:rPr>
          <w:rStyle w:val="16"/>
          <w:rFonts w:hint="eastAsia" w:eastAsia="仿宋_GB2312" w:cs="仿宋_GB2312"/>
          <w:sz w:val="28"/>
          <w:szCs w:val="28"/>
        </w:rPr>
        <w:t>九、一般公共预算财政拨款项目支出决算表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"_Toc81380072" </w:instrText>
      </w:r>
      <w:r>
        <w:fldChar w:fldCharType="separate"/>
      </w:r>
      <w:r>
        <w:rPr>
          <w:rStyle w:val="16"/>
          <w:rFonts w:hint="eastAsia" w:eastAsia="仿宋_GB2312" w:cs="仿宋_GB2312"/>
          <w:sz w:val="28"/>
          <w:szCs w:val="28"/>
        </w:rPr>
        <w:t>十、一般公共预算财政拨款“三公”经费支出决算表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"_Toc81380073" </w:instrText>
      </w:r>
      <w:r>
        <w:fldChar w:fldCharType="separate"/>
      </w:r>
      <w:r>
        <w:rPr>
          <w:rStyle w:val="16"/>
          <w:rFonts w:hint="eastAsia" w:eastAsia="仿宋_GB2312" w:cs="仿宋_GB2312"/>
          <w:sz w:val="28"/>
          <w:szCs w:val="28"/>
        </w:rPr>
        <w:t>十一、政府性基金预算财政拨款收入支出决算表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"_Toc81380074" </w:instrText>
      </w:r>
      <w:r>
        <w:fldChar w:fldCharType="separate"/>
      </w:r>
      <w:r>
        <w:rPr>
          <w:rStyle w:val="16"/>
          <w:rFonts w:hint="eastAsia" w:eastAsia="仿宋_GB2312" w:cs="仿宋_GB2312"/>
          <w:sz w:val="28"/>
          <w:szCs w:val="28"/>
        </w:rPr>
        <w:t>十二、政府性基金预算财政拨款“三公”经费支出决算表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"_Toc81380075" </w:instrText>
      </w:r>
      <w:r>
        <w:fldChar w:fldCharType="separate"/>
      </w:r>
      <w:r>
        <w:rPr>
          <w:rStyle w:val="16"/>
          <w:rFonts w:hint="eastAsia" w:eastAsia="仿宋_GB2312" w:cs="仿宋_GB2312"/>
          <w:sz w:val="28"/>
          <w:szCs w:val="28"/>
        </w:rPr>
        <w:t>十三、国有资本经营预算财政拨款收入支出决算表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pStyle w:val="11"/>
        <w:ind w:left="420" w:leftChars="100" w:hanging="210" w:hangingChars="100"/>
        <w:rPr>
          <w:rFonts w:eastAsia="仿宋_GB2312"/>
          <w:sz w:val="28"/>
          <w:szCs w:val="28"/>
        </w:rPr>
      </w:pPr>
      <w:r>
        <w:fldChar w:fldCharType="begin"/>
      </w:r>
      <w:r>
        <w:instrText xml:space="preserve"> HYPERLINK \l "_Toc81380076" </w:instrText>
      </w:r>
      <w:r>
        <w:fldChar w:fldCharType="separate"/>
      </w:r>
      <w:r>
        <w:rPr>
          <w:rStyle w:val="16"/>
          <w:rFonts w:hint="eastAsia" w:eastAsia="仿宋_GB2312" w:cs="仿宋_GB2312"/>
          <w:sz w:val="28"/>
          <w:szCs w:val="28"/>
        </w:rPr>
        <w:t>十四、国有资本经营预算财政拨款支出决算表</w:t>
      </w:r>
      <w:r>
        <w:rPr>
          <w:rFonts w:eastAsia="仿宋_GB2312"/>
          <w:sz w:val="28"/>
          <w:szCs w:val="28"/>
        </w:rPr>
        <w:tab/>
      </w:r>
      <w:r>
        <w:rPr>
          <w:rFonts w:eastAsia="仿宋_GB2312"/>
          <w:sz w:val="28"/>
          <w:szCs w:val="28"/>
        </w:rPr>
        <w:t>3</w:t>
      </w:r>
      <w:r>
        <w:rPr>
          <w:rFonts w:hint="eastAsia" w:eastAsia="仿宋_GB2312"/>
          <w:sz w:val="28"/>
          <w:szCs w:val="28"/>
          <w:lang w:val="en-US" w:eastAsia="zh-CN"/>
        </w:rPr>
        <w:t>8</w:t>
      </w:r>
      <w:r>
        <w:rPr>
          <w:rFonts w:eastAsia="仿宋_GB2312"/>
          <w:sz w:val="28"/>
          <w:szCs w:val="28"/>
        </w:rPr>
        <w:fldChar w:fldCharType="end"/>
      </w:r>
    </w:p>
    <w:p>
      <w:pPr>
        <w:ind w:left="181" w:leftChars="86"/>
      </w:pPr>
      <w:r>
        <w:rPr>
          <w:sz w:val="28"/>
          <w:szCs w:val="28"/>
        </w:rPr>
        <w:fldChar w:fldCharType="end"/>
      </w:r>
    </w:p>
    <w:p>
      <w:pPr>
        <w:widowControl/>
        <w:spacing w:line="440" w:lineRule="exact"/>
        <w:jc w:val="left"/>
        <w:rPr>
          <w:rFonts w:eastAsia="仿宋_GB2312"/>
          <w:sz w:val="32"/>
          <w:szCs w:val="32"/>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sectPr>
          <w:footerReference r:id="rId6" w:type="default"/>
          <w:footerReference r:id="rId7" w:type="even"/>
          <w:type w:val="oddPage"/>
          <w:pgSz w:w="11906" w:h="16838"/>
          <w:pgMar w:top="1928" w:right="1418" w:bottom="1474" w:left="1418" w:header="851" w:footer="992" w:gutter="0"/>
          <w:cols w:space="425" w:num="1"/>
          <w:docGrid w:type="lines" w:linePitch="312" w:charSpace="0"/>
        </w:sectPr>
      </w:pPr>
    </w:p>
    <w:p>
      <w:pPr>
        <w:pStyle w:val="2"/>
        <w:spacing w:before="93"/>
        <w:rPr>
          <w:rFonts w:ascii="Times New Roman" w:cs="Times New Roman"/>
        </w:rPr>
      </w:pPr>
    </w:p>
    <w:p>
      <w:pPr>
        <w:pStyle w:val="3"/>
        <w:adjustRightInd w:val="0"/>
        <w:snapToGrid w:val="0"/>
        <w:spacing w:before="0" w:after="0" w:line="640" w:lineRule="exact"/>
        <w:jc w:val="center"/>
        <w:rPr>
          <w:rStyle w:val="17"/>
          <w:rFonts w:eastAsia="方正小标宋_GBK"/>
          <w:b w:val="0"/>
          <w:bCs w:val="0"/>
        </w:rPr>
      </w:pPr>
      <w:bookmarkStart w:id="21" w:name="_Toc15377196"/>
      <w:bookmarkStart w:id="22" w:name="_Toc15396599"/>
      <w:bookmarkStart w:id="23" w:name="_Toc81380032"/>
      <w:bookmarkStart w:id="24" w:name="_Toc81293486"/>
      <w:bookmarkStart w:id="25" w:name="_Toc81293308"/>
      <w:r>
        <w:rPr>
          <w:rFonts w:hint="eastAsia" w:eastAsia="方正小标宋_GBK" w:cs="方正小标宋_GBK"/>
          <w:b w:val="0"/>
          <w:bCs w:val="0"/>
        </w:rPr>
        <w:t>第一部分单位</w:t>
      </w:r>
      <w:r>
        <w:rPr>
          <w:rStyle w:val="17"/>
          <w:rFonts w:hint="eastAsia" w:eastAsia="方正小标宋_GBK" w:cs="方正小标宋_GBK"/>
          <w:b w:val="0"/>
          <w:bCs w:val="0"/>
        </w:rPr>
        <w:t>概况</w:t>
      </w:r>
      <w:bookmarkEnd w:id="21"/>
      <w:bookmarkEnd w:id="22"/>
      <w:bookmarkEnd w:id="23"/>
      <w:bookmarkEnd w:id="24"/>
      <w:bookmarkEnd w:id="25"/>
      <w:bookmarkStart w:id="26" w:name="_Toc80172847"/>
      <w:bookmarkStart w:id="27" w:name="_Toc15396604"/>
      <w:bookmarkStart w:id="28" w:name="_Toc15377206"/>
    </w:p>
    <w:p>
      <w:pPr>
        <w:adjustRightInd w:val="0"/>
        <w:spacing w:line="608" w:lineRule="exact"/>
        <w:ind w:firstLine="420" w:firstLineChars="200"/>
      </w:pPr>
    </w:p>
    <w:bookmarkEnd w:id="26"/>
    <w:p>
      <w:pPr>
        <w:pStyle w:val="2"/>
        <w:adjustRightInd w:val="0"/>
        <w:spacing w:beforeLines="0" w:line="608" w:lineRule="exact"/>
        <w:ind w:firstLine="640" w:firstLineChars="200"/>
        <w:outlineLvl w:val="2"/>
        <w:rPr>
          <w:rFonts w:ascii="Times New Roman" w:eastAsia="黑体" w:cs="Times New Roman"/>
          <w:sz w:val="32"/>
          <w:szCs w:val="32"/>
        </w:rPr>
      </w:pPr>
      <w:bookmarkStart w:id="29" w:name="_Toc81293487"/>
      <w:bookmarkStart w:id="30" w:name="_Toc81380033"/>
      <w:bookmarkStart w:id="31" w:name="_Toc81293309"/>
      <w:r>
        <w:rPr>
          <w:rFonts w:hint="eastAsia" w:ascii="Times New Roman" w:eastAsia="黑体" w:cs="黑体"/>
          <w:sz w:val="32"/>
          <w:szCs w:val="32"/>
        </w:rPr>
        <w:t>一、职能简介</w:t>
      </w:r>
      <w:bookmarkEnd w:id="29"/>
      <w:bookmarkEnd w:id="30"/>
    </w:p>
    <w:bookmarkEnd w:id="31"/>
    <w:p>
      <w:pPr>
        <w:pStyle w:val="2"/>
        <w:adjustRightInd w:val="0"/>
        <w:spacing w:beforeLines="0" w:line="608" w:lineRule="exact"/>
        <w:ind w:firstLine="640" w:firstLineChars="200"/>
        <w:outlineLvl w:val="2"/>
        <w:rPr>
          <w:rFonts w:ascii="Times New Roman" w:cs="Times New Roman"/>
          <w:sz w:val="32"/>
          <w:szCs w:val="32"/>
        </w:rPr>
      </w:pPr>
      <w:bookmarkStart w:id="32" w:name="_Toc81380034"/>
      <w:bookmarkStart w:id="33" w:name="_Toc81293310"/>
      <w:bookmarkStart w:id="34" w:name="_Toc81293489"/>
      <w:r>
        <w:rPr>
          <w:rFonts w:hint="eastAsia" w:ascii="Times New Roman"/>
          <w:sz w:val="32"/>
          <w:szCs w:val="32"/>
        </w:rPr>
        <w:t>经省委、省政府批准同意，根据《四川省机构改革方案》（川委发〔</w:t>
      </w:r>
      <w:r>
        <w:rPr>
          <w:rFonts w:ascii="Times New Roman" w:cs="Times New Roman"/>
          <w:sz w:val="32"/>
          <w:szCs w:val="32"/>
        </w:rPr>
        <w:t>2018</w:t>
      </w:r>
      <w:r>
        <w:rPr>
          <w:rFonts w:hint="eastAsia" w:ascii="Times New Roman"/>
          <w:sz w:val="32"/>
          <w:szCs w:val="32"/>
        </w:rPr>
        <w:t>〕</w:t>
      </w:r>
      <w:r>
        <w:rPr>
          <w:rFonts w:ascii="Times New Roman" w:cs="Times New Roman"/>
          <w:sz w:val="32"/>
          <w:szCs w:val="32"/>
        </w:rPr>
        <w:t>26</w:t>
      </w:r>
      <w:r>
        <w:rPr>
          <w:rFonts w:hint="eastAsia" w:ascii="Times New Roman"/>
          <w:sz w:val="32"/>
          <w:szCs w:val="32"/>
        </w:rPr>
        <w:t>号）、《关于〈四川省机构改革方案〉的实施意见》（川机改〔</w:t>
      </w:r>
      <w:r>
        <w:rPr>
          <w:rFonts w:ascii="Times New Roman" w:cs="Times New Roman"/>
          <w:sz w:val="32"/>
          <w:szCs w:val="32"/>
        </w:rPr>
        <w:t>2018</w:t>
      </w:r>
      <w:r>
        <w:rPr>
          <w:rFonts w:hint="eastAsia" w:ascii="Times New Roman"/>
          <w:sz w:val="32"/>
          <w:szCs w:val="32"/>
        </w:rPr>
        <w:t>〕</w:t>
      </w:r>
      <w:r>
        <w:rPr>
          <w:rFonts w:ascii="Times New Roman" w:cs="Times New Roman"/>
          <w:sz w:val="32"/>
          <w:szCs w:val="32"/>
        </w:rPr>
        <w:t>8</w:t>
      </w:r>
      <w:r>
        <w:rPr>
          <w:rFonts w:hint="eastAsia" w:ascii="Times New Roman"/>
          <w:sz w:val="32"/>
          <w:szCs w:val="32"/>
        </w:rPr>
        <w:t>号）和《关于〈四川省人力资源和社会保障厅职能配置、内设机构和人员编制规定〉的通知》（川委厅〔</w:t>
      </w:r>
      <w:r>
        <w:rPr>
          <w:rFonts w:ascii="Times New Roman" w:cs="Times New Roman"/>
          <w:sz w:val="32"/>
          <w:szCs w:val="32"/>
        </w:rPr>
        <w:t>2019</w:t>
      </w:r>
      <w:r>
        <w:rPr>
          <w:rFonts w:hint="eastAsia" w:ascii="Times New Roman"/>
          <w:sz w:val="32"/>
          <w:szCs w:val="32"/>
        </w:rPr>
        <w:t>〕</w:t>
      </w:r>
      <w:r>
        <w:rPr>
          <w:rFonts w:ascii="Times New Roman" w:cs="Times New Roman"/>
          <w:sz w:val="32"/>
          <w:szCs w:val="32"/>
        </w:rPr>
        <w:t>34</w:t>
      </w:r>
      <w:r>
        <w:rPr>
          <w:rFonts w:hint="eastAsia" w:ascii="Times New Roman"/>
          <w:sz w:val="32"/>
          <w:szCs w:val="32"/>
        </w:rPr>
        <w:t>号），人力资源社会保障厅是四川省人民政府组成部门，为正厅级，厅机关设置</w:t>
      </w:r>
      <w:r>
        <w:rPr>
          <w:rFonts w:ascii="Times New Roman" w:cs="Times New Roman"/>
          <w:sz w:val="32"/>
          <w:szCs w:val="32"/>
        </w:rPr>
        <w:t>23</w:t>
      </w:r>
      <w:r>
        <w:rPr>
          <w:rFonts w:hint="eastAsia" w:ascii="Times New Roman"/>
          <w:sz w:val="32"/>
          <w:szCs w:val="32"/>
        </w:rPr>
        <w:t>个内设机构（不含机关党委）。人力资源社会保障厅承担以下基本职能：拟订人力资源和社会保障事业发展政策、规划起草相关地方性法规、规章草案。拟订人力资源市场发展规划和人力资源服务业发展、人力资源流动政策，促进人力资源合理流动、有效配置。负责促进就业工作，拟订统筹城乡的就业发展规划和政策，完善公共就业创业服务体系，统筹建立面向城乡劳动者的职业技能培训制度，拟订并组织落实创业、就业援助制度，牵头拟订高校毕业生就业政策。统筹推进建立覆盖城乡的多层次社会保障体系。拟订养老、失业、工伤等社会保险及其补充保险政策和标准。贯彻落实企业职工养老保险全国统筹办法和全国统一的养老、失业、工伤保险关系转续办法。组织拟订养老、失业、工伤等社会保险及其补充保险基金管理和监督制度，编制相关社会保险基金预决算草案，参与拟订相关社会保障基金投资政策。会同有关部门实施全民参保计划并参与建立全国统一的社会保险公共服务平台。拟订人力资源和社会保障信息化建设总体规划、年度计划，制定相关制度、标准和规范并组织实施。指导、督促企业参加工伤保险。负责就业、失业和相关社会保险基金预测预警和信息引导，拟订应对预案，实施预防、调节和控制，保持就业形势稳定和相关社会保险基金总体收支平衡。统筹拟订劳动人事争议调解仲裁制度和劳动关系政策，完善劳动关系协商协调机制，拟订职工工作时间、休息休假和假期制度，拟订消除非法使用童工政策和女工、未成年工特殊劳动保护政策。依法督促用人单位在劳动用工、合同签订与履约时，载明劳动保护、劳动条件和职业危害防护等条款。组织实施劳动保障监察，协调劳动者维权工作，依法查处重大案件。牵头推进深化职称制度改革，拟订专业技术人员管理、继续教育和博士后管理等政策，负责高层次专业技术人才选拔和培养工作，拟订吸引留学人员来川（回川）工作或定居政策。组织拟订技能人才培养、评价、使用和激励制度。贯彻落实职业资格制度，健全职业技能多元化评价政策。指导、监督各级各类技工学校、民办职业培训机构按国家和我省有关规定履行安全管理责任。会同有关部门指导事业单位人事制度改革，按照管理权限负责规范事业单位岗位设置、公开招聘、聘用合同等人事综合管理工作，拟订事业单位工作人员和机关工勤人员管理政策，将安全生产责任履行情况作为事业单位工作人员奖惩、考核的重要内容。组织实施国家表彰奖励制度，综合管理政府表彰奖励工作，承担评比达标表彰等工作，根据授权承办以省委、省政府名义开展的表彰奖励活动。承办提请省人大常委会和省政府决定的人事任免事项。会同有关部门拟订事业单位人员工资收入分配政策，建立企事业单位人员工资决定、正常增长和支付保障机制。拟订企事业单位人员福利和离退休政策。会同有关部门拟订农民工工作的综合性政策和规划，推动相关政策落实，协调解决重点难点问题，维护农民工合法权益。负责将安全生产纳入农民工技能培训内容。负责人力资源和社会保障领域内的对外交流与合作工作。承担职责范围内的安全生产和职业健康、生态环境保护、审批服务便民化等工作。完成省委、省政府交办的其他任务等。</w:t>
      </w:r>
      <w:bookmarkEnd w:id="32"/>
      <w:bookmarkEnd w:id="33"/>
      <w:bookmarkEnd w:id="34"/>
    </w:p>
    <w:p>
      <w:pPr>
        <w:pStyle w:val="4"/>
        <w:keepNext w:val="0"/>
        <w:keepLines w:val="0"/>
        <w:adjustRightInd w:val="0"/>
        <w:spacing w:before="0" w:after="0" w:line="608" w:lineRule="exact"/>
        <w:ind w:firstLine="640" w:firstLineChars="200"/>
        <w:rPr>
          <w:rFonts w:ascii="Times New Roman" w:hAnsi="Times New Roman" w:eastAsia="黑体" w:cs="Times New Roman"/>
          <w:b w:val="0"/>
          <w:bCs w:val="0"/>
        </w:rPr>
      </w:pPr>
      <w:bookmarkStart w:id="35" w:name="_Toc81380035"/>
      <w:bookmarkStart w:id="36" w:name="_Toc81293490"/>
      <w:bookmarkStart w:id="37" w:name="_Toc81293311"/>
      <w:r>
        <w:rPr>
          <w:rFonts w:hint="eastAsia" w:ascii="Times New Roman" w:hAnsi="Times New Roman" w:eastAsia="黑体" w:cs="黑体"/>
          <w:b w:val="0"/>
          <w:bCs w:val="0"/>
        </w:rPr>
        <w:t>二、</w:t>
      </w:r>
      <w:r>
        <w:rPr>
          <w:rFonts w:ascii="Times New Roman" w:hAnsi="Times New Roman" w:eastAsia="黑体" w:cs="Times New Roman"/>
          <w:b w:val="0"/>
          <w:bCs w:val="0"/>
        </w:rPr>
        <w:t>2020</w:t>
      </w:r>
      <w:r>
        <w:rPr>
          <w:rFonts w:hint="eastAsia" w:ascii="Times New Roman" w:hAnsi="Times New Roman" w:eastAsia="黑体" w:cs="黑体"/>
          <w:b w:val="0"/>
          <w:bCs w:val="0"/>
        </w:rPr>
        <w:t>年重点工作完成情况</w:t>
      </w:r>
      <w:bookmarkEnd w:id="35"/>
      <w:bookmarkEnd w:id="36"/>
      <w:bookmarkEnd w:id="37"/>
    </w:p>
    <w:p>
      <w:pPr>
        <w:pStyle w:val="2"/>
        <w:adjustRightInd w:val="0"/>
        <w:spacing w:beforeLines="0" w:line="608" w:lineRule="exact"/>
        <w:ind w:firstLine="640" w:firstLineChars="200"/>
        <w:outlineLvl w:val="2"/>
        <w:rPr>
          <w:rFonts w:ascii="Times New Roman" w:cs="Times New Roman"/>
          <w:color w:val="000000"/>
          <w:sz w:val="32"/>
          <w:szCs w:val="32"/>
        </w:rPr>
      </w:pPr>
      <w:bookmarkStart w:id="38" w:name="_Toc81293491"/>
      <w:bookmarkStart w:id="39" w:name="_Toc81380036"/>
      <w:bookmarkStart w:id="40" w:name="_Toc81293312"/>
      <w:r>
        <w:rPr>
          <w:rFonts w:ascii="Times New Roman" w:cs="Times New Roman"/>
          <w:sz w:val="32"/>
          <w:szCs w:val="32"/>
        </w:rPr>
        <w:t>2020</w:t>
      </w:r>
      <w:r>
        <w:rPr>
          <w:rFonts w:hint="eastAsia" w:ascii="Times New Roman"/>
          <w:sz w:val="32"/>
          <w:szCs w:val="32"/>
        </w:rPr>
        <w:t>年，面对新冠肺炎疫情带来的严峻挑战，在省委、省政府坚强领导下，全省人社系统坚定以习近平新时代中国特色社会主义思想为指导，认真贯彻落实党中省决策部署，统筹推进疫情防控和人社事业发展，取得明显成效。参加全国首届职业技能大赛金牌数、奖牌数、团体总分均居西部第一；人社系统练兵比武连续两年获全国总冠军；农民工服务保障经验做法被国办刊发并全国推广；农民工欠薪治理创新做法在全国作经验交流。</w:t>
      </w:r>
      <w:bookmarkEnd w:id="38"/>
      <w:bookmarkEnd w:id="39"/>
      <w:bookmarkEnd w:id="40"/>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（一）坚决扛起政治责任，千方百计稳就业保就业。</w:t>
      </w:r>
      <w:r>
        <w:rPr>
          <w:rFonts w:hint="eastAsia" w:eastAsia="仿宋_GB2312" w:cs="仿宋_GB2312"/>
          <w:color w:val="000000"/>
          <w:sz w:val="32"/>
          <w:szCs w:val="32"/>
        </w:rPr>
        <w:t>坚持把稳就业作为第一位工作，实施稳就业攻坚行动，打出一系列稳就业保就业政策组合拳。全省城镇新增就业</w:t>
      </w:r>
      <w:r>
        <w:rPr>
          <w:rFonts w:eastAsia="仿宋_GB2312"/>
          <w:color w:val="000000"/>
          <w:sz w:val="32"/>
          <w:szCs w:val="32"/>
        </w:rPr>
        <w:t>96.2</w:t>
      </w:r>
      <w:r>
        <w:rPr>
          <w:rFonts w:hint="eastAsia" w:eastAsia="仿宋_GB2312" w:cs="仿宋_GB2312"/>
          <w:color w:val="000000"/>
          <w:sz w:val="32"/>
          <w:szCs w:val="32"/>
        </w:rPr>
        <w:t>万人，完成国家年度计划的</w:t>
      </w:r>
      <w:r>
        <w:rPr>
          <w:rFonts w:eastAsia="仿宋_GB2312"/>
          <w:color w:val="000000"/>
          <w:sz w:val="32"/>
          <w:szCs w:val="32"/>
        </w:rPr>
        <w:t>137%</w:t>
      </w:r>
      <w:r>
        <w:rPr>
          <w:rFonts w:hint="eastAsia" w:eastAsia="仿宋_GB2312" w:cs="仿宋_GB2312"/>
          <w:color w:val="000000"/>
          <w:sz w:val="32"/>
          <w:szCs w:val="32"/>
        </w:rPr>
        <w:t>、省年度计划的</w:t>
      </w:r>
      <w:r>
        <w:rPr>
          <w:rFonts w:eastAsia="仿宋_GB2312"/>
          <w:color w:val="000000"/>
          <w:sz w:val="32"/>
          <w:szCs w:val="32"/>
        </w:rPr>
        <w:t>113.2%</w:t>
      </w:r>
      <w:r>
        <w:rPr>
          <w:rFonts w:hint="eastAsia" w:eastAsia="仿宋_GB2312" w:cs="仿宋_GB2312"/>
          <w:color w:val="000000"/>
          <w:sz w:val="32"/>
          <w:szCs w:val="32"/>
        </w:rPr>
        <w:t>，就业局势保持总体稳定。一是多措并举保市场主体</w:t>
      </w:r>
      <w:r>
        <w:rPr>
          <w:rFonts w:hint="eastAsia" w:eastAsia="仿宋_GB2312" w:cs="仿宋_GB2312"/>
          <w:b/>
          <w:bCs/>
          <w:color w:val="000000"/>
          <w:sz w:val="32"/>
          <w:szCs w:val="32"/>
        </w:rPr>
        <w:t>。</w:t>
      </w:r>
      <w:r>
        <w:rPr>
          <w:rFonts w:hint="eastAsia" w:eastAsia="仿宋_GB2312" w:cs="仿宋_GB2312"/>
          <w:color w:val="000000"/>
          <w:sz w:val="32"/>
          <w:szCs w:val="32"/>
        </w:rPr>
        <w:t>坚持以保企业稳就业为核心，出台缓解中小企业生产经营困难人社</w:t>
      </w:r>
      <w:r>
        <w:rPr>
          <w:rFonts w:eastAsia="仿宋_GB2312"/>
          <w:color w:val="000000"/>
          <w:sz w:val="32"/>
          <w:szCs w:val="32"/>
        </w:rPr>
        <w:t>10</w:t>
      </w:r>
      <w:r>
        <w:rPr>
          <w:rFonts w:hint="eastAsia" w:eastAsia="仿宋_GB2312" w:cs="仿宋_GB2312"/>
          <w:color w:val="000000"/>
          <w:sz w:val="32"/>
          <w:szCs w:val="32"/>
        </w:rPr>
        <w:t>条，建立</w:t>
      </w:r>
      <w:r>
        <w:rPr>
          <w:rFonts w:eastAsia="仿宋_GB2312"/>
          <w:color w:val="000000"/>
          <w:sz w:val="32"/>
          <w:szCs w:val="32"/>
        </w:rPr>
        <w:t>24</w:t>
      </w:r>
      <w:r>
        <w:rPr>
          <w:rFonts w:hint="eastAsia" w:eastAsia="仿宋_GB2312" w:cs="仿宋_GB2312"/>
          <w:color w:val="000000"/>
          <w:sz w:val="32"/>
          <w:szCs w:val="32"/>
        </w:rPr>
        <w:t>小时重点企业用工调度保障和重点企业用工常态化服务机制，全力援企稳岗保就业。二是精准施策保重点群体。实施就业创业推进行动，全省高校毕业生初次就业率</w:t>
      </w:r>
      <w:r>
        <w:rPr>
          <w:rFonts w:eastAsia="仿宋_GB2312"/>
          <w:color w:val="000000"/>
          <w:sz w:val="32"/>
          <w:szCs w:val="32"/>
        </w:rPr>
        <w:t>85.9%</w:t>
      </w:r>
      <w:r>
        <w:rPr>
          <w:rFonts w:hint="eastAsia" w:eastAsia="仿宋_GB2312" w:cs="仿宋_GB2312"/>
          <w:color w:val="000000"/>
          <w:sz w:val="32"/>
          <w:szCs w:val="32"/>
        </w:rPr>
        <w:t>。统筹做好退役军人、残疾人等困难群体就业，动态消除零就业家庭，累计帮扶</w:t>
      </w:r>
      <w:r>
        <w:rPr>
          <w:rFonts w:eastAsia="仿宋_GB2312"/>
          <w:color w:val="000000"/>
          <w:sz w:val="32"/>
          <w:szCs w:val="32"/>
        </w:rPr>
        <w:t>30.9</w:t>
      </w:r>
      <w:r>
        <w:rPr>
          <w:rFonts w:hint="eastAsia" w:eastAsia="仿宋_GB2312" w:cs="仿宋_GB2312"/>
          <w:color w:val="000000"/>
          <w:sz w:val="32"/>
          <w:szCs w:val="32"/>
        </w:rPr>
        <w:t>万失业人员再就业。三是培育产业保服务载体。制定出台加快发展人力资源服务业的意见、支持和促进人力资源服务业发展</w:t>
      </w:r>
      <w:r>
        <w:rPr>
          <w:rFonts w:eastAsia="仿宋_GB2312"/>
          <w:color w:val="000000"/>
          <w:sz w:val="32"/>
          <w:szCs w:val="32"/>
        </w:rPr>
        <w:t>15</w:t>
      </w:r>
      <w:r>
        <w:rPr>
          <w:rFonts w:hint="eastAsia" w:eastAsia="仿宋_GB2312" w:cs="仿宋_GB2312"/>
          <w:color w:val="000000"/>
          <w:sz w:val="32"/>
          <w:szCs w:val="32"/>
        </w:rPr>
        <w:t>条措施，打造成德眉资人力资源协同发</w:t>
      </w:r>
      <w:r>
        <w:rPr>
          <w:rFonts w:hint="eastAsia" w:eastAsia="仿宋_GB2312" w:cs="仿宋_GB2312"/>
          <w:sz w:val="32"/>
          <w:szCs w:val="32"/>
        </w:rPr>
        <w:t>展示范区，“一核两翼”区域发展格局基本形成。扎实开展各类招聘活动</w:t>
      </w:r>
      <w:r>
        <w:rPr>
          <w:rFonts w:eastAsia="仿宋_GB2312"/>
          <w:sz w:val="32"/>
          <w:szCs w:val="32"/>
        </w:rPr>
        <w:t>1</w:t>
      </w:r>
      <w:r>
        <w:rPr>
          <w:rFonts w:hint="eastAsia" w:eastAsia="仿宋_GB2312" w:cs="仿宋_GB2312"/>
          <w:sz w:val="32"/>
          <w:szCs w:val="32"/>
        </w:rPr>
        <w:t>万余场次，为企业解决用工需求</w:t>
      </w:r>
      <w:r>
        <w:rPr>
          <w:rFonts w:eastAsia="仿宋_GB2312"/>
          <w:sz w:val="32"/>
          <w:szCs w:val="32"/>
        </w:rPr>
        <w:t>218.2</w:t>
      </w:r>
      <w:r>
        <w:rPr>
          <w:rFonts w:hint="eastAsia" w:eastAsia="仿宋_GB2312" w:cs="仿宋_GB2312"/>
          <w:sz w:val="32"/>
          <w:szCs w:val="32"/>
        </w:rPr>
        <w:t>万人。四是提升技能助力稳岗扩岗。深入开展职业技能提升行动，大力推进以工代训、以训提能、以训稳岗，全省累计开展补贴性培训</w:t>
      </w:r>
      <w:r>
        <w:rPr>
          <w:rFonts w:eastAsia="仿宋_GB2312"/>
          <w:sz w:val="32"/>
          <w:szCs w:val="32"/>
        </w:rPr>
        <w:t>161.9</w:t>
      </w:r>
      <w:r>
        <w:rPr>
          <w:rFonts w:hint="eastAsia" w:eastAsia="仿宋_GB2312" w:cs="仿宋_GB2312"/>
          <w:sz w:val="32"/>
          <w:szCs w:val="32"/>
        </w:rPr>
        <w:t>万人次，惠及企业</w:t>
      </w:r>
      <w:r>
        <w:rPr>
          <w:rFonts w:eastAsia="仿宋_GB2312"/>
          <w:sz w:val="32"/>
          <w:szCs w:val="32"/>
        </w:rPr>
        <w:t>5806</w:t>
      </w:r>
      <w:r>
        <w:rPr>
          <w:rFonts w:hint="eastAsia" w:eastAsia="仿宋_GB2312" w:cs="仿宋_GB2312"/>
          <w:sz w:val="32"/>
          <w:szCs w:val="32"/>
        </w:rPr>
        <w:t>家、职工</w:t>
      </w:r>
      <w:r>
        <w:rPr>
          <w:rFonts w:eastAsia="仿宋_GB2312"/>
          <w:sz w:val="32"/>
          <w:szCs w:val="32"/>
        </w:rPr>
        <w:t>43.6</w:t>
      </w:r>
      <w:r>
        <w:rPr>
          <w:rFonts w:hint="eastAsia" w:eastAsia="仿宋_GB2312" w:cs="仿宋_GB2312"/>
          <w:sz w:val="32"/>
          <w:szCs w:val="32"/>
        </w:rPr>
        <w:t>万名。</w:t>
      </w:r>
      <w:r>
        <w:rPr>
          <w:rFonts w:hint="eastAsia" w:eastAsia="仿宋_GB2312" w:cs="仿宋_GB2312"/>
          <w:color w:val="000000"/>
          <w:sz w:val="32"/>
          <w:szCs w:val="32"/>
        </w:rPr>
        <w:t>五是全力抓好退捕渔民安置保障。成立工作专班，妥善安置退捕渔民，转产转业安置退捕渔民</w:t>
      </w:r>
      <w:r>
        <w:rPr>
          <w:rFonts w:eastAsia="仿宋_GB2312"/>
          <w:color w:val="000000"/>
          <w:sz w:val="32"/>
          <w:szCs w:val="32"/>
        </w:rPr>
        <w:t>1.3</w:t>
      </w:r>
      <w:r>
        <w:rPr>
          <w:rFonts w:hint="eastAsia" w:eastAsia="仿宋_GB2312" w:cs="仿宋_GB2312"/>
          <w:color w:val="000000"/>
          <w:sz w:val="32"/>
          <w:szCs w:val="32"/>
        </w:rPr>
        <w:t>万人，占有劳动能力和就业意愿人数的</w:t>
      </w:r>
      <w:r>
        <w:rPr>
          <w:rFonts w:eastAsia="仿宋_GB2312"/>
          <w:color w:val="000000"/>
          <w:sz w:val="32"/>
          <w:szCs w:val="32"/>
        </w:rPr>
        <w:t>100%</w:t>
      </w:r>
      <w:r>
        <w:rPr>
          <w:rFonts w:hint="eastAsia" w:eastAsia="仿宋_GB2312" w:cs="仿宋_GB2312"/>
          <w:color w:val="000000"/>
          <w:sz w:val="32"/>
          <w:szCs w:val="32"/>
        </w:rPr>
        <w:t>，退捕渔民养老保险实现应保尽保。</w:t>
      </w:r>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（二）坚决兜牢民生底线，持续深化社保制度改革</w:t>
      </w:r>
      <w:r>
        <w:rPr>
          <w:rFonts w:hint="eastAsia" w:eastAsia="仿宋_GB2312" w:cs="仿宋_GB2312"/>
          <w:color w:val="000000"/>
          <w:sz w:val="32"/>
          <w:szCs w:val="32"/>
        </w:rPr>
        <w:t>。坚持兜底线、织密网、建机制，稳步推进社保制度改革。截至</w:t>
      </w:r>
      <w:r>
        <w:rPr>
          <w:rFonts w:eastAsia="仿宋_GB2312"/>
          <w:color w:val="000000"/>
          <w:sz w:val="32"/>
          <w:szCs w:val="32"/>
        </w:rPr>
        <w:t>12</w:t>
      </w:r>
      <w:r>
        <w:rPr>
          <w:rFonts w:hint="eastAsia" w:eastAsia="仿宋_GB2312" w:cs="仿宋_GB2312"/>
          <w:color w:val="000000"/>
          <w:sz w:val="32"/>
          <w:szCs w:val="32"/>
        </w:rPr>
        <w:t>月底，全省参加养老保险、失业保险、工伤保险人数分别为</w:t>
      </w:r>
      <w:r>
        <w:rPr>
          <w:rFonts w:eastAsia="仿宋_GB2312"/>
          <w:color w:val="000000"/>
          <w:sz w:val="32"/>
          <w:szCs w:val="32"/>
        </w:rPr>
        <w:t>6054</w:t>
      </w:r>
      <w:r>
        <w:rPr>
          <w:rFonts w:hint="eastAsia" w:eastAsia="仿宋_GB2312" w:cs="仿宋_GB2312"/>
          <w:color w:val="000000"/>
          <w:sz w:val="32"/>
          <w:szCs w:val="32"/>
        </w:rPr>
        <w:t>万、</w:t>
      </w:r>
      <w:r>
        <w:rPr>
          <w:rFonts w:eastAsia="仿宋_GB2312"/>
          <w:color w:val="000000"/>
          <w:sz w:val="32"/>
          <w:szCs w:val="32"/>
        </w:rPr>
        <w:t>1046</w:t>
      </w:r>
      <w:r>
        <w:rPr>
          <w:rFonts w:hint="eastAsia" w:eastAsia="仿宋_GB2312" w:cs="仿宋_GB2312"/>
          <w:color w:val="000000"/>
          <w:sz w:val="32"/>
          <w:szCs w:val="32"/>
        </w:rPr>
        <w:t>万、</w:t>
      </w:r>
      <w:r>
        <w:rPr>
          <w:rFonts w:eastAsia="仿宋_GB2312"/>
          <w:color w:val="000000"/>
          <w:sz w:val="32"/>
          <w:szCs w:val="32"/>
        </w:rPr>
        <w:t>1320</w:t>
      </w:r>
      <w:r>
        <w:rPr>
          <w:rFonts w:hint="eastAsia" w:eastAsia="仿宋_GB2312" w:cs="仿宋_GB2312"/>
          <w:color w:val="000000"/>
          <w:sz w:val="32"/>
          <w:szCs w:val="32"/>
        </w:rPr>
        <w:t>万，社保卡</w:t>
      </w:r>
      <w:r>
        <w:rPr>
          <w:rFonts w:hint="eastAsia" w:eastAsia="仿宋_GB2312" w:cs="仿宋_GB2312"/>
          <w:sz w:val="32"/>
          <w:szCs w:val="32"/>
        </w:rPr>
        <w:t>持卡人数达</w:t>
      </w:r>
      <w:r>
        <w:rPr>
          <w:rFonts w:eastAsia="仿宋_GB2312"/>
          <w:sz w:val="32"/>
          <w:szCs w:val="32"/>
        </w:rPr>
        <w:t>9042.7</w:t>
      </w:r>
      <w:r>
        <w:rPr>
          <w:rFonts w:hint="eastAsia" w:eastAsia="仿宋_GB2312" w:cs="仿宋_GB2312"/>
          <w:sz w:val="32"/>
          <w:szCs w:val="32"/>
        </w:rPr>
        <w:t>万人，</w:t>
      </w:r>
      <w:r>
        <w:rPr>
          <w:rFonts w:hint="eastAsia" w:eastAsia="仿宋_GB2312" w:cs="仿宋_GB2312"/>
          <w:color w:val="000000"/>
          <w:sz w:val="32"/>
          <w:szCs w:val="32"/>
        </w:rPr>
        <w:t>均提前完成“十三五”目标任务。一是全力落实社保减负政策。全面实施阶段性减免企业社会保险费，进一步放宽中小微企业申领失业保险稳岗返还条件，最大限度减轻企业负担、支持企业复工复产。截至</w:t>
      </w:r>
      <w:r>
        <w:rPr>
          <w:rFonts w:eastAsia="仿宋_GB2312"/>
          <w:color w:val="000000"/>
          <w:sz w:val="32"/>
          <w:szCs w:val="32"/>
        </w:rPr>
        <w:t>12</w:t>
      </w:r>
      <w:r>
        <w:rPr>
          <w:rFonts w:hint="eastAsia" w:eastAsia="仿宋_GB2312" w:cs="仿宋_GB2312"/>
          <w:color w:val="000000"/>
          <w:sz w:val="32"/>
          <w:szCs w:val="32"/>
        </w:rPr>
        <w:t>月底，累计为全省</w:t>
      </w:r>
      <w:r>
        <w:rPr>
          <w:rFonts w:eastAsia="仿宋_GB2312"/>
          <w:color w:val="000000"/>
          <w:sz w:val="32"/>
          <w:szCs w:val="32"/>
        </w:rPr>
        <w:t>52</w:t>
      </w:r>
      <w:r>
        <w:rPr>
          <w:rFonts w:hint="eastAsia" w:eastAsia="仿宋_GB2312" w:cs="仿宋_GB2312"/>
          <w:color w:val="000000"/>
          <w:sz w:val="32"/>
          <w:szCs w:val="32"/>
        </w:rPr>
        <w:t>万户企业减免三项社保费</w:t>
      </w:r>
      <w:r>
        <w:rPr>
          <w:rFonts w:eastAsia="仿宋_GB2312"/>
          <w:color w:val="000000"/>
          <w:sz w:val="32"/>
          <w:szCs w:val="32"/>
        </w:rPr>
        <w:t>516</w:t>
      </w:r>
      <w:r>
        <w:rPr>
          <w:rFonts w:hint="eastAsia" w:eastAsia="仿宋_GB2312" w:cs="仿宋_GB2312"/>
          <w:color w:val="000000"/>
          <w:sz w:val="32"/>
          <w:szCs w:val="32"/>
        </w:rPr>
        <w:t>亿元，发放失业保险稳岗返还资金</w:t>
      </w:r>
      <w:r>
        <w:rPr>
          <w:rFonts w:eastAsia="仿宋_GB2312"/>
          <w:color w:val="000000"/>
          <w:sz w:val="32"/>
          <w:szCs w:val="32"/>
        </w:rPr>
        <w:t>68.2</w:t>
      </w:r>
      <w:r>
        <w:rPr>
          <w:rFonts w:hint="eastAsia" w:eastAsia="仿宋_GB2312" w:cs="仿宋_GB2312"/>
          <w:color w:val="000000"/>
          <w:sz w:val="32"/>
          <w:szCs w:val="32"/>
        </w:rPr>
        <w:t>亿元。二是稳慎推进社保制度改革。大力推进社保费征收体制改革，在全国率先全面实现“全地区、全险种、全流程”划转。加快推进社保省级统筹，建成全省统一的社会保险信息系统，出台《四川省工伤保险条例》，工伤保险基金实现省级统筹，养老保险基金实现省级统收统支。三是切实保障社保待遇水平。分批有序推进“中人”待遇兑现，首批</w:t>
      </w:r>
      <w:r>
        <w:rPr>
          <w:rFonts w:eastAsia="仿宋_GB2312"/>
          <w:color w:val="000000"/>
          <w:sz w:val="32"/>
          <w:szCs w:val="32"/>
        </w:rPr>
        <w:t>5.5</w:t>
      </w:r>
      <w:r>
        <w:rPr>
          <w:rFonts w:hint="eastAsia" w:eastAsia="仿宋_GB2312" w:cs="仿宋_GB2312"/>
          <w:color w:val="000000"/>
          <w:sz w:val="32"/>
          <w:szCs w:val="32"/>
        </w:rPr>
        <w:t>万名退休“中人”待遇兑现工作全面落地。完成</w:t>
      </w:r>
      <w:r>
        <w:rPr>
          <w:rFonts w:eastAsia="仿宋_GB2312"/>
          <w:color w:val="000000"/>
          <w:sz w:val="32"/>
          <w:szCs w:val="32"/>
        </w:rPr>
        <w:t>2020</w:t>
      </w:r>
      <w:r>
        <w:rPr>
          <w:rFonts w:hint="eastAsia" w:eastAsia="仿宋_GB2312" w:cs="仿宋_GB2312"/>
          <w:color w:val="000000"/>
          <w:sz w:val="32"/>
          <w:szCs w:val="32"/>
        </w:rPr>
        <w:t>年养老金待遇调整工作，实现企业退休人员基本养老金“</w:t>
      </w:r>
      <w:r>
        <w:rPr>
          <w:rFonts w:eastAsia="仿宋_GB2312"/>
          <w:color w:val="000000"/>
          <w:sz w:val="32"/>
          <w:szCs w:val="32"/>
        </w:rPr>
        <w:t>16</w:t>
      </w:r>
      <w:r>
        <w:rPr>
          <w:rFonts w:hint="eastAsia" w:eastAsia="仿宋_GB2312" w:cs="仿宋_GB2312"/>
          <w:color w:val="000000"/>
          <w:sz w:val="32"/>
          <w:szCs w:val="32"/>
        </w:rPr>
        <w:t>连涨”和企业、机关事业单位退休人员基本养老金“五联调”，失业保险、工伤保险待遇稳步提升。加强职业年金基金市场化投资运营，投资规模达</w:t>
      </w:r>
      <w:r>
        <w:rPr>
          <w:rFonts w:eastAsia="仿宋_GB2312"/>
          <w:color w:val="000000"/>
          <w:sz w:val="32"/>
          <w:szCs w:val="32"/>
        </w:rPr>
        <w:t>770</w:t>
      </w:r>
      <w:r>
        <w:rPr>
          <w:rFonts w:hint="eastAsia" w:eastAsia="仿宋_GB2312" w:cs="仿宋_GB2312"/>
          <w:color w:val="000000"/>
          <w:sz w:val="32"/>
          <w:szCs w:val="32"/>
        </w:rPr>
        <w:t>亿元，投资收益</w:t>
      </w:r>
      <w:r>
        <w:rPr>
          <w:rFonts w:eastAsia="仿宋_GB2312"/>
          <w:color w:val="000000"/>
          <w:sz w:val="32"/>
          <w:szCs w:val="32"/>
        </w:rPr>
        <w:t>71</w:t>
      </w:r>
      <w:r>
        <w:rPr>
          <w:rFonts w:hint="eastAsia" w:eastAsia="仿宋_GB2312" w:cs="仿宋_GB2312"/>
          <w:color w:val="000000"/>
          <w:sz w:val="32"/>
          <w:szCs w:val="32"/>
        </w:rPr>
        <w:t>亿元，收益率达</w:t>
      </w:r>
      <w:r>
        <w:rPr>
          <w:rFonts w:eastAsia="仿宋_GB2312"/>
          <w:color w:val="000000"/>
          <w:sz w:val="32"/>
          <w:szCs w:val="32"/>
        </w:rPr>
        <w:t>11.7%</w:t>
      </w:r>
      <w:r>
        <w:rPr>
          <w:rFonts w:hint="eastAsia" w:eastAsia="仿宋_GB2312" w:cs="仿宋_GB2312"/>
          <w:color w:val="000000"/>
          <w:sz w:val="32"/>
          <w:szCs w:val="32"/>
        </w:rPr>
        <w:t>。</w:t>
      </w:r>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（三）紧扣高质量发展需要，稳步推进人才人事工作。</w:t>
      </w:r>
      <w:r>
        <w:rPr>
          <w:rFonts w:hint="eastAsia" w:eastAsia="仿宋_GB2312" w:cs="仿宋_GB2312"/>
          <w:color w:val="000000"/>
          <w:sz w:val="32"/>
          <w:szCs w:val="32"/>
        </w:rPr>
        <w:t>坚持问题导向、需求导向和市场导向，充分释放人才创新创造活力。截至目前，全省技能人才总量突破</w:t>
      </w:r>
      <w:r>
        <w:rPr>
          <w:rFonts w:eastAsia="仿宋_GB2312"/>
          <w:color w:val="000000"/>
          <w:sz w:val="32"/>
          <w:szCs w:val="32"/>
        </w:rPr>
        <w:t>1000</w:t>
      </w:r>
      <w:r>
        <w:rPr>
          <w:rFonts w:hint="eastAsia" w:eastAsia="仿宋_GB2312" w:cs="仿宋_GB2312"/>
          <w:color w:val="000000"/>
          <w:sz w:val="32"/>
          <w:szCs w:val="32"/>
        </w:rPr>
        <w:t>万人，专业技术人才总量达</w:t>
      </w:r>
      <w:r>
        <w:rPr>
          <w:rFonts w:eastAsia="仿宋_GB2312"/>
          <w:color w:val="000000"/>
          <w:sz w:val="32"/>
          <w:szCs w:val="32"/>
        </w:rPr>
        <w:t>371</w:t>
      </w:r>
      <w:r>
        <w:rPr>
          <w:rFonts w:hint="eastAsia" w:eastAsia="仿宋_GB2312" w:cs="仿宋_GB2312"/>
          <w:color w:val="000000"/>
          <w:sz w:val="32"/>
          <w:szCs w:val="32"/>
        </w:rPr>
        <w:t>万人。一是做好专技人才服务工作。按照全省“</w:t>
      </w:r>
      <w:r>
        <w:rPr>
          <w:rFonts w:eastAsia="仿宋_GB2312"/>
          <w:color w:val="000000"/>
          <w:sz w:val="32"/>
          <w:szCs w:val="32"/>
        </w:rPr>
        <w:t>5+1</w:t>
      </w:r>
      <w:r>
        <w:rPr>
          <w:rFonts w:hint="eastAsia" w:eastAsia="仿宋_GB2312" w:cs="仿宋_GB2312"/>
          <w:color w:val="000000"/>
          <w:sz w:val="32"/>
          <w:szCs w:val="32"/>
        </w:rPr>
        <w:t>”现代工业、“</w:t>
      </w:r>
      <w:r>
        <w:rPr>
          <w:rFonts w:eastAsia="仿宋_GB2312"/>
          <w:color w:val="000000"/>
          <w:sz w:val="32"/>
          <w:szCs w:val="32"/>
        </w:rPr>
        <w:t>10+3</w:t>
      </w:r>
      <w:r>
        <w:rPr>
          <w:rFonts w:hint="eastAsia" w:eastAsia="仿宋_GB2312" w:cs="仿宋_GB2312"/>
          <w:color w:val="000000"/>
          <w:sz w:val="32"/>
          <w:szCs w:val="32"/>
        </w:rPr>
        <w:t>”现代农业、“</w:t>
      </w:r>
      <w:r>
        <w:rPr>
          <w:rFonts w:eastAsia="仿宋_GB2312"/>
          <w:color w:val="000000"/>
          <w:sz w:val="32"/>
          <w:szCs w:val="32"/>
        </w:rPr>
        <w:t>4+6</w:t>
      </w:r>
      <w:r>
        <w:rPr>
          <w:rFonts w:hint="eastAsia" w:eastAsia="仿宋_GB2312" w:cs="仿宋_GB2312"/>
          <w:color w:val="000000"/>
          <w:sz w:val="32"/>
          <w:szCs w:val="32"/>
        </w:rPr>
        <w:t>”现代服务业体系建设要求，增设国土工程、大数据和人工智能、人力资源管理等相关职称专业。组织开展“百千万人才工程”国家级人选、政府特殊津贴人员等选拔推荐工作。二是促进技能人才加快发展。</w:t>
      </w:r>
      <w:r>
        <w:rPr>
          <w:rFonts w:hint="eastAsia" w:eastAsia="仿宋_GB2312" w:cs="仿宋_GB2312"/>
          <w:sz w:val="32"/>
          <w:szCs w:val="32"/>
        </w:rPr>
        <w:t>深入实施高技能人才振兴计划和天府工匠培养工程，大力发展技工教育，积极推进职业体系建设，全面推行技能等级认定制度，着力打造四川技能大赛品牌，技能成才良好氛围愈加浓厚。</w:t>
      </w:r>
      <w:r>
        <w:rPr>
          <w:rFonts w:hint="eastAsia" w:eastAsia="仿宋_GB2312" w:cs="仿宋_GB2312"/>
          <w:color w:val="000000"/>
          <w:sz w:val="32"/>
          <w:szCs w:val="32"/>
        </w:rPr>
        <w:t>三是加强事业单位人事管理。稳慎推进事业单位人事制度改革，完善事业单位高层次人才工资分配激励机制，做好义务教育教师待遇保障工作，开展完善省属高校绩效工资政策试点，着力提升事业单位人事管理科学化水平。四是加大疫情防控人员关心关爱</w:t>
      </w:r>
      <w:r>
        <w:rPr>
          <w:rFonts w:hint="eastAsia" w:eastAsia="仿宋_GB2312" w:cs="仿宋_GB2312"/>
          <w:b/>
          <w:bCs/>
          <w:color w:val="000000"/>
          <w:sz w:val="32"/>
          <w:szCs w:val="32"/>
        </w:rPr>
        <w:t>。</w:t>
      </w:r>
      <w:r>
        <w:rPr>
          <w:rFonts w:hint="eastAsia" w:eastAsia="仿宋_GB2312" w:cs="仿宋_GB2312"/>
          <w:color w:val="000000"/>
          <w:sz w:val="32"/>
          <w:szCs w:val="32"/>
        </w:rPr>
        <w:t>针对疫情防控一线人员，及时兑现临时性工作补助、卫生防疫津贴，核增医疗卫生机构一次性绩效工资总量，制定实施人才推荐选拔、职称评审、岗位聘用等倾斜激励政策，做好抗疫表彰奖励。五是安全科学组织人事考试</w:t>
      </w:r>
      <w:r>
        <w:rPr>
          <w:rFonts w:hint="eastAsia" w:eastAsia="仿宋_GB2312" w:cs="仿宋_GB2312"/>
          <w:b/>
          <w:bCs/>
          <w:color w:val="000000"/>
          <w:sz w:val="32"/>
          <w:szCs w:val="32"/>
        </w:rPr>
        <w:t>。</w:t>
      </w:r>
      <w:r>
        <w:rPr>
          <w:rFonts w:hint="eastAsia" w:eastAsia="仿宋_GB2312" w:cs="仿宋_GB2312"/>
          <w:color w:val="000000"/>
          <w:sz w:val="32"/>
          <w:szCs w:val="32"/>
        </w:rPr>
        <w:t>首次实施公务员招录分级分类考试，首次应用区块链技术助力人事考试安全，全年共组织各类专业技术资格和录用考试</w:t>
      </w:r>
      <w:r>
        <w:rPr>
          <w:rFonts w:eastAsia="仿宋_GB2312"/>
          <w:color w:val="000000"/>
          <w:sz w:val="32"/>
          <w:szCs w:val="32"/>
        </w:rPr>
        <w:t>296.2</w:t>
      </w:r>
      <w:r>
        <w:rPr>
          <w:rFonts w:hint="eastAsia" w:eastAsia="仿宋_GB2312" w:cs="仿宋_GB2312"/>
          <w:color w:val="000000"/>
          <w:sz w:val="32"/>
          <w:szCs w:val="32"/>
        </w:rPr>
        <w:t>万人次，未出现一例安全责任事故。</w:t>
      </w:r>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（四）创新工作体制机制，全面构建和谐劳动关系</w:t>
      </w:r>
      <w:r>
        <w:rPr>
          <w:rFonts w:hint="eastAsia" w:eastAsia="仿宋_GB2312" w:cs="仿宋_GB2312"/>
          <w:color w:val="000000"/>
          <w:sz w:val="32"/>
          <w:szCs w:val="32"/>
        </w:rPr>
        <w:t>。及时跟进研究新经济新业态发展变化带来的新型劳动关系形势趋势变化，更加注重处理好劳动者权益和用工企业的利益平衡，及时防范和化解劳动关系矛盾。一是妥处疫情期间劳动关系。</w:t>
      </w:r>
      <w:r>
        <w:rPr>
          <w:rFonts w:hint="eastAsia" w:eastAsia="仿宋_GB2312" w:cs="仿宋_GB2312"/>
          <w:sz w:val="32"/>
          <w:szCs w:val="32"/>
        </w:rPr>
        <w:t>在全国创新开展稳定劳动关系“春风行动”，通过政策宣传解读、动态预警监测、多元协商化解等方式，切实把矛盾纠纷、风险隐患化解在萌芽状态。</w:t>
      </w:r>
      <w:r>
        <w:rPr>
          <w:rFonts w:hint="eastAsia" w:eastAsia="仿宋_GB2312" w:cs="仿宋_GB2312"/>
          <w:color w:val="000000"/>
          <w:sz w:val="32"/>
          <w:szCs w:val="32"/>
        </w:rPr>
        <w:t>二是扎实开展根治欠薪专项行动。深入开展贯彻落实《保障农民工工资支付条例》系列活动，组织开展根治欠薪、清理整顿人力资源市场秩序等专项行动，累计检查用人单位</w:t>
      </w:r>
      <w:r>
        <w:rPr>
          <w:rFonts w:eastAsia="仿宋_GB2312"/>
          <w:color w:val="000000"/>
          <w:sz w:val="32"/>
          <w:szCs w:val="32"/>
        </w:rPr>
        <w:t>1.97</w:t>
      </w:r>
      <w:r>
        <w:rPr>
          <w:rFonts w:hint="eastAsia" w:eastAsia="仿宋_GB2312" w:cs="仿宋_GB2312"/>
          <w:color w:val="000000"/>
          <w:sz w:val="32"/>
          <w:szCs w:val="32"/>
        </w:rPr>
        <w:t>万户，查办违法案件</w:t>
      </w:r>
      <w:r>
        <w:rPr>
          <w:rFonts w:eastAsia="仿宋_GB2312"/>
          <w:color w:val="000000"/>
          <w:sz w:val="32"/>
          <w:szCs w:val="32"/>
        </w:rPr>
        <w:t>536</w:t>
      </w:r>
      <w:r>
        <w:rPr>
          <w:rFonts w:hint="eastAsia" w:eastAsia="仿宋_GB2312" w:cs="仿宋_GB2312"/>
          <w:color w:val="000000"/>
          <w:sz w:val="32"/>
          <w:szCs w:val="32"/>
        </w:rPr>
        <w:t>件，涉及人数</w:t>
      </w:r>
      <w:r>
        <w:rPr>
          <w:rFonts w:eastAsia="仿宋_GB2312"/>
          <w:color w:val="000000"/>
          <w:sz w:val="32"/>
          <w:szCs w:val="32"/>
        </w:rPr>
        <w:t>1.24</w:t>
      </w:r>
      <w:r>
        <w:rPr>
          <w:rFonts w:hint="eastAsia" w:eastAsia="仿宋_GB2312" w:cs="仿宋_GB2312"/>
          <w:color w:val="000000"/>
          <w:sz w:val="32"/>
          <w:szCs w:val="32"/>
        </w:rPr>
        <w:t>万人，全省欠薪案件数、涉及人数同比下降</w:t>
      </w:r>
      <w:r>
        <w:rPr>
          <w:rFonts w:eastAsia="仿宋_GB2312"/>
          <w:color w:val="000000"/>
          <w:sz w:val="32"/>
          <w:szCs w:val="32"/>
        </w:rPr>
        <w:t>37%</w:t>
      </w:r>
      <w:r>
        <w:rPr>
          <w:rFonts w:hint="eastAsia" w:eastAsia="仿宋_GB2312" w:cs="仿宋_GB2312"/>
          <w:color w:val="000000"/>
          <w:sz w:val="32"/>
          <w:szCs w:val="32"/>
        </w:rPr>
        <w:t>、</w:t>
      </w:r>
      <w:r>
        <w:rPr>
          <w:rFonts w:eastAsia="仿宋_GB2312"/>
          <w:color w:val="000000"/>
          <w:sz w:val="32"/>
          <w:szCs w:val="32"/>
        </w:rPr>
        <w:t>14%</w:t>
      </w:r>
      <w:r>
        <w:rPr>
          <w:rFonts w:hint="eastAsia" w:eastAsia="仿宋_GB2312" w:cs="仿宋_GB2312"/>
          <w:color w:val="000000"/>
          <w:sz w:val="32"/>
          <w:szCs w:val="32"/>
        </w:rPr>
        <w:t>。农民工工资支付全国考核排名大幅上升。三是劳动人事争议仲裁效能不断提升。全年共处理劳动人事争议案件</w:t>
      </w:r>
      <w:r>
        <w:rPr>
          <w:rFonts w:eastAsia="仿宋_GB2312"/>
          <w:color w:val="000000"/>
          <w:sz w:val="32"/>
          <w:szCs w:val="32"/>
        </w:rPr>
        <w:t>5.15</w:t>
      </w:r>
      <w:r>
        <w:rPr>
          <w:rFonts w:hint="eastAsia" w:eastAsia="仿宋_GB2312" w:cs="仿宋_GB2312"/>
          <w:color w:val="000000"/>
          <w:sz w:val="32"/>
          <w:szCs w:val="32"/>
        </w:rPr>
        <w:t>万件，涉及劳动者</w:t>
      </w:r>
      <w:r>
        <w:rPr>
          <w:rFonts w:eastAsia="仿宋_GB2312"/>
          <w:color w:val="000000"/>
          <w:sz w:val="32"/>
          <w:szCs w:val="32"/>
        </w:rPr>
        <w:t>6.67</w:t>
      </w:r>
      <w:r>
        <w:rPr>
          <w:rFonts w:hint="eastAsia" w:eastAsia="仿宋_GB2312" w:cs="仿宋_GB2312"/>
          <w:color w:val="000000"/>
          <w:sz w:val="32"/>
          <w:szCs w:val="32"/>
        </w:rPr>
        <w:t>万人，涉案金额</w:t>
      </w:r>
      <w:r>
        <w:rPr>
          <w:rFonts w:eastAsia="仿宋_GB2312"/>
          <w:color w:val="000000"/>
          <w:sz w:val="32"/>
          <w:szCs w:val="32"/>
        </w:rPr>
        <w:t>20.6</w:t>
      </w:r>
      <w:r>
        <w:rPr>
          <w:rFonts w:hint="eastAsia" w:eastAsia="仿宋_GB2312" w:cs="仿宋_GB2312"/>
          <w:color w:val="000000"/>
          <w:sz w:val="32"/>
          <w:szCs w:val="32"/>
        </w:rPr>
        <w:t>亿元，仲裁结案率</w:t>
      </w:r>
      <w:r>
        <w:rPr>
          <w:rFonts w:eastAsia="仿宋_GB2312"/>
          <w:color w:val="000000"/>
          <w:sz w:val="32"/>
          <w:szCs w:val="32"/>
        </w:rPr>
        <w:t>95.2%</w:t>
      </w:r>
      <w:r>
        <w:rPr>
          <w:rFonts w:hint="eastAsia" w:eastAsia="仿宋_GB2312" w:cs="仿宋_GB2312"/>
          <w:color w:val="000000"/>
          <w:sz w:val="32"/>
          <w:szCs w:val="32"/>
        </w:rPr>
        <w:t>。</w:t>
      </w:r>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（五）坚持用心用情用力，扎实做好农民工服务保障工作。</w:t>
      </w:r>
      <w:r>
        <w:rPr>
          <w:rFonts w:hint="eastAsia" w:eastAsia="仿宋_GB2312" w:cs="仿宋_GB2312"/>
          <w:color w:val="000000"/>
          <w:sz w:val="32"/>
          <w:szCs w:val="32"/>
        </w:rPr>
        <w:t>坚持把服务保障农民工工作作为战略性工程来抓。一是多措并举稳定农民工就业。聚焦农民工返岗难题，在全国率先建立省际供需对接、健康互认、专车直达服务机制，打通农民工返岗复工“堵点”，</w:t>
      </w:r>
      <w:r>
        <w:rPr>
          <w:rFonts w:hint="eastAsia" w:eastAsia="仿宋_GB2312" w:cs="仿宋_GB2312"/>
          <w:sz w:val="32"/>
          <w:szCs w:val="32"/>
        </w:rPr>
        <w:t>农村劳动力转移就业规模达</w:t>
      </w:r>
      <w:r>
        <w:rPr>
          <w:rFonts w:eastAsia="仿宋_GB2312"/>
          <w:sz w:val="32"/>
          <w:szCs w:val="32"/>
        </w:rPr>
        <w:t>2573.4</w:t>
      </w:r>
      <w:r>
        <w:rPr>
          <w:rFonts w:hint="eastAsia" w:eastAsia="仿宋_GB2312" w:cs="仿宋_GB2312"/>
          <w:sz w:val="32"/>
          <w:szCs w:val="32"/>
        </w:rPr>
        <w:t>万人，实现劳务收入</w:t>
      </w:r>
      <w:r>
        <w:rPr>
          <w:rFonts w:eastAsia="仿宋_GB2312"/>
          <w:sz w:val="32"/>
          <w:szCs w:val="32"/>
        </w:rPr>
        <w:t>5673.6</w:t>
      </w:r>
      <w:r>
        <w:rPr>
          <w:rFonts w:hint="eastAsia" w:eastAsia="仿宋_GB2312" w:cs="仿宋_GB2312"/>
          <w:sz w:val="32"/>
          <w:szCs w:val="32"/>
        </w:rPr>
        <w:t>亿元。</w:t>
      </w:r>
      <w:r>
        <w:rPr>
          <w:rFonts w:hint="eastAsia" w:eastAsia="仿宋_GB2312" w:cs="仿宋_GB2312"/>
          <w:color w:val="000000"/>
          <w:sz w:val="32"/>
          <w:szCs w:val="32"/>
        </w:rPr>
        <w:t>二是大力引导农民工返乡创业。持续抓好返乡创业</w:t>
      </w:r>
      <w:r>
        <w:rPr>
          <w:rFonts w:eastAsia="仿宋_GB2312"/>
          <w:color w:val="000000"/>
          <w:sz w:val="32"/>
          <w:szCs w:val="32"/>
        </w:rPr>
        <w:t>22</w:t>
      </w:r>
      <w:r>
        <w:rPr>
          <w:rFonts w:hint="eastAsia" w:eastAsia="仿宋_GB2312" w:cs="仿宋_GB2312"/>
          <w:color w:val="000000"/>
          <w:sz w:val="32"/>
          <w:szCs w:val="32"/>
        </w:rPr>
        <w:t>条措施</w:t>
      </w:r>
      <w:r>
        <w:rPr>
          <w:rFonts w:hint="eastAsia" w:eastAsia="仿宋_GB2312" w:cs="仿宋_GB2312"/>
          <w:sz w:val="32"/>
          <w:szCs w:val="32"/>
        </w:rPr>
        <w:t>落实，评选表彰</w:t>
      </w:r>
      <w:r>
        <w:rPr>
          <w:rFonts w:eastAsia="仿宋_GB2312"/>
          <w:sz w:val="32"/>
          <w:szCs w:val="32"/>
        </w:rPr>
        <w:t>200</w:t>
      </w:r>
      <w:r>
        <w:rPr>
          <w:rFonts w:hint="eastAsia" w:eastAsia="仿宋_GB2312" w:cs="仿宋_GB2312"/>
          <w:sz w:val="32"/>
          <w:szCs w:val="32"/>
        </w:rPr>
        <w:t>名省级返乡创业明星和</w:t>
      </w:r>
      <w:r>
        <w:rPr>
          <w:rFonts w:eastAsia="仿宋_GB2312"/>
          <w:sz w:val="32"/>
          <w:szCs w:val="32"/>
        </w:rPr>
        <w:t>100</w:t>
      </w:r>
      <w:r>
        <w:rPr>
          <w:rFonts w:hint="eastAsia" w:eastAsia="仿宋_GB2312" w:cs="仿宋_GB2312"/>
          <w:sz w:val="32"/>
          <w:szCs w:val="32"/>
        </w:rPr>
        <w:t>个明星企业，全省累计新增返乡创业农民工</w:t>
      </w:r>
      <w:r>
        <w:rPr>
          <w:rFonts w:eastAsia="仿宋_GB2312"/>
          <w:sz w:val="32"/>
          <w:szCs w:val="32"/>
        </w:rPr>
        <w:t>10.9</w:t>
      </w:r>
      <w:r>
        <w:rPr>
          <w:rFonts w:hint="eastAsia" w:eastAsia="仿宋_GB2312" w:cs="仿宋_GB2312"/>
          <w:sz w:val="32"/>
          <w:szCs w:val="32"/>
        </w:rPr>
        <w:t>万人，同比增长</w:t>
      </w:r>
      <w:r>
        <w:rPr>
          <w:rFonts w:eastAsia="仿宋_GB2312"/>
          <w:sz w:val="32"/>
          <w:szCs w:val="32"/>
        </w:rPr>
        <w:t>101%</w:t>
      </w:r>
      <w:r>
        <w:rPr>
          <w:rFonts w:hint="eastAsia" w:eastAsia="仿宋_GB2312" w:cs="仿宋_GB2312"/>
          <w:sz w:val="32"/>
          <w:szCs w:val="32"/>
        </w:rPr>
        <w:t>；新增创办企业</w:t>
      </w:r>
      <w:r>
        <w:rPr>
          <w:rFonts w:eastAsia="仿宋_GB2312"/>
          <w:sz w:val="32"/>
          <w:szCs w:val="32"/>
        </w:rPr>
        <w:t>3.2</w:t>
      </w:r>
      <w:r>
        <w:rPr>
          <w:rFonts w:hint="eastAsia" w:eastAsia="仿宋_GB2312" w:cs="仿宋_GB2312"/>
          <w:sz w:val="32"/>
          <w:szCs w:val="32"/>
        </w:rPr>
        <w:t>万个，同比增长</w:t>
      </w:r>
      <w:r>
        <w:rPr>
          <w:rFonts w:eastAsia="仿宋_GB2312"/>
          <w:sz w:val="32"/>
          <w:szCs w:val="32"/>
        </w:rPr>
        <w:t>45.6%</w:t>
      </w:r>
      <w:r>
        <w:rPr>
          <w:rFonts w:hint="eastAsia" w:eastAsia="仿宋_GB2312" w:cs="仿宋_GB2312"/>
          <w:sz w:val="32"/>
          <w:szCs w:val="32"/>
        </w:rPr>
        <w:t>。三是着力开发培养农民工人才。坚持线上线下、省内省外多轨运行，全省开展劳务品牌和返乡创业带头人培训</w:t>
      </w:r>
      <w:r>
        <w:rPr>
          <w:rFonts w:eastAsia="仿宋_GB2312"/>
          <w:sz w:val="32"/>
          <w:szCs w:val="32"/>
        </w:rPr>
        <w:t>26.6</w:t>
      </w:r>
      <w:r>
        <w:rPr>
          <w:rFonts w:hint="eastAsia" w:eastAsia="仿宋_GB2312" w:cs="仿宋_GB2312"/>
          <w:sz w:val="32"/>
          <w:szCs w:val="32"/>
        </w:rPr>
        <w:t>万人次，同比增长</w:t>
      </w:r>
      <w:r>
        <w:rPr>
          <w:rFonts w:eastAsia="仿宋_GB2312"/>
          <w:sz w:val="32"/>
          <w:szCs w:val="32"/>
        </w:rPr>
        <w:t>33%</w:t>
      </w:r>
      <w:r>
        <w:rPr>
          <w:rFonts w:hint="eastAsia" w:eastAsia="仿宋_GB2312" w:cs="仿宋_GB2312"/>
          <w:sz w:val="32"/>
          <w:szCs w:val="32"/>
        </w:rPr>
        <w:t>。大力实施优秀农民工回引培养工程，全省已选任</w:t>
      </w:r>
      <w:r>
        <w:rPr>
          <w:rFonts w:eastAsia="仿宋_GB2312"/>
          <w:sz w:val="32"/>
          <w:szCs w:val="32"/>
        </w:rPr>
        <w:t>1.2</w:t>
      </w:r>
      <w:r>
        <w:rPr>
          <w:rFonts w:hint="eastAsia" w:eastAsia="仿宋_GB2312" w:cs="仿宋_GB2312"/>
          <w:sz w:val="32"/>
          <w:szCs w:val="32"/>
        </w:rPr>
        <w:t>万名农民工担任村支书。加大优秀农民工定向招考力度，全省共招录</w:t>
      </w:r>
      <w:r>
        <w:rPr>
          <w:rFonts w:eastAsia="仿宋_GB2312"/>
          <w:sz w:val="32"/>
          <w:szCs w:val="32"/>
        </w:rPr>
        <w:t>500</w:t>
      </w:r>
      <w:r>
        <w:rPr>
          <w:rFonts w:hint="eastAsia" w:eastAsia="仿宋_GB2312" w:cs="仿宋_GB2312"/>
          <w:sz w:val="32"/>
          <w:szCs w:val="32"/>
        </w:rPr>
        <w:t>余名农民工进入乡镇公务员和事业单位。四是不断提升服务保障水平。坚持每年以省委省政府名义召开全省农民工工作电视电话会议，积极做好四川农民工服务平台运维，组建农民工返乡创业和法律维权服务团，常态化举办农民工运动会等活动，四川农民工博物馆建设加快推进。</w:t>
      </w:r>
    </w:p>
    <w:p>
      <w:pPr>
        <w:adjustRightInd w:val="0"/>
        <w:spacing w:line="608" w:lineRule="exact"/>
        <w:ind w:firstLine="640" w:firstLineChars="200"/>
        <w:rPr>
          <w:rFonts w:eastAsia="仿宋_GB2312"/>
          <w:color w:val="000000"/>
          <w:sz w:val="32"/>
          <w:szCs w:val="32"/>
        </w:rPr>
      </w:pPr>
      <w:r>
        <w:rPr>
          <w:rFonts w:hint="eastAsia" w:eastAsia="楷体_GB2312" w:cs="楷体_GB2312"/>
          <w:color w:val="000000"/>
          <w:sz w:val="32"/>
          <w:szCs w:val="32"/>
        </w:rPr>
        <w:t>（六）持续深入推进人社扶贫，决战决胜脱贫攻坚。</w:t>
      </w:r>
      <w:r>
        <w:rPr>
          <w:rFonts w:hint="eastAsia" w:eastAsia="仿宋_GB2312" w:cs="仿宋_GB2312"/>
          <w:color w:val="000000"/>
          <w:sz w:val="32"/>
          <w:szCs w:val="32"/>
        </w:rPr>
        <w:t>一是开展就业扶贫挂牌督战。成立贫困劳动力务工就业服务专班，进驻凉山州</w:t>
      </w:r>
      <w:r>
        <w:rPr>
          <w:rFonts w:eastAsia="仿宋_GB2312"/>
          <w:color w:val="000000"/>
          <w:sz w:val="32"/>
          <w:szCs w:val="32"/>
        </w:rPr>
        <w:t>7</w:t>
      </w:r>
      <w:r>
        <w:rPr>
          <w:rFonts w:hint="eastAsia" w:eastAsia="仿宋_GB2312" w:cs="仿宋_GB2312"/>
          <w:color w:val="000000"/>
          <w:sz w:val="32"/>
          <w:szCs w:val="32"/>
        </w:rPr>
        <w:t>个未摘帽贫困县，实地开展挂牌督战和就业帮扶。对受疫情影响无法返岗、无业可就、无力脱贫的贫困劳动力，开发临时公益性岗位托底安置。二是全力推进社保扶贫。落实城乡居民养老保险代缴和待遇发放政策，</w:t>
      </w:r>
      <w:r>
        <w:rPr>
          <w:rFonts w:eastAsia="仿宋_GB2312"/>
          <w:color w:val="000000"/>
          <w:sz w:val="32"/>
          <w:szCs w:val="32"/>
        </w:rPr>
        <w:t>345.4</w:t>
      </w:r>
      <w:r>
        <w:rPr>
          <w:rFonts w:hint="eastAsia" w:eastAsia="仿宋_GB2312" w:cs="仿宋_GB2312"/>
          <w:color w:val="000000"/>
          <w:sz w:val="32"/>
          <w:szCs w:val="32"/>
        </w:rPr>
        <w:t>万名符合代缴条件、</w:t>
      </w:r>
      <w:r>
        <w:rPr>
          <w:rFonts w:eastAsia="仿宋_GB2312"/>
          <w:color w:val="000000"/>
          <w:sz w:val="32"/>
          <w:szCs w:val="32"/>
        </w:rPr>
        <w:t>332.8</w:t>
      </w:r>
      <w:r>
        <w:rPr>
          <w:rFonts w:hint="eastAsia" w:eastAsia="仿宋_GB2312" w:cs="仿宋_GB2312"/>
          <w:color w:val="000000"/>
          <w:sz w:val="32"/>
          <w:szCs w:val="32"/>
        </w:rPr>
        <w:t>万名符合待遇领取条件的贫困人员实现应缴尽缴、应发尽发、应保尽保。三是大力抓好人才扶贫。加大贫困县事业单位人事管理、职称及职业资格政策倾斜力度，深入实施专家智力服务基层行动，精准助推贫困地区产业发展。四是扎实推进技能扶贫。</w:t>
      </w:r>
      <w:r>
        <w:rPr>
          <w:rFonts w:hint="eastAsia" w:eastAsia="仿宋_GB2312" w:cs="仿宋_GB2312"/>
          <w:sz w:val="32"/>
          <w:szCs w:val="32"/>
        </w:rPr>
        <w:t>深入实施深度贫困地区贫困劳动力技能培训全覆盖行动和技能脱贫千校行动，培训贫困劳动力</w:t>
      </w:r>
      <w:r>
        <w:rPr>
          <w:rFonts w:eastAsia="仿宋_GB2312"/>
          <w:sz w:val="32"/>
          <w:szCs w:val="32"/>
        </w:rPr>
        <w:t>20.5</w:t>
      </w:r>
      <w:r>
        <w:rPr>
          <w:rFonts w:hint="eastAsia" w:eastAsia="仿宋_GB2312" w:cs="仿宋_GB2312"/>
          <w:sz w:val="32"/>
          <w:szCs w:val="32"/>
        </w:rPr>
        <w:t>万人次。</w:t>
      </w:r>
    </w:p>
    <w:p>
      <w:pPr>
        <w:adjustRightInd w:val="0"/>
        <w:spacing w:line="608" w:lineRule="exact"/>
        <w:ind w:firstLine="640" w:firstLineChars="200"/>
        <w:rPr>
          <w:rFonts w:eastAsia="仿宋_GB2312"/>
          <w:sz w:val="32"/>
          <w:szCs w:val="32"/>
        </w:rPr>
      </w:pPr>
      <w:r>
        <w:rPr>
          <w:rFonts w:hint="eastAsia" w:eastAsia="楷体_GB2312" w:cs="楷体_GB2312"/>
          <w:color w:val="000000"/>
          <w:sz w:val="32"/>
          <w:szCs w:val="32"/>
        </w:rPr>
        <w:t>（七）推进川渝人社合作，助力成渝地区双城经济圈建设。</w:t>
      </w:r>
      <w:r>
        <w:rPr>
          <w:rFonts w:hint="eastAsia" w:eastAsia="仿宋_GB2312" w:cs="仿宋_GB2312"/>
          <w:sz w:val="32"/>
          <w:szCs w:val="32"/>
        </w:rPr>
        <w:t>签署川渝人社合作协议，制定年度重点任务清单，推动</w:t>
      </w:r>
      <w:r>
        <w:rPr>
          <w:rFonts w:eastAsia="仿宋_GB2312"/>
          <w:sz w:val="32"/>
          <w:szCs w:val="32"/>
        </w:rPr>
        <w:t>80</w:t>
      </w:r>
      <w:r>
        <w:rPr>
          <w:rFonts w:hint="eastAsia" w:eastAsia="仿宋_GB2312" w:cs="仿宋_GB2312"/>
          <w:sz w:val="32"/>
          <w:szCs w:val="32"/>
        </w:rPr>
        <w:t>项重点任务落实落地。聚焦高频人社公共服务事项，率先推进完成人社信息化“两地通”、招聘求职“一点通”、养老保险待遇资格“就地认”、流动人才档案办理“零跑路”、社保卡“就近办”五件大事。截止目前，全省共签署各类专项协议</w:t>
      </w:r>
      <w:r>
        <w:rPr>
          <w:rFonts w:eastAsia="仿宋_GB2312"/>
          <w:sz w:val="32"/>
          <w:szCs w:val="32"/>
        </w:rPr>
        <w:t>57</w:t>
      </w:r>
      <w:r>
        <w:rPr>
          <w:rFonts w:hint="eastAsia" w:eastAsia="仿宋_GB2312" w:cs="仿宋_GB2312"/>
          <w:sz w:val="32"/>
          <w:szCs w:val="32"/>
        </w:rPr>
        <w:t>个，联合举办大学生创业创新大赛</w:t>
      </w:r>
      <w:r>
        <w:rPr>
          <w:rFonts w:hint="eastAsia" w:eastAsia="仿宋_GB2312" w:cs="仿宋_GB2312"/>
          <w:color w:val="000000"/>
          <w:sz w:val="32"/>
          <w:szCs w:val="32"/>
        </w:rPr>
        <w:t>等活动</w:t>
      </w:r>
      <w:r>
        <w:rPr>
          <w:rFonts w:eastAsia="仿宋_GB2312"/>
          <w:color w:val="000000"/>
          <w:sz w:val="32"/>
          <w:szCs w:val="32"/>
        </w:rPr>
        <w:t>48</w:t>
      </w:r>
      <w:r>
        <w:rPr>
          <w:rFonts w:hint="eastAsia" w:eastAsia="仿宋_GB2312" w:cs="仿宋_GB2312"/>
          <w:color w:val="000000"/>
          <w:sz w:val="32"/>
          <w:szCs w:val="32"/>
        </w:rPr>
        <w:t>场，</w:t>
      </w:r>
      <w:r>
        <w:rPr>
          <w:rFonts w:hint="eastAsia" w:eastAsia="仿宋_GB2312" w:cs="仿宋_GB2312"/>
          <w:sz w:val="32"/>
          <w:szCs w:val="32"/>
        </w:rPr>
        <w:t>举办网络招聘</w:t>
      </w:r>
      <w:r>
        <w:rPr>
          <w:rFonts w:eastAsia="仿宋_GB2312"/>
          <w:sz w:val="32"/>
          <w:szCs w:val="32"/>
        </w:rPr>
        <w:t>24</w:t>
      </w:r>
      <w:r>
        <w:rPr>
          <w:rFonts w:hint="eastAsia" w:eastAsia="仿宋_GB2312" w:cs="仿宋_GB2312"/>
          <w:sz w:val="32"/>
          <w:szCs w:val="32"/>
        </w:rPr>
        <w:t>场，两地养老保险待遇领取资格互认互办共计</w:t>
      </w:r>
      <w:r>
        <w:rPr>
          <w:rFonts w:eastAsia="仿宋_GB2312"/>
          <w:sz w:val="32"/>
          <w:szCs w:val="32"/>
        </w:rPr>
        <w:t>3983</w:t>
      </w:r>
      <w:r>
        <w:rPr>
          <w:rFonts w:hint="eastAsia" w:eastAsia="仿宋_GB2312" w:cs="仿宋_GB2312"/>
          <w:sz w:val="32"/>
          <w:szCs w:val="32"/>
        </w:rPr>
        <w:t>人，办理流动人才档案共计</w:t>
      </w:r>
      <w:r>
        <w:rPr>
          <w:rFonts w:eastAsia="仿宋_GB2312"/>
          <w:sz w:val="32"/>
          <w:szCs w:val="32"/>
        </w:rPr>
        <w:t>8.7</w:t>
      </w:r>
      <w:r>
        <w:rPr>
          <w:rFonts w:hint="eastAsia" w:eastAsia="仿宋_GB2312" w:cs="仿宋_GB2312"/>
          <w:sz w:val="32"/>
          <w:szCs w:val="32"/>
        </w:rPr>
        <w:t>万人次。</w:t>
      </w:r>
    </w:p>
    <w:p>
      <w:pPr>
        <w:pStyle w:val="2"/>
        <w:spacing w:before="93"/>
        <w:rPr>
          <w:rFonts w:ascii="Times New Roman" w:cs="Times New Roman"/>
        </w:rPr>
      </w:pPr>
    </w:p>
    <w:p>
      <w:pPr>
        <w:widowControl/>
        <w:adjustRightInd w:val="0"/>
        <w:snapToGrid w:val="0"/>
        <w:spacing w:line="579" w:lineRule="exact"/>
        <w:ind w:firstLine="640" w:firstLineChars="200"/>
        <w:jc w:val="left"/>
        <w:rPr>
          <w:rStyle w:val="34"/>
          <w:rFonts w:hint="eastAsia" w:eastAsia="黑体"/>
          <w:b w:val="0"/>
          <w:bCs w:val="0"/>
          <w:lang w:eastAsia="zh-CN"/>
        </w:rPr>
      </w:pPr>
      <w:r>
        <w:rPr>
          <w:rStyle w:val="34"/>
          <w:rFonts w:hint="eastAsia" w:eastAsia="黑体"/>
          <w:b w:val="0"/>
          <w:bCs w:val="0"/>
          <w:lang w:eastAsia="zh-CN"/>
        </w:rPr>
        <w:t>三</w:t>
      </w:r>
      <w:r>
        <w:rPr>
          <w:rStyle w:val="34"/>
          <w:rFonts w:ascii="Times New Roman" w:hAnsi="Times New Roman" w:eastAsia="黑体"/>
          <w:b w:val="0"/>
          <w:bCs w:val="0"/>
        </w:rPr>
        <w:t>、</w:t>
      </w:r>
      <w:r>
        <w:rPr>
          <w:rStyle w:val="34"/>
          <w:rFonts w:hint="eastAsia" w:eastAsia="黑体"/>
          <w:b w:val="0"/>
          <w:bCs w:val="0"/>
          <w:lang w:eastAsia="zh-CN"/>
        </w:rPr>
        <w:t>机构设置情况</w:t>
      </w:r>
    </w:p>
    <w:p>
      <w:pPr>
        <w:pStyle w:val="2"/>
        <w:spacing w:before="93"/>
        <w:ind w:firstLine="640" w:firstLineChars="200"/>
        <w:rPr>
          <w:rFonts w:ascii="Times New Roman" w:cs="Times New Roman"/>
        </w:rPr>
        <w:sectPr>
          <w:footerReference r:id="rId8" w:type="default"/>
          <w:footerReference r:id="rId9" w:type="even"/>
          <w:type w:val="oddPage"/>
          <w:pgSz w:w="11906" w:h="16838"/>
          <w:pgMar w:top="1928" w:right="1418" w:bottom="1474" w:left="1418" w:header="851" w:footer="992" w:gutter="0"/>
          <w:pgNumType w:start="1"/>
          <w:cols w:space="425" w:num="1"/>
          <w:docGrid w:type="lines" w:linePitch="312" w:charSpace="0"/>
        </w:sectPr>
      </w:pPr>
      <w:r>
        <w:rPr>
          <w:rFonts w:eastAsia="仿宋_GB2312"/>
          <w:sz w:val="32"/>
          <w:szCs w:val="32"/>
        </w:rPr>
        <w:t>人力资源社会保障厅</w:t>
      </w:r>
      <w:r>
        <w:rPr>
          <w:rFonts w:hint="eastAsia" w:eastAsia="仿宋_GB2312"/>
          <w:sz w:val="32"/>
          <w:szCs w:val="32"/>
          <w:lang w:eastAsia="zh-CN"/>
        </w:rPr>
        <w:t>机关由</w:t>
      </w:r>
      <w:r>
        <w:rPr>
          <w:rFonts w:eastAsia="仿宋_GB2312"/>
          <w:sz w:val="32"/>
          <w:szCs w:val="32"/>
        </w:rPr>
        <w:t>23个内设</w:t>
      </w:r>
      <w:r>
        <w:rPr>
          <w:rFonts w:hint="eastAsia" w:eastAsia="仿宋_GB2312"/>
          <w:sz w:val="32"/>
          <w:szCs w:val="32"/>
          <w:lang w:eastAsia="zh-CN"/>
        </w:rPr>
        <w:t>处室</w:t>
      </w:r>
      <w:r>
        <w:rPr>
          <w:rFonts w:eastAsia="仿宋_GB2312"/>
          <w:sz w:val="32"/>
          <w:szCs w:val="32"/>
        </w:rPr>
        <w:t>（不含机关党委）</w:t>
      </w:r>
      <w:r>
        <w:rPr>
          <w:rFonts w:hint="eastAsia" w:eastAsia="仿宋_GB2312"/>
          <w:sz w:val="32"/>
          <w:szCs w:val="32"/>
          <w:lang w:eastAsia="zh-CN"/>
        </w:rPr>
        <w:t>组成，分别是：</w:t>
      </w:r>
      <w:r>
        <w:rPr>
          <w:rFonts w:hint="eastAsia" w:eastAsia="仿宋_GB2312"/>
          <w:sz w:val="32"/>
          <w:szCs w:val="32"/>
        </w:rPr>
        <w:t>办公室</w:t>
      </w:r>
      <w:r>
        <w:rPr>
          <w:rFonts w:hint="eastAsia" w:eastAsia="仿宋_GB2312"/>
          <w:sz w:val="32"/>
          <w:szCs w:val="32"/>
          <w:lang w:eastAsia="zh-CN"/>
        </w:rPr>
        <w:t>、</w:t>
      </w:r>
      <w:r>
        <w:rPr>
          <w:rFonts w:hint="eastAsia" w:eastAsia="仿宋_GB2312"/>
          <w:sz w:val="32"/>
          <w:szCs w:val="32"/>
        </w:rPr>
        <w:t>政策研究处</w:t>
      </w:r>
      <w:r>
        <w:rPr>
          <w:rFonts w:hint="eastAsia" w:eastAsia="仿宋_GB2312"/>
          <w:sz w:val="32"/>
          <w:szCs w:val="32"/>
          <w:lang w:eastAsia="zh-CN"/>
        </w:rPr>
        <w:t>、</w:t>
      </w:r>
      <w:r>
        <w:rPr>
          <w:rFonts w:hint="eastAsia" w:eastAsia="仿宋_GB2312"/>
          <w:sz w:val="32"/>
          <w:szCs w:val="32"/>
        </w:rPr>
        <w:t>法规处（行政审批处）</w:t>
      </w:r>
      <w:r>
        <w:rPr>
          <w:rFonts w:hint="eastAsia" w:eastAsia="仿宋_GB2312"/>
          <w:sz w:val="32"/>
          <w:szCs w:val="32"/>
          <w:lang w:eastAsia="zh-CN"/>
        </w:rPr>
        <w:t>、</w:t>
      </w:r>
      <w:r>
        <w:rPr>
          <w:rFonts w:hint="eastAsia" w:eastAsia="仿宋_GB2312"/>
          <w:sz w:val="32"/>
          <w:szCs w:val="32"/>
        </w:rPr>
        <w:t>规划财务处</w:t>
      </w:r>
      <w:r>
        <w:rPr>
          <w:rFonts w:hint="eastAsia" w:eastAsia="仿宋_GB2312"/>
          <w:sz w:val="32"/>
          <w:szCs w:val="32"/>
          <w:lang w:eastAsia="zh-CN"/>
        </w:rPr>
        <w:t>、</w:t>
      </w:r>
      <w:r>
        <w:rPr>
          <w:rFonts w:hint="eastAsia" w:eastAsia="仿宋_GB2312"/>
          <w:sz w:val="32"/>
          <w:szCs w:val="32"/>
        </w:rPr>
        <w:t>就业促进处</w:t>
      </w:r>
      <w:r>
        <w:rPr>
          <w:rFonts w:hint="eastAsia" w:eastAsia="仿宋_GB2312"/>
          <w:sz w:val="32"/>
          <w:szCs w:val="32"/>
          <w:lang w:eastAsia="zh-CN"/>
        </w:rPr>
        <w:t>、</w:t>
      </w:r>
      <w:r>
        <w:rPr>
          <w:rFonts w:hint="eastAsia" w:eastAsia="仿宋_GB2312"/>
          <w:sz w:val="32"/>
          <w:szCs w:val="32"/>
        </w:rPr>
        <w:t>人力资源流动管理处</w:t>
      </w:r>
      <w:r>
        <w:rPr>
          <w:rFonts w:hint="eastAsia" w:eastAsia="仿宋_GB2312"/>
          <w:sz w:val="32"/>
          <w:szCs w:val="32"/>
          <w:lang w:eastAsia="zh-CN"/>
        </w:rPr>
        <w:t>、</w:t>
      </w:r>
      <w:r>
        <w:rPr>
          <w:rFonts w:hint="eastAsia" w:eastAsia="仿宋_GB2312"/>
          <w:sz w:val="32"/>
          <w:szCs w:val="32"/>
        </w:rPr>
        <w:t xml:space="preserve">职业能力建设处 </w:t>
      </w:r>
      <w:r>
        <w:rPr>
          <w:rFonts w:hint="eastAsia" w:eastAsia="仿宋_GB2312"/>
          <w:sz w:val="32"/>
          <w:szCs w:val="32"/>
          <w:lang w:eastAsia="zh-CN"/>
        </w:rPr>
        <w:t>、</w:t>
      </w:r>
      <w:r>
        <w:rPr>
          <w:rFonts w:hint="eastAsia" w:eastAsia="仿宋_GB2312"/>
          <w:sz w:val="32"/>
          <w:szCs w:val="32"/>
        </w:rPr>
        <w:t>专业技术人员管理处</w:t>
      </w:r>
      <w:r>
        <w:rPr>
          <w:rFonts w:hint="eastAsia" w:eastAsia="仿宋_GB2312"/>
          <w:sz w:val="32"/>
          <w:szCs w:val="32"/>
          <w:lang w:eastAsia="zh-CN"/>
        </w:rPr>
        <w:t>、</w:t>
      </w:r>
      <w:r>
        <w:rPr>
          <w:rFonts w:hint="eastAsia" w:eastAsia="仿宋_GB2312"/>
          <w:sz w:val="32"/>
          <w:szCs w:val="32"/>
        </w:rPr>
        <w:t xml:space="preserve">事业单位人事管理处 </w:t>
      </w:r>
      <w:r>
        <w:rPr>
          <w:rFonts w:hint="eastAsia" w:eastAsia="仿宋_GB2312"/>
          <w:sz w:val="32"/>
          <w:szCs w:val="32"/>
          <w:lang w:eastAsia="zh-CN"/>
        </w:rPr>
        <w:t>、</w:t>
      </w:r>
      <w:r>
        <w:rPr>
          <w:rFonts w:hint="eastAsia" w:eastAsia="仿宋_GB2312"/>
          <w:sz w:val="32"/>
          <w:szCs w:val="32"/>
        </w:rPr>
        <w:t>农民工工作处</w:t>
      </w:r>
      <w:r>
        <w:rPr>
          <w:rFonts w:hint="eastAsia" w:eastAsia="仿宋_GB2312"/>
          <w:sz w:val="32"/>
          <w:szCs w:val="32"/>
          <w:lang w:eastAsia="zh-CN"/>
        </w:rPr>
        <w:t>、</w:t>
      </w:r>
      <w:r>
        <w:rPr>
          <w:rFonts w:hint="eastAsia" w:eastAsia="仿宋_GB2312"/>
          <w:sz w:val="32"/>
          <w:szCs w:val="32"/>
        </w:rPr>
        <w:t>劳动关系处</w:t>
      </w:r>
      <w:r>
        <w:rPr>
          <w:rFonts w:hint="eastAsia" w:eastAsia="仿宋_GB2312"/>
          <w:sz w:val="32"/>
          <w:szCs w:val="32"/>
          <w:lang w:eastAsia="zh-CN"/>
        </w:rPr>
        <w:t>、</w:t>
      </w:r>
      <w:r>
        <w:rPr>
          <w:rFonts w:hint="eastAsia" w:eastAsia="仿宋_GB2312"/>
          <w:sz w:val="32"/>
          <w:szCs w:val="32"/>
        </w:rPr>
        <w:t>工资福利处</w:t>
      </w:r>
      <w:r>
        <w:rPr>
          <w:rFonts w:hint="eastAsia" w:eastAsia="仿宋_GB2312"/>
          <w:sz w:val="32"/>
          <w:szCs w:val="32"/>
          <w:lang w:eastAsia="zh-CN"/>
        </w:rPr>
        <w:t>、</w:t>
      </w:r>
      <w:r>
        <w:rPr>
          <w:rFonts w:hint="eastAsia" w:eastAsia="仿宋_GB2312"/>
          <w:sz w:val="32"/>
          <w:szCs w:val="32"/>
        </w:rPr>
        <w:t>养老保险处</w:t>
      </w:r>
      <w:r>
        <w:rPr>
          <w:rFonts w:hint="eastAsia" w:eastAsia="仿宋_GB2312"/>
          <w:sz w:val="32"/>
          <w:szCs w:val="32"/>
          <w:lang w:eastAsia="zh-CN"/>
        </w:rPr>
        <w:t>、</w:t>
      </w:r>
      <w:r>
        <w:rPr>
          <w:rFonts w:hint="eastAsia" w:eastAsia="仿宋_GB2312"/>
          <w:sz w:val="32"/>
          <w:szCs w:val="32"/>
        </w:rPr>
        <w:t>失业保险处</w:t>
      </w:r>
      <w:r>
        <w:rPr>
          <w:rFonts w:hint="eastAsia" w:eastAsia="仿宋_GB2312"/>
          <w:sz w:val="32"/>
          <w:szCs w:val="32"/>
          <w:lang w:eastAsia="zh-CN"/>
        </w:rPr>
        <w:t>、</w:t>
      </w:r>
      <w:r>
        <w:rPr>
          <w:rFonts w:hint="eastAsia" w:eastAsia="仿宋_GB2312"/>
          <w:sz w:val="32"/>
          <w:szCs w:val="32"/>
        </w:rPr>
        <w:t>工伤保险处</w:t>
      </w:r>
      <w:r>
        <w:rPr>
          <w:rFonts w:hint="eastAsia" w:eastAsia="仿宋_GB2312"/>
          <w:sz w:val="32"/>
          <w:szCs w:val="32"/>
          <w:lang w:eastAsia="zh-CN"/>
        </w:rPr>
        <w:t>、</w:t>
      </w:r>
      <w:r>
        <w:rPr>
          <w:rFonts w:hint="eastAsia" w:eastAsia="仿宋_GB2312"/>
          <w:sz w:val="32"/>
          <w:szCs w:val="32"/>
        </w:rPr>
        <w:t>社保基金监管处（内审处）</w:t>
      </w:r>
      <w:r>
        <w:rPr>
          <w:rFonts w:hint="eastAsia" w:eastAsia="仿宋_GB2312"/>
          <w:sz w:val="32"/>
          <w:szCs w:val="32"/>
          <w:lang w:eastAsia="zh-CN"/>
        </w:rPr>
        <w:t>、</w:t>
      </w:r>
      <w:r>
        <w:rPr>
          <w:rFonts w:hint="eastAsia" w:eastAsia="仿宋_GB2312"/>
          <w:sz w:val="32"/>
          <w:szCs w:val="32"/>
        </w:rPr>
        <w:t>调解仲裁管理处</w:t>
      </w:r>
      <w:r>
        <w:rPr>
          <w:rFonts w:hint="eastAsia" w:eastAsia="仿宋_GB2312"/>
          <w:sz w:val="32"/>
          <w:szCs w:val="32"/>
          <w:lang w:eastAsia="zh-CN"/>
        </w:rPr>
        <w:t>、</w:t>
      </w:r>
      <w:r>
        <w:rPr>
          <w:rFonts w:hint="eastAsia" w:eastAsia="仿宋_GB2312"/>
          <w:sz w:val="32"/>
          <w:szCs w:val="32"/>
        </w:rPr>
        <w:t>劳动保障监察局</w:t>
      </w:r>
      <w:r>
        <w:rPr>
          <w:rFonts w:hint="eastAsia" w:eastAsia="仿宋_GB2312"/>
          <w:sz w:val="32"/>
          <w:szCs w:val="32"/>
          <w:lang w:eastAsia="zh-CN"/>
        </w:rPr>
        <w:t>、</w:t>
      </w:r>
      <w:r>
        <w:rPr>
          <w:rFonts w:hint="eastAsia" w:eastAsia="仿宋_GB2312"/>
          <w:sz w:val="32"/>
          <w:szCs w:val="32"/>
        </w:rPr>
        <w:t>表彰奖励任免处</w:t>
      </w:r>
      <w:r>
        <w:rPr>
          <w:rFonts w:hint="eastAsia" w:eastAsia="仿宋_GB2312"/>
          <w:sz w:val="32"/>
          <w:szCs w:val="32"/>
          <w:lang w:eastAsia="zh-CN"/>
        </w:rPr>
        <w:t>、</w:t>
      </w:r>
      <w:r>
        <w:rPr>
          <w:rFonts w:hint="eastAsia" w:eastAsia="仿宋_GB2312"/>
          <w:sz w:val="32"/>
          <w:szCs w:val="32"/>
        </w:rPr>
        <w:t>信访处</w:t>
      </w:r>
      <w:r>
        <w:rPr>
          <w:rFonts w:hint="eastAsia" w:eastAsia="仿宋_GB2312"/>
          <w:sz w:val="32"/>
          <w:szCs w:val="32"/>
          <w:lang w:eastAsia="zh-CN"/>
        </w:rPr>
        <w:t>、</w:t>
      </w:r>
      <w:r>
        <w:rPr>
          <w:rFonts w:hint="eastAsia" w:eastAsia="仿宋_GB2312"/>
          <w:sz w:val="32"/>
          <w:szCs w:val="32"/>
        </w:rPr>
        <w:t>信息化处</w:t>
      </w:r>
      <w:r>
        <w:rPr>
          <w:rFonts w:hint="eastAsia" w:eastAsia="仿宋_GB2312"/>
          <w:sz w:val="32"/>
          <w:szCs w:val="32"/>
          <w:lang w:eastAsia="zh-CN"/>
        </w:rPr>
        <w:t>、</w:t>
      </w:r>
      <w:r>
        <w:rPr>
          <w:rFonts w:hint="eastAsia" w:eastAsia="仿宋_GB2312"/>
          <w:sz w:val="32"/>
          <w:szCs w:val="32"/>
        </w:rPr>
        <w:t>人事处</w:t>
      </w:r>
      <w:r>
        <w:rPr>
          <w:rFonts w:hint="eastAsia" w:eastAsia="仿宋_GB2312"/>
          <w:sz w:val="32"/>
          <w:szCs w:val="32"/>
          <w:lang w:eastAsia="zh-CN"/>
        </w:rPr>
        <w:t>、</w:t>
      </w:r>
      <w:r>
        <w:rPr>
          <w:rFonts w:hint="eastAsia" w:eastAsia="仿宋_GB2312"/>
          <w:sz w:val="32"/>
          <w:szCs w:val="32"/>
        </w:rPr>
        <w:t>离退休人员工作处</w:t>
      </w:r>
      <w:r>
        <w:rPr>
          <w:rFonts w:hint="eastAsia" w:eastAsia="仿宋_GB2312"/>
          <w:sz w:val="32"/>
          <w:szCs w:val="32"/>
          <w:lang w:eastAsia="zh-CN"/>
        </w:rPr>
        <w:t>。</w:t>
      </w:r>
    </w:p>
    <w:p>
      <w:pPr>
        <w:spacing w:line="500" w:lineRule="exact"/>
      </w:pPr>
    </w:p>
    <w:p>
      <w:pPr>
        <w:pStyle w:val="3"/>
        <w:keepNext w:val="0"/>
        <w:keepLines w:val="0"/>
        <w:adjustRightInd w:val="0"/>
        <w:snapToGrid w:val="0"/>
        <w:spacing w:before="0" w:after="0" w:line="640" w:lineRule="exact"/>
        <w:jc w:val="center"/>
        <w:rPr>
          <w:rStyle w:val="17"/>
          <w:rFonts w:eastAsia="方正小标宋_GBK"/>
          <w:b w:val="0"/>
          <w:bCs w:val="0"/>
        </w:rPr>
      </w:pPr>
      <w:bookmarkStart w:id="41" w:name="_Toc81380037"/>
      <w:bookmarkStart w:id="42" w:name="_Toc15377204"/>
      <w:bookmarkStart w:id="43" w:name="_Toc15396602"/>
      <w:r>
        <w:rPr>
          <w:rStyle w:val="17"/>
          <w:rFonts w:hint="eastAsia" w:eastAsia="方正小标宋_GBK" w:cs="方正小标宋_GBK"/>
          <w:b w:val="0"/>
          <w:bCs w:val="0"/>
        </w:rPr>
        <w:t>第二部分</w:t>
      </w:r>
      <w:r>
        <w:rPr>
          <w:rStyle w:val="17"/>
          <w:rFonts w:eastAsia="方正小标宋_GBK"/>
          <w:b w:val="0"/>
          <w:bCs w:val="0"/>
        </w:rPr>
        <w:t xml:space="preserve"> 2020</w:t>
      </w:r>
      <w:r>
        <w:rPr>
          <w:rStyle w:val="17"/>
          <w:rFonts w:hint="eastAsia" w:eastAsia="方正小标宋_GBK" w:cs="方正小标宋_GBK"/>
          <w:b w:val="0"/>
          <w:bCs w:val="0"/>
        </w:rPr>
        <w:t>年度单位决算情况说明</w:t>
      </w:r>
      <w:bookmarkEnd w:id="41"/>
    </w:p>
    <w:p>
      <w:pPr>
        <w:spacing w:line="500" w:lineRule="exact"/>
      </w:pPr>
    </w:p>
    <w:bookmarkEnd w:id="42"/>
    <w:bookmarkEnd w:id="43"/>
    <w:p>
      <w:pPr>
        <w:pStyle w:val="28"/>
        <w:spacing w:line="600" w:lineRule="exact"/>
        <w:ind w:firstLine="31680"/>
        <w:outlineLvl w:val="1"/>
        <w:rPr>
          <w:rStyle w:val="18"/>
          <w:rFonts w:ascii="Times New Roman" w:hAnsi="Times New Roman" w:eastAsia="黑体" w:cs="Times New Roman"/>
          <w:b w:val="0"/>
          <w:bCs w:val="0"/>
        </w:rPr>
      </w:pPr>
      <w:bookmarkStart w:id="44" w:name="_Toc81293313"/>
      <w:bookmarkStart w:id="45" w:name="_Toc15377205"/>
      <w:bookmarkStart w:id="46" w:name="_Toc15396603"/>
      <w:bookmarkStart w:id="47" w:name="_Toc81380038"/>
      <w:bookmarkStart w:id="48" w:name="_Toc81293492"/>
      <w:r>
        <w:rPr>
          <w:rFonts w:hint="eastAsia" w:eastAsia="黑体" w:cs="黑体"/>
          <w:sz w:val="32"/>
          <w:szCs w:val="32"/>
        </w:rPr>
        <w:t>一、收</w:t>
      </w:r>
      <w:r>
        <w:rPr>
          <w:rStyle w:val="18"/>
          <w:rFonts w:hint="eastAsia" w:ascii="Times New Roman" w:hAnsi="Times New Roman" w:eastAsia="黑体" w:cs="黑体"/>
          <w:b w:val="0"/>
          <w:bCs w:val="0"/>
        </w:rPr>
        <w:t>入支出决算总体情况说明</w:t>
      </w:r>
      <w:bookmarkEnd w:id="44"/>
      <w:bookmarkEnd w:id="45"/>
      <w:bookmarkEnd w:id="46"/>
      <w:bookmarkEnd w:id="47"/>
      <w:bookmarkEnd w:id="48"/>
    </w:p>
    <w:p>
      <w:pPr>
        <w:spacing w:line="600"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年度收、支总计</w:t>
      </w:r>
      <w:r>
        <w:rPr>
          <w:rFonts w:eastAsia="仿宋_GB2312"/>
          <w:sz w:val="32"/>
          <w:szCs w:val="32"/>
        </w:rPr>
        <w:t>8962.17</w:t>
      </w:r>
      <w:r>
        <w:rPr>
          <w:rFonts w:hint="eastAsia" w:eastAsia="仿宋_GB2312" w:cs="仿宋_GB2312"/>
          <w:sz w:val="32"/>
          <w:szCs w:val="32"/>
        </w:rPr>
        <w:t>万元。与</w:t>
      </w:r>
      <w:r>
        <w:rPr>
          <w:rFonts w:eastAsia="仿宋_GB2312"/>
          <w:sz w:val="32"/>
          <w:szCs w:val="32"/>
        </w:rPr>
        <w:t>2019</w:t>
      </w:r>
      <w:r>
        <w:rPr>
          <w:rFonts w:hint="eastAsia" w:eastAsia="仿宋_GB2312" w:cs="仿宋_GB2312"/>
          <w:sz w:val="32"/>
          <w:szCs w:val="32"/>
        </w:rPr>
        <w:t>年相比，收、支总计各增加</w:t>
      </w:r>
      <w:r>
        <w:rPr>
          <w:rFonts w:eastAsia="仿宋_GB2312"/>
          <w:sz w:val="32"/>
          <w:szCs w:val="32"/>
        </w:rPr>
        <w:t>696.69</w:t>
      </w:r>
      <w:r>
        <w:rPr>
          <w:rFonts w:hint="eastAsia" w:eastAsia="仿宋_GB2312" w:cs="仿宋_GB2312"/>
          <w:sz w:val="32"/>
          <w:szCs w:val="32"/>
        </w:rPr>
        <w:t>万元，增长</w:t>
      </w:r>
      <w:r>
        <w:rPr>
          <w:rFonts w:eastAsia="仿宋_GB2312"/>
          <w:sz w:val="32"/>
          <w:szCs w:val="32"/>
        </w:rPr>
        <w:t>8.43%</w:t>
      </w:r>
      <w:r>
        <w:rPr>
          <w:rFonts w:hint="eastAsia" w:eastAsia="仿宋_GB2312" w:cs="仿宋_GB2312"/>
          <w:sz w:val="32"/>
          <w:szCs w:val="32"/>
        </w:rPr>
        <w:t>。主要变动原因是：一是追加了返乡下乡创业明星奖励经费；二是追加了全省抗击新冠肺炎疫情和防汛救灾表彰奖励及大会相关经费。</w:t>
      </w:r>
    </w:p>
    <w:p>
      <w:pPr>
        <w:pStyle w:val="2"/>
        <w:spacing w:before="93"/>
        <w:rPr>
          <w:rFonts w:ascii="Times New Roman" w:cs="Times New Roman"/>
        </w:rPr>
      </w:pPr>
    </w:p>
    <w:p>
      <w:pPr>
        <w:spacing w:line="600" w:lineRule="exact"/>
        <w:ind w:firstLine="525" w:firstLineChars="250"/>
        <w:jc w:val="center"/>
        <w:rPr>
          <w:rFonts w:eastAsia="仿宋_GB2312"/>
          <w:sz w:val="32"/>
          <w:szCs w:val="32"/>
        </w:rPr>
      </w:pPr>
      <w:r>
        <w:pict>
          <v:shape id="_x0000_s1026" o:spid="_x0000_s1026" o:spt="75" alt="olechartimg_1629963298553584_158462976" type="#_x0000_t75" style="position:absolute;left:0pt;margin-left:71pt;margin-top:29.75pt;height:228.75pt;width:273pt;z-index:251660288;mso-width-relative:page;mso-height-relative:page;" o:ole="t" filled="f" o:preferrelative="t" stroked="f" coordsize="21600,21600">
            <v:path/>
            <v:fill on="f" focussize="0,0"/>
            <v:stroke on="f" joinstyle="miter"/>
            <v:imagedata r:id="rId16" o:title=""/>
            <o:lock v:ext="edit" aspectratio="t"/>
          </v:shape>
          <o:OLEObject Type="Embed" ProgID="Excel.Sheet.8" ShapeID="_x0000_s1026" DrawAspect="Content" ObjectID="_1468075725" r:id="rId15">
            <o:LockedField>false</o:LockedField>
          </o:OLEObject>
        </w:pict>
      </w:r>
      <w:r>
        <w:rPr>
          <w:rFonts w:hint="eastAsia" w:eastAsia="仿宋_GB2312" w:cs="仿宋_GB2312"/>
          <w:sz w:val="32"/>
          <w:szCs w:val="32"/>
        </w:rPr>
        <w:t>（图</w:t>
      </w:r>
      <w:r>
        <w:rPr>
          <w:rFonts w:eastAsia="仿宋_GB2312"/>
          <w:sz w:val="32"/>
          <w:szCs w:val="32"/>
        </w:rPr>
        <w:t>1</w:t>
      </w:r>
      <w:r>
        <w:rPr>
          <w:rFonts w:hint="eastAsia" w:eastAsia="仿宋_GB2312" w:cs="仿宋_GB2312"/>
          <w:sz w:val="32"/>
          <w:szCs w:val="32"/>
        </w:rPr>
        <w:t>：收、支决算总计变动情况图）（单位：万元）</w:t>
      </w:r>
    </w:p>
    <w:p>
      <w:pPr>
        <w:spacing w:line="600" w:lineRule="exact"/>
        <w:ind w:left="640"/>
        <w:rPr>
          <w:rFonts w:eastAsia="仿宋_GB2312"/>
          <w:sz w:val="32"/>
          <w:szCs w:val="32"/>
        </w:rPr>
      </w:pPr>
    </w:p>
    <w:p>
      <w:pPr>
        <w:spacing w:line="600" w:lineRule="exact"/>
        <w:ind w:left="640"/>
        <w:rPr>
          <w:rFonts w:eastAsia="仿宋_GB2312"/>
          <w:sz w:val="32"/>
          <w:szCs w:val="32"/>
        </w:rPr>
      </w:pPr>
    </w:p>
    <w:p>
      <w:pPr>
        <w:pStyle w:val="2"/>
        <w:spacing w:before="93"/>
        <w:ind w:left="640"/>
        <w:rPr>
          <w:rFonts w:ascii="Times New Roman" w:cs="Times New Roman"/>
          <w:sz w:val="32"/>
          <w:szCs w:val="32"/>
        </w:rPr>
      </w:pPr>
    </w:p>
    <w:p>
      <w:pPr>
        <w:pStyle w:val="2"/>
        <w:spacing w:before="93"/>
        <w:ind w:left="640"/>
        <w:rPr>
          <w:rFonts w:ascii="Times New Roman" w:cs="Times New Roman"/>
          <w:sz w:val="32"/>
          <w:szCs w:val="32"/>
        </w:rPr>
      </w:pPr>
    </w:p>
    <w:p>
      <w:pPr>
        <w:pStyle w:val="2"/>
        <w:spacing w:before="93"/>
        <w:ind w:left="640"/>
        <w:rPr>
          <w:rFonts w:ascii="Times New Roman" w:cs="Times New Roman"/>
          <w:sz w:val="32"/>
          <w:szCs w:val="32"/>
        </w:rPr>
      </w:pPr>
    </w:p>
    <w:p>
      <w:pPr>
        <w:pStyle w:val="2"/>
        <w:spacing w:before="93"/>
        <w:ind w:left="640"/>
        <w:rPr>
          <w:rFonts w:ascii="Times New Roman" w:cs="Times New Roman"/>
          <w:sz w:val="32"/>
          <w:szCs w:val="32"/>
        </w:rPr>
      </w:pPr>
    </w:p>
    <w:p>
      <w:pPr>
        <w:pStyle w:val="28"/>
        <w:spacing w:line="600" w:lineRule="exact"/>
        <w:ind w:firstLine="31680"/>
        <w:outlineLvl w:val="1"/>
        <w:rPr>
          <w:rFonts w:eastAsia="仿宋_GB2312"/>
          <w:kern w:val="0"/>
          <w:sz w:val="32"/>
          <w:szCs w:val="32"/>
        </w:rPr>
      </w:pPr>
    </w:p>
    <w:p>
      <w:pPr>
        <w:pStyle w:val="28"/>
        <w:spacing w:line="600" w:lineRule="exact"/>
        <w:ind w:firstLine="31680"/>
        <w:outlineLvl w:val="1"/>
        <w:rPr>
          <w:rStyle w:val="18"/>
          <w:rFonts w:ascii="Times New Roman" w:hAnsi="Times New Roman" w:eastAsia="黑体" w:cs="Times New Roman"/>
          <w:b w:val="0"/>
          <w:bCs w:val="0"/>
        </w:rPr>
      </w:pPr>
      <w:bookmarkStart w:id="49" w:name="_Toc81380039"/>
      <w:bookmarkStart w:id="50" w:name="_Toc81293314"/>
      <w:bookmarkStart w:id="51" w:name="_Toc81293493"/>
      <w:r>
        <w:rPr>
          <w:rFonts w:hint="eastAsia" w:eastAsia="黑体" w:cs="黑体"/>
          <w:sz w:val="32"/>
          <w:szCs w:val="32"/>
        </w:rPr>
        <w:t>二、收</w:t>
      </w:r>
      <w:r>
        <w:rPr>
          <w:rStyle w:val="18"/>
          <w:rFonts w:hint="eastAsia" w:ascii="Times New Roman" w:hAnsi="Times New Roman" w:eastAsia="黑体" w:cs="黑体"/>
          <w:b w:val="0"/>
          <w:bCs w:val="0"/>
        </w:rPr>
        <w:t>入决算情况说明</w:t>
      </w:r>
      <w:bookmarkEnd w:id="27"/>
      <w:bookmarkEnd w:id="28"/>
      <w:bookmarkEnd w:id="49"/>
      <w:bookmarkEnd w:id="50"/>
      <w:bookmarkEnd w:id="51"/>
    </w:p>
    <w:p>
      <w:pPr>
        <w:spacing w:line="600" w:lineRule="exact"/>
        <w:ind w:firstLine="640" w:firstLineChars="200"/>
        <w:outlineLvl w:val="1"/>
        <w:rPr>
          <w:rFonts w:eastAsia="仿宋_GB2312"/>
          <w:sz w:val="32"/>
          <w:szCs w:val="32"/>
        </w:rPr>
      </w:pPr>
      <w:bookmarkStart w:id="52" w:name="_Toc81293315"/>
      <w:bookmarkStart w:id="53" w:name="_Toc81380040"/>
      <w:bookmarkStart w:id="54" w:name="_Toc81293494"/>
      <w:r>
        <w:rPr>
          <w:rFonts w:eastAsia="仿宋_GB2312"/>
          <w:sz w:val="32"/>
          <w:szCs w:val="32"/>
        </w:rPr>
        <w:t>2020</w:t>
      </w:r>
      <w:r>
        <w:rPr>
          <w:rFonts w:hint="eastAsia" w:eastAsia="仿宋_GB2312" w:cs="仿宋_GB2312"/>
          <w:sz w:val="32"/>
          <w:szCs w:val="32"/>
        </w:rPr>
        <w:t>年本年收入合计</w:t>
      </w:r>
      <w:r>
        <w:rPr>
          <w:rFonts w:eastAsia="仿宋_GB2312"/>
          <w:sz w:val="32"/>
          <w:szCs w:val="32"/>
        </w:rPr>
        <w:t>8662.17</w:t>
      </w:r>
      <w:r>
        <w:rPr>
          <w:rFonts w:hint="eastAsia" w:eastAsia="仿宋_GB2312" w:cs="仿宋_GB2312"/>
          <w:sz w:val="32"/>
          <w:szCs w:val="32"/>
        </w:rPr>
        <w:t>万元，其中：一般公共预算财政拨款收入</w:t>
      </w:r>
      <w:r>
        <w:rPr>
          <w:rFonts w:eastAsia="仿宋_GB2312"/>
          <w:sz w:val="32"/>
          <w:szCs w:val="32"/>
        </w:rPr>
        <w:t>8662.17</w:t>
      </w:r>
      <w:r>
        <w:rPr>
          <w:rFonts w:hint="eastAsia" w:eastAsia="仿宋_GB2312" w:cs="仿宋_GB2312"/>
          <w:sz w:val="32"/>
          <w:szCs w:val="32"/>
        </w:rPr>
        <w:t>万元，占</w:t>
      </w:r>
      <w:r>
        <w:rPr>
          <w:rFonts w:eastAsia="仿宋_GB2312"/>
          <w:sz w:val="32"/>
          <w:szCs w:val="32"/>
        </w:rPr>
        <w:t>100%</w:t>
      </w:r>
      <w:r>
        <w:rPr>
          <w:rFonts w:hint="eastAsia" w:eastAsia="仿宋_GB2312" w:cs="仿宋_GB2312"/>
          <w:sz w:val="32"/>
          <w:szCs w:val="32"/>
        </w:rPr>
        <w:t>。</w:t>
      </w:r>
      <w:bookmarkEnd w:id="52"/>
      <w:bookmarkEnd w:id="53"/>
      <w:bookmarkEnd w:id="54"/>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pStyle w:val="2"/>
        <w:spacing w:before="93"/>
        <w:rPr>
          <w:rFonts w:ascii="Times New Roman" w:cs="Times New Roman"/>
        </w:rPr>
      </w:pPr>
    </w:p>
    <w:p>
      <w:pPr>
        <w:spacing w:line="600" w:lineRule="exact"/>
        <w:ind w:firstLine="1280" w:firstLineChars="400"/>
        <w:rPr>
          <w:rFonts w:eastAsia="仿宋_GB2312"/>
          <w:sz w:val="32"/>
          <w:szCs w:val="32"/>
        </w:rPr>
      </w:pPr>
      <w:r>
        <w:rPr>
          <w:rFonts w:hint="eastAsia" w:eastAsia="仿宋_GB2312" w:cs="仿宋_GB2312"/>
          <w:sz w:val="32"/>
          <w:szCs w:val="32"/>
        </w:rPr>
        <w:t>（图</w:t>
      </w:r>
      <w:r>
        <w:rPr>
          <w:rFonts w:eastAsia="仿宋_GB2312"/>
          <w:sz w:val="32"/>
          <w:szCs w:val="32"/>
        </w:rPr>
        <w:t>2</w:t>
      </w:r>
      <w:r>
        <w:rPr>
          <w:rFonts w:hint="eastAsia" w:eastAsia="仿宋_GB2312" w:cs="仿宋_GB2312"/>
          <w:sz w:val="32"/>
          <w:szCs w:val="32"/>
        </w:rPr>
        <w:t>：收入决算结构图）</w:t>
      </w:r>
    </w:p>
    <w:p>
      <w:pPr>
        <w:spacing w:line="600" w:lineRule="exact"/>
        <w:ind w:firstLine="420" w:firstLineChars="200"/>
        <w:rPr>
          <w:rFonts w:eastAsia="仿宋_GB2312"/>
          <w:sz w:val="32"/>
          <w:szCs w:val="32"/>
        </w:rPr>
      </w:pPr>
      <w:r>
        <w:pict>
          <v:shape id="_x0000_s1027" o:spid="_x0000_s1027" o:spt="75" type="#_x0000_t75" style="position:absolute;left:0pt;margin-left:53.25pt;margin-top:-0.1pt;height:185.05pt;width:308.05pt;z-index:251657216;mso-width-relative:page;mso-height-relative:page;" o:ole="t" filled="f" o:preferrelative="t" stroked="f" coordsize="21600,21600">
            <v:path/>
            <v:fill on="f" focussize="0,0"/>
            <v:stroke on="f" joinstyle="miter"/>
            <v:imagedata r:id="rId18" cropbottom="6679f" o:title=""/>
            <o:lock v:ext="edit" aspectratio="t"/>
          </v:shape>
          <o:OLEObject Type="Embed" ProgID="Excel.Sheet.8" ShapeID="_x0000_s1027" DrawAspect="Content" ObjectID="_1468075726" r:id="rId17">
            <o:LockedField>false</o:LockedField>
          </o:OLEObject>
        </w:pict>
      </w:r>
    </w:p>
    <w:p>
      <w:pPr>
        <w:spacing w:line="600" w:lineRule="exact"/>
        <w:ind w:firstLine="640" w:firstLineChars="200"/>
        <w:rPr>
          <w:rFonts w:eastAsia="仿宋_GB2312"/>
          <w:sz w:val="32"/>
          <w:szCs w:val="32"/>
        </w:rPr>
      </w:pPr>
    </w:p>
    <w:p>
      <w:pPr>
        <w:pStyle w:val="2"/>
        <w:spacing w:before="93"/>
        <w:rPr>
          <w:rFonts w:ascii="Times New Roman" w:cs="Times New Roman"/>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pStyle w:val="28"/>
        <w:spacing w:line="600" w:lineRule="exact"/>
        <w:ind w:left="31680" w:hanging="640" w:hangingChars="200"/>
        <w:outlineLvl w:val="1"/>
        <w:rPr>
          <w:rFonts w:eastAsia="黑体"/>
          <w:sz w:val="32"/>
          <w:szCs w:val="32"/>
        </w:rPr>
      </w:pPr>
      <w:bookmarkStart w:id="55" w:name="_Toc81293316"/>
      <w:bookmarkStart w:id="56" w:name="_Toc15377207"/>
      <w:bookmarkStart w:id="57" w:name="_Toc15396605"/>
      <w:bookmarkStart w:id="58" w:name="_Toc81293495"/>
    </w:p>
    <w:p>
      <w:pPr>
        <w:pStyle w:val="28"/>
        <w:spacing w:line="600" w:lineRule="exact"/>
        <w:ind w:left="31680" w:hanging="640" w:hangingChars="200"/>
        <w:outlineLvl w:val="1"/>
        <w:rPr>
          <w:rFonts w:eastAsia="黑体"/>
          <w:sz w:val="32"/>
          <w:szCs w:val="32"/>
        </w:rPr>
      </w:pPr>
    </w:p>
    <w:p>
      <w:pPr>
        <w:spacing w:line="600" w:lineRule="exact"/>
        <w:ind w:firstLine="640" w:firstLineChars="200"/>
        <w:outlineLvl w:val="1"/>
      </w:pPr>
      <w:bookmarkStart w:id="59" w:name="_Toc81380041"/>
      <w:r>
        <w:rPr>
          <w:rFonts w:hint="eastAsia" w:eastAsia="黑体" w:cs="黑体"/>
          <w:sz w:val="32"/>
          <w:szCs w:val="32"/>
        </w:rPr>
        <w:t>三、支出决算情况说明</w:t>
      </w:r>
      <w:bookmarkEnd w:id="55"/>
      <w:bookmarkEnd w:id="56"/>
      <w:bookmarkEnd w:id="57"/>
      <w:bookmarkEnd w:id="58"/>
      <w:bookmarkEnd w:id="59"/>
    </w:p>
    <w:p>
      <w:pPr>
        <w:spacing w:line="600" w:lineRule="exact"/>
        <w:ind w:firstLine="640" w:firstLineChars="200"/>
        <w:outlineLvl w:val="1"/>
        <w:rPr>
          <w:rFonts w:eastAsia="仿宋_GB2312"/>
          <w:sz w:val="32"/>
          <w:szCs w:val="32"/>
        </w:rPr>
      </w:pPr>
      <w:bookmarkStart w:id="60" w:name="_Toc81293317"/>
      <w:bookmarkStart w:id="61" w:name="_Toc81293496"/>
      <w:bookmarkStart w:id="62" w:name="_Toc81380042"/>
      <w:r>
        <w:rPr>
          <w:rFonts w:eastAsia="仿宋_GB2312"/>
          <w:sz w:val="32"/>
          <w:szCs w:val="32"/>
        </w:rPr>
        <w:t>2020</w:t>
      </w:r>
      <w:r>
        <w:rPr>
          <w:rFonts w:hint="eastAsia" w:eastAsia="仿宋_GB2312" w:cs="仿宋_GB2312"/>
          <w:sz w:val="32"/>
          <w:szCs w:val="32"/>
        </w:rPr>
        <w:t>年本年支出合计</w:t>
      </w:r>
      <w:r>
        <w:rPr>
          <w:rFonts w:eastAsia="仿宋_GB2312"/>
          <w:sz w:val="32"/>
          <w:szCs w:val="32"/>
        </w:rPr>
        <w:t>8662.17</w:t>
      </w:r>
      <w:r>
        <w:rPr>
          <w:rFonts w:hint="eastAsia" w:eastAsia="仿宋_GB2312" w:cs="仿宋_GB2312"/>
          <w:sz w:val="32"/>
          <w:szCs w:val="32"/>
        </w:rPr>
        <w:t>万元，其中：基本支出</w:t>
      </w:r>
      <w:r>
        <w:rPr>
          <w:rFonts w:eastAsia="仿宋_GB2312"/>
          <w:sz w:val="32"/>
          <w:szCs w:val="32"/>
        </w:rPr>
        <w:t>5242.82</w:t>
      </w:r>
      <w:r>
        <w:rPr>
          <w:rFonts w:hint="eastAsia" w:eastAsia="仿宋_GB2312" w:cs="仿宋_GB2312"/>
          <w:sz w:val="32"/>
          <w:szCs w:val="32"/>
        </w:rPr>
        <w:t>万元，占</w:t>
      </w:r>
      <w:r>
        <w:rPr>
          <w:rFonts w:eastAsia="仿宋_GB2312"/>
          <w:sz w:val="32"/>
          <w:szCs w:val="32"/>
        </w:rPr>
        <w:t>60.53%</w:t>
      </w:r>
      <w:r>
        <w:rPr>
          <w:rFonts w:hint="eastAsia" w:eastAsia="仿宋_GB2312" w:cs="仿宋_GB2312"/>
          <w:sz w:val="32"/>
          <w:szCs w:val="32"/>
        </w:rPr>
        <w:t>；项目支出</w:t>
      </w:r>
      <w:r>
        <w:rPr>
          <w:rFonts w:eastAsia="仿宋_GB2312"/>
          <w:sz w:val="32"/>
          <w:szCs w:val="32"/>
        </w:rPr>
        <w:t>3419.35</w:t>
      </w:r>
      <w:r>
        <w:rPr>
          <w:rFonts w:hint="eastAsia" w:eastAsia="仿宋_GB2312" w:cs="仿宋_GB2312"/>
          <w:sz w:val="32"/>
          <w:szCs w:val="32"/>
        </w:rPr>
        <w:t>万元，占</w:t>
      </w:r>
      <w:r>
        <w:rPr>
          <w:rFonts w:eastAsia="仿宋_GB2312"/>
          <w:sz w:val="32"/>
          <w:szCs w:val="32"/>
        </w:rPr>
        <w:t>39.47%</w:t>
      </w:r>
      <w:r>
        <w:rPr>
          <w:rFonts w:hint="eastAsia" w:eastAsia="仿宋_GB2312" w:cs="仿宋_GB2312"/>
          <w:sz w:val="32"/>
          <w:szCs w:val="32"/>
        </w:rPr>
        <w:t>。</w:t>
      </w:r>
      <w:bookmarkEnd w:id="60"/>
      <w:bookmarkEnd w:id="61"/>
      <w:bookmarkEnd w:id="62"/>
    </w:p>
    <w:p>
      <w:pPr>
        <w:spacing w:line="600" w:lineRule="exact"/>
        <w:ind w:firstLine="640" w:firstLineChars="200"/>
        <w:rPr>
          <w:rFonts w:eastAsia="仿宋_GB2312"/>
          <w:sz w:val="32"/>
          <w:szCs w:val="32"/>
        </w:rPr>
      </w:pPr>
      <w:r>
        <w:rPr>
          <w:rFonts w:hint="eastAsia" w:eastAsia="仿宋_GB2312" w:cs="仿宋_GB2312"/>
          <w:sz w:val="32"/>
          <w:szCs w:val="32"/>
        </w:rPr>
        <w:t>（图</w:t>
      </w:r>
      <w:r>
        <w:rPr>
          <w:rFonts w:eastAsia="仿宋_GB2312"/>
          <w:sz w:val="32"/>
          <w:szCs w:val="32"/>
        </w:rPr>
        <w:t>3</w:t>
      </w:r>
      <w:r>
        <w:rPr>
          <w:rFonts w:hint="eastAsia" w:eastAsia="仿宋_GB2312" w:cs="仿宋_GB2312"/>
          <w:sz w:val="32"/>
          <w:szCs w:val="32"/>
        </w:rPr>
        <w:t>：支出决算结构图）</w:t>
      </w:r>
    </w:p>
    <w:p>
      <w:pPr>
        <w:pStyle w:val="2"/>
        <w:spacing w:before="93"/>
        <w:jc w:val="center"/>
        <w:rPr>
          <w:rFonts w:ascii="Times New Roman" w:cs="Times New Roman"/>
          <w:sz w:val="32"/>
          <w:szCs w:val="32"/>
        </w:rPr>
      </w:pPr>
      <w:bookmarkStart w:id="63" w:name="OLE_LINK2"/>
      <w:bookmarkStart w:id="64" w:name="OLE_LINK1"/>
      <w:r>
        <w:rPr>
          <w:rFonts w:ascii="Times New Roman" w:cs="Times New Roman"/>
        </w:rPr>
        <w:object>
          <v:shape id="_x0000_i1025" o:spt="75" alt="olechartimg_1629963988489858_158462976" type="#_x0000_t75" style="height:210.75pt;width:366.75pt;" o:ole="t" filled="f" o:preferrelative="t" stroked="f" coordsize="21600,21600">
            <v:path/>
            <v:fill on="f" focussize="0,0"/>
            <v:stroke on="f" joinstyle="miter"/>
            <v:imagedata r:id="rId20" cropbottom="6775f" o:title=""/>
            <o:lock v:ext="edit" aspectratio="t"/>
            <w10:wrap type="none"/>
            <w10:anchorlock/>
          </v:shape>
          <o:OLEObject Type="Embed" ProgID="Excel.Sheet.8" ShapeID="_x0000_i1025" DrawAspect="Content" ObjectID="_1468075727" r:id="rId19">
            <o:LockedField>false</o:LockedField>
          </o:OLEObject>
        </w:object>
      </w:r>
      <w:bookmarkEnd w:id="63"/>
      <w:bookmarkEnd w:id="64"/>
    </w:p>
    <w:p>
      <w:pPr>
        <w:spacing w:line="600" w:lineRule="exact"/>
        <w:ind w:firstLine="640" w:firstLineChars="200"/>
        <w:outlineLvl w:val="1"/>
        <w:rPr>
          <w:rStyle w:val="18"/>
          <w:rFonts w:ascii="Times New Roman" w:hAnsi="Times New Roman" w:eastAsia="黑体" w:cs="Times New Roman"/>
          <w:b w:val="0"/>
          <w:bCs w:val="0"/>
        </w:rPr>
      </w:pPr>
      <w:bookmarkStart w:id="65" w:name="_Toc81293318"/>
      <w:bookmarkStart w:id="66" w:name="_Toc81293497"/>
      <w:bookmarkStart w:id="67" w:name="_Toc81380043"/>
      <w:bookmarkStart w:id="68" w:name="_Toc15396606"/>
      <w:bookmarkStart w:id="69" w:name="_Toc15377208"/>
      <w:r>
        <w:rPr>
          <w:rFonts w:hint="eastAsia" w:eastAsia="黑体" w:cs="黑体"/>
          <w:sz w:val="32"/>
          <w:szCs w:val="32"/>
        </w:rPr>
        <w:t>四、财</w:t>
      </w:r>
      <w:r>
        <w:rPr>
          <w:rStyle w:val="18"/>
          <w:rFonts w:hint="eastAsia" w:ascii="Times New Roman" w:hAnsi="Times New Roman" w:eastAsia="黑体" w:cs="黑体"/>
          <w:b w:val="0"/>
          <w:bCs w:val="0"/>
        </w:rPr>
        <w:t>政拨款收入支出决算总体情况说明</w:t>
      </w:r>
      <w:bookmarkEnd w:id="65"/>
      <w:bookmarkEnd w:id="66"/>
      <w:bookmarkEnd w:id="67"/>
      <w:bookmarkEnd w:id="68"/>
      <w:bookmarkEnd w:id="69"/>
    </w:p>
    <w:p>
      <w:pPr>
        <w:spacing w:line="600"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年财政拨款收、支总计</w:t>
      </w:r>
      <w:r>
        <w:rPr>
          <w:rFonts w:eastAsia="仿宋_GB2312"/>
          <w:sz w:val="32"/>
          <w:szCs w:val="32"/>
        </w:rPr>
        <w:t>8761.09</w:t>
      </w:r>
      <w:r>
        <w:rPr>
          <w:rFonts w:hint="eastAsia" w:eastAsia="仿宋_GB2312" w:cs="仿宋_GB2312"/>
          <w:sz w:val="32"/>
          <w:szCs w:val="32"/>
        </w:rPr>
        <w:t>万元。与</w:t>
      </w:r>
      <w:r>
        <w:rPr>
          <w:rFonts w:eastAsia="仿宋_GB2312"/>
          <w:sz w:val="32"/>
          <w:szCs w:val="32"/>
        </w:rPr>
        <w:t>2019</w:t>
      </w:r>
      <w:r>
        <w:rPr>
          <w:rFonts w:hint="eastAsia" w:eastAsia="仿宋_GB2312" w:cs="仿宋_GB2312"/>
          <w:sz w:val="32"/>
          <w:szCs w:val="32"/>
        </w:rPr>
        <w:t>年相比，财政拨款收、支总计各增加</w:t>
      </w:r>
      <w:r>
        <w:rPr>
          <w:rFonts w:eastAsia="仿宋_GB2312"/>
          <w:sz w:val="32"/>
          <w:szCs w:val="32"/>
        </w:rPr>
        <w:t>696.69</w:t>
      </w:r>
      <w:r>
        <w:rPr>
          <w:rFonts w:hint="eastAsia" w:eastAsia="仿宋_GB2312" w:cs="仿宋_GB2312"/>
          <w:sz w:val="32"/>
          <w:szCs w:val="32"/>
        </w:rPr>
        <w:t>万元，增长</w:t>
      </w:r>
      <w:r>
        <w:rPr>
          <w:rFonts w:eastAsia="仿宋_GB2312"/>
          <w:sz w:val="32"/>
          <w:szCs w:val="32"/>
        </w:rPr>
        <w:t>8.64%</w:t>
      </w:r>
      <w:r>
        <w:rPr>
          <w:rFonts w:hint="eastAsia" w:eastAsia="仿宋_GB2312" w:cs="仿宋_GB2312"/>
          <w:sz w:val="32"/>
          <w:szCs w:val="32"/>
        </w:rPr>
        <w:t>。主要变动原因是：一是追加了返乡下乡创业明星奖励经费；二是追加了全省抗击新冠肺炎疫情和防汛救灾表彰奖励及大会相关经费。</w:t>
      </w:r>
    </w:p>
    <w:p>
      <w:pPr>
        <w:spacing w:line="600" w:lineRule="exact"/>
        <w:ind w:firstLine="640" w:firstLineChars="200"/>
        <w:rPr>
          <w:rFonts w:eastAsia="仿宋_GB2312"/>
          <w:sz w:val="32"/>
          <w:szCs w:val="32"/>
        </w:rPr>
      </w:pPr>
      <w:r>
        <w:rPr>
          <w:rFonts w:hint="eastAsia" w:eastAsia="仿宋_GB2312" w:cs="仿宋_GB2312"/>
          <w:sz w:val="32"/>
          <w:szCs w:val="32"/>
        </w:rPr>
        <w:t>（图</w:t>
      </w:r>
      <w:r>
        <w:rPr>
          <w:rFonts w:eastAsia="仿宋_GB2312"/>
          <w:sz w:val="32"/>
          <w:szCs w:val="32"/>
        </w:rPr>
        <w:t>4</w:t>
      </w:r>
      <w:r>
        <w:rPr>
          <w:rFonts w:hint="eastAsia" w:eastAsia="仿宋_GB2312" w:cs="仿宋_GB2312"/>
          <w:sz w:val="32"/>
          <w:szCs w:val="32"/>
        </w:rPr>
        <w:t>：</w:t>
      </w:r>
      <w:r>
        <w:rPr>
          <w:rFonts w:hint="eastAsia" w:eastAsia="仿宋" w:cs="仿宋"/>
          <w:sz w:val="32"/>
          <w:szCs w:val="32"/>
        </w:rPr>
        <w:t>财政拨款收、支决算总计变动情况</w:t>
      </w:r>
      <w:r>
        <w:rPr>
          <w:rFonts w:hint="eastAsia" w:eastAsia="仿宋_GB2312" w:cs="仿宋_GB2312"/>
          <w:sz w:val="32"/>
          <w:szCs w:val="32"/>
        </w:rPr>
        <w:t>）（单位：万元）</w:t>
      </w:r>
    </w:p>
    <w:p>
      <w:pPr>
        <w:spacing w:line="600" w:lineRule="exact"/>
        <w:rPr>
          <w:rFonts w:eastAsia="仿宋_GB2312"/>
          <w:sz w:val="32"/>
          <w:szCs w:val="32"/>
        </w:rPr>
      </w:pPr>
      <w:r>
        <w:pict>
          <v:shape id="_x0000_s1028" o:spid="_x0000_s1028" o:spt="75" alt="olechartimg_1629964275655579_158462976" type="#_x0000_t75" style="position:absolute;left:0pt;margin-left:63pt;margin-top:5.45pt;height:232.5pt;width:279.75pt;z-index:251655168;mso-width-relative:page;mso-height-relative:page;" o:ole="t" filled="f" o:preferrelative="t" stroked="f" coordsize="21600,21600">
            <v:path/>
            <v:fill on="f" focussize="0,0"/>
            <v:stroke on="f" joinstyle="miter"/>
            <v:imagedata r:id="rId22" o:title=""/>
            <o:lock v:ext="edit" aspectratio="t"/>
          </v:shape>
          <o:OLEObject Type="Embed" ProgID="Excel.Sheet.8" ShapeID="_x0000_s1028" DrawAspect="Content" ObjectID="_1468075728" r:id="rId21">
            <o:LockedField>false</o:LockedField>
          </o:OLEObject>
        </w:pict>
      </w:r>
    </w:p>
    <w:p>
      <w:pPr>
        <w:pStyle w:val="2"/>
        <w:spacing w:before="93"/>
        <w:rPr>
          <w:rFonts w:ascii="Times New Roman" w:cs="Times New Roman"/>
          <w:sz w:val="32"/>
          <w:szCs w:val="32"/>
        </w:rPr>
      </w:pPr>
    </w:p>
    <w:p>
      <w:pPr>
        <w:pStyle w:val="2"/>
        <w:spacing w:before="93"/>
        <w:rPr>
          <w:rFonts w:ascii="Times New Roman" w:cs="Times New Roman"/>
          <w:sz w:val="32"/>
          <w:szCs w:val="32"/>
        </w:rPr>
      </w:pPr>
    </w:p>
    <w:p>
      <w:pPr>
        <w:pStyle w:val="2"/>
        <w:spacing w:before="93"/>
        <w:rPr>
          <w:rFonts w:ascii="Times New Roman" w:cs="Times New Roman"/>
          <w:sz w:val="32"/>
          <w:szCs w:val="32"/>
        </w:rPr>
      </w:pPr>
    </w:p>
    <w:p>
      <w:pPr>
        <w:pStyle w:val="2"/>
        <w:spacing w:before="93"/>
        <w:rPr>
          <w:rFonts w:ascii="Times New Roman" w:cs="Times New Roman"/>
          <w:sz w:val="32"/>
          <w:szCs w:val="32"/>
        </w:rPr>
      </w:pPr>
    </w:p>
    <w:p>
      <w:pPr>
        <w:pStyle w:val="2"/>
        <w:spacing w:before="93"/>
        <w:rPr>
          <w:rFonts w:ascii="Times New Roman" w:cs="Times New Roman"/>
          <w:sz w:val="32"/>
          <w:szCs w:val="32"/>
        </w:rPr>
      </w:pPr>
    </w:p>
    <w:p>
      <w:pPr>
        <w:spacing w:line="600" w:lineRule="exact"/>
        <w:rPr>
          <w:rFonts w:eastAsia="仿宋_GB2312"/>
          <w:b/>
          <w:bCs/>
          <w:sz w:val="32"/>
          <w:szCs w:val="32"/>
        </w:rPr>
      </w:pPr>
    </w:p>
    <w:p>
      <w:pPr>
        <w:spacing w:line="600" w:lineRule="exact"/>
        <w:ind w:firstLine="640" w:firstLineChars="200"/>
        <w:outlineLvl w:val="1"/>
        <w:rPr>
          <w:rFonts w:eastAsia="仿宋_GB2312"/>
          <w:sz w:val="32"/>
          <w:szCs w:val="32"/>
        </w:rPr>
      </w:pPr>
      <w:bookmarkStart w:id="70" w:name="_Toc15396607"/>
      <w:bookmarkStart w:id="71" w:name="_Toc15377209"/>
    </w:p>
    <w:p>
      <w:pPr>
        <w:spacing w:line="600" w:lineRule="exact"/>
        <w:ind w:firstLine="640" w:firstLineChars="200"/>
        <w:outlineLvl w:val="1"/>
        <w:rPr>
          <w:rStyle w:val="18"/>
          <w:rFonts w:ascii="Times New Roman" w:hAnsi="Times New Roman" w:eastAsia="黑体" w:cs="Times New Roman"/>
          <w:b w:val="0"/>
          <w:bCs w:val="0"/>
        </w:rPr>
      </w:pPr>
      <w:bookmarkStart w:id="72" w:name="_Toc81380044"/>
      <w:bookmarkStart w:id="73" w:name="_Toc81293498"/>
      <w:bookmarkStart w:id="74" w:name="_Toc81293319"/>
      <w:r>
        <w:rPr>
          <w:rFonts w:hint="eastAsia" w:eastAsia="黑体" w:cs="黑体"/>
          <w:sz w:val="32"/>
          <w:szCs w:val="32"/>
        </w:rPr>
        <w:t>五、</w:t>
      </w:r>
      <w:r>
        <w:rPr>
          <w:rFonts w:hint="eastAsia" w:eastAsia="黑体" w:cs="黑体"/>
          <w:b/>
          <w:bCs/>
          <w:sz w:val="32"/>
          <w:szCs w:val="32"/>
        </w:rPr>
        <w:t>一</w:t>
      </w:r>
      <w:r>
        <w:rPr>
          <w:rStyle w:val="18"/>
          <w:rFonts w:hint="eastAsia" w:ascii="Times New Roman" w:hAnsi="Times New Roman" w:eastAsia="黑体" w:cs="黑体"/>
          <w:b w:val="0"/>
          <w:bCs w:val="0"/>
        </w:rPr>
        <w:t>般公共预算财政拨款支出决算情况说明</w:t>
      </w:r>
      <w:bookmarkEnd w:id="70"/>
      <w:bookmarkEnd w:id="71"/>
      <w:bookmarkEnd w:id="72"/>
      <w:bookmarkEnd w:id="73"/>
      <w:bookmarkEnd w:id="74"/>
    </w:p>
    <w:p>
      <w:pPr>
        <w:spacing w:line="600" w:lineRule="exact"/>
        <w:ind w:firstLine="640" w:firstLineChars="200"/>
        <w:outlineLvl w:val="2"/>
        <w:rPr>
          <w:rFonts w:eastAsia="楷体_GB2312"/>
          <w:sz w:val="32"/>
          <w:szCs w:val="32"/>
        </w:rPr>
      </w:pPr>
      <w:bookmarkStart w:id="75" w:name="_Toc81293499"/>
      <w:bookmarkStart w:id="76" w:name="_Toc81293320"/>
      <w:bookmarkStart w:id="77" w:name="_Toc15377210"/>
      <w:bookmarkStart w:id="78" w:name="_Toc81380045"/>
      <w:r>
        <w:rPr>
          <w:rFonts w:hint="eastAsia" w:eastAsia="楷体_GB2312" w:cs="楷体_GB2312"/>
          <w:sz w:val="32"/>
          <w:szCs w:val="32"/>
        </w:rPr>
        <w:t>（一）一般公共预算财政拨款支出决算总体情况</w:t>
      </w:r>
      <w:bookmarkEnd w:id="75"/>
      <w:bookmarkEnd w:id="76"/>
      <w:bookmarkEnd w:id="77"/>
      <w:bookmarkEnd w:id="78"/>
    </w:p>
    <w:p>
      <w:pPr>
        <w:spacing w:line="600"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年一般公共预算财政拨款支出</w:t>
      </w:r>
      <w:r>
        <w:rPr>
          <w:rFonts w:eastAsia="仿宋_GB2312"/>
          <w:sz w:val="32"/>
          <w:szCs w:val="32"/>
        </w:rPr>
        <w:t>8662.17</w:t>
      </w:r>
      <w:r>
        <w:rPr>
          <w:rFonts w:hint="eastAsia" w:eastAsia="仿宋_GB2312" w:cs="仿宋_GB2312"/>
          <w:sz w:val="32"/>
          <w:szCs w:val="32"/>
        </w:rPr>
        <w:t>万元，占本年支出合计的</w:t>
      </w:r>
      <w:r>
        <w:rPr>
          <w:rFonts w:eastAsia="仿宋_GB2312"/>
          <w:sz w:val="32"/>
          <w:szCs w:val="32"/>
        </w:rPr>
        <w:t>100%</w:t>
      </w:r>
      <w:r>
        <w:rPr>
          <w:rFonts w:hint="eastAsia" w:eastAsia="仿宋_GB2312" w:cs="仿宋_GB2312"/>
          <w:sz w:val="32"/>
          <w:szCs w:val="32"/>
        </w:rPr>
        <w:t>。与</w:t>
      </w:r>
      <w:r>
        <w:rPr>
          <w:rFonts w:eastAsia="仿宋_GB2312"/>
          <w:sz w:val="32"/>
          <w:szCs w:val="32"/>
        </w:rPr>
        <w:t>2019</w:t>
      </w:r>
      <w:r>
        <w:rPr>
          <w:rFonts w:hint="eastAsia" w:eastAsia="仿宋_GB2312" w:cs="仿宋_GB2312"/>
          <w:sz w:val="32"/>
          <w:szCs w:val="32"/>
        </w:rPr>
        <w:t>年相比，一般公共预算财政拨款增加</w:t>
      </w:r>
      <w:r>
        <w:rPr>
          <w:rFonts w:eastAsia="仿宋_GB2312"/>
          <w:sz w:val="32"/>
          <w:szCs w:val="32"/>
        </w:rPr>
        <w:t>696.69</w:t>
      </w:r>
      <w:r>
        <w:rPr>
          <w:rFonts w:hint="eastAsia" w:eastAsia="仿宋_GB2312" w:cs="仿宋_GB2312"/>
          <w:sz w:val="32"/>
          <w:szCs w:val="32"/>
        </w:rPr>
        <w:t>万元，增长</w:t>
      </w:r>
      <w:r>
        <w:rPr>
          <w:rFonts w:eastAsia="仿宋_GB2312"/>
          <w:sz w:val="32"/>
          <w:szCs w:val="32"/>
        </w:rPr>
        <w:t>8.75%</w:t>
      </w:r>
      <w:r>
        <w:rPr>
          <w:rFonts w:hint="eastAsia" w:eastAsia="仿宋_GB2312" w:cs="仿宋_GB2312"/>
          <w:sz w:val="32"/>
          <w:szCs w:val="32"/>
        </w:rPr>
        <w:t>。主要变动原因是：一是增加了返乡下乡创业明星奖励经费项目支出；二是增加了全省抗击新冠肺炎疫情和防汛救灾表彰奖励及大会相关经费支出。</w:t>
      </w:r>
    </w:p>
    <w:p>
      <w:pPr>
        <w:spacing w:line="600" w:lineRule="exact"/>
        <w:rPr>
          <w:rFonts w:eastAsia="仿宋_GB2312"/>
          <w:sz w:val="32"/>
          <w:szCs w:val="32"/>
        </w:rPr>
      </w:pPr>
    </w:p>
    <w:p>
      <w:pPr>
        <w:spacing w:line="600" w:lineRule="exact"/>
        <w:rPr>
          <w:rFonts w:eastAsia="仿宋_GB2312"/>
          <w:sz w:val="32"/>
          <w:szCs w:val="32"/>
        </w:rPr>
      </w:pPr>
      <w:r>
        <w:rPr>
          <w:rFonts w:hint="eastAsia" w:eastAsia="仿宋_GB2312" w:cs="仿宋_GB2312"/>
          <w:sz w:val="32"/>
          <w:szCs w:val="32"/>
        </w:rPr>
        <w:t>（图</w:t>
      </w:r>
      <w:r>
        <w:rPr>
          <w:rFonts w:eastAsia="仿宋_GB2312"/>
          <w:sz w:val="32"/>
          <w:szCs w:val="32"/>
        </w:rPr>
        <w:t>5</w:t>
      </w:r>
      <w:r>
        <w:rPr>
          <w:rFonts w:hint="eastAsia" w:eastAsia="仿宋_GB2312" w:cs="仿宋_GB2312"/>
          <w:sz w:val="32"/>
          <w:szCs w:val="32"/>
        </w:rPr>
        <w:t>：</w:t>
      </w:r>
      <w:r>
        <w:rPr>
          <w:rFonts w:hint="eastAsia" w:eastAsia="仿宋" w:cs="仿宋"/>
          <w:sz w:val="32"/>
          <w:szCs w:val="32"/>
        </w:rPr>
        <w:t>一般公共预算财政拨款支出决算变动情况</w:t>
      </w:r>
      <w:r>
        <w:rPr>
          <w:rFonts w:hint="eastAsia" w:eastAsia="仿宋_GB2312" w:cs="仿宋_GB2312"/>
          <w:sz w:val="32"/>
          <w:szCs w:val="32"/>
        </w:rPr>
        <w:t>）（单位：万元）</w:t>
      </w:r>
    </w:p>
    <w:p>
      <w:pPr>
        <w:spacing w:line="600" w:lineRule="exact"/>
        <w:ind w:firstLine="420" w:firstLineChars="200"/>
        <w:rPr>
          <w:rFonts w:eastAsia="仿宋_GB2312"/>
          <w:sz w:val="32"/>
          <w:szCs w:val="32"/>
        </w:rPr>
      </w:pPr>
      <w:r>
        <w:pict>
          <v:shape id="_x0000_s1029" o:spid="_x0000_s1029" o:spt="75" type="#_x0000_t75" style="position:absolute;left:0pt;margin-left:65.25pt;margin-top:14.8pt;height:225pt;width:273.75pt;z-index:251658240;mso-width-relative:page;mso-height-relative:page;" o:ole="t" filled="f" o:preferrelative="t" stroked="f" coordsize="21600,21600">
            <v:path/>
            <v:fill on="f" focussize="0,0"/>
            <v:stroke on="f" joinstyle="miter"/>
            <v:imagedata r:id="rId24" cropleft="7907f" croptop="1403f" cropright="8711f" cropbottom="4008f" o:title=""/>
            <o:lock v:ext="edit" aspectratio="t"/>
          </v:shape>
          <o:OLEObject Type="Embed" ProgID="Excel.Sheet.8" ShapeID="_x0000_s1029" DrawAspect="Content" ObjectID="_1468075729" r:id="rId23">
            <o:LockedField>false</o:LockedField>
          </o:OLEObject>
        </w:pic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pStyle w:val="2"/>
        <w:spacing w:before="93"/>
        <w:rPr>
          <w:rFonts w:ascii="Times New Roman" w:cs="Times New Roman"/>
          <w:sz w:val="32"/>
          <w:szCs w:val="32"/>
        </w:rPr>
      </w:pPr>
    </w:p>
    <w:p>
      <w:pPr>
        <w:spacing w:line="600" w:lineRule="exact"/>
        <w:ind w:firstLine="642" w:firstLineChars="200"/>
        <w:outlineLvl w:val="2"/>
        <w:rPr>
          <w:rFonts w:eastAsia="仿宋_GB2312"/>
          <w:b/>
          <w:bCs/>
          <w:sz w:val="32"/>
          <w:szCs w:val="32"/>
        </w:rPr>
      </w:pPr>
      <w:bookmarkStart w:id="79" w:name="_Toc15377211"/>
    </w:p>
    <w:p>
      <w:pPr>
        <w:pStyle w:val="2"/>
        <w:spacing w:before="93"/>
        <w:rPr>
          <w:rFonts w:ascii="Times New Roman" w:cs="Times New Roman"/>
        </w:rPr>
      </w:pPr>
    </w:p>
    <w:p>
      <w:pPr>
        <w:spacing w:line="600" w:lineRule="exact"/>
        <w:ind w:firstLine="640" w:firstLineChars="200"/>
        <w:outlineLvl w:val="2"/>
        <w:rPr>
          <w:rFonts w:eastAsia="楷体_GB2312"/>
          <w:sz w:val="32"/>
          <w:szCs w:val="32"/>
        </w:rPr>
      </w:pPr>
      <w:bookmarkStart w:id="80" w:name="_Toc81380046"/>
      <w:bookmarkStart w:id="81" w:name="_Toc81293500"/>
      <w:bookmarkStart w:id="82" w:name="_Toc81293321"/>
      <w:r>
        <w:rPr>
          <w:rFonts w:hint="eastAsia" w:eastAsia="楷体_GB2312" w:cs="楷体_GB2312"/>
          <w:sz w:val="32"/>
          <w:szCs w:val="32"/>
        </w:rPr>
        <w:t>（二）一般公共预算财政拨款支出决算结构情况</w:t>
      </w:r>
      <w:bookmarkEnd w:id="79"/>
      <w:bookmarkEnd w:id="80"/>
      <w:bookmarkEnd w:id="81"/>
      <w:bookmarkEnd w:id="82"/>
    </w:p>
    <w:p>
      <w:pPr>
        <w:spacing w:line="600" w:lineRule="exact"/>
        <w:ind w:firstLine="640"/>
        <w:rPr>
          <w:rFonts w:eastAsia="仿宋_GB2312"/>
          <w:sz w:val="32"/>
          <w:szCs w:val="32"/>
        </w:rPr>
      </w:pPr>
      <w:r>
        <w:rPr>
          <w:rFonts w:eastAsia="仿宋_GB2312"/>
          <w:sz w:val="32"/>
          <w:szCs w:val="32"/>
        </w:rPr>
        <w:t>2020</w:t>
      </w:r>
      <w:r>
        <w:rPr>
          <w:rFonts w:hint="eastAsia" w:eastAsia="仿宋_GB2312" w:cs="仿宋_GB2312"/>
          <w:sz w:val="32"/>
          <w:szCs w:val="32"/>
        </w:rPr>
        <w:t>年一般公共预算财政拨款支出</w:t>
      </w:r>
      <w:r>
        <w:rPr>
          <w:rFonts w:eastAsia="仿宋_GB2312"/>
          <w:sz w:val="32"/>
          <w:szCs w:val="32"/>
        </w:rPr>
        <w:t>8662.17</w:t>
      </w:r>
      <w:r>
        <w:rPr>
          <w:rFonts w:hint="eastAsia" w:eastAsia="仿宋_GB2312" w:cs="仿宋_GB2312"/>
          <w:sz w:val="32"/>
          <w:szCs w:val="32"/>
        </w:rPr>
        <w:t>万元，主要用于以下方面</w:t>
      </w:r>
      <w:r>
        <w:rPr>
          <w:rFonts w:eastAsia="仿宋_GB2312"/>
          <w:sz w:val="32"/>
          <w:szCs w:val="32"/>
        </w:rPr>
        <w:t>:</w:t>
      </w:r>
      <w:r>
        <w:rPr>
          <w:rFonts w:hint="eastAsia" w:eastAsia="仿宋_GB2312" w:cs="仿宋_GB2312"/>
          <w:b/>
          <w:bCs/>
          <w:sz w:val="32"/>
          <w:szCs w:val="32"/>
        </w:rPr>
        <w:t>一般公共服务（类）</w:t>
      </w:r>
      <w:r>
        <w:rPr>
          <w:rFonts w:hint="eastAsia" w:eastAsia="仿宋_GB2312" w:cs="仿宋_GB2312"/>
          <w:sz w:val="32"/>
          <w:szCs w:val="32"/>
        </w:rPr>
        <w:t>支出</w:t>
      </w:r>
      <w:r>
        <w:rPr>
          <w:rFonts w:eastAsia="仿宋_GB2312"/>
          <w:sz w:val="32"/>
          <w:szCs w:val="32"/>
        </w:rPr>
        <w:t>11.92</w:t>
      </w:r>
      <w:r>
        <w:rPr>
          <w:rFonts w:hint="eastAsia" w:eastAsia="仿宋_GB2312" w:cs="仿宋_GB2312"/>
          <w:sz w:val="32"/>
          <w:szCs w:val="32"/>
        </w:rPr>
        <w:t>万元，占</w:t>
      </w:r>
      <w:r>
        <w:rPr>
          <w:rFonts w:eastAsia="仿宋_GB2312"/>
          <w:sz w:val="32"/>
          <w:szCs w:val="32"/>
        </w:rPr>
        <w:t>0.138%</w:t>
      </w:r>
      <w:r>
        <w:rPr>
          <w:rFonts w:hint="eastAsia" w:eastAsia="仿宋_GB2312" w:cs="仿宋_GB2312"/>
          <w:sz w:val="32"/>
          <w:szCs w:val="32"/>
        </w:rPr>
        <w:t>；</w:t>
      </w:r>
      <w:r>
        <w:rPr>
          <w:rFonts w:hint="eastAsia" w:eastAsia="仿宋_GB2312" w:cs="仿宋_GB2312"/>
          <w:b/>
          <w:bCs/>
          <w:sz w:val="32"/>
          <w:szCs w:val="32"/>
        </w:rPr>
        <w:t>教育（类）</w:t>
      </w:r>
      <w:r>
        <w:rPr>
          <w:rFonts w:hint="eastAsia" w:eastAsia="仿宋_GB2312" w:cs="仿宋_GB2312"/>
          <w:sz w:val="32"/>
          <w:szCs w:val="32"/>
        </w:rPr>
        <w:t>支出</w:t>
      </w:r>
      <w:r>
        <w:rPr>
          <w:rFonts w:eastAsia="仿宋_GB2312"/>
          <w:sz w:val="32"/>
          <w:szCs w:val="32"/>
        </w:rPr>
        <w:t>99.28</w:t>
      </w:r>
      <w:r>
        <w:rPr>
          <w:rFonts w:hint="eastAsia" w:eastAsia="仿宋_GB2312" w:cs="仿宋_GB2312"/>
          <w:sz w:val="32"/>
          <w:szCs w:val="32"/>
        </w:rPr>
        <w:t>万元，占</w:t>
      </w:r>
      <w:r>
        <w:rPr>
          <w:rFonts w:eastAsia="仿宋_GB2312"/>
          <w:sz w:val="32"/>
          <w:szCs w:val="32"/>
        </w:rPr>
        <w:t>1.146%</w:t>
      </w:r>
      <w:r>
        <w:rPr>
          <w:rFonts w:hint="eastAsia" w:eastAsia="仿宋_GB2312" w:cs="仿宋_GB2312"/>
          <w:sz w:val="32"/>
          <w:szCs w:val="32"/>
        </w:rPr>
        <w:t>；</w:t>
      </w:r>
      <w:r>
        <w:rPr>
          <w:rFonts w:hint="eastAsia" w:eastAsia="仿宋_GB2312" w:cs="仿宋_GB2312"/>
          <w:b/>
          <w:bCs/>
          <w:sz w:val="32"/>
          <w:szCs w:val="32"/>
        </w:rPr>
        <w:t>社会保障和就业（类）</w:t>
      </w:r>
      <w:r>
        <w:rPr>
          <w:rFonts w:hint="eastAsia" w:eastAsia="仿宋_GB2312" w:cs="仿宋_GB2312"/>
          <w:sz w:val="32"/>
          <w:szCs w:val="32"/>
        </w:rPr>
        <w:t>支出</w:t>
      </w:r>
      <w:r>
        <w:rPr>
          <w:rFonts w:eastAsia="仿宋_GB2312"/>
          <w:sz w:val="32"/>
          <w:szCs w:val="32"/>
        </w:rPr>
        <w:t>7784.39</w:t>
      </w:r>
      <w:r>
        <w:rPr>
          <w:rFonts w:hint="eastAsia" w:eastAsia="仿宋_GB2312" w:cs="仿宋_GB2312"/>
          <w:sz w:val="32"/>
          <w:szCs w:val="32"/>
        </w:rPr>
        <w:t>万元，占</w:t>
      </w:r>
      <w:r>
        <w:rPr>
          <w:rFonts w:eastAsia="仿宋_GB2312"/>
          <w:sz w:val="32"/>
          <w:szCs w:val="32"/>
        </w:rPr>
        <w:t>89.867%</w:t>
      </w:r>
      <w:r>
        <w:rPr>
          <w:rFonts w:hint="eastAsia" w:eastAsia="仿宋_GB2312" w:cs="仿宋_GB2312"/>
          <w:sz w:val="32"/>
          <w:szCs w:val="32"/>
        </w:rPr>
        <w:t>；</w:t>
      </w:r>
      <w:r>
        <w:rPr>
          <w:rFonts w:hint="eastAsia" w:eastAsia="仿宋_GB2312" w:cs="仿宋_GB2312"/>
          <w:b/>
          <w:bCs/>
          <w:sz w:val="32"/>
          <w:szCs w:val="32"/>
        </w:rPr>
        <w:t>卫生健康（类）</w:t>
      </w:r>
      <w:r>
        <w:rPr>
          <w:rFonts w:hint="eastAsia" w:eastAsia="仿宋_GB2312" w:cs="仿宋_GB2312"/>
          <w:sz w:val="32"/>
          <w:szCs w:val="32"/>
        </w:rPr>
        <w:t>支出</w:t>
      </w:r>
      <w:r>
        <w:rPr>
          <w:rFonts w:eastAsia="仿宋_GB2312"/>
          <w:sz w:val="32"/>
          <w:szCs w:val="32"/>
        </w:rPr>
        <w:t>286.2</w:t>
      </w:r>
      <w:r>
        <w:rPr>
          <w:rFonts w:hint="eastAsia" w:eastAsia="仿宋_GB2312" w:cs="仿宋_GB2312"/>
          <w:sz w:val="32"/>
          <w:szCs w:val="32"/>
        </w:rPr>
        <w:t>万元，占</w:t>
      </w:r>
      <w:r>
        <w:rPr>
          <w:rFonts w:eastAsia="仿宋_GB2312"/>
          <w:sz w:val="32"/>
          <w:szCs w:val="32"/>
        </w:rPr>
        <w:t>3.304%</w:t>
      </w:r>
      <w:r>
        <w:rPr>
          <w:rFonts w:hint="eastAsia" w:eastAsia="仿宋_GB2312" w:cs="仿宋_GB2312"/>
          <w:sz w:val="32"/>
          <w:szCs w:val="32"/>
        </w:rPr>
        <w:t>；</w:t>
      </w:r>
      <w:r>
        <w:rPr>
          <w:rFonts w:hint="eastAsia" w:eastAsia="仿宋_GB2312" w:cs="仿宋_GB2312"/>
          <w:b/>
          <w:bCs/>
          <w:sz w:val="32"/>
          <w:szCs w:val="32"/>
        </w:rPr>
        <w:t>住房保障（类）</w:t>
      </w:r>
      <w:r>
        <w:rPr>
          <w:rFonts w:hint="eastAsia" w:eastAsia="仿宋_GB2312" w:cs="仿宋_GB2312"/>
          <w:sz w:val="32"/>
          <w:szCs w:val="32"/>
        </w:rPr>
        <w:t>支出</w:t>
      </w:r>
      <w:r>
        <w:rPr>
          <w:rFonts w:eastAsia="仿宋_GB2312"/>
          <w:sz w:val="32"/>
          <w:szCs w:val="32"/>
        </w:rPr>
        <w:t>475.08</w:t>
      </w:r>
      <w:r>
        <w:rPr>
          <w:rFonts w:hint="eastAsia" w:eastAsia="仿宋_GB2312" w:cs="仿宋_GB2312"/>
          <w:sz w:val="32"/>
          <w:szCs w:val="32"/>
        </w:rPr>
        <w:t>万元，占</w:t>
      </w:r>
      <w:r>
        <w:rPr>
          <w:rFonts w:eastAsia="仿宋_GB2312"/>
          <w:sz w:val="32"/>
          <w:szCs w:val="32"/>
        </w:rPr>
        <w:t>5.484%</w:t>
      </w:r>
      <w:r>
        <w:rPr>
          <w:rFonts w:hint="eastAsia" w:eastAsia="仿宋_GB2312" w:cs="仿宋_GB2312"/>
          <w:sz w:val="32"/>
          <w:szCs w:val="32"/>
        </w:rPr>
        <w:t>；</w:t>
      </w:r>
      <w:r>
        <w:rPr>
          <w:rFonts w:hint="eastAsia" w:eastAsia="仿宋_GB2312" w:cs="仿宋_GB2312"/>
          <w:b/>
          <w:bCs/>
          <w:sz w:val="32"/>
          <w:szCs w:val="32"/>
        </w:rPr>
        <w:t>灾害防治及应急管理（类）</w:t>
      </w:r>
      <w:r>
        <w:rPr>
          <w:rFonts w:hint="eastAsia" w:eastAsia="仿宋_GB2312" w:cs="仿宋_GB2312"/>
          <w:sz w:val="32"/>
          <w:szCs w:val="32"/>
        </w:rPr>
        <w:t>支出</w:t>
      </w:r>
      <w:r>
        <w:rPr>
          <w:rFonts w:eastAsia="仿宋_GB2312"/>
          <w:sz w:val="32"/>
          <w:szCs w:val="32"/>
        </w:rPr>
        <w:t>5</w:t>
      </w:r>
      <w:r>
        <w:rPr>
          <w:rFonts w:hint="eastAsia" w:eastAsia="仿宋_GB2312" w:cs="仿宋_GB2312"/>
          <w:sz w:val="32"/>
          <w:szCs w:val="32"/>
        </w:rPr>
        <w:t>万元，占</w:t>
      </w:r>
      <w:r>
        <w:rPr>
          <w:rFonts w:eastAsia="仿宋_GB2312"/>
          <w:sz w:val="32"/>
          <w:szCs w:val="32"/>
        </w:rPr>
        <w:t>0.058%</w:t>
      </w:r>
      <w:r>
        <w:rPr>
          <w:rFonts w:hint="eastAsia" w:eastAsia="仿宋_GB2312" w:cs="仿宋_GB2312"/>
          <w:sz w:val="32"/>
          <w:szCs w:val="32"/>
        </w:rPr>
        <w:t>；</w:t>
      </w:r>
      <w:r>
        <w:rPr>
          <w:rFonts w:hint="eastAsia" w:eastAsia="仿宋_GB2312" w:cs="仿宋_GB2312"/>
          <w:b/>
          <w:bCs/>
          <w:sz w:val="32"/>
          <w:szCs w:val="32"/>
        </w:rPr>
        <w:t>其他（类）</w:t>
      </w:r>
      <w:r>
        <w:rPr>
          <w:rFonts w:hint="eastAsia" w:eastAsia="仿宋_GB2312" w:cs="仿宋_GB2312"/>
          <w:sz w:val="32"/>
          <w:szCs w:val="32"/>
        </w:rPr>
        <w:t>支出</w:t>
      </w:r>
      <w:r>
        <w:rPr>
          <w:rFonts w:eastAsia="仿宋_GB2312"/>
          <w:sz w:val="32"/>
          <w:szCs w:val="32"/>
        </w:rPr>
        <w:t>0.3</w:t>
      </w:r>
      <w:r>
        <w:rPr>
          <w:rFonts w:hint="eastAsia" w:eastAsia="仿宋_GB2312" w:cs="仿宋_GB2312"/>
          <w:sz w:val="32"/>
          <w:szCs w:val="32"/>
        </w:rPr>
        <w:t>万元，占</w:t>
      </w:r>
      <w:r>
        <w:rPr>
          <w:rFonts w:eastAsia="仿宋_GB2312"/>
          <w:sz w:val="32"/>
          <w:szCs w:val="32"/>
        </w:rPr>
        <w:t>0.003%</w:t>
      </w:r>
      <w:r>
        <w:rPr>
          <w:rFonts w:hint="eastAsia" w:eastAsia="仿宋_GB2312" w:cs="仿宋_GB2312"/>
          <w:sz w:val="32"/>
          <w:szCs w:val="32"/>
        </w:rPr>
        <w:t>。</w:t>
      </w:r>
    </w:p>
    <w:p>
      <w:pPr>
        <w:pStyle w:val="2"/>
        <w:spacing w:before="93"/>
        <w:rPr>
          <w:rFonts w:ascii="Times New Roman" w:cs="Times New Roman"/>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spacing w:line="600" w:lineRule="exact"/>
        <w:ind w:firstLine="640" w:firstLineChars="200"/>
        <w:rPr>
          <w:rFonts w:eastAsia="仿宋_GB2312"/>
          <w:sz w:val="32"/>
          <w:szCs w:val="32"/>
        </w:rPr>
      </w:pPr>
      <w:r>
        <w:rPr>
          <w:rFonts w:hint="eastAsia" w:eastAsia="仿宋_GB2312" w:cs="仿宋_GB2312"/>
          <w:sz w:val="32"/>
          <w:szCs w:val="32"/>
        </w:rPr>
        <w:t>（图</w:t>
      </w:r>
      <w:r>
        <w:rPr>
          <w:rFonts w:eastAsia="仿宋_GB2312"/>
          <w:sz w:val="32"/>
          <w:szCs w:val="32"/>
        </w:rPr>
        <w:t>6</w:t>
      </w:r>
      <w:r>
        <w:rPr>
          <w:rFonts w:hint="eastAsia" w:eastAsia="仿宋_GB2312" w:cs="仿宋_GB2312"/>
          <w:sz w:val="32"/>
          <w:szCs w:val="32"/>
        </w:rPr>
        <w:t>：一般公共预算财政拨款支出决算结构）</w:t>
      </w:r>
    </w:p>
    <w:p>
      <w:pPr>
        <w:pStyle w:val="2"/>
        <w:spacing w:before="93"/>
        <w:rPr>
          <w:rFonts w:ascii="Times New Roman" w:cs="Times New Roman"/>
        </w:rPr>
      </w:pPr>
    </w:p>
    <w:p>
      <w:pPr>
        <w:spacing w:line="600" w:lineRule="exact"/>
        <w:ind w:firstLine="420" w:firstLineChars="200"/>
        <w:rPr>
          <w:rFonts w:eastAsia="仿宋_GB2312"/>
          <w:sz w:val="32"/>
          <w:szCs w:val="32"/>
        </w:rPr>
      </w:pPr>
      <w:r>
        <w:pict>
          <v:shape id="_x0000_s1030" o:spid="_x0000_s1030" o:spt="75" alt="olechartimg_1629965279127414_196457472" type="#_x0000_t75" style="position:absolute;left:0pt;margin-left:8pt;margin-top:8.75pt;height:266.15pt;width:372.15pt;z-index:251656192;mso-width-relative:page;mso-height-relative:page;" o:ole="t" filled="f" o:preferrelative="t" stroked="f" coordsize="21600,21600">
            <v:path/>
            <v:fill on="f" focussize="0,0"/>
            <v:stroke on="f" joinstyle="miter"/>
            <v:imagedata r:id="rId26" cropleft="31562f" croptop="22754f" cropright="8817f" cropbottom="943f" o:title=""/>
            <o:lock v:ext="edit" aspectratio="t"/>
          </v:shape>
          <o:OLEObject Type="Embed" ProgID="Excel.Sheet.8" ShapeID="_x0000_s1030" DrawAspect="Content" ObjectID="_1468075730" r:id="rId25">
            <o:LockedField>false</o:LockedField>
          </o:OLEObject>
        </w:pic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outlineLvl w:val="2"/>
        <w:rPr>
          <w:rFonts w:eastAsia="楷体_GB2312"/>
          <w:sz w:val="32"/>
          <w:szCs w:val="32"/>
        </w:rPr>
      </w:pPr>
      <w:bookmarkStart w:id="83" w:name="_Toc15377212"/>
    </w:p>
    <w:p>
      <w:pPr>
        <w:spacing w:line="600" w:lineRule="exact"/>
        <w:ind w:firstLine="640" w:firstLineChars="200"/>
        <w:outlineLvl w:val="2"/>
        <w:rPr>
          <w:rFonts w:eastAsia="楷体_GB2312"/>
          <w:sz w:val="32"/>
          <w:szCs w:val="32"/>
        </w:rPr>
      </w:pPr>
    </w:p>
    <w:p>
      <w:pPr>
        <w:spacing w:line="600" w:lineRule="exact"/>
        <w:ind w:firstLine="640" w:firstLineChars="200"/>
        <w:outlineLvl w:val="2"/>
        <w:rPr>
          <w:rFonts w:eastAsia="楷体_GB2312"/>
          <w:sz w:val="32"/>
          <w:szCs w:val="32"/>
        </w:rPr>
      </w:pPr>
    </w:p>
    <w:p>
      <w:pPr>
        <w:pStyle w:val="2"/>
        <w:spacing w:before="93"/>
        <w:rPr>
          <w:rFonts w:ascii="Times New Roman" w:cs="Times New Roman"/>
        </w:rPr>
      </w:pPr>
    </w:p>
    <w:p>
      <w:pPr>
        <w:spacing w:line="600" w:lineRule="exact"/>
        <w:ind w:firstLine="640" w:firstLineChars="200"/>
        <w:outlineLvl w:val="2"/>
        <w:rPr>
          <w:rFonts w:eastAsia="楷体_GB2312"/>
          <w:sz w:val="32"/>
          <w:szCs w:val="32"/>
        </w:rPr>
      </w:pPr>
      <w:bookmarkStart w:id="84" w:name="_Toc81380047"/>
      <w:bookmarkStart w:id="85" w:name="_Toc81293501"/>
      <w:bookmarkStart w:id="86" w:name="_Toc81293322"/>
      <w:r>
        <w:rPr>
          <w:rFonts w:hint="eastAsia" w:eastAsia="楷体_GB2312" w:cs="楷体_GB2312"/>
          <w:sz w:val="32"/>
          <w:szCs w:val="32"/>
        </w:rPr>
        <w:t>（三）一般公共预算财政拨款支出决算具体情况</w:t>
      </w:r>
      <w:bookmarkEnd w:id="83"/>
      <w:bookmarkEnd w:id="84"/>
      <w:bookmarkEnd w:id="85"/>
      <w:bookmarkEnd w:id="86"/>
    </w:p>
    <w:p>
      <w:pPr>
        <w:spacing w:line="600" w:lineRule="exact"/>
        <w:ind w:firstLine="642" w:firstLineChars="200"/>
        <w:outlineLvl w:val="2"/>
        <w:rPr>
          <w:rFonts w:eastAsia="仿宋_GB2312"/>
          <w:b/>
          <w:bCs/>
          <w:sz w:val="32"/>
          <w:szCs w:val="32"/>
        </w:rPr>
      </w:pPr>
      <w:bookmarkStart w:id="87" w:name="_Toc15377213"/>
      <w:bookmarkStart w:id="88" w:name="_Toc15378460"/>
      <w:bookmarkStart w:id="89" w:name="_Toc81293502"/>
      <w:bookmarkStart w:id="90" w:name="_Toc81380048"/>
      <w:bookmarkStart w:id="91" w:name="_Toc15377444"/>
      <w:bookmarkStart w:id="92" w:name="_Toc81293323"/>
      <w:r>
        <w:rPr>
          <w:rFonts w:eastAsia="仿宋_GB2312"/>
          <w:b/>
          <w:bCs/>
          <w:sz w:val="32"/>
          <w:szCs w:val="32"/>
        </w:rPr>
        <w:t>2020</w:t>
      </w:r>
      <w:r>
        <w:rPr>
          <w:rFonts w:hint="eastAsia" w:eastAsia="仿宋_GB2312" w:cs="仿宋_GB2312"/>
          <w:b/>
          <w:bCs/>
          <w:sz w:val="32"/>
          <w:szCs w:val="32"/>
        </w:rPr>
        <w:t>年一般公共预算支出决算数为</w:t>
      </w:r>
      <w:r>
        <w:rPr>
          <w:rFonts w:eastAsia="仿宋_GB2312"/>
          <w:b/>
          <w:bCs/>
          <w:sz w:val="32"/>
          <w:szCs w:val="32"/>
        </w:rPr>
        <w:t>8662.17</w:t>
      </w:r>
      <w:r>
        <w:rPr>
          <w:rFonts w:hint="eastAsia" w:eastAsia="仿宋_GB2312" w:cs="仿宋_GB2312"/>
          <w:b/>
          <w:bCs/>
          <w:sz w:val="32"/>
          <w:szCs w:val="32"/>
        </w:rPr>
        <w:t>万元，</w:t>
      </w:r>
      <w:r>
        <w:rPr>
          <w:rStyle w:val="14"/>
          <w:rFonts w:hint="eastAsia" w:eastAsia="仿宋_GB2312" w:cs="仿宋_GB2312"/>
          <w:b w:val="0"/>
          <w:bCs w:val="0"/>
          <w:sz w:val="32"/>
          <w:szCs w:val="32"/>
        </w:rPr>
        <w:t>完成预算</w:t>
      </w:r>
      <w:r>
        <w:rPr>
          <w:rStyle w:val="14"/>
          <w:rFonts w:eastAsia="仿宋_GB2312"/>
          <w:b w:val="0"/>
          <w:bCs w:val="0"/>
          <w:sz w:val="32"/>
          <w:szCs w:val="32"/>
        </w:rPr>
        <w:t>89.58%</w:t>
      </w:r>
      <w:r>
        <w:rPr>
          <w:rStyle w:val="14"/>
          <w:rFonts w:hint="eastAsia" w:eastAsia="仿宋_GB2312" w:cs="仿宋_GB2312"/>
          <w:b w:val="0"/>
          <w:bCs w:val="0"/>
          <w:sz w:val="32"/>
          <w:szCs w:val="32"/>
        </w:rPr>
        <w:t>。其中：</w:t>
      </w:r>
      <w:bookmarkEnd w:id="87"/>
      <w:bookmarkEnd w:id="88"/>
      <w:bookmarkEnd w:id="89"/>
      <w:bookmarkEnd w:id="90"/>
      <w:bookmarkEnd w:id="91"/>
      <w:bookmarkEnd w:id="92"/>
    </w:p>
    <w:p>
      <w:pPr>
        <w:spacing w:line="600" w:lineRule="exact"/>
        <w:ind w:firstLine="642" w:firstLineChars="200"/>
        <w:rPr>
          <w:rStyle w:val="14"/>
          <w:rFonts w:eastAsia="仿宋_GB2312"/>
          <w:b w:val="0"/>
          <w:bCs w:val="0"/>
          <w:sz w:val="32"/>
          <w:szCs w:val="32"/>
        </w:rPr>
      </w:pPr>
      <w:r>
        <w:rPr>
          <w:rStyle w:val="14"/>
          <w:rFonts w:eastAsia="仿宋"/>
          <w:sz w:val="32"/>
          <w:szCs w:val="32"/>
        </w:rPr>
        <w:t>1.</w:t>
      </w:r>
      <w:r>
        <w:rPr>
          <w:rStyle w:val="14"/>
          <w:rFonts w:hint="eastAsia" w:eastAsia="仿宋" w:cs="仿宋"/>
          <w:sz w:val="32"/>
          <w:szCs w:val="32"/>
        </w:rPr>
        <w:t>一般公共服务（类）</w:t>
      </w:r>
      <w:r>
        <w:rPr>
          <w:rFonts w:hint="eastAsia" w:eastAsia="仿宋" w:cs="仿宋"/>
          <w:b/>
          <w:bCs/>
          <w:sz w:val="32"/>
          <w:szCs w:val="32"/>
        </w:rPr>
        <w:t>政府办公厅（室）及相关机构事务</w:t>
      </w:r>
      <w:r>
        <w:rPr>
          <w:rStyle w:val="14"/>
          <w:rFonts w:hint="eastAsia" w:eastAsia="仿宋" w:cs="仿宋"/>
          <w:sz w:val="32"/>
          <w:szCs w:val="32"/>
        </w:rPr>
        <w:t>（款）</w:t>
      </w:r>
      <w:r>
        <w:rPr>
          <w:rFonts w:hint="eastAsia" w:eastAsia="仿宋" w:cs="仿宋"/>
          <w:b/>
          <w:bCs/>
          <w:color w:val="000000"/>
          <w:sz w:val="32"/>
          <w:szCs w:val="32"/>
        </w:rPr>
        <w:t>其他政府办公厅（室）及相关机构事务支出（项）</w:t>
      </w:r>
      <w:r>
        <w:rPr>
          <w:rStyle w:val="14"/>
          <w:rFonts w:hint="eastAsia" w:eastAsia="仿宋" w:cs="仿宋"/>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3.93</w:t>
      </w:r>
      <w:r>
        <w:rPr>
          <w:rStyle w:val="14"/>
          <w:rFonts w:hint="eastAsia" w:eastAsia="仿宋_GB2312" w:cs="仿宋_GB2312"/>
          <w:b w:val="0"/>
          <w:bCs w:val="0"/>
          <w:sz w:val="32"/>
          <w:szCs w:val="32"/>
        </w:rPr>
        <w:t>万元，完成预算</w:t>
      </w:r>
      <w:r>
        <w:rPr>
          <w:rStyle w:val="14"/>
          <w:rFonts w:eastAsia="仿宋_GB2312"/>
          <w:b w:val="0"/>
          <w:bCs w:val="0"/>
          <w:sz w:val="32"/>
          <w:szCs w:val="32"/>
        </w:rPr>
        <w:t>3.36%</w:t>
      </w:r>
      <w:r>
        <w:rPr>
          <w:rStyle w:val="14"/>
          <w:rFonts w:hint="eastAsia" w:eastAsia="仿宋_GB2312" w:cs="仿宋_GB2312"/>
          <w:b w:val="0"/>
          <w:bCs w:val="0"/>
          <w:sz w:val="32"/>
          <w:szCs w:val="32"/>
        </w:rPr>
        <w:t>，决算数小于预算数的主要原因是：年底进入项目设计概算阶段，结转下年实施。</w:t>
      </w:r>
    </w:p>
    <w:p>
      <w:pPr>
        <w:spacing w:line="600" w:lineRule="exact"/>
        <w:ind w:firstLine="642" w:firstLineChars="200"/>
        <w:rPr>
          <w:rStyle w:val="14"/>
          <w:rFonts w:eastAsia="仿宋_GB2312"/>
          <w:b w:val="0"/>
          <w:bCs w:val="0"/>
          <w:sz w:val="32"/>
          <w:szCs w:val="32"/>
        </w:rPr>
      </w:pPr>
      <w:r>
        <w:rPr>
          <w:rStyle w:val="14"/>
          <w:rFonts w:hint="eastAsia" w:eastAsia="仿宋" w:cs="仿宋"/>
          <w:sz w:val="32"/>
          <w:szCs w:val="32"/>
        </w:rPr>
        <w:t>一般公共服务（类）</w:t>
      </w:r>
      <w:r>
        <w:rPr>
          <w:rFonts w:hint="eastAsia" w:eastAsia="仿宋" w:cs="仿宋"/>
          <w:b/>
          <w:bCs/>
          <w:color w:val="000000"/>
          <w:sz w:val="32"/>
          <w:szCs w:val="32"/>
        </w:rPr>
        <w:t>其他一般公共服务支出（款）其他一般公共服务支出（项）：</w:t>
      </w:r>
      <w:r>
        <w:rPr>
          <w:rStyle w:val="14"/>
          <w:rFonts w:hint="eastAsia" w:eastAsia="仿宋_GB2312" w:cs="仿宋_GB2312"/>
          <w:b w:val="0"/>
          <w:bCs w:val="0"/>
          <w:sz w:val="32"/>
          <w:szCs w:val="32"/>
        </w:rPr>
        <w:t>支出决算为</w:t>
      </w:r>
      <w:r>
        <w:rPr>
          <w:rStyle w:val="14"/>
          <w:rFonts w:eastAsia="仿宋_GB2312"/>
          <w:b w:val="0"/>
          <w:bCs w:val="0"/>
          <w:sz w:val="32"/>
          <w:szCs w:val="32"/>
        </w:rPr>
        <w:t>7.99</w:t>
      </w:r>
      <w:r>
        <w:rPr>
          <w:rStyle w:val="14"/>
          <w:rFonts w:hint="eastAsia" w:eastAsia="仿宋_GB2312" w:cs="仿宋_GB2312"/>
          <w:b w:val="0"/>
          <w:bCs w:val="0"/>
          <w:sz w:val="32"/>
          <w:szCs w:val="32"/>
        </w:rPr>
        <w:t>万元，完成预算</w:t>
      </w:r>
      <w:r>
        <w:rPr>
          <w:rStyle w:val="14"/>
          <w:rFonts w:eastAsia="仿宋_GB2312"/>
          <w:b w:val="0"/>
          <w:bCs w:val="0"/>
          <w:sz w:val="32"/>
          <w:szCs w:val="32"/>
        </w:rPr>
        <w:t>99.88%</w:t>
      </w:r>
      <w:r>
        <w:rPr>
          <w:rStyle w:val="14"/>
          <w:rFonts w:hint="eastAsia" w:eastAsia="仿宋_GB2312" w:cs="仿宋_GB2312"/>
          <w:b w:val="0"/>
          <w:bCs w:val="0"/>
          <w:sz w:val="32"/>
          <w:szCs w:val="32"/>
        </w:rPr>
        <w:t>，</w:t>
      </w:r>
      <w:r>
        <w:rPr>
          <w:rFonts w:hint="eastAsia" w:eastAsia="仿宋" w:cs="仿宋"/>
          <w:sz w:val="32"/>
          <w:szCs w:val="32"/>
        </w:rPr>
        <w:t>决算数与预算数基本持平。</w:t>
      </w:r>
    </w:p>
    <w:p>
      <w:pPr>
        <w:spacing w:line="600" w:lineRule="exact"/>
        <w:ind w:firstLine="642" w:firstLineChars="200"/>
        <w:rPr>
          <w:rFonts w:eastAsia="仿宋_GB2312"/>
          <w:sz w:val="32"/>
          <w:szCs w:val="32"/>
        </w:rPr>
      </w:pPr>
      <w:r>
        <w:rPr>
          <w:rStyle w:val="14"/>
          <w:rFonts w:eastAsia="仿宋"/>
          <w:sz w:val="32"/>
          <w:szCs w:val="32"/>
        </w:rPr>
        <w:t>2.</w:t>
      </w:r>
      <w:r>
        <w:rPr>
          <w:rFonts w:hint="eastAsia" w:eastAsia="仿宋" w:cs="仿宋"/>
          <w:b/>
          <w:bCs/>
          <w:color w:val="000000"/>
          <w:sz w:val="32"/>
          <w:szCs w:val="32"/>
        </w:rPr>
        <w:t>教育</w:t>
      </w:r>
      <w:r>
        <w:rPr>
          <w:rStyle w:val="14"/>
          <w:rFonts w:hint="eastAsia" w:eastAsia="仿宋" w:cs="仿宋"/>
          <w:color w:val="000000"/>
          <w:sz w:val="32"/>
          <w:szCs w:val="32"/>
        </w:rPr>
        <w:t>（类）</w:t>
      </w:r>
      <w:r>
        <w:rPr>
          <w:rFonts w:hint="eastAsia" w:eastAsia="仿宋" w:cs="仿宋"/>
          <w:b/>
          <w:bCs/>
          <w:color w:val="000000"/>
          <w:sz w:val="32"/>
          <w:szCs w:val="32"/>
        </w:rPr>
        <w:t>进修及培训</w:t>
      </w:r>
      <w:r>
        <w:rPr>
          <w:rStyle w:val="14"/>
          <w:rFonts w:hint="eastAsia" w:eastAsia="仿宋" w:cs="仿宋"/>
          <w:color w:val="000000"/>
          <w:sz w:val="32"/>
          <w:szCs w:val="32"/>
        </w:rPr>
        <w:t>（款）</w:t>
      </w:r>
      <w:r>
        <w:rPr>
          <w:rFonts w:hint="eastAsia" w:eastAsia="仿宋" w:cs="仿宋"/>
          <w:b/>
          <w:bCs/>
          <w:color w:val="000000"/>
          <w:sz w:val="32"/>
          <w:szCs w:val="32"/>
        </w:rPr>
        <w:t>培训支出</w:t>
      </w:r>
      <w:r>
        <w:rPr>
          <w:rStyle w:val="14"/>
          <w:rFonts w:hint="eastAsia" w:eastAsia="仿宋" w:cs="仿宋"/>
          <w:color w:val="000000"/>
          <w:sz w:val="32"/>
          <w:szCs w:val="32"/>
        </w:rPr>
        <w:t>（项）：</w:t>
      </w:r>
      <w:r>
        <w:rPr>
          <w:rStyle w:val="14"/>
          <w:rFonts w:hint="eastAsia" w:eastAsia="仿宋_GB2312" w:cs="仿宋_GB2312"/>
          <w:b w:val="0"/>
          <w:bCs w:val="0"/>
          <w:sz w:val="32"/>
          <w:szCs w:val="32"/>
        </w:rPr>
        <w:t>支出决算为</w:t>
      </w:r>
      <w:r>
        <w:rPr>
          <w:rStyle w:val="14"/>
          <w:rFonts w:eastAsia="仿宋_GB2312"/>
          <w:b w:val="0"/>
          <w:bCs w:val="0"/>
          <w:sz w:val="32"/>
          <w:szCs w:val="32"/>
        </w:rPr>
        <w:t>99.28</w:t>
      </w:r>
      <w:r>
        <w:rPr>
          <w:rStyle w:val="14"/>
          <w:rFonts w:hint="eastAsia" w:eastAsia="仿宋_GB2312" w:cs="仿宋_GB2312"/>
          <w:b w:val="0"/>
          <w:bCs w:val="0"/>
          <w:sz w:val="32"/>
          <w:szCs w:val="32"/>
        </w:rPr>
        <w:t>万元，完成预算</w:t>
      </w:r>
      <w:r>
        <w:rPr>
          <w:rStyle w:val="14"/>
          <w:rFonts w:eastAsia="仿宋_GB2312"/>
          <w:b w:val="0"/>
          <w:bCs w:val="0"/>
          <w:sz w:val="32"/>
          <w:szCs w:val="32"/>
        </w:rPr>
        <w:t>98.29%</w:t>
      </w:r>
      <w:r>
        <w:rPr>
          <w:rStyle w:val="14"/>
          <w:rFonts w:hint="eastAsia" w:eastAsia="仿宋_GB2312" w:cs="仿宋_GB2312"/>
          <w:b w:val="0"/>
          <w:bCs w:val="0"/>
          <w:sz w:val="32"/>
          <w:szCs w:val="32"/>
        </w:rPr>
        <w:t>，</w:t>
      </w:r>
      <w:r>
        <w:rPr>
          <w:rFonts w:hint="eastAsia" w:eastAsia="仿宋" w:cs="仿宋"/>
          <w:sz w:val="32"/>
          <w:szCs w:val="32"/>
        </w:rPr>
        <w:t>决算数与预算数基本持平。</w:t>
      </w:r>
    </w:p>
    <w:p>
      <w:pPr>
        <w:spacing w:line="600" w:lineRule="exact"/>
        <w:ind w:firstLine="642" w:firstLineChars="200"/>
        <w:rPr>
          <w:rStyle w:val="14"/>
          <w:rFonts w:eastAsia="仿宋_GB2312"/>
          <w:b w:val="0"/>
          <w:bCs w:val="0"/>
          <w:sz w:val="32"/>
          <w:szCs w:val="32"/>
        </w:rPr>
      </w:pPr>
      <w:r>
        <w:rPr>
          <w:rStyle w:val="14"/>
          <w:rFonts w:eastAsia="仿宋"/>
          <w:sz w:val="32"/>
          <w:szCs w:val="32"/>
        </w:rPr>
        <w:t>3.</w:t>
      </w:r>
      <w:r>
        <w:rPr>
          <w:rStyle w:val="14"/>
          <w:rFonts w:hint="eastAsia" w:eastAsia="仿宋" w:cs="仿宋"/>
          <w:color w:val="000000"/>
          <w:sz w:val="32"/>
          <w:szCs w:val="32"/>
        </w:rPr>
        <w:t>社会保障和就业（类）</w:t>
      </w:r>
      <w:r>
        <w:rPr>
          <w:rFonts w:hint="eastAsia" w:eastAsia="仿宋" w:cs="仿宋"/>
          <w:b/>
          <w:bCs/>
          <w:color w:val="000000"/>
          <w:sz w:val="32"/>
          <w:szCs w:val="32"/>
        </w:rPr>
        <w:t>人力资源和社会保障管理事务</w:t>
      </w:r>
      <w:r>
        <w:rPr>
          <w:rStyle w:val="14"/>
          <w:rFonts w:hint="eastAsia" w:eastAsia="仿宋" w:cs="仿宋"/>
          <w:color w:val="000000"/>
          <w:sz w:val="32"/>
          <w:szCs w:val="32"/>
        </w:rPr>
        <w:t>（款）行政运行（项）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3521.86</w:t>
      </w:r>
      <w:r>
        <w:rPr>
          <w:rStyle w:val="14"/>
          <w:rFonts w:hint="eastAsia" w:eastAsia="仿宋_GB2312" w:cs="仿宋_GB2312"/>
          <w:b w:val="0"/>
          <w:bCs w:val="0"/>
          <w:sz w:val="32"/>
          <w:szCs w:val="32"/>
        </w:rPr>
        <w:t>万元，完成预算</w:t>
      </w:r>
      <w:r>
        <w:rPr>
          <w:rStyle w:val="14"/>
          <w:rFonts w:eastAsia="仿宋_GB2312"/>
          <w:b w:val="0"/>
          <w:bCs w:val="0"/>
          <w:sz w:val="32"/>
          <w:szCs w:val="32"/>
        </w:rPr>
        <w:t>99.25%</w:t>
      </w:r>
      <w:r>
        <w:rPr>
          <w:rStyle w:val="14"/>
          <w:rFonts w:hint="eastAsia" w:eastAsia="仿宋_GB2312" w:cs="仿宋_GB2312"/>
          <w:b w:val="0"/>
          <w:bCs w:val="0"/>
          <w:sz w:val="32"/>
          <w:szCs w:val="32"/>
        </w:rPr>
        <w:t>，</w:t>
      </w:r>
      <w:r>
        <w:rPr>
          <w:rFonts w:hint="eastAsia" w:eastAsia="仿宋" w:cs="仿宋"/>
          <w:sz w:val="32"/>
          <w:szCs w:val="32"/>
        </w:rPr>
        <w:t>决算数与预算数基本持平。</w:t>
      </w:r>
    </w:p>
    <w:p>
      <w:pPr>
        <w:spacing w:line="600" w:lineRule="exact"/>
        <w:ind w:firstLine="642" w:firstLineChars="200"/>
        <w:rPr>
          <w:rFonts w:eastAsia="仿宋_GB2312"/>
          <w:sz w:val="32"/>
          <w:szCs w:val="32"/>
        </w:rPr>
      </w:pPr>
      <w:r>
        <w:rPr>
          <w:rStyle w:val="14"/>
          <w:rFonts w:hint="eastAsia" w:eastAsia="仿宋" w:cs="仿宋"/>
          <w:color w:val="000000"/>
          <w:sz w:val="32"/>
          <w:szCs w:val="32"/>
        </w:rPr>
        <w:t>社会保障和就业（类）</w:t>
      </w:r>
      <w:r>
        <w:rPr>
          <w:rFonts w:hint="eastAsia" w:eastAsia="仿宋" w:cs="仿宋"/>
          <w:b/>
          <w:bCs/>
          <w:color w:val="000000"/>
          <w:sz w:val="32"/>
          <w:szCs w:val="32"/>
        </w:rPr>
        <w:t>人力资源和社会保障管理事务</w:t>
      </w:r>
      <w:r>
        <w:rPr>
          <w:rStyle w:val="14"/>
          <w:rFonts w:hint="eastAsia" w:eastAsia="仿宋" w:cs="仿宋"/>
          <w:color w:val="000000"/>
          <w:sz w:val="32"/>
          <w:szCs w:val="32"/>
        </w:rPr>
        <w:t>（款）一般行政管理事务（项）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1215.19</w:t>
      </w:r>
      <w:r>
        <w:rPr>
          <w:rStyle w:val="14"/>
          <w:rFonts w:hint="eastAsia" w:eastAsia="仿宋_GB2312" w:cs="仿宋_GB2312"/>
          <w:b w:val="0"/>
          <w:bCs w:val="0"/>
          <w:sz w:val="32"/>
          <w:szCs w:val="32"/>
        </w:rPr>
        <w:t>万元，完成预算</w:t>
      </w:r>
      <w:r>
        <w:rPr>
          <w:rStyle w:val="14"/>
          <w:rFonts w:eastAsia="仿宋_GB2312"/>
          <w:b w:val="0"/>
          <w:bCs w:val="0"/>
          <w:sz w:val="32"/>
          <w:szCs w:val="32"/>
        </w:rPr>
        <w:t>67.76%</w:t>
      </w:r>
      <w:r>
        <w:rPr>
          <w:rStyle w:val="14"/>
          <w:rFonts w:hint="eastAsia" w:eastAsia="仿宋_GB2312" w:cs="仿宋_GB2312"/>
          <w:b w:val="0"/>
          <w:bCs w:val="0"/>
          <w:sz w:val="32"/>
          <w:szCs w:val="32"/>
        </w:rPr>
        <w:t>，决算数小于预算数的主要原因是：部分办公楼电梯安装经费、设备购置费中存在部分设备购置与政府统一签订了采购合同的因素，结转下年支付。</w:t>
      </w:r>
    </w:p>
    <w:p>
      <w:pPr>
        <w:spacing w:line="600" w:lineRule="exact"/>
        <w:ind w:firstLine="642" w:firstLineChars="200"/>
        <w:rPr>
          <w:rStyle w:val="14"/>
          <w:rFonts w:eastAsia="仿宋_GB2312"/>
          <w:b w:val="0"/>
          <w:bCs w:val="0"/>
          <w:sz w:val="32"/>
          <w:szCs w:val="32"/>
        </w:rPr>
      </w:pPr>
      <w:r>
        <w:rPr>
          <w:rStyle w:val="14"/>
          <w:rFonts w:hint="eastAsia" w:eastAsia="仿宋" w:cs="仿宋"/>
          <w:color w:val="000000"/>
          <w:sz w:val="32"/>
          <w:szCs w:val="32"/>
        </w:rPr>
        <w:t>社会保障和就业（类）</w:t>
      </w:r>
      <w:r>
        <w:rPr>
          <w:rFonts w:hint="eastAsia" w:eastAsia="仿宋" w:cs="仿宋"/>
          <w:b/>
          <w:bCs/>
          <w:color w:val="000000"/>
          <w:sz w:val="32"/>
          <w:szCs w:val="32"/>
        </w:rPr>
        <w:t>人力资源和社会保障管理事务</w:t>
      </w:r>
      <w:r>
        <w:rPr>
          <w:rStyle w:val="14"/>
          <w:rFonts w:hint="eastAsia" w:eastAsia="仿宋" w:cs="仿宋"/>
          <w:color w:val="000000"/>
          <w:sz w:val="32"/>
          <w:szCs w:val="32"/>
        </w:rPr>
        <w:t>（款）</w:t>
      </w:r>
      <w:r>
        <w:rPr>
          <w:rFonts w:hint="eastAsia" w:eastAsia="仿宋" w:cs="仿宋"/>
          <w:b/>
          <w:bCs/>
          <w:sz w:val="32"/>
          <w:szCs w:val="32"/>
        </w:rPr>
        <w:t>信息化建设</w:t>
      </w:r>
      <w:r>
        <w:rPr>
          <w:rStyle w:val="14"/>
          <w:rFonts w:hint="eastAsia" w:eastAsia="仿宋" w:cs="仿宋"/>
          <w:sz w:val="32"/>
          <w:szCs w:val="32"/>
        </w:rPr>
        <w:t>（项）</w:t>
      </w:r>
      <w:r>
        <w:rPr>
          <w:rStyle w:val="14"/>
          <w:rFonts w:eastAsia="仿宋"/>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293.2</w:t>
      </w:r>
      <w:r>
        <w:rPr>
          <w:rStyle w:val="14"/>
          <w:rFonts w:hint="eastAsia" w:eastAsia="仿宋_GB2312" w:cs="仿宋_GB2312"/>
          <w:b w:val="0"/>
          <w:bCs w:val="0"/>
          <w:sz w:val="32"/>
          <w:szCs w:val="32"/>
        </w:rPr>
        <w:t>万元，完成预算</w:t>
      </w:r>
      <w:r>
        <w:rPr>
          <w:rStyle w:val="14"/>
          <w:rFonts w:eastAsia="仿宋_GB2312"/>
          <w:b w:val="0"/>
          <w:bCs w:val="0"/>
          <w:sz w:val="32"/>
          <w:szCs w:val="32"/>
        </w:rPr>
        <w:t>67.19%</w:t>
      </w:r>
      <w:r>
        <w:rPr>
          <w:rStyle w:val="14"/>
          <w:rFonts w:hint="eastAsia" w:eastAsia="仿宋_GB2312" w:cs="仿宋_GB2312"/>
          <w:b w:val="0"/>
          <w:bCs w:val="0"/>
          <w:sz w:val="32"/>
          <w:szCs w:val="32"/>
        </w:rPr>
        <w:t>，决算数小于预算数的主要原因是：部分信息化建设及运行维护费项目</w:t>
      </w:r>
      <w:r>
        <w:rPr>
          <w:rFonts w:hint="eastAsia" w:eastAsia="仿宋" w:cs="仿宋"/>
          <w:color w:val="000000"/>
          <w:sz w:val="32"/>
          <w:szCs w:val="32"/>
        </w:rPr>
        <w:t>因采购合同因素</w:t>
      </w:r>
      <w:r>
        <w:rPr>
          <w:rStyle w:val="14"/>
          <w:rFonts w:hint="eastAsia" w:eastAsia="仿宋_GB2312" w:cs="仿宋_GB2312"/>
          <w:b w:val="0"/>
          <w:bCs w:val="0"/>
          <w:sz w:val="32"/>
          <w:szCs w:val="32"/>
        </w:rPr>
        <w:t>结转下年支付。</w:t>
      </w:r>
    </w:p>
    <w:p>
      <w:pPr>
        <w:spacing w:line="600" w:lineRule="exact"/>
        <w:ind w:firstLine="642" w:firstLineChars="200"/>
        <w:rPr>
          <w:rFonts w:eastAsia="仿宋_GB2312"/>
          <w:sz w:val="32"/>
          <w:szCs w:val="32"/>
        </w:rPr>
      </w:pPr>
      <w:r>
        <w:rPr>
          <w:rStyle w:val="14"/>
          <w:rFonts w:hint="eastAsia" w:eastAsia="仿宋" w:cs="仿宋"/>
          <w:color w:val="000000"/>
          <w:sz w:val="32"/>
          <w:szCs w:val="32"/>
        </w:rPr>
        <w:t>社会保障和就业（类）</w:t>
      </w:r>
      <w:r>
        <w:rPr>
          <w:rFonts w:hint="eastAsia" w:eastAsia="仿宋" w:cs="仿宋"/>
          <w:b/>
          <w:bCs/>
          <w:color w:val="000000"/>
          <w:sz w:val="32"/>
          <w:szCs w:val="32"/>
        </w:rPr>
        <w:t>人力资源和社会保障管理事务</w:t>
      </w:r>
      <w:r>
        <w:rPr>
          <w:rStyle w:val="14"/>
          <w:rFonts w:hint="eastAsia" w:eastAsia="仿宋" w:cs="仿宋"/>
          <w:color w:val="000000"/>
          <w:sz w:val="32"/>
          <w:szCs w:val="32"/>
        </w:rPr>
        <w:t>（款）</w:t>
      </w:r>
      <w:r>
        <w:rPr>
          <w:rFonts w:hint="eastAsia" w:eastAsia="仿宋" w:cs="仿宋"/>
          <w:b/>
          <w:bCs/>
          <w:color w:val="000000"/>
          <w:sz w:val="32"/>
          <w:szCs w:val="32"/>
        </w:rPr>
        <w:t>其他人力资源和社会保障管理事务支出</w:t>
      </w:r>
      <w:r>
        <w:rPr>
          <w:rStyle w:val="14"/>
          <w:rFonts w:hint="eastAsia" w:eastAsia="仿宋" w:cs="仿宋"/>
          <w:color w:val="000000"/>
          <w:sz w:val="32"/>
          <w:szCs w:val="32"/>
        </w:rPr>
        <w:t>（项）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1262.94</w:t>
      </w:r>
      <w:r>
        <w:rPr>
          <w:rStyle w:val="14"/>
          <w:rFonts w:hint="eastAsia" w:eastAsia="仿宋_GB2312" w:cs="仿宋_GB2312"/>
          <w:b w:val="0"/>
          <w:bCs w:val="0"/>
          <w:sz w:val="32"/>
          <w:szCs w:val="32"/>
        </w:rPr>
        <w:t>万元，完成预算</w:t>
      </w:r>
      <w:r>
        <w:rPr>
          <w:rStyle w:val="14"/>
          <w:rFonts w:eastAsia="仿宋_GB2312"/>
          <w:b w:val="0"/>
          <w:bCs w:val="0"/>
          <w:sz w:val="32"/>
          <w:szCs w:val="32"/>
        </w:rPr>
        <w:t>99.96%</w:t>
      </w:r>
      <w:r>
        <w:rPr>
          <w:rStyle w:val="14"/>
          <w:rFonts w:hint="eastAsia" w:eastAsia="仿宋_GB2312" w:cs="仿宋_GB2312"/>
          <w:b w:val="0"/>
          <w:bCs w:val="0"/>
          <w:sz w:val="32"/>
          <w:szCs w:val="32"/>
        </w:rPr>
        <w:t>，</w:t>
      </w:r>
      <w:r>
        <w:rPr>
          <w:rFonts w:hint="eastAsia" w:eastAsia="仿宋" w:cs="仿宋"/>
          <w:sz w:val="32"/>
          <w:szCs w:val="32"/>
        </w:rPr>
        <w:t>决算数与预算数基本持平。</w:t>
      </w:r>
    </w:p>
    <w:p>
      <w:pPr>
        <w:pStyle w:val="2"/>
        <w:spacing w:before="93"/>
        <w:ind w:firstLine="642" w:firstLineChars="200"/>
        <w:rPr>
          <w:rStyle w:val="14"/>
          <w:rFonts w:ascii="Times New Roman" w:cs="Times New Roman"/>
          <w:b w:val="0"/>
          <w:bCs w:val="0"/>
          <w:sz w:val="32"/>
          <w:szCs w:val="32"/>
        </w:rPr>
      </w:pPr>
      <w:r>
        <w:rPr>
          <w:rStyle w:val="14"/>
          <w:rFonts w:hint="eastAsia" w:ascii="Times New Roman" w:eastAsia="仿宋" w:cs="仿宋"/>
          <w:sz w:val="32"/>
          <w:szCs w:val="32"/>
        </w:rPr>
        <w:t>社会保障和就业（类）</w:t>
      </w:r>
      <w:r>
        <w:rPr>
          <w:rFonts w:hint="eastAsia" w:ascii="Times New Roman" w:eastAsia="仿宋" w:cs="仿宋"/>
          <w:b/>
          <w:bCs/>
          <w:color w:val="000000"/>
          <w:sz w:val="32"/>
          <w:szCs w:val="32"/>
        </w:rPr>
        <w:t>行政事业单位养老支出（款）行政单位离退休</w:t>
      </w:r>
      <w:r>
        <w:rPr>
          <w:rStyle w:val="14"/>
          <w:rFonts w:hint="eastAsia" w:ascii="Times New Roman" w:eastAsia="仿宋" w:cs="仿宋"/>
          <w:color w:val="000000"/>
          <w:sz w:val="32"/>
          <w:szCs w:val="32"/>
        </w:rPr>
        <w:t>（项）</w:t>
      </w:r>
      <w:r>
        <w:rPr>
          <w:rStyle w:val="14"/>
          <w:rFonts w:ascii="Times New Roman" w:eastAsia="仿宋" w:cs="Times New Roman"/>
          <w:color w:val="000000"/>
          <w:sz w:val="32"/>
          <w:szCs w:val="32"/>
        </w:rPr>
        <w:t>:</w:t>
      </w:r>
      <w:r>
        <w:rPr>
          <w:rStyle w:val="14"/>
          <w:rFonts w:hint="eastAsia" w:ascii="Times New Roman"/>
          <w:b w:val="0"/>
          <w:bCs w:val="0"/>
          <w:sz w:val="32"/>
          <w:szCs w:val="32"/>
        </w:rPr>
        <w:t>支出决算为</w:t>
      </w:r>
      <w:r>
        <w:rPr>
          <w:rStyle w:val="14"/>
          <w:rFonts w:ascii="Times New Roman" w:cs="Times New Roman"/>
          <w:b w:val="0"/>
          <w:bCs w:val="0"/>
          <w:sz w:val="32"/>
          <w:szCs w:val="32"/>
        </w:rPr>
        <w:t>577.29</w:t>
      </w:r>
      <w:r>
        <w:rPr>
          <w:rStyle w:val="14"/>
          <w:rFonts w:hint="eastAsia" w:ascii="Times New Roman"/>
          <w:b w:val="0"/>
          <w:bCs w:val="0"/>
          <w:sz w:val="32"/>
          <w:szCs w:val="32"/>
        </w:rPr>
        <w:t>万元，完成预算</w:t>
      </w:r>
      <w:r>
        <w:rPr>
          <w:rStyle w:val="14"/>
          <w:rFonts w:ascii="Times New Roman" w:cs="Times New Roman"/>
          <w:b w:val="0"/>
          <w:bCs w:val="0"/>
          <w:sz w:val="32"/>
          <w:szCs w:val="32"/>
        </w:rPr>
        <w:t>99.44%</w:t>
      </w:r>
      <w:r>
        <w:rPr>
          <w:rStyle w:val="14"/>
          <w:rFonts w:hint="eastAsia" w:ascii="Times New Roman"/>
          <w:b w:val="0"/>
          <w:bCs w:val="0"/>
          <w:sz w:val="32"/>
          <w:szCs w:val="32"/>
        </w:rPr>
        <w:t>，</w:t>
      </w:r>
      <w:r>
        <w:rPr>
          <w:rFonts w:hint="eastAsia" w:ascii="Times New Roman" w:eastAsia="仿宋" w:cs="仿宋"/>
          <w:sz w:val="32"/>
          <w:szCs w:val="32"/>
        </w:rPr>
        <w:t>决算数与预算数基本持平。</w:t>
      </w:r>
    </w:p>
    <w:p>
      <w:pPr>
        <w:pStyle w:val="2"/>
        <w:spacing w:before="93"/>
        <w:ind w:firstLine="642" w:firstLineChars="200"/>
        <w:rPr>
          <w:rFonts w:ascii="Times New Roman" w:cs="Times New Roman"/>
          <w:sz w:val="32"/>
          <w:szCs w:val="32"/>
        </w:rPr>
      </w:pPr>
      <w:r>
        <w:rPr>
          <w:rStyle w:val="14"/>
          <w:rFonts w:hint="eastAsia" w:ascii="Times New Roman" w:eastAsia="仿宋" w:cs="仿宋"/>
          <w:sz w:val="32"/>
          <w:szCs w:val="32"/>
        </w:rPr>
        <w:t>社会保障和就业（类）</w:t>
      </w:r>
      <w:r>
        <w:rPr>
          <w:rFonts w:hint="eastAsia" w:ascii="Times New Roman" w:eastAsia="仿宋" w:cs="仿宋"/>
          <w:b/>
          <w:bCs/>
          <w:color w:val="000000"/>
          <w:sz w:val="32"/>
          <w:szCs w:val="32"/>
        </w:rPr>
        <w:t>行政事业单位养老支出（款）机关事业单位基本养老保险缴费支出（项）</w:t>
      </w:r>
      <w:r>
        <w:rPr>
          <w:rFonts w:ascii="Times New Roman" w:eastAsia="仿宋" w:cs="Times New Roman"/>
          <w:b/>
          <w:bCs/>
          <w:color w:val="000000"/>
          <w:sz w:val="32"/>
          <w:szCs w:val="32"/>
        </w:rPr>
        <w:t>:</w:t>
      </w:r>
      <w:r>
        <w:rPr>
          <w:rStyle w:val="14"/>
          <w:rFonts w:hint="eastAsia" w:ascii="Times New Roman"/>
          <w:b w:val="0"/>
          <w:bCs w:val="0"/>
          <w:sz w:val="32"/>
          <w:szCs w:val="32"/>
        </w:rPr>
        <w:t>支出决算为</w:t>
      </w:r>
      <w:r>
        <w:rPr>
          <w:rStyle w:val="14"/>
          <w:rFonts w:ascii="Times New Roman" w:cs="Times New Roman"/>
          <w:b w:val="0"/>
          <w:bCs w:val="0"/>
          <w:sz w:val="32"/>
          <w:szCs w:val="32"/>
        </w:rPr>
        <w:t>261.18</w:t>
      </w:r>
      <w:r>
        <w:rPr>
          <w:rStyle w:val="14"/>
          <w:rFonts w:hint="eastAsia" w:ascii="Times New Roman"/>
          <w:b w:val="0"/>
          <w:bCs w:val="0"/>
          <w:sz w:val="32"/>
          <w:szCs w:val="32"/>
        </w:rPr>
        <w:t>万元，完成预算</w:t>
      </w:r>
      <w:r>
        <w:rPr>
          <w:rStyle w:val="14"/>
          <w:rFonts w:ascii="Times New Roman" w:cs="Times New Roman"/>
          <w:b w:val="0"/>
          <w:bCs w:val="0"/>
          <w:sz w:val="32"/>
          <w:szCs w:val="32"/>
        </w:rPr>
        <w:t>95.22%</w:t>
      </w:r>
      <w:r>
        <w:rPr>
          <w:rStyle w:val="14"/>
          <w:rFonts w:hint="eastAsia" w:ascii="Times New Roman"/>
          <w:b w:val="0"/>
          <w:bCs w:val="0"/>
          <w:sz w:val="32"/>
          <w:szCs w:val="32"/>
        </w:rPr>
        <w:t>，</w:t>
      </w:r>
      <w:r>
        <w:rPr>
          <w:rFonts w:hint="eastAsia" w:ascii="Times New Roman" w:eastAsia="仿宋" w:cs="仿宋"/>
          <w:sz w:val="32"/>
          <w:szCs w:val="32"/>
        </w:rPr>
        <w:t>决算数与预算数基本持平。</w:t>
      </w:r>
    </w:p>
    <w:p>
      <w:pPr>
        <w:pStyle w:val="2"/>
        <w:spacing w:before="93"/>
        <w:ind w:firstLine="642" w:firstLineChars="200"/>
        <w:rPr>
          <w:rFonts w:ascii="Times New Roman" w:cs="Times New Roman"/>
          <w:sz w:val="32"/>
          <w:szCs w:val="32"/>
        </w:rPr>
      </w:pPr>
      <w:r>
        <w:rPr>
          <w:rStyle w:val="14"/>
          <w:rFonts w:hint="eastAsia" w:ascii="Times New Roman" w:eastAsia="仿宋" w:cs="仿宋"/>
          <w:sz w:val="32"/>
          <w:szCs w:val="32"/>
        </w:rPr>
        <w:t>社会保障和就业（类）</w:t>
      </w:r>
      <w:r>
        <w:rPr>
          <w:rFonts w:hint="eastAsia" w:ascii="Times New Roman" w:eastAsia="仿宋" w:cs="仿宋"/>
          <w:b/>
          <w:bCs/>
          <w:color w:val="000000"/>
          <w:sz w:val="32"/>
          <w:szCs w:val="32"/>
        </w:rPr>
        <w:t>就业补助（款）其他就业补助支出</w:t>
      </w:r>
      <w:r>
        <w:rPr>
          <w:rStyle w:val="14"/>
          <w:rFonts w:hint="eastAsia" w:ascii="Times New Roman" w:eastAsia="仿宋" w:cs="仿宋"/>
          <w:color w:val="000000"/>
          <w:sz w:val="32"/>
          <w:szCs w:val="32"/>
        </w:rPr>
        <w:t>（项）</w:t>
      </w:r>
      <w:r>
        <w:rPr>
          <w:rStyle w:val="14"/>
          <w:rFonts w:ascii="Times New Roman" w:eastAsia="仿宋" w:cs="Times New Roman"/>
          <w:color w:val="000000"/>
          <w:sz w:val="32"/>
          <w:szCs w:val="32"/>
        </w:rPr>
        <w:t>:</w:t>
      </w:r>
      <w:r>
        <w:rPr>
          <w:rStyle w:val="14"/>
          <w:rFonts w:hint="eastAsia" w:ascii="Times New Roman"/>
          <w:b w:val="0"/>
          <w:bCs w:val="0"/>
          <w:sz w:val="32"/>
          <w:szCs w:val="32"/>
        </w:rPr>
        <w:t>支出决算为</w:t>
      </w:r>
      <w:r>
        <w:rPr>
          <w:rStyle w:val="14"/>
          <w:rFonts w:ascii="Times New Roman" w:cs="Times New Roman"/>
          <w:b w:val="0"/>
          <w:bCs w:val="0"/>
          <w:sz w:val="32"/>
          <w:szCs w:val="32"/>
        </w:rPr>
        <w:t>630.8</w:t>
      </w:r>
      <w:r>
        <w:rPr>
          <w:rStyle w:val="14"/>
          <w:rFonts w:hint="eastAsia" w:ascii="Times New Roman"/>
          <w:b w:val="0"/>
          <w:bCs w:val="0"/>
          <w:sz w:val="32"/>
          <w:szCs w:val="32"/>
        </w:rPr>
        <w:t>万元，完成预算</w:t>
      </w:r>
      <w:r>
        <w:rPr>
          <w:rStyle w:val="14"/>
          <w:rFonts w:ascii="Times New Roman" w:cs="Times New Roman"/>
          <w:b w:val="0"/>
          <w:bCs w:val="0"/>
          <w:sz w:val="32"/>
          <w:szCs w:val="32"/>
        </w:rPr>
        <w:t>96.31%</w:t>
      </w:r>
      <w:r>
        <w:rPr>
          <w:rStyle w:val="14"/>
          <w:rFonts w:hint="eastAsia" w:ascii="Times New Roman"/>
          <w:b w:val="0"/>
          <w:bCs w:val="0"/>
          <w:sz w:val="32"/>
          <w:szCs w:val="32"/>
        </w:rPr>
        <w:t>，</w:t>
      </w:r>
      <w:r>
        <w:rPr>
          <w:rFonts w:hint="eastAsia" w:ascii="Times New Roman" w:eastAsia="仿宋" w:cs="仿宋"/>
          <w:sz w:val="32"/>
          <w:szCs w:val="32"/>
        </w:rPr>
        <w:t>决算数与预算数基本持平。</w:t>
      </w:r>
    </w:p>
    <w:p>
      <w:pPr>
        <w:pStyle w:val="2"/>
        <w:spacing w:before="93"/>
        <w:ind w:firstLine="642" w:firstLineChars="200"/>
        <w:rPr>
          <w:rFonts w:ascii="Times New Roman" w:cs="Times New Roman"/>
          <w:sz w:val="32"/>
          <w:szCs w:val="32"/>
        </w:rPr>
      </w:pPr>
      <w:r>
        <w:rPr>
          <w:rStyle w:val="14"/>
          <w:rFonts w:hint="eastAsia" w:ascii="Times New Roman" w:eastAsia="仿宋" w:cs="仿宋"/>
          <w:sz w:val="32"/>
          <w:szCs w:val="32"/>
        </w:rPr>
        <w:t>社会保障和就业（类）</w:t>
      </w:r>
      <w:r>
        <w:rPr>
          <w:rFonts w:hint="eastAsia" w:ascii="Times New Roman" w:eastAsia="仿宋" w:cs="仿宋"/>
          <w:b/>
          <w:bCs/>
          <w:color w:val="000000"/>
          <w:sz w:val="32"/>
          <w:szCs w:val="32"/>
        </w:rPr>
        <w:t>抚恤（款）</w:t>
      </w:r>
      <w:r>
        <w:rPr>
          <w:rStyle w:val="14"/>
          <w:rFonts w:hint="eastAsia" w:ascii="Times New Roman" w:eastAsia="仿宋" w:cs="仿宋"/>
          <w:color w:val="000000"/>
          <w:sz w:val="32"/>
          <w:szCs w:val="32"/>
        </w:rPr>
        <w:t>死亡抚恤（项）</w:t>
      </w:r>
      <w:r>
        <w:rPr>
          <w:rStyle w:val="14"/>
          <w:rFonts w:ascii="Times New Roman" w:eastAsia="仿宋" w:cs="Times New Roman"/>
          <w:color w:val="000000"/>
          <w:sz w:val="32"/>
          <w:szCs w:val="32"/>
        </w:rPr>
        <w:t>:</w:t>
      </w:r>
      <w:r>
        <w:rPr>
          <w:rStyle w:val="14"/>
          <w:rFonts w:hint="eastAsia" w:ascii="Times New Roman"/>
          <w:b w:val="0"/>
          <w:bCs w:val="0"/>
          <w:sz w:val="32"/>
          <w:szCs w:val="32"/>
        </w:rPr>
        <w:t>支出决算为</w:t>
      </w:r>
      <w:r>
        <w:rPr>
          <w:rStyle w:val="14"/>
          <w:rFonts w:ascii="Times New Roman" w:cs="Times New Roman"/>
          <w:b w:val="0"/>
          <w:bCs w:val="0"/>
          <w:sz w:val="32"/>
          <w:szCs w:val="32"/>
        </w:rPr>
        <w:t>18.40</w:t>
      </w:r>
      <w:r>
        <w:rPr>
          <w:rStyle w:val="14"/>
          <w:rFonts w:hint="eastAsia" w:ascii="Times New Roman"/>
          <w:b w:val="0"/>
          <w:bCs w:val="0"/>
          <w:sz w:val="32"/>
          <w:szCs w:val="32"/>
        </w:rPr>
        <w:t>万元，完成预算</w:t>
      </w:r>
      <w:r>
        <w:rPr>
          <w:rStyle w:val="14"/>
          <w:rFonts w:ascii="Times New Roman" w:cs="Times New Roman"/>
          <w:b w:val="0"/>
          <w:bCs w:val="0"/>
          <w:sz w:val="32"/>
          <w:szCs w:val="32"/>
        </w:rPr>
        <w:t>99.89%</w:t>
      </w:r>
      <w:r>
        <w:rPr>
          <w:rStyle w:val="14"/>
          <w:rFonts w:hint="eastAsia" w:ascii="Times New Roman"/>
          <w:b w:val="0"/>
          <w:bCs w:val="0"/>
          <w:sz w:val="32"/>
          <w:szCs w:val="32"/>
        </w:rPr>
        <w:t>，</w:t>
      </w:r>
      <w:r>
        <w:rPr>
          <w:rFonts w:hint="eastAsia" w:ascii="Times New Roman" w:eastAsia="仿宋" w:cs="仿宋"/>
          <w:sz w:val="32"/>
          <w:szCs w:val="32"/>
        </w:rPr>
        <w:t>决算数与预算数基本持平。</w:t>
      </w:r>
    </w:p>
    <w:p>
      <w:pPr>
        <w:pStyle w:val="2"/>
        <w:spacing w:before="93"/>
        <w:ind w:firstLine="642" w:firstLineChars="200"/>
        <w:rPr>
          <w:rStyle w:val="14"/>
          <w:rFonts w:ascii="Times New Roman" w:cs="Times New Roman"/>
          <w:b w:val="0"/>
          <w:bCs w:val="0"/>
          <w:sz w:val="32"/>
          <w:szCs w:val="32"/>
        </w:rPr>
      </w:pPr>
      <w:r>
        <w:rPr>
          <w:rStyle w:val="14"/>
          <w:rFonts w:hint="eastAsia" w:ascii="Times New Roman" w:eastAsia="仿宋" w:cs="仿宋"/>
          <w:sz w:val="32"/>
          <w:szCs w:val="32"/>
        </w:rPr>
        <w:t>社会保障和就业（类）</w:t>
      </w:r>
      <w:r>
        <w:rPr>
          <w:rFonts w:hint="eastAsia" w:ascii="Times New Roman" w:eastAsia="仿宋" w:cs="仿宋"/>
          <w:b/>
          <w:bCs/>
          <w:color w:val="000000"/>
          <w:sz w:val="32"/>
          <w:szCs w:val="32"/>
        </w:rPr>
        <w:t>其他社会保障和就业支出（款）</w:t>
      </w:r>
      <w:r>
        <w:rPr>
          <w:rStyle w:val="14"/>
          <w:rFonts w:hint="eastAsia" w:ascii="Times New Roman" w:eastAsia="仿宋" w:cs="仿宋"/>
          <w:color w:val="000000"/>
          <w:sz w:val="32"/>
          <w:szCs w:val="32"/>
        </w:rPr>
        <w:t>其他社会保障和就业支出（项）</w:t>
      </w:r>
      <w:r>
        <w:rPr>
          <w:rStyle w:val="14"/>
          <w:rFonts w:ascii="Times New Roman" w:eastAsia="仿宋" w:cs="Times New Roman"/>
          <w:color w:val="000000"/>
          <w:sz w:val="32"/>
          <w:szCs w:val="32"/>
        </w:rPr>
        <w:t>:</w:t>
      </w:r>
      <w:r>
        <w:rPr>
          <w:rStyle w:val="14"/>
          <w:rFonts w:hint="eastAsia" w:ascii="Times New Roman"/>
          <w:b w:val="0"/>
          <w:bCs w:val="0"/>
          <w:sz w:val="32"/>
          <w:szCs w:val="32"/>
        </w:rPr>
        <w:t>支出决算为</w:t>
      </w:r>
      <w:r>
        <w:rPr>
          <w:rStyle w:val="14"/>
          <w:rFonts w:ascii="Times New Roman" w:cs="Times New Roman"/>
          <w:b w:val="0"/>
          <w:bCs w:val="0"/>
          <w:sz w:val="32"/>
          <w:szCs w:val="32"/>
        </w:rPr>
        <w:t>3.53</w:t>
      </w:r>
      <w:r>
        <w:rPr>
          <w:rStyle w:val="14"/>
          <w:rFonts w:hint="eastAsia" w:ascii="Times New Roman"/>
          <w:b w:val="0"/>
          <w:bCs w:val="0"/>
          <w:sz w:val="32"/>
          <w:szCs w:val="32"/>
        </w:rPr>
        <w:t>万元，完成预算</w:t>
      </w:r>
      <w:r>
        <w:rPr>
          <w:rStyle w:val="14"/>
          <w:rFonts w:ascii="Times New Roman" w:cs="Times New Roman"/>
          <w:b w:val="0"/>
          <w:bCs w:val="0"/>
          <w:sz w:val="32"/>
          <w:szCs w:val="32"/>
        </w:rPr>
        <w:t>99.16%</w:t>
      </w:r>
      <w:r>
        <w:rPr>
          <w:rStyle w:val="14"/>
          <w:rFonts w:hint="eastAsia" w:ascii="Times New Roman"/>
          <w:b w:val="0"/>
          <w:bCs w:val="0"/>
          <w:sz w:val="32"/>
          <w:szCs w:val="32"/>
        </w:rPr>
        <w:t>，</w:t>
      </w:r>
      <w:r>
        <w:rPr>
          <w:rFonts w:hint="eastAsia" w:ascii="Times New Roman" w:eastAsia="仿宋" w:cs="仿宋"/>
          <w:sz w:val="32"/>
          <w:szCs w:val="32"/>
        </w:rPr>
        <w:t>决算数与预算数基本持平。</w:t>
      </w:r>
    </w:p>
    <w:p>
      <w:pPr>
        <w:spacing w:line="600" w:lineRule="exact"/>
        <w:ind w:firstLine="642" w:firstLineChars="200"/>
        <w:rPr>
          <w:rFonts w:eastAsia="仿宋_GB2312"/>
          <w:sz w:val="32"/>
          <w:szCs w:val="32"/>
        </w:rPr>
      </w:pPr>
      <w:r>
        <w:rPr>
          <w:rStyle w:val="14"/>
          <w:rFonts w:eastAsia="仿宋"/>
          <w:sz w:val="32"/>
          <w:szCs w:val="32"/>
        </w:rPr>
        <w:t>4.</w:t>
      </w:r>
      <w:r>
        <w:rPr>
          <w:rStyle w:val="14"/>
          <w:rFonts w:hint="eastAsia" w:eastAsia="仿宋" w:cs="仿宋"/>
          <w:color w:val="000000"/>
          <w:sz w:val="32"/>
          <w:szCs w:val="32"/>
        </w:rPr>
        <w:t>卫生健康（类）</w:t>
      </w:r>
      <w:r>
        <w:rPr>
          <w:rFonts w:hint="eastAsia" w:eastAsia="仿宋" w:cs="仿宋"/>
          <w:b/>
          <w:bCs/>
          <w:color w:val="000000"/>
          <w:sz w:val="32"/>
          <w:szCs w:val="32"/>
        </w:rPr>
        <w:t>行政事业单位医疗</w:t>
      </w:r>
      <w:r>
        <w:rPr>
          <w:rStyle w:val="14"/>
          <w:rFonts w:hint="eastAsia" w:eastAsia="仿宋" w:cs="仿宋"/>
          <w:color w:val="000000"/>
          <w:sz w:val="32"/>
          <w:szCs w:val="32"/>
        </w:rPr>
        <w:t>（款）</w:t>
      </w:r>
      <w:r>
        <w:rPr>
          <w:rFonts w:hint="eastAsia" w:eastAsia="仿宋" w:cs="仿宋"/>
          <w:b/>
          <w:bCs/>
          <w:color w:val="000000"/>
          <w:sz w:val="32"/>
          <w:szCs w:val="32"/>
        </w:rPr>
        <w:t>行政单位医疗</w:t>
      </w:r>
      <w:r>
        <w:rPr>
          <w:rStyle w:val="14"/>
          <w:rFonts w:hint="eastAsia" w:eastAsia="仿宋" w:cs="仿宋"/>
          <w:sz w:val="32"/>
          <w:szCs w:val="32"/>
        </w:rPr>
        <w:t>（项）</w:t>
      </w:r>
      <w:r>
        <w:rPr>
          <w:rStyle w:val="14"/>
          <w:rFonts w:eastAsia="仿宋"/>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221.43</w:t>
      </w:r>
      <w:r>
        <w:rPr>
          <w:rStyle w:val="14"/>
          <w:rFonts w:hint="eastAsia" w:eastAsia="仿宋_GB2312" w:cs="仿宋_GB2312"/>
          <w:b w:val="0"/>
          <w:bCs w:val="0"/>
          <w:sz w:val="32"/>
          <w:szCs w:val="32"/>
        </w:rPr>
        <w:t>万元，完成预算</w:t>
      </w:r>
      <w:r>
        <w:rPr>
          <w:rStyle w:val="14"/>
          <w:rFonts w:eastAsia="仿宋_GB2312"/>
          <w:b w:val="0"/>
          <w:bCs w:val="0"/>
          <w:sz w:val="32"/>
          <w:szCs w:val="32"/>
        </w:rPr>
        <w:t>99.92%</w:t>
      </w:r>
      <w:r>
        <w:rPr>
          <w:rStyle w:val="14"/>
          <w:rFonts w:hint="eastAsia" w:ascii="宋体" w:hAnsi="宋体" w:eastAsia="宋体" w:cs="宋体"/>
          <w:b w:val="0"/>
          <w:bCs w:val="0"/>
          <w:sz w:val="32"/>
          <w:szCs w:val="32"/>
        </w:rPr>
        <w:t>，</w:t>
      </w:r>
      <w:r>
        <w:rPr>
          <w:rFonts w:hint="eastAsia" w:eastAsia="仿宋" w:cs="仿宋"/>
          <w:sz w:val="32"/>
          <w:szCs w:val="32"/>
        </w:rPr>
        <w:t>决算数与预算数基本持平。</w:t>
      </w:r>
    </w:p>
    <w:p>
      <w:pPr>
        <w:spacing w:line="600" w:lineRule="exact"/>
        <w:ind w:firstLine="642" w:firstLineChars="200"/>
        <w:rPr>
          <w:rFonts w:eastAsia="仿宋_GB2312"/>
          <w:sz w:val="32"/>
          <w:szCs w:val="32"/>
        </w:rPr>
      </w:pPr>
      <w:r>
        <w:rPr>
          <w:rStyle w:val="14"/>
          <w:rFonts w:hint="eastAsia" w:eastAsia="仿宋" w:cs="仿宋"/>
          <w:color w:val="000000"/>
          <w:sz w:val="32"/>
          <w:szCs w:val="32"/>
        </w:rPr>
        <w:t>卫生健康（类）</w:t>
      </w:r>
      <w:r>
        <w:rPr>
          <w:rFonts w:hint="eastAsia" w:eastAsia="仿宋" w:cs="仿宋"/>
          <w:b/>
          <w:bCs/>
          <w:color w:val="000000"/>
          <w:sz w:val="32"/>
          <w:szCs w:val="32"/>
        </w:rPr>
        <w:t>行政事业单位医疗</w:t>
      </w:r>
      <w:r>
        <w:rPr>
          <w:rStyle w:val="14"/>
          <w:rFonts w:hint="eastAsia" w:eastAsia="仿宋" w:cs="仿宋"/>
          <w:color w:val="000000"/>
          <w:sz w:val="32"/>
          <w:szCs w:val="32"/>
        </w:rPr>
        <w:t>（款）</w:t>
      </w:r>
      <w:r>
        <w:rPr>
          <w:rFonts w:hint="eastAsia" w:eastAsia="仿宋" w:cs="仿宋"/>
          <w:b/>
          <w:bCs/>
          <w:color w:val="000000"/>
          <w:sz w:val="32"/>
          <w:szCs w:val="32"/>
        </w:rPr>
        <w:t>公务员医疗补助</w:t>
      </w:r>
      <w:r>
        <w:rPr>
          <w:rStyle w:val="14"/>
          <w:rFonts w:hint="eastAsia" w:eastAsia="仿宋" w:cs="仿宋"/>
          <w:color w:val="000000"/>
          <w:sz w:val="32"/>
          <w:szCs w:val="32"/>
        </w:rPr>
        <w:t>（项）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64.77</w:t>
      </w:r>
      <w:r>
        <w:rPr>
          <w:rStyle w:val="14"/>
          <w:rFonts w:hint="eastAsia" w:eastAsia="仿宋_GB2312" w:cs="仿宋_GB2312"/>
          <w:b w:val="0"/>
          <w:bCs w:val="0"/>
          <w:sz w:val="32"/>
          <w:szCs w:val="32"/>
        </w:rPr>
        <w:t>万元，完成预算</w:t>
      </w:r>
      <w:r>
        <w:rPr>
          <w:rStyle w:val="14"/>
          <w:rFonts w:eastAsia="仿宋_GB2312"/>
          <w:b w:val="0"/>
          <w:bCs w:val="0"/>
          <w:sz w:val="32"/>
          <w:szCs w:val="32"/>
        </w:rPr>
        <w:t>100%</w:t>
      </w:r>
      <w:r>
        <w:rPr>
          <w:rStyle w:val="14"/>
          <w:rFonts w:hint="eastAsia" w:eastAsia="仿宋_GB2312" w:cs="仿宋_GB2312"/>
          <w:b w:val="0"/>
          <w:bCs w:val="0"/>
          <w:sz w:val="32"/>
          <w:szCs w:val="32"/>
        </w:rPr>
        <w:t>。</w:t>
      </w:r>
    </w:p>
    <w:p>
      <w:pPr>
        <w:spacing w:line="600" w:lineRule="exact"/>
        <w:ind w:firstLine="642" w:firstLineChars="200"/>
        <w:rPr>
          <w:rFonts w:eastAsia="仿宋_GB2312"/>
          <w:sz w:val="32"/>
          <w:szCs w:val="32"/>
        </w:rPr>
      </w:pPr>
      <w:r>
        <w:rPr>
          <w:rStyle w:val="14"/>
          <w:rFonts w:eastAsia="仿宋"/>
          <w:sz w:val="32"/>
          <w:szCs w:val="32"/>
        </w:rPr>
        <w:t>5.</w:t>
      </w:r>
      <w:r>
        <w:rPr>
          <w:rStyle w:val="14"/>
          <w:rFonts w:hint="eastAsia" w:eastAsia="仿宋" w:cs="仿宋"/>
          <w:sz w:val="32"/>
          <w:szCs w:val="32"/>
        </w:rPr>
        <w:t>住房保障（类）</w:t>
      </w:r>
      <w:r>
        <w:rPr>
          <w:rFonts w:hint="eastAsia" w:eastAsia="仿宋" w:cs="仿宋"/>
          <w:b/>
          <w:bCs/>
          <w:color w:val="000000"/>
          <w:sz w:val="32"/>
          <w:szCs w:val="32"/>
        </w:rPr>
        <w:t>住房改革支出</w:t>
      </w:r>
      <w:r>
        <w:rPr>
          <w:rStyle w:val="14"/>
          <w:rFonts w:hint="eastAsia" w:eastAsia="仿宋" w:cs="仿宋"/>
          <w:color w:val="000000"/>
          <w:sz w:val="32"/>
          <w:szCs w:val="32"/>
        </w:rPr>
        <w:t>（款）</w:t>
      </w:r>
      <w:r>
        <w:rPr>
          <w:rFonts w:hint="eastAsia" w:eastAsia="仿宋" w:cs="仿宋"/>
          <w:b/>
          <w:bCs/>
          <w:color w:val="000000"/>
          <w:sz w:val="32"/>
          <w:szCs w:val="32"/>
        </w:rPr>
        <w:t>住房公积金</w:t>
      </w:r>
      <w:r>
        <w:rPr>
          <w:rStyle w:val="14"/>
          <w:rFonts w:hint="eastAsia" w:eastAsia="仿宋" w:cs="仿宋"/>
          <w:color w:val="000000"/>
          <w:sz w:val="32"/>
          <w:szCs w:val="32"/>
        </w:rPr>
        <w:t>（项）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279.13</w:t>
      </w:r>
      <w:r>
        <w:rPr>
          <w:rStyle w:val="14"/>
          <w:rFonts w:hint="eastAsia" w:eastAsia="仿宋_GB2312" w:cs="仿宋_GB2312"/>
          <w:b w:val="0"/>
          <w:bCs w:val="0"/>
          <w:sz w:val="32"/>
          <w:szCs w:val="32"/>
        </w:rPr>
        <w:t>万元，完成预算</w:t>
      </w:r>
      <w:r>
        <w:rPr>
          <w:rStyle w:val="14"/>
          <w:rFonts w:eastAsia="仿宋_GB2312"/>
          <w:b w:val="0"/>
          <w:bCs w:val="0"/>
          <w:sz w:val="32"/>
          <w:szCs w:val="32"/>
        </w:rPr>
        <w:t>100%</w:t>
      </w:r>
      <w:r>
        <w:rPr>
          <w:rStyle w:val="14"/>
          <w:rFonts w:hint="eastAsia" w:eastAsia="仿宋_GB2312" w:cs="仿宋_GB2312"/>
          <w:b w:val="0"/>
          <w:bCs w:val="0"/>
          <w:sz w:val="32"/>
          <w:szCs w:val="32"/>
        </w:rPr>
        <w:t>。</w:t>
      </w:r>
    </w:p>
    <w:p>
      <w:pPr>
        <w:spacing w:line="600" w:lineRule="exact"/>
        <w:ind w:firstLine="642" w:firstLineChars="200"/>
        <w:rPr>
          <w:rFonts w:eastAsia="仿宋_GB2312"/>
          <w:sz w:val="32"/>
          <w:szCs w:val="32"/>
        </w:rPr>
      </w:pPr>
      <w:r>
        <w:rPr>
          <w:rStyle w:val="14"/>
          <w:rFonts w:hint="eastAsia" w:eastAsia="仿宋" w:cs="仿宋"/>
          <w:sz w:val="32"/>
          <w:szCs w:val="32"/>
        </w:rPr>
        <w:t>住房保障（类）</w:t>
      </w:r>
      <w:r>
        <w:rPr>
          <w:rFonts w:hint="eastAsia" w:eastAsia="仿宋" w:cs="仿宋"/>
          <w:b/>
          <w:bCs/>
          <w:color w:val="000000"/>
          <w:sz w:val="32"/>
          <w:szCs w:val="32"/>
        </w:rPr>
        <w:t>住房改革支出</w:t>
      </w:r>
      <w:r>
        <w:rPr>
          <w:rStyle w:val="14"/>
          <w:rFonts w:hint="eastAsia" w:eastAsia="仿宋" w:cs="仿宋"/>
          <w:color w:val="000000"/>
          <w:sz w:val="32"/>
          <w:szCs w:val="32"/>
        </w:rPr>
        <w:t>（款）</w:t>
      </w:r>
      <w:r>
        <w:rPr>
          <w:rFonts w:hint="eastAsia" w:eastAsia="仿宋" w:cs="仿宋"/>
          <w:b/>
          <w:bCs/>
          <w:color w:val="000000"/>
          <w:sz w:val="32"/>
          <w:szCs w:val="32"/>
        </w:rPr>
        <w:t>购房补贴（项）</w:t>
      </w:r>
      <w:r>
        <w:rPr>
          <w:rStyle w:val="14"/>
          <w:rFonts w:eastAsia="仿宋"/>
          <w:color w:val="000000"/>
          <w:sz w:val="32"/>
          <w:szCs w:val="32"/>
        </w:rPr>
        <w:t>:</w:t>
      </w:r>
      <w:r>
        <w:rPr>
          <w:rStyle w:val="14"/>
          <w:rFonts w:hint="eastAsia" w:eastAsia="仿宋_GB2312" w:cs="仿宋_GB2312"/>
          <w:b w:val="0"/>
          <w:bCs w:val="0"/>
          <w:sz w:val="32"/>
          <w:szCs w:val="32"/>
        </w:rPr>
        <w:t>支出决算为</w:t>
      </w:r>
      <w:r>
        <w:rPr>
          <w:rStyle w:val="14"/>
          <w:rFonts w:eastAsia="仿宋_GB2312"/>
          <w:b w:val="0"/>
          <w:bCs w:val="0"/>
          <w:sz w:val="32"/>
          <w:szCs w:val="32"/>
        </w:rPr>
        <w:t>195.95</w:t>
      </w:r>
      <w:r>
        <w:rPr>
          <w:rStyle w:val="14"/>
          <w:rFonts w:hint="eastAsia" w:eastAsia="仿宋_GB2312" w:cs="仿宋_GB2312"/>
          <w:b w:val="0"/>
          <w:bCs w:val="0"/>
          <w:sz w:val="32"/>
          <w:szCs w:val="32"/>
        </w:rPr>
        <w:t>万元，完成预算</w:t>
      </w:r>
      <w:r>
        <w:rPr>
          <w:rStyle w:val="14"/>
          <w:rFonts w:eastAsia="仿宋_GB2312"/>
          <w:b w:val="0"/>
          <w:bCs w:val="0"/>
          <w:sz w:val="32"/>
          <w:szCs w:val="32"/>
        </w:rPr>
        <w:t>100%</w:t>
      </w:r>
      <w:r>
        <w:rPr>
          <w:rStyle w:val="14"/>
          <w:rFonts w:hint="eastAsia" w:eastAsia="仿宋_GB2312" w:cs="仿宋_GB2312"/>
          <w:b w:val="0"/>
          <w:bCs w:val="0"/>
          <w:sz w:val="32"/>
          <w:szCs w:val="32"/>
        </w:rPr>
        <w:t>。</w:t>
      </w:r>
    </w:p>
    <w:p>
      <w:pPr>
        <w:spacing w:line="600" w:lineRule="exact"/>
        <w:ind w:firstLine="642" w:firstLineChars="200"/>
        <w:rPr>
          <w:rFonts w:eastAsia="仿宋_GB2312"/>
          <w:sz w:val="32"/>
          <w:szCs w:val="32"/>
        </w:rPr>
      </w:pPr>
      <w:r>
        <w:rPr>
          <w:rStyle w:val="14"/>
          <w:rFonts w:eastAsia="仿宋"/>
          <w:sz w:val="32"/>
          <w:szCs w:val="32"/>
        </w:rPr>
        <w:t>6.</w:t>
      </w:r>
      <w:r>
        <w:rPr>
          <w:rFonts w:hint="eastAsia" w:eastAsia="仿宋" w:cs="仿宋"/>
          <w:b/>
          <w:bCs/>
          <w:color w:val="000000"/>
          <w:sz w:val="32"/>
          <w:szCs w:val="32"/>
        </w:rPr>
        <w:t>灾害防治及应急管理</w:t>
      </w:r>
      <w:r>
        <w:rPr>
          <w:rStyle w:val="14"/>
          <w:rFonts w:hint="eastAsia" w:eastAsia="仿宋" w:cs="仿宋"/>
          <w:color w:val="000000"/>
          <w:sz w:val="32"/>
          <w:szCs w:val="32"/>
        </w:rPr>
        <w:t>（类）</w:t>
      </w:r>
      <w:r>
        <w:rPr>
          <w:rFonts w:hint="eastAsia" w:eastAsia="仿宋" w:cs="仿宋"/>
          <w:b/>
          <w:bCs/>
          <w:color w:val="000000"/>
          <w:sz w:val="32"/>
          <w:szCs w:val="32"/>
        </w:rPr>
        <w:t>应急管理事务</w:t>
      </w:r>
      <w:r>
        <w:rPr>
          <w:rStyle w:val="14"/>
          <w:rFonts w:hint="eastAsia" w:eastAsia="仿宋" w:cs="仿宋"/>
          <w:color w:val="000000"/>
          <w:sz w:val="32"/>
          <w:szCs w:val="32"/>
        </w:rPr>
        <w:t>（款）</w:t>
      </w:r>
      <w:r>
        <w:rPr>
          <w:rFonts w:hint="eastAsia" w:eastAsia="仿宋" w:cs="仿宋"/>
          <w:b/>
          <w:bCs/>
          <w:color w:val="000000"/>
          <w:sz w:val="32"/>
          <w:szCs w:val="32"/>
        </w:rPr>
        <w:t>其他应急管理支出</w:t>
      </w:r>
      <w:r>
        <w:rPr>
          <w:rStyle w:val="14"/>
          <w:rFonts w:hint="eastAsia" w:eastAsia="仿宋" w:cs="仿宋"/>
          <w:color w:val="000000"/>
          <w:sz w:val="32"/>
          <w:szCs w:val="32"/>
        </w:rPr>
        <w:t>（项）</w:t>
      </w:r>
      <w:r>
        <w:rPr>
          <w:rStyle w:val="14"/>
          <w:rFonts w:eastAsia="仿宋"/>
          <w:color w:val="000000"/>
          <w:sz w:val="32"/>
          <w:szCs w:val="32"/>
        </w:rPr>
        <w:t>:</w:t>
      </w:r>
      <w:r>
        <w:rPr>
          <w:rFonts w:hint="eastAsia" w:eastAsia="仿宋_GB2312" w:cs="仿宋_GB2312"/>
          <w:sz w:val="32"/>
          <w:szCs w:val="32"/>
        </w:rPr>
        <w:t>支出决算为</w:t>
      </w:r>
      <w:r>
        <w:rPr>
          <w:rFonts w:eastAsia="仿宋_GB2312"/>
          <w:sz w:val="32"/>
          <w:szCs w:val="32"/>
        </w:rPr>
        <w:t>5</w:t>
      </w:r>
      <w:r>
        <w:rPr>
          <w:rFonts w:hint="eastAsia" w:eastAsia="仿宋_GB2312" w:cs="仿宋_GB2312"/>
          <w:sz w:val="32"/>
          <w:szCs w:val="32"/>
        </w:rPr>
        <w:t>万元，完成预算</w:t>
      </w:r>
      <w:r>
        <w:rPr>
          <w:rFonts w:eastAsia="仿宋_GB2312"/>
          <w:sz w:val="32"/>
          <w:szCs w:val="32"/>
        </w:rPr>
        <w:t>100%</w:t>
      </w:r>
      <w:r>
        <w:rPr>
          <w:rFonts w:hint="eastAsia" w:eastAsia="仿宋_GB2312" w:cs="仿宋_GB2312"/>
          <w:sz w:val="32"/>
          <w:szCs w:val="32"/>
        </w:rPr>
        <w:t>。</w:t>
      </w:r>
    </w:p>
    <w:p>
      <w:pPr>
        <w:spacing w:line="600" w:lineRule="exact"/>
        <w:ind w:firstLine="642" w:firstLineChars="200"/>
        <w:rPr>
          <w:rFonts w:eastAsia="仿宋_GB2312"/>
          <w:sz w:val="32"/>
          <w:szCs w:val="32"/>
        </w:rPr>
      </w:pPr>
      <w:r>
        <w:rPr>
          <w:rStyle w:val="14"/>
          <w:rFonts w:eastAsia="仿宋"/>
          <w:sz w:val="32"/>
          <w:szCs w:val="32"/>
        </w:rPr>
        <w:t>7.</w:t>
      </w:r>
      <w:r>
        <w:rPr>
          <w:rFonts w:hint="eastAsia" w:eastAsia="仿宋" w:cs="仿宋"/>
          <w:b/>
          <w:bCs/>
          <w:color w:val="000000"/>
          <w:sz w:val="32"/>
          <w:szCs w:val="32"/>
        </w:rPr>
        <w:t>其他</w:t>
      </w:r>
      <w:r>
        <w:rPr>
          <w:rStyle w:val="14"/>
          <w:rFonts w:hint="eastAsia" w:eastAsia="仿宋" w:cs="仿宋"/>
          <w:color w:val="000000"/>
          <w:sz w:val="32"/>
          <w:szCs w:val="32"/>
        </w:rPr>
        <w:t>（类）</w:t>
      </w:r>
      <w:r>
        <w:rPr>
          <w:rFonts w:hint="eastAsia" w:eastAsia="仿宋" w:cs="仿宋"/>
          <w:b/>
          <w:bCs/>
          <w:color w:val="000000"/>
          <w:sz w:val="32"/>
          <w:szCs w:val="32"/>
        </w:rPr>
        <w:t>其他支出</w:t>
      </w:r>
      <w:r>
        <w:rPr>
          <w:rStyle w:val="14"/>
          <w:rFonts w:hint="eastAsia" w:eastAsia="仿宋" w:cs="仿宋"/>
          <w:color w:val="000000"/>
          <w:sz w:val="32"/>
          <w:szCs w:val="32"/>
        </w:rPr>
        <w:t>（款）</w:t>
      </w:r>
      <w:r>
        <w:rPr>
          <w:rFonts w:hint="eastAsia" w:eastAsia="仿宋" w:cs="仿宋"/>
          <w:b/>
          <w:bCs/>
          <w:color w:val="000000"/>
          <w:sz w:val="32"/>
          <w:szCs w:val="32"/>
        </w:rPr>
        <w:t>其他支出</w:t>
      </w:r>
      <w:r>
        <w:rPr>
          <w:rStyle w:val="14"/>
          <w:rFonts w:hint="eastAsia" w:eastAsia="仿宋" w:cs="仿宋"/>
          <w:color w:val="000000"/>
          <w:sz w:val="32"/>
          <w:szCs w:val="32"/>
        </w:rPr>
        <w:t>（项）</w:t>
      </w:r>
      <w:r>
        <w:rPr>
          <w:rStyle w:val="14"/>
          <w:rFonts w:eastAsia="仿宋"/>
          <w:color w:val="000000"/>
          <w:sz w:val="32"/>
          <w:szCs w:val="32"/>
        </w:rPr>
        <w:t>:</w:t>
      </w:r>
      <w:r>
        <w:rPr>
          <w:rFonts w:hint="eastAsia" w:eastAsia="仿宋_GB2312" w:cs="仿宋_GB2312"/>
          <w:sz w:val="32"/>
          <w:szCs w:val="32"/>
        </w:rPr>
        <w:t>支出决算为</w:t>
      </w:r>
      <w:r>
        <w:rPr>
          <w:rFonts w:eastAsia="仿宋_GB2312"/>
          <w:sz w:val="32"/>
          <w:szCs w:val="32"/>
        </w:rPr>
        <w:t>0.30</w:t>
      </w:r>
      <w:r>
        <w:rPr>
          <w:rFonts w:hint="eastAsia" w:eastAsia="仿宋_GB2312" w:cs="仿宋_GB2312"/>
          <w:sz w:val="32"/>
          <w:szCs w:val="32"/>
        </w:rPr>
        <w:t>万元，完成预算</w:t>
      </w:r>
      <w:r>
        <w:rPr>
          <w:rFonts w:eastAsia="仿宋_GB2312"/>
          <w:sz w:val="32"/>
          <w:szCs w:val="32"/>
        </w:rPr>
        <w:t>100%</w:t>
      </w:r>
      <w:r>
        <w:rPr>
          <w:rFonts w:hint="eastAsia" w:eastAsia="仿宋_GB2312" w:cs="仿宋_GB2312"/>
          <w:sz w:val="32"/>
          <w:szCs w:val="32"/>
        </w:rPr>
        <w:t>。</w:t>
      </w:r>
    </w:p>
    <w:p>
      <w:pPr>
        <w:tabs>
          <w:tab w:val="right" w:pos="8306"/>
        </w:tabs>
        <w:spacing w:line="600" w:lineRule="exact"/>
        <w:ind w:firstLine="640" w:firstLineChars="200"/>
        <w:outlineLvl w:val="1"/>
        <w:rPr>
          <w:rStyle w:val="18"/>
          <w:rFonts w:ascii="Times New Roman" w:hAnsi="Times New Roman" w:eastAsia="黑体" w:cs="Times New Roman"/>
          <w:b w:val="0"/>
          <w:bCs w:val="0"/>
        </w:rPr>
      </w:pPr>
      <w:bookmarkStart w:id="93" w:name="_Toc15396608"/>
      <w:bookmarkStart w:id="94" w:name="_Toc81293324"/>
      <w:bookmarkStart w:id="95" w:name="_Toc81293503"/>
      <w:bookmarkStart w:id="96" w:name="_Toc15377214"/>
      <w:bookmarkStart w:id="97" w:name="_Toc81380049"/>
      <w:r>
        <w:rPr>
          <w:rFonts w:hint="eastAsia" w:eastAsia="黑体" w:cs="黑体"/>
          <w:sz w:val="32"/>
          <w:szCs w:val="32"/>
        </w:rPr>
        <w:t>六、一</w:t>
      </w:r>
      <w:r>
        <w:rPr>
          <w:rStyle w:val="18"/>
          <w:rFonts w:hint="eastAsia" w:ascii="Times New Roman" w:hAnsi="Times New Roman" w:eastAsia="黑体" w:cs="黑体"/>
          <w:b w:val="0"/>
          <w:bCs w:val="0"/>
        </w:rPr>
        <w:t>般公共预算财政拨款基本支出决算情况说明</w:t>
      </w:r>
      <w:bookmarkEnd w:id="93"/>
      <w:bookmarkEnd w:id="94"/>
      <w:bookmarkEnd w:id="95"/>
      <w:bookmarkEnd w:id="96"/>
      <w:bookmarkEnd w:id="97"/>
    </w:p>
    <w:p>
      <w:pPr>
        <w:spacing w:line="600"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年一般公共预算财政拨款基本支出</w:t>
      </w:r>
      <w:r>
        <w:rPr>
          <w:rFonts w:eastAsia="仿宋_GB2312"/>
          <w:sz w:val="32"/>
          <w:szCs w:val="32"/>
        </w:rPr>
        <w:t>5242.82</w:t>
      </w:r>
      <w:r>
        <w:rPr>
          <w:rFonts w:hint="eastAsia" w:eastAsia="仿宋_GB2312" w:cs="仿宋_GB2312"/>
          <w:sz w:val="32"/>
          <w:szCs w:val="32"/>
        </w:rPr>
        <w:t>万元，其中：</w:t>
      </w:r>
    </w:p>
    <w:p>
      <w:pPr>
        <w:spacing w:line="600" w:lineRule="exact"/>
        <w:ind w:firstLine="640" w:firstLineChars="200"/>
        <w:rPr>
          <w:rFonts w:eastAsia="仿宋_GB2312"/>
          <w:sz w:val="32"/>
          <w:szCs w:val="32"/>
        </w:rPr>
      </w:pPr>
      <w:r>
        <w:rPr>
          <w:rFonts w:hint="eastAsia" w:eastAsia="仿宋_GB2312" w:cs="仿宋_GB2312"/>
          <w:sz w:val="32"/>
          <w:szCs w:val="32"/>
        </w:rPr>
        <w:t>人员经费</w:t>
      </w:r>
      <w:r>
        <w:rPr>
          <w:rFonts w:eastAsia="仿宋_GB2312"/>
          <w:sz w:val="32"/>
          <w:szCs w:val="32"/>
        </w:rPr>
        <w:t>4067.94</w:t>
      </w:r>
      <w:r>
        <w:rPr>
          <w:rFonts w:hint="eastAsia" w:eastAsia="仿宋_GB2312" w:cs="仿宋_GB2312"/>
          <w:sz w:val="32"/>
          <w:szCs w:val="32"/>
        </w:rPr>
        <w:t>万元，主要包括：基本工资、津贴补贴、奖金、机关事业单位基本养老保险缴费、</w:t>
      </w:r>
      <w:r>
        <w:rPr>
          <w:rFonts w:hint="eastAsia" w:eastAsia="仿宋" w:cs="仿宋"/>
          <w:sz w:val="32"/>
          <w:szCs w:val="32"/>
        </w:rPr>
        <w:t>职工基本医疗保险缴费、公务员医疗补助缴费、</w:t>
      </w:r>
      <w:r>
        <w:rPr>
          <w:rFonts w:hint="eastAsia" w:eastAsia="仿宋_GB2312" w:cs="仿宋_GB2312"/>
          <w:sz w:val="32"/>
          <w:szCs w:val="32"/>
        </w:rPr>
        <w:t>住房公积金、其他工资福利支出、离休费、抚恤金、生活补助、奖励金、其他对个人和家庭的补助支出等。</w:t>
      </w:r>
    </w:p>
    <w:p>
      <w:pPr>
        <w:spacing w:line="600" w:lineRule="exact"/>
        <w:ind w:firstLine="640" w:firstLineChars="200"/>
        <w:rPr>
          <w:rFonts w:eastAsia="仿宋_GB2312"/>
          <w:sz w:val="32"/>
          <w:szCs w:val="32"/>
        </w:rPr>
      </w:pPr>
      <w:r>
        <w:rPr>
          <w:rFonts w:hint="eastAsia" w:eastAsia="仿宋_GB2312" w:cs="仿宋_GB2312"/>
          <w:sz w:val="32"/>
          <w:szCs w:val="32"/>
        </w:rPr>
        <w:t>公用经费</w:t>
      </w:r>
      <w:r>
        <w:rPr>
          <w:rFonts w:eastAsia="仿宋_GB2312"/>
          <w:sz w:val="32"/>
          <w:szCs w:val="32"/>
        </w:rPr>
        <w:t>1174.88</w:t>
      </w:r>
      <w:r>
        <w:rPr>
          <w:rFonts w:hint="eastAsia" w:eastAsia="仿宋_GB2312" w:cs="仿宋_GB2312"/>
          <w:sz w:val="32"/>
          <w:szCs w:val="32"/>
        </w:rPr>
        <w:t>万元，主要包括：办公费、印刷费、手续费、水费、电费、邮电费、差旅费、维修（护）费、租赁费、会议费、培训费、公务接待费、劳务费、委托业务费、工会经费、福利费、公务用车运行维护费、其他交通费用、其他商品和服务支出等。</w:t>
      </w:r>
    </w:p>
    <w:p>
      <w:pPr>
        <w:spacing w:line="600" w:lineRule="exact"/>
        <w:ind w:firstLine="640" w:firstLineChars="200"/>
        <w:outlineLvl w:val="1"/>
        <w:rPr>
          <w:rStyle w:val="18"/>
          <w:rFonts w:ascii="Times New Roman" w:hAnsi="Times New Roman" w:eastAsia="黑体" w:cs="Times New Roman"/>
          <w:b w:val="0"/>
          <w:bCs w:val="0"/>
        </w:rPr>
      </w:pPr>
      <w:bookmarkStart w:id="98" w:name="_Toc81293504"/>
      <w:bookmarkStart w:id="99" w:name="_Toc15396609"/>
      <w:bookmarkStart w:id="100" w:name="_Toc81380050"/>
      <w:bookmarkStart w:id="101" w:name="_Toc81293325"/>
      <w:bookmarkStart w:id="102" w:name="_Toc15377215"/>
      <w:r>
        <w:rPr>
          <w:rFonts w:hint="eastAsia" w:eastAsia="黑体" w:cs="黑体"/>
          <w:sz w:val="32"/>
          <w:szCs w:val="32"/>
        </w:rPr>
        <w:t>七、“</w:t>
      </w:r>
      <w:r>
        <w:rPr>
          <w:rStyle w:val="18"/>
          <w:rFonts w:hint="eastAsia" w:ascii="Times New Roman" w:hAnsi="Times New Roman" w:eastAsia="黑体" w:cs="黑体"/>
          <w:b w:val="0"/>
          <w:bCs w:val="0"/>
        </w:rPr>
        <w:t>三公”经费财政拨款支出决算情况说明</w:t>
      </w:r>
      <w:bookmarkEnd w:id="98"/>
      <w:bookmarkEnd w:id="99"/>
      <w:bookmarkEnd w:id="100"/>
      <w:bookmarkEnd w:id="101"/>
      <w:bookmarkEnd w:id="102"/>
    </w:p>
    <w:p>
      <w:pPr>
        <w:spacing w:line="600" w:lineRule="exact"/>
        <w:ind w:firstLine="640" w:firstLineChars="200"/>
        <w:outlineLvl w:val="2"/>
        <w:rPr>
          <w:rFonts w:eastAsia="楷体_GB2312"/>
          <w:sz w:val="32"/>
          <w:szCs w:val="32"/>
        </w:rPr>
      </w:pPr>
      <w:bookmarkStart w:id="103" w:name="_Toc81293505"/>
      <w:bookmarkStart w:id="104" w:name="_Toc81380051"/>
      <w:bookmarkStart w:id="105" w:name="_Toc15377216"/>
      <w:bookmarkStart w:id="106" w:name="_Toc81293326"/>
      <w:r>
        <w:rPr>
          <w:rFonts w:hint="eastAsia" w:eastAsia="楷体_GB2312" w:cs="楷体_GB2312"/>
          <w:sz w:val="32"/>
          <w:szCs w:val="32"/>
        </w:rPr>
        <w:t>（一）“三公”经费财政拨款支出决算总体情况说明</w:t>
      </w:r>
      <w:bookmarkEnd w:id="103"/>
      <w:bookmarkEnd w:id="104"/>
      <w:bookmarkEnd w:id="105"/>
      <w:bookmarkEnd w:id="106"/>
    </w:p>
    <w:p>
      <w:pPr>
        <w:spacing w:line="600"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年“三公”经费财政拨款支出决算为</w:t>
      </w:r>
      <w:r>
        <w:rPr>
          <w:rFonts w:eastAsia="仿宋_GB2312"/>
          <w:sz w:val="32"/>
          <w:szCs w:val="32"/>
        </w:rPr>
        <w:t>69.68</w:t>
      </w:r>
      <w:r>
        <w:rPr>
          <w:rFonts w:hint="eastAsia" w:eastAsia="仿宋_GB2312" w:cs="仿宋_GB2312"/>
          <w:sz w:val="32"/>
          <w:szCs w:val="32"/>
        </w:rPr>
        <w:t>万元，完成预算</w:t>
      </w:r>
      <w:r>
        <w:rPr>
          <w:rFonts w:eastAsia="仿宋_GB2312"/>
          <w:sz w:val="32"/>
          <w:szCs w:val="32"/>
        </w:rPr>
        <w:t>76.03%</w:t>
      </w:r>
      <w:r>
        <w:rPr>
          <w:rFonts w:hint="eastAsia" w:eastAsia="仿宋_GB2312" w:cs="仿宋_GB2312"/>
          <w:sz w:val="32"/>
          <w:szCs w:val="32"/>
        </w:rPr>
        <w:t>，决算数小于预算数的主要原因是：疫情期间，一是减少了人社系统基层工作调研、人社工作巡查暗访等公务用车出行次数；二是减少了外省、市部门来川调研的接待次数；三是压减了出国（境）经费预算。</w:t>
      </w:r>
    </w:p>
    <w:p>
      <w:pPr>
        <w:spacing w:line="600" w:lineRule="exact"/>
        <w:ind w:firstLine="640" w:firstLineChars="200"/>
        <w:outlineLvl w:val="2"/>
        <w:rPr>
          <w:rFonts w:eastAsia="楷体_GB2312"/>
          <w:sz w:val="32"/>
          <w:szCs w:val="32"/>
        </w:rPr>
      </w:pPr>
      <w:bookmarkStart w:id="107" w:name="_Toc81293506"/>
      <w:bookmarkStart w:id="108" w:name="_Toc81380052"/>
      <w:bookmarkStart w:id="109" w:name="_Toc15377217"/>
      <w:bookmarkStart w:id="110" w:name="_Toc81293327"/>
      <w:r>
        <w:rPr>
          <w:rFonts w:hint="eastAsia" w:eastAsia="楷体_GB2312" w:cs="楷体_GB2312"/>
          <w:sz w:val="32"/>
          <w:szCs w:val="32"/>
        </w:rPr>
        <w:t>（二）“三公”经费财政拨款支出决算具体情况说明</w:t>
      </w:r>
      <w:bookmarkEnd w:id="107"/>
      <w:bookmarkEnd w:id="108"/>
      <w:bookmarkEnd w:id="109"/>
      <w:bookmarkEnd w:id="110"/>
    </w:p>
    <w:p>
      <w:pPr>
        <w:spacing w:line="600" w:lineRule="exact"/>
        <w:ind w:firstLine="800" w:firstLineChars="250"/>
        <w:rPr>
          <w:rFonts w:eastAsia="仿宋_GB2312"/>
          <w:sz w:val="32"/>
          <w:szCs w:val="32"/>
        </w:rPr>
      </w:pPr>
      <w:r>
        <w:rPr>
          <w:rFonts w:eastAsia="仿宋_GB2312"/>
          <w:sz w:val="32"/>
          <w:szCs w:val="32"/>
        </w:rPr>
        <w:t>2020</w:t>
      </w:r>
      <w:r>
        <w:rPr>
          <w:rFonts w:hint="eastAsia" w:eastAsia="仿宋_GB2312" w:cs="仿宋_GB2312"/>
          <w:sz w:val="32"/>
          <w:szCs w:val="32"/>
        </w:rPr>
        <w:t>年“三公”经费财政拨款支出决算中，因公出国（境）费支出决算</w:t>
      </w:r>
      <w:r>
        <w:rPr>
          <w:rFonts w:eastAsia="仿宋_GB2312"/>
          <w:sz w:val="32"/>
          <w:szCs w:val="32"/>
        </w:rPr>
        <w:t>0</w:t>
      </w:r>
      <w:r>
        <w:rPr>
          <w:rFonts w:hint="eastAsia" w:eastAsia="仿宋_GB2312" w:cs="仿宋_GB2312"/>
          <w:sz w:val="32"/>
          <w:szCs w:val="32"/>
        </w:rPr>
        <w:t>万元，占</w:t>
      </w:r>
      <w:r>
        <w:rPr>
          <w:rFonts w:eastAsia="仿宋_GB2312"/>
          <w:sz w:val="32"/>
          <w:szCs w:val="32"/>
        </w:rPr>
        <w:t>0%</w:t>
      </w:r>
      <w:r>
        <w:rPr>
          <w:rFonts w:hint="eastAsia" w:eastAsia="仿宋_GB2312" w:cs="仿宋_GB2312"/>
          <w:sz w:val="32"/>
          <w:szCs w:val="32"/>
        </w:rPr>
        <w:t>；公务用车购置及运行维护费支出决算</w:t>
      </w:r>
      <w:r>
        <w:rPr>
          <w:rFonts w:eastAsia="仿宋_GB2312"/>
          <w:sz w:val="32"/>
          <w:szCs w:val="32"/>
        </w:rPr>
        <w:t>64.96</w:t>
      </w:r>
      <w:r>
        <w:rPr>
          <w:rFonts w:hint="eastAsia" w:eastAsia="仿宋_GB2312" w:cs="仿宋_GB2312"/>
          <w:sz w:val="32"/>
          <w:szCs w:val="32"/>
        </w:rPr>
        <w:t>万元，占</w:t>
      </w:r>
      <w:r>
        <w:rPr>
          <w:rFonts w:eastAsia="仿宋_GB2312"/>
          <w:sz w:val="32"/>
          <w:szCs w:val="32"/>
        </w:rPr>
        <w:t>93.23%</w:t>
      </w:r>
      <w:r>
        <w:rPr>
          <w:rFonts w:hint="eastAsia" w:eastAsia="仿宋_GB2312" w:cs="仿宋_GB2312"/>
          <w:sz w:val="32"/>
          <w:szCs w:val="32"/>
        </w:rPr>
        <w:t>；公务接待费支出决算</w:t>
      </w:r>
      <w:r>
        <w:rPr>
          <w:rFonts w:eastAsia="仿宋_GB2312"/>
          <w:sz w:val="32"/>
          <w:szCs w:val="32"/>
        </w:rPr>
        <w:t>4.72</w:t>
      </w:r>
      <w:r>
        <w:rPr>
          <w:rFonts w:hint="eastAsia" w:eastAsia="仿宋_GB2312" w:cs="仿宋_GB2312"/>
          <w:sz w:val="32"/>
          <w:szCs w:val="32"/>
        </w:rPr>
        <w:t>万元，占</w:t>
      </w:r>
      <w:r>
        <w:rPr>
          <w:rFonts w:eastAsia="仿宋_GB2312"/>
          <w:sz w:val="32"/>
          <w:szCs w:val="32"/>
        </w:rPr>
        <w:t>6.77%</w:t>
      </w:r>
      <w:r>
        <w:rPr>
          <w:rFonts w:hint="eastAsia" w:eastAsia="仿宋_GB2312" w:cs="仿宋_GB2312"/>
          <w:sz w:val="32"/>
          <w:szCs w:val="32"/>
        </w:rPr>
        <w:t>。具体情况如下：</w:t>
      </w:r>
    </w:p>
    <w:p>
      <w:pPr>
        <w:spacing w:line="600" w:lineRule="exact"/>
        <w:ind w:firstLine="640"/>
        <w:rPr>
          <w:rFonts w:eastAsia="仿宋_GB2312"/>
          <w:sz w:val="32"/>
          <w:szCs w:val="32"/>
        </w:rPr>
      </w:pPr>
      <w:r>
        <w:rPr>
          <w:rFonts w:hint="eastAsia" w:eastAsia="仿宋_GB2312" w:cs="仿宋_GB2312"/>
          <w:sz w:val="32"/>
          <w:szCs w:val="32"/>
        </w:rPr>
        <w:t>（图</w:t>
      </w:r>
      <w:r>
        <w:rPr>
          <w:rFonts w:eastAsia="仿宋_GB2312"/>
          <w:sz w:val="32"/>
          <w:szCs w:val="32"/>
        </w:rPr>
        <w:t>7</w:t>
      </w:r>
      <w:r>
        <w:rPr>
          <w:rFonts w:hint="eastAsia" w:eastAsia="仿宋_GB2312" w:cs="仿宋_GB2312"/>
          <w:sz w:val="32"/>
          <w:szCs w:val="32"/>
        </w:rPr>
        <w:t>：“三公”经费财政拨款支出结构</w:t>
      </w:r>
      <w:r>
        <w:rPr>
          <w:rFonts w:hint="eastAsia" w:eastAsia="仿宋" w:cs="仿宋"/>
          <w:sz w:val="32"/>
          <w:szCs w:val="32"/>
        </w:rPr>
        <w:t>）</w:t>
      </w:r>
    </w:p>
    <w:p>
      <w:pPr>
        <w:spacing w:line="600" w:lineRule="exact"/>
        <w:ind w:firstLine="640"/>
        <w:rPr>
          <w:rFonts w:eastAsia="仿宋_GB2312"/>
          <w:sz w:val="32"/>
          <w:szCs w:val="32"/>
        </w:rPr>
      </w:pPr>
      <w:r>
        <w:pict>
          <v:shape id="_x0000_s1031" o:spid="_x0000_s1031" o:spt="75" type="#_x0000_t75" style="position:absolute;left:0pt;margin-left:69.5pt;margin-top:25.45pt;height:162.15pt;width:275.25pt;z-index:251659264;mso-width-relative:page;mso-height-relative:page;" o:ole="t" filled="f" o:preferrelative="t" stroked="f" coordsize="21600,21600">
            <v:path/>
            <v:fill on="f" focussize="0,0"/>
            <v:stroke on="f" joinstyle="miter"/>
            <v:imagedata r:id="rId28" cropleft="12147f" croptop="2605f" cropright="14890f" cropbottom="17035f" o:title=""/>
            <o:lock v:ext="edit" aspectratio="t"/>
          </v:shape>
          <o:OLEObject Type="Embed" ProgID="Excel.Sheet.8" ShapeID="_x0000_s1031" DrawAspect="Content" ObjectID="_1468075731" r:id="rId27">
            <o:LockedField>false</o:LockedField>
          </o:OLEObject>
        </w:pict>
      </w: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sz w:val="32"/>
          <w:szCs w:val="32"/>
        </w:rPr>
      </w:pPr>
    </w:p>
    <w:p>
      <w:pPr>
        <w:spacing w:line="600" w:lineRule="exact"/>
        <w:ind w:firstLine="640"/>
        <w:rPr>
          <w:rFonts w:eastAsia="仿宋_GB2312"/>
          <w:b/>
          <w:bCs/>
          <w:sz w:val="32"/>
          <w:szCs w:val="32"/>
        </w:rPr>
      </w:pPr>
    </w:p>
    <w:p>
      <w:pPr>
        <w:spacing w:line="600" w:lineRule="exact"/>
        <w:ind w:firstLine="640"/>
        <w:rPr>
          <w:rFonts w:eastAsia="仿宋_GB2312"/>
          <w:b/>
          <w:bCs/>
          <w:sz w:val="32"/>
          <w:szCs w:val="32"/>
        </w:rPr>
      </w:pPr>
    </w:p>
    <w:p>
      <w:pPr>
        <w:adjustRightInd w:val="0"/>
        <w:snapToGrid w:val="0"/>
        <w:spacing w:line="608" w:lineRule="exact"/>
        <w:ind w:firstLine="642" w:firstLineChars="200"/>
        <w:rPr>
          <w:rFonts w:eastAsia="仿宋_GB2312"/>
          <w:b/>
          <w:bCs/>
          <w:sz w:val="32"/>
          <w:szCs w:val="32"/>
        </w:rPr>
      </w:pPr>
      <w:r>
        <w:rPr>
          <w:rFonts w:eastAsia="仿宋_GB2312"/>
          <w:b/>
          <w:bCs/>
          <w:sz w:val="32"/>
          <w:szCs w:val="32"/>
        </w:rPr>
        <w:t>1.</w:t>
      </w:r>
      <w:r>
        <w:rPr>
          <w:rFonts w:hint="eastAsia" w:eastAsia="仿宋_GB2312" w:cs="仿宋_GB2312"/>
          <w:b/>
          <w:bCs/>
          <w:sz w:val="32"/>
          <w:szCs w:val="32"/>
        </w:rPr>
        <w:t>因公出国（境）经费支出</w:t>
      </w:r>
      <w:r>
        <w:rPr>
          <w:rFonts w:eastAsia="仿宋_GB2312"/>
          <w:sz w:val="32"/>
          <w:szCs w:val="32"/>
        </w:rPr>
        <w:t>0</w:t>
      </w:r>
      <w:r>
        <w:rPr>
          <w:rFonts w:hint="eastAsia" w:eastAsia="仿宋_GB2312" w:cs="仿宋_GB2312"/>
          <w:sz w:val="32"/>
          <w:szCs w:val="32"/>
        </w:rPr>
        <w:t>万元，</w:t>
      </w:r>
      <w:r>
        <w:rPr>
          <w:rStyle w:val="14"/>
          <w:rFonts w:hint="eastAsia" w:eastAsia="仿宋_GB2312" w:cs="仿宋_GB2312"/>
          <w:b w:val="0"/>
          <w:bCs w:val="0"/>
          <w:sz w:val="32"/>
          <w:szCs w:val="32"/>
        </w:rPr>
        <w:t>完成预算</w:t>
      </w:r>
      <w:r>
        <w:rPr>
          <w:rStyle w:val="14"/>
          <w:rFonts w:eastAsia="仿宋_GB2312"/>
          <w:b w:val="0"/>
          <w:bCs w:val="0"/>
          <w:sz w:val="32"/>
          <w:szCs w:val="32"/>
        </w:rPr>
        <w:t>100%</w:t>
      </w:r>
      <w:r>
        <w:rPr>
          <w:rStyle w:val="14"/>
          <w:rFonts w:hint="eastAsia" w:eastAsia="仿宋_GB2312" w:cs="仿宋_GB2312"/>
          <w:b w:val="0"/>
          <w:bCs w:val="0"/>
          <w:sz w:val="32"/>
          <w:szCs w:val="32"/>
        </w:rPr>
        <w:t>。</w:t>
      </w:r>
      <w:r>
        <w:rPr>
          <w:rFonts w:hint="eastAsia" w:eastAsia="仿宋_GB2312" w:cs="仿宋_GB2312"/>
          <w:sz w:val="32"/>
          <w:szCs w:val="32"/>
        </w:rPr>
        <w:t>全年安排因公出国（境）团组</w:t>
      </w:r>
      <w:r>
        <w:rPr>
          <w:rFonts w:eastAsia="仿宋_GB2312"/>
          <w:sz w:val="32"/>
          <w:szCs w:val="32"/>
        </w:rPr>
        <w:t>0</w:t>
      </w:r>
      <w:r>
        <w:rPr>
          <w:rFonts w:hint="eastAsia" w:eastAsia="仿宋_GB2312" w:cs="仿宋_GB2312"/>
          <w:sz w:val="32"/>
          <w:szCs w:val="32"/>
        </w:rPr>
        <w:t>次，出国（境）</w:t>
      </w:r>
      <w:r>
        <w:rPr>
          <w:rFonts w:eastAsia="仿宋_GB2312"/>
          <w:sz w:val="32"/>
          <w:szCs w:val="32"/>
        </w:rPr>
        <w:t>0</w:t>
      </w:r>
      <w:r>
        <w:rPr>
          <w:rFonts w:hint="eastAsia" w:eastAsia="仿宋_GB2312" w:cs="仿宋_GB2312"/>
          <w:sz w:val="32"/>
          <w:szCs w:val="32"/>
        </w:rPr>
        <w:t>人。因公出国（境）支出决算比</w:t>
      </w:r>
      <w:r>
        <w:rPr>
          <w:rFonts w:eastAsia="仿宋_GB2312"/>
          <w:sz w:val="32"/>
          <w:szCs w:val="32"/>
        </w:rPr>
        <w:t>2019</w:t>
      </w:r>
      <w:r>
        <w:rPr>
          <w:rFonts w:hint="eastAsia" w:eastAsia="仿宋_GB2312" w:cs="仿宋_GB2312"/>
          <w:sz w:val="32"/>
          <w:szCs w:val="32"/>
        </w:rPr>
        <w:t>年减少</w:t>
      </w:r>
      <w:r>
        <w:rPr>
          <w:rFonts w:eastAsia="仿宋_GB2312"/>
          <w:sz w:val="32"/>
          <w:szCs w:val="32"/>
        </w:rPr>
        <w:t>28.42</w:t>
      </w:r>
      <w:r>
        <w:rPr>
          <w:rFonts w:hint="eastAsia" w:eastAsia="仿宋_GB2312" w:cs="仿宋_GB2312"/>
          <w:sz w:val="32"/>
          <w:szCs w:val="32"/>
        </w:rPr>
        <w:t>万元，下降</w:t>
      </w:r>
      <w:r>
        <w:rPr>
          <w:rFonts w:eastAsia="仿宋_GB2312"/>
          <w:sz w:val="32"/>
          <w:szCs w:val="32"/>
        </w:rPr>
        <w:t>100%</w:t>
      </w:r>
      <w:r>
        <w:rPr>
          <w:rFonts w:hint="eastAsia" w:eastAsia="仿宋_GB2312" w:cs="仿宋_GB2312"/>
          <w:sz w:val="32"/>
          <w:szCs w:val="32"/>
        </w:rPr>
        <w:t>。主要原因是：受疫情影响，未编制出国（境）经费预算。</w:t>
      </w:r>
    </w:p>
    <w:p>
      <w:pPr>
        <w:adjustRightInd w:val="0"/>
        <w:snapToGrid w:val="0"/>
        <w:spacing w:line="608" w:lineRule="exact"/>
        <w:ind w:firstLine="642" w:firstLineChars="200"/>
        <w:rPr>
          <w:rFonts w:eastAsia="仿宋_GB2312"/>
          <w:sz w:val="32"/>
          <w:szCs w:val="32"/>
        </w:rPr>
      </w:pPr>
      <w:r>
        <w:rPr>
          <w:rFonts w:eastAsia="仿宋_GB2312"/>
          <w:b/>
          <w:bCs/>
          <w:sz w:val="32"/>
          <w:szCs w:val="32"/>
        </w:rPr>
        <w:t>2.</w:t>
      </w:r>
      <w:r>
        <w:rPr>
          <w:rFonts w:hint="eastAsia" w:eastAsia="仿宋_GB2312" w:cs="仿宋_GB2312"/>
          <w:b/>
          <w:bCs/>
          <w:sz w:val="32"/>
          <w:szCs w:val="32"/>
        </w:rPr>
        <w:t>公务用车购置及运行维护费支出</w:t>
      </w:r>
      <w:r>
        <w:rPr>
          <w:rFonts w:eastAsia="仿宋_GB2312"/>
          <w:sz w:val="32"/>
          <w:szCs w:val="32"/>
        </w:rPr>
        <w:t>64.96</w:t>
      </w:r>
      <w:r>
        <w:rPr>
          <w:rFonts w:hint="eastAsia" w:eastAsia="仿宋_GB2312" w:cs="仿宋_GB2312"/>
          <w:sz w:val="32"/>
          <w:szCs w:val="32"/>
        </w:rPr>
        <w:t>万元</w:t>
      </w:r>
      <w:r>
        <w:rPr>
          <w:rFonts w:eastAsia="仿宋_GB2312"/>
          <w:sz w:val="32"/>
          <w:szCs w:val="32"/>
        </w:rPr>
        <w:t>,</w:t>
      </w:r>
      <w:r>
        <w:rPr>
          <w:rStyle w:val="14"/>
          <w:rFonts w:hint="eastAsia" w:eastAsia="仿宋_GB2312" w:cs="仿宋_GB2312"/>
          <w:b w:val="0"/>
          <w:bCs w:val="0"/>
          <w:sz w:val="32"/>
          <w:szCs w:val="32"/>
        </w:rPr>
        <w:t>完成预算</w:t>
      </w:r>
      <w:r>
        <w:rPr>
          <w:rStyle w:val="14"/>
          <w:rFonts w:eastAsia="仿宋_GB2312"/>
          <w:b w:val="0"/>
          <w:bCs w:val="0"/>
          <w:sz w:val="32"/>
          <w:szCs w:val="32"/>
        </w:rPr>
        <w:t>84.75%</w:t>
      </w:r>
      <w:r>
        <w:rPr>
          <w:rStyle w:val="14"/>
          <w:rFonts w:hint="eastAsia" w:eastAsia="仿宋_GB2312" w:cs="仿宋_GB2312"/>
          <w:b w:val="0"/>
          <w:bCs w:val="0"/>
          <w:sz w:val="32"/>
          <w:szCs w:val="32"/>
        </w:rPr>
        <w:t>。</w:t>
      </w:r>
      <w:r>
        <w:rPr>
          <w:rFonts w:hint="eastAsia" w:eastAsia="仿宋_GB2312" w:cs="仿宋_GB2312"/>
          <w:sz w:val="32"/>
          <w:szCs w:val="32"/>
        </w:rPr>
        <w:t>公务用车购置及运行维护费支出决算比</w:t>
      </w:r>
      <w:r>
        <w:rPr>
          <w:rFonts w:eastAsia="仿宋_GB2312"/>
          <w:sz w:val="32"/>
          <w:szCs w:val="32"/>
        </w:rPr>
        <w:t>2019</w:t>
      </w:r>
      <w:r>
        <w:rPr>
          <w:rFonts w:hint="eastAsia" w:eastAsia="仿宋_GB2312" w:cs="仿宋_GB2312"/>
          <w:sz w:val="32"/>
          <w:szCs w:val="32"/>
        </w:rPr>
        <w:t>年减少</w:t>
      </w:r>
      <w:r>
        <w:rPr>
          <w:rFonts w:eastAsia="仿宋_GB2312"/>
          <w:sz w:val="32"/>
          <w:szCs w:val="32"/>
        </w:rPr>
        <w:t>4.28</w:t>
      </w:r>
      <w:r>
        <w:rPr>
          <w:rFonts w:hint="eastAsia" w:eastAsia="仿宋_GB2312" w:cs="仿宋_GB2312"/>
          <w:sz w:val="32"/>
          <w:szCs w:val="32"/>
        </w:rPr>
        <w:t>万元，下降</w:t>
      </w:r>
      <w:r>
        <w:rPr>
          <w:rFonts w:eastAsia="仿宋_GB2312"/>
          <w:sz w:val="32"/>
          <w:szCs w:val="32"/>
        </w:rPr>
        <w:t>6.18%</w:t>
      </w:r>
      <w:r>
        <w:rPr>
          <w:rFonts w:hint="eastAsia" w:eastAsia="仿宋_GB2312" w:cs="仿宋_GB2312"/>
          <w:sz w:val="32"/>
          <w:szCs w:val="32"/>
        </w:rPr>
        <w:t>。主要原因是：疫情期间减少了基层工作调研、人社工作巡查暗访等公务用车出行次数。</w:t>
      </w:r>
    </w:p>
    <w:p>
      <w:pPr>
        <w:adjustRightInd w:val="0"/>
        <w:snapToGrid w:val="0"/>
        <w:spacing w:line="608" w:lineRule="exact"/>
        <w:ind w:firstLine="640" w:firstLineChars="200"/>
        <w:rPr>
          <w:rFonts w:eastAsia="仿宋_GB2312"/>
          <w:b/>
          <w:bCs/>
          <w:sz w:val="32"/>
          <w:szCs w:val="32"/>
        </w:rPr>
      </w:pPr>
      <w:r>
        <w:rPr>
          <w:rFonts w:hint="eastAsia" w:eastAsia="仿宋_GB2312" w:cs="仿宋_GB2312"/>
          <w:sz w:val="32"/>
          <w:szCs w:val="32"/>
        </w:rPr>
        <w:t>其中：</w:t>
      </w:r>
      <w:r>
        <w:rPr>
          <w:rFonts w:hint="eastAsia" w:eastAsia="仿宋_GB2312" w:cs="仿宋_GB2312"/>
          <w:b/>
          <w:bCs/>
          <w:sz w:val="32"/>
          <w:szCs w:val="32"/>
        </w:rPr>
        <w:t>公务用车购置支出</w:t>
      </w:r>
      <w:r>
        <w:rPr>
          <w:rFonts w:eastAsia="仿宋_GB2312"/>
          <w:sz w:val="32"/>
          <w:szCs w:val="32"/>
        </w:rPr>
        <w:t>0</w:t>
      </w:r>
      <w:r>
        <w:rPr>
          <w:rFonts w:hint="eastAsia" w:eastAsia="仿宋_GB2312" w:cs="仿宋_GB2312"/>
          <w:sz w:val="32"/>
          <w:szCs w:val="32"/>
        </w:rPr>
        <w:t>万元。全年按规定更新购置公务用车</w:t>
      </w:r>
      <w:r>
        <w:rPr>
          <w:rFonts w:eastAsia="仿宋_GB2312"/>
          <w:sz w:val="32"/>
          <w:szCs w:val="32"/>
        </w:rPr>
        <w:t>0</w:t>
      </w:r>
      <w:r>
        <w:rPr>
          <w:rFonts w:hint="eastAsia" w:eastAsia="仿宋_GB2312" w:cs="仿宋_GB2312"/>
          <w:sz w:val="32"/>
          <w:szCs w:val="32"/>
        </w:rPr>
        <w:t>辆。截至</w:t>
      </w:r>
      <w:r>
        <w:rPr>
          <w:rFonts w:eastAsia="仿宋_GB2312"/>
          <w:sz w:val="32"/>
          <w:szCs w:val="32"/>
        </w:rPr>
        <w:t>2020</w:t>
      </w:r>
      <w:r>
        <w:rPr>
          <w:rFonts w:hint="eastAsia" w:eastAsia="仿宋_GB2312" w:cs="仿宋_GB2312"/>
          <w:sz w:val="32"/>
          <w:szCs w:val="32"/>
        </w:rPr>
        <w:t>年</w:t>
      </w:r>
      <w:r>
        <w:rPr>
          <w:rFonts w:eastAsia="仿宋_GB2312"/>
          <w:sz w:val="32"/>
          <w:szCs w:val="32"/>
        </w:rPr>
        <w:t>12</w:t>
      </w:r>
      <w:r>
        <w:rPr>
          <w:rFonts w:hint="eastAsia" w:eastAsia="仿宋_GB2312" w:cs="仿宋_GB2312"/>
          <w:sz w:val="32"/>
          <w:szCs w:val="32"/>
        </w:rPr>
        <w:t>月底，单位共有公务用车</w:t>
      </w:r>
      <w:r>
        <w:rPr>
          <w:rFonts w:eastAsia="仿宋_GB2312"/>
          <w:sz w:val="32"/>
          <w:szCs w:val="32"/>
        </w:rPr>
        <w:t>16</w:t>
      </w:r>
      <w:r>
        <w:rPr>
          <w:rFonts w:hint="eastAsia" w:eastAsia="仿宋_GB2312" w:cs="仿宋_GB2312"/>
          <w:sz w:val="32"/>
          <w:szCs w:val="32"/>
        </w:rPr>
        <w:t>辆，其中：轿车</w:t>
      </w:r>
      <w:r>
        <w:rPr>
          <w:rFonts w:eastAsia="仿宋_GB2312"/>
          <w:sz w:val="32"/>
          <w:szCs w:val="32"/>
        </w:rPr>
        <w:t>11</w:t>
      </w:r>
      <w:r>
        <w:rPr>
          <w:rFonts w:hint="eastAsia" w:eastAsia="仿宋_GB2312" w:cs="仿宋_GB2312"/>
          <w:sz w:val="32"/>
          <w:szCs w:val="32"/>
        </w:rPr>
        <w:t>辆、越野车</w:t>
      </w:r>
      <w:r>
        <w:rPr>
          <w:rFonts w:eastAsia="仿宋_GB2312"/>
          <w:sz w:val="32"/>
          <w:szCs w:val="32"/>
        </w:rPr>
        <w:t>3</w:t>
      </w:r>
      <w:r>
        <w:rPr>
          <w:rFonts w:hint="eastAsia" w:eastAsia="仿宋_GB2312" w:cs="仿宋_GB2312"/>
          <w:sz w:val="32"/>
          <w:szCs w:val="32"/>
        </w:rPr>
        <w:t>辆、载客汽车</w:t>
      </w:r>
      <w:r>
        <w:rPr>
          <w:rFonts w:eastAsia="仿宋_GB2312"/>
          <w:sz w:val="32"/>
          <w:szCs w:val="32"/>
        </w:rPr>
        <w:t>2</w:t>
      </w:r>
      <w:r>
        <w:rPr>
          <w:rFonts w:hint="eastAsia" w:eastAsia="仿宋_GB2312" w:cs="仿宋_GB2312"/>
          <w:sz w:val="32"/>
          <w:szCs w:val="32"/>
        </w:rPr>
        <w:t>辆。</w:t>
      </w:r>
    </w:p>
    <w:p>
      <w:pPr>
        <w:adjustRightInd w:val="0"/>
        <w:snapToGrid w:val="0"/>
        <w:spacing w:line="608" w:lineRule="exact"/>
        <w:ind w:firstLine="642" w:firstLineChars="200"/>
        <w:rPr>
          <w:rFonts w:eastAsia="仿宋_GB2312"/>
          <w:sz w:val="32"/>
          <w:szCs w:val="32"/>
        </w:rPr>
      </w:pPr>
      <w:r>
        <w:rPr>
          <w:rFonts w:hint="eastAsia" w:eastAsia="仿宋_GB2312" w:cs="仿宋_GB2312"/>
          <w:b/>
          <w:bCs/>
          <w:sz w:val="32"/>
          <w:szCs w:val="32"/>
        </w:rPr>
        <w:t>公务用车运行维护费支出</w:t>
      </w:r>
      <w:r>
        <w:rPr>
          <w:rFonts w:eastAsia="仿宋_GB2312"/>
          <w:sz w:val="32"/>
          <w:szCs w:val="32"/>
        </w:rPr>
        <w:t>64.96</w:t>
      </w:r>
      <w:r>
        <w:rPr>
          <w:rFonts w:hint="eastAsia" w:eastAsia="仿宋_GB2312" w:cs="仿宋_GB2312"/>
          <w:sz w:val="32"/>
          <w:szCs w:val="32"/>
        </w:rPr>
        <w:t>万元。主要用于保障人社工作巡查暗访、人社系统基层工作调研、规划统计、就业促进、三支一扶、技能人才队伍建设、专业技术人才队伍建设、事业单位人事制度改革、劳务开发和农民工工作、劳动关系、工资收入分配制度、社会保险、基金监督、争议仲裁调解、劳动监察及脱贫攻坚等所需的公务用车燃料费、维修费、过路过桥费、保险费等支出。</w:t>
      </w:r>
    </w:p>
    <w:p>
      <w:pPr>
        <w:adjustRightInd w:val="0"/>
        <w:snapToGrid w:val="0"/>
        <w:spacing w:line="608" w:lineRule="exact"/>
        <w:ind w:firstLine="642" w:firstLineChars="200"/>
        <w:rPr>
          <w:rFonts w:eastAsia="仿宋_GB2312"/>
          <w:sz w:val="32"/>
          <w:szCs w:val="32"/>
        </w:rPr>
      </w:pPr>
      <w:r>
        <w:rPr>
          <w:rFonts w:eastAsia="仿宋_GB2312"/>
          <w:b/>
          <w:bCs/>
          <w:sz w:val="32"/>
          <w:szCs w:val="32"/>
        </w:rPr>
        <w:t>3.</w:t>
      </w:r>
      <w:r>
        <w:rPr>
          <w:rFonts w:hint="eastAsia" w:eastAsia="仿宋_GB2312" w:cs="仿宋_GB2312"/>
          <w:b/>
          <w:bCs/>
          <w:sz w:val="32"/>
          <w:szCs w:val="32"/>
        </w:rPr>
        <w:t>公务接待费支出</w:t>
      </w:r>
      <w:r>
        <w:rPr>
          <w:rFonts w:eastAsia="仿宋_GB2312"/>
          <w:sz w:val="32"/>
          <w:szCs w:val="32"/>
        </w:rPr>
        <w:t>4.72</w:t>
      </w:r>
      <w:r>
        <w:rPr>
          <w:rFonts w:hint="eastAsia" w:eastAsia="仿宋_GB2312" w:cs="仿宋_GB2312"/>
          <w:sz w:val="32"/>
          <w:szCs w:val="32"/>
        </w:rPr>
        <w:t>万元，</w:t>
      </w:r>
      <w:r>
        <w:rPr>
          <w:rStyle w:val="14"/>
          <w:rFonts w:hint="eastAsia" w:eastAsia="仿宋_GB2312" w:cs="仿宋_GB2312"/>
          <w:b w:val="0"/>
          <w:bCs w:val="0"/>
          <w:sz w:val="32"/>
          <w:szCs w:val="32"/>
        </w:rPr>
        <w:t>完成预算</w:t>
      </w:r>
      <w:r>
        <w:rPr>
          <w:rStyle w:val="14"/>
          <w:rFonts w:eastAsia="仿宋_GB2312"/>
          <w:b w:val="0"/>
          <w:bCs w:val="0"/>
          <w:sz w:val="32"/>
          <w:szCs w:val="32"/>
        </w:rPr>
        <w:t>31.47%</w:t>
      </w:r>
      <w:r>
        <w:rPr>
          <w:rStyle w:val="14"/>
          <w:rFonts w:hint="eastAsia" w:eastAsia="仿宋_GB2312" w:cs="仿宋_GB2312"/>
          <w:b w:val="0"/>
          <w:bCs w:val="0"/>
          <w:sz w:val="32"/>
          <w:szCs w:val="32"/>
        </w:rPr>
        <w:t>。</w:t>
      </w:r>
      <w:r>
        <w:rPr>
          <w:rFonts w:hint="eastAsia" w:eastAsia="仿宋_GB2312" w:cs="仿宋_GB2312"/>
          <w:sz w:val="32"/>
          <w:szCs w:val="32"/>
        </w:rPr>
        <w:t>公务接待费支出决算比</w:t>
      </w:r>
      <w:r>
        <w:rPr>
          <w:rFonts w:eastAsia="仿宋_GB2312"/>
          <w:sz w:val="32"/>
          <w:szCs w:val="32"/>
        </w:rPr>
        <w:t>2019</w:t>
      </w:r>
      <w:r>
        <w:rPr>
          <w:rFonts w:hint="eastAsia" w:eastAsia="仿宋_GB2312" w:cs="仿宋_GB2312"/>
          <w:sz w:val="32"/>
          <w:szCs w:val="32"/>
        </w:rPr>
        <w:t>年减少</w:t>
      </w:r>
      <w:r>
        <w:rPr>
          <w:rFonts w:eastAsia="仿宋_GB2312"/>
          <w:sz w:val="32"/>
          <w:szCs w:val="32"/>
        </w:rPr>
        <w:t>0.94</w:t>
      </w:r>
      <w:r>
        <w:rPr>
          <w:rFonts w:hint="eastAsia" w:eastAsia="仿宋_GB2312" w:cs="仿宋_GB2312"/>
          <w:sz w:val="32"/>
          <w:szCs w:val="32"/>
        </w:rPr>
        <w:t>万元，下降</w:t>
      </w:r>
      <w:r>
        <w:rPr>
          <w:rFonts w:eastAsia="仿宋_GB2312"/>
          <w:sz w:val="32"/>
          <w:szCs w:val="32"/>
        </w:rPr>
        <w:t>16.61%</w:t>
      </w:r>
      <w:r>
        <w:rPr>
          <w:rFonts w:hint="eastAsia" w:eastAsia="仿宋_GB2312" w:cs="仿宋_GB2312"/>
          <w:sz w:val="32"/>
          <w:szCs w:val="32"/>
        </w:rPr>
        <w:t>。主要原因是：疫情期间，减少了外省、市部门来川调研的接待次数。其中：</w:t>
      </w:r>
    </w:p>
    <w:p>
      <w:pPr>
        <w:adjustRightInd w:val="0"/>
        <w:snapToGrid w:val="0"/>
        <w:spacing w:line="608" w:lineRule="exact"/>
        <w:ind w:firstLine="642" w:firstLineChars="200"/>
        <w:rPr>
          <w:rFonts w:eastAsia="仿宋_GB2312"/>
          <w:sz w:val="32"/>
          <w:szCs w:val="32"/>
        </w:rPr>
      </w:pPr>
      <w:r>
        <w:rPr>
          <w:rFonts w:hint="eastAsia" w:eastAsia="仿宋_GB2312" w:cs="仿宋_GB2312"/>
          <w:b/>
          <w:bCs/>
          <w:sz w:val="32"/>
          <w:szCs w:val="32"/>
        </w:rPr>
        <w:t>国内公务接待支出</w:t>
      </w:r>
      <w:r>
        <w:rPr>
          <w:rFonts w:eastAsia="仿宋_GB2312"/>
          <w:sz w:val="32"/>
          <w:szCs w:val="32"/>
        </w:rPr>
        <w:t>4.72</w:t>
      </w:r>
      <w:r>
        <w:rPr>
          <w:rFonts w:hint="eastAsia" w:eastAsia="仿宋_GB2312" w:cs="仿宋_GB2312"/>
          <w:sz w:val="32"/>
          <w:szCs w:val="32"/>
        </w:rPr>
        <w:t>万元，主要用于人社部、外省市部门来川调研、督察督导工作、考察交流学习等执行公务、开展业务活动开支的交通费、住宿费、用餐费等。国内公务接待</w:t>
      </w:r>
      <w:r>
        <w:rPr>
          <w:rFonts w:eastAsia="仿宋_GB2312"/>
          <w:sz w:val="32"/>
          <w:szCs w:val="32"/>
        </w:rPr>
        <w:t>32</w:t>
      </w:r>
      <w:r>
        <w:rPr>
          <w:rFonts w:hint="eastAsia" w:eastAsia="仿宋_GB2312" w:cs="仿宋_GB2312"/>
          <w:sz w:val="32"/>
          <w:szCs w:val="32"/>
        </w:rPr>
        <w:t>批次，</w:t>
      </w:r>
      <w:r>
        <w:rPr>
          <w:rFonts w:eastAsia="仿宋_GB2312"/>
          <w:sz w:val="32"/>
          <w:szCs w:val="32"/>
        </w:rPr>
        <w:t>209</w:t>
      </w:r>
      <w:r>
        <w:rPr>
          <w:rFonts w:hint="eastAsia" w:eastAsia="仿宋_GB2312" w:cs="仿宋_GB2312"/>
          <w:sz w:val="32"/>
          <w:szCs w:val="32"/>
        </w:rPr>
        <w:t>人次（不包括陪同人员），共计支出</w:t>
      </w:r>
      <w:r>
        <w:rPr>
          <w:rFonts w:eastAsia="仿宋_GB2312"/>
          <w:sz w:val="32"/>
          <w:szCs w:val="32"/>
        </w:rPr>
        <w:t>4.72</w:t>
      </w:r>
      <w:r>
        <w:rPr>
          <w:rFonts w:hint="eastAsia" w:eastAsia="仿宋_GB2312" w:cs="仿宋_GB2312"/>
          <w:sz w:val="32"/>
          <w:szCs w:val="32"/>
        </w:rPr>
        <w:t>万元，具体内容包括：来川慰问“三支一扶”人员、来川考察学习人社法制建设、调研技工院校人社法治教育工作、</w:t>
      </w:r>
      <w:r>
        <w:rPr>
          <w:rFonts w:hint="eastAsia" w:eastAsia="仿宋_GB2312" w:cs="仿宋_GB2312"/>
          <w:color w:val="000000"/>
          <w:sz w:val="32"/>
          <w:szCs w:val="32"/>
        </w:rPr>
        <w:t>调研关于开展农民工工作信息化建设情况、出席《成渝地区双城经济圈劳动关系及国家级综合配套改革试点合作协议》签署仪式、开展重点地区职业技能提升行动调研督导工作、来川调研社保基金督察检查工作等。</w:t>
      </w:r>
    </w:p>
    <w:p>
      <w:pPr>
        <w:adjustRightInd w:val="0"/>
        <w:snapToGrid w:val="0"/>
        <w:spacing w:line="608" w:lineRule="exact"/>
        <w:ind w:firstLine="642" w:firstLineChars="200"/>
        <w:rPr>
          <w:rFonts w:eastAsia="仿宋_GB2312"/>
          <w:sz w:val="32"/>
          <w:szCs w:val="32"/>
        </w:rPr>
      </w:pPr>
      <w:r>
        <w:rPr>
          <w:rFonts w:hint="eastAsia" w:eastAsia="仿宋_GB2312" w:cs="仿宋_GB2312"/>
          <w:b/>
          <w:bCs/>
          <w:sz w:val="32"/>
          <w:szCs w:val="32"/>
        </w:rPr>
        <w:t>外事接待支出</w:t>
      </w:r>
      <w:r>
        <w:rPr>
          <w:rFonts w:eastAsia="仿宋_GB2312"/>
          <w:sz w:val="32"/>
          <w:szCs w:val="32"/>
        </w:rPr>
        <w:t>0</w:t>
      </w:r>
      <w:r>
        <w:rPr>
          <w:rFonts w:hint="eastAsia" w:eastAsia="仿宋_GB2312" w:cs="仿宋_GB2312"/>
          <w:sz w:val="32"/>
          <w:szCs w:val="32"/>
        </w:rPr>
        <w:t>万元，外事接待</w:t>
      </w:r>
      <w:r>
        <w:rPr>
          <w:rFonts w:eastAsia="仿宋_GB2312"/>
          <w:sz w:val="32"/>
          <w:szCs w:val="32"/>
        </w:rPr>
        <w:t>0</w:t>
      </w:r>
      <w:r>
        <w:rPr>
          <w:rFonts w:hint="eastAsia" w:eastAsia="仿宋_GB2312" w:cs="仿宋_GB2312"/>
          <w:sz w:val="32"/>
          <w:szCs w:val="32"/>
        </w:rPr>
        <w:t>批次，</w:t>
      </w:r>
      <w:r>
        <w:rPr>
          <w:rFonts w:eastAsia="仿宋_GB2312"/>
          <w:sz w:val="32"/>
          <w:szCs w:val="32"/>
        </w:rPr>
        <w:t>0</w:t>
      </w:r>
      <w:r>
        <w:rPr>
          <w:rFonts w:hint="eastAsia" w:eastAsia="仿宋_GB2312" w:cs="仿宋_GB2312"/>
          <w:sz w:val="32"/>
          <w:szCs w:val="32"/>
        </w:rPr>
        <w:t>人，共计支出</w:t>
      </w:r>
      <w:r>
        <w:rPr>
          <w:rFonts w:eastAsia="仿宋_GB2312"/>
          <w:sz w:val="32"/>
          <w:szCs w:val="32"/>
        </w:rPr>
        <w:t>0</w:t>
      </w:r>
      <w:r>
        <w:rPr>
          <w:rFonts w:hint="eastAsia" w:eastAsia="仿宋_GB2312" w:cs="仿宋_GB2312"/>
          <w:sz w:val="32"/>
          <w:szCs w:val="32"/>
        </w:rPr>
        <w:t>万元。</w:t>
      </w:r>
    </w:p>
    <w:p>
      <w:pPr>
        <w:adjustRightInd w:val="0"/>
        <w:snapToGrid w:val="0"/>
        <w:spacing w:line="608" w:lineRule="exact"/>
        <w:ind w:firstLine="640" w:firstLineChars="200"/>
        <w:outlineLvl w:val="1"/>
        <w:rPr>
          <w:rStyle w:val="18"/>
          <w:rFonts w:ascii="Times New Roman" w:hAnsi="Times New Roman" w:eastAsia="黑体" w:cs="Times New Roman"/>
        </w:rPr>
      </w:pPr>
      <w:bookmarkStart w:id="111" w:name="_Toc81293328"/>
      <w:bookmarkStart w:id="112" w:name="_Toc81293507"/>
      <w:bookmarkStart w:id="113" w:name="_Toc81380053"/>
      <w:bookmarkStart w:id="114" w:name="_Toc15377218"/>
      <w:bookmarkStart w:id="115" w:name="_Toc15396610"/>
      <w:r>
        <w:rPr>
          <w:rFonts w:hint="eastAsia" w:eastAsia="黑体" w:cs="黑体"/>
          <w:sz w:val="32"/>
          <w:szCs w:val="32"/>
        </w:rPr>
        <w:t>八、</w:t>
      </w:r>
      <w:r>
        <w:rPr>
          <w:rStyle w:val="18"/>
          <w:rFonts w:hint="eastAsia" w:ascii="Times New Roman" w:hAnsi="Times New Roman" w:eastAsia="黑体" w:cs="黑体"/>
          <w:b w:val="0"/>
          <w:bCs w:val="0"/>
        </w:rPr>
        <w:t>政府性基金预算支出决算情况说明</w:t>
      </w:r>
      <w:bookmarkEnd w:id="111"/>
      <w:bookmarkEnd w:id="112"/>
      <w:bookmarkEnd w:id="113"/>
      <w:bookmarkEnd w:id="114"/>
      <w:bookmarkEnd w:id="115"/>
    </w:p>
    <w:p>
      <w:pPr>
        <w:adjustRightInd w:val="0"/>
        <w:snapToGrid w:val="0"/>
        <w:spacing w:line="608"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年政府性基金预算财政拨款支出</w:t>
      </w:r>
      <w:r>
        <w:rPr>
          <w:rFonts w:eastAsia="仿宋_GB2312"/>
          <w:sz w:val="32"/>
          <w:szCs w:val="32"/>
        </w:rPr>
        <w:t>0</w:t>
      </w:r>
      <w:r>
        <w:rPr>
          <w:rFonts w:hint="eastAsia" w:eastAsia="仿宋_GB2312" w:cs="仿宋_GB2312"/>
          <w:sz w:val="32"/>
          <w:szCs w:val="32"/>
        </w:rPr>
        <w:t>万元。</w:t>
      </w:r>
      <w:bookmarkStart w:id="116" w:name="_Toc15396611"/>
      <w:bookmarkStart w:id="117" w:name="_Toc15377219"/>
    </w:p>
    <w:p>
      <w:pPr>
        <w:adjustRightInd w:val="0"/>
        <w:snapToGrid w:val="0"/>
        <w:spacing w:line="608" w:lineRule="exact"/>
        <w:ind w:firstLine="640" w:firstLineChars="200"/>
        <w:outlineLvl w:val="1"/>
        <w:rPr>
          <w:rStyle w:val="18"/>
          <w:rFonts w:ascii="Times New Roman" w:hAnsi="Times New Roman" w:eastAsia="黑体" w:cs="Times New Roman"/>
          <w:b w:val="0"/>
          <w:bCs w:val="0"/>
        </w:rPr>
      </w:pPr>
      <w:bookmarkStart w:id="118" w:name="_Toc81293329"/>
      <w:bookmarkStart w:id="119" w:name="_Toc81380054"/>
      <w:bookmarkStart w:id="120" w:name="_Toc81293508"/>
      <w:r>
        <w:rPr>
          <w:rStyle w:val="18"/>
          <w:rFonts w:hint="eastAsia" w:ascii="Times New Roman" w:hAnsi="Times New Roman" w:eastAsia="黑体" w:cs="黑体"/>
          <w:b w:val="0"/>
          <w:bCs w:val="0"/>
        </w:rPr>
        <w:t>九、国有资本经营预算支出决算情况说明</w:t>
      </w:r>
      <w:bookmarkEnd w:id="116"/>
      <w:bookmarkEnd w:id="117"/>
      <w:bookmarkEnd w:id="118"/>
      <w:bookmarkEnd w:id="119"/>
      <w:bookmarkEnd w:id="120"/>
    </w:p>
    <w:p>
      <w:pPr>
        <w:adjustRightInd w:val="0"/>
        <w:snapToGrid w:val="0"/>
        <w:spacing w:line="608"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年国有资本经营预算财政拨款支出</w:t>
      </w:r>
      <w:r>
        <w:rPr>
          <w:rFonts w:eastAsia="仿宋_GB2312"/>
          <w:sz w:val="32"/>
          <w:szCs w:val="32"/>
        </w:rPr>
        <w:t>0</w:t>
      </w:r>
      <w:r>
        <w:rPr>
          <w:rFonts w:hint="eastAsia" w:eastAsia="仿宋_GB2312" w:cs="仿宋_GB2312"/>
          <w:sz w:val="32"/>
          <w:szCs w:val="32"/>
        </w:rPr>
        <w:t>万元。</w:t>
      </w:r>
    </w:p>
    <w:p>
      <w:pPr>
        <w:adjustRightInd w:val="0"/>
        <w:snapToGrid w:val="0"/>
        <w:spacing w:line="608" w:lineRule="exact"/>
        <w:ind w:firstLine="640" w:firstLineChars="200"/>
        <w:outlineLvl w:val="1"/>
        <w:rPr>
          <w:rStyle w:val="18"/>
          <w:rFonts w:ascii="Times New Roman" w:hAnsi="Times New Roman" w:eastAsia="黑体" w:cs="Times New Roman"/>
          <w:b w:val="0"/>
          <w:bCs w:val="0"/>
        </w:rPr>
      </w:pPr>
      <w:bookmarkStart w:id="121" w:name="_Toc81293330"/>
      <w:bookmarkStart w:id="122" w:name="_Toc15396612"/>
      <w:bookmarkStart w:id="123" w:name="_Toc81293509"/>
      <w:bookmarkStart w:id="124" w:name="_Toc15377221"/>
      <w:bookmarkStart w:id="125" w:name="_Toc81380055"/>
      <w:r>
        <w:rPr>
          <w:rFonts w:hint="eastAsia" w:eastAsia="黑体" w:cs="黑体"/>
          <w:sz w:val="32"/>
          <w:szCs w:val="32"/>
        </w:rPr>
        <w:t>十、</w:t>
      </w:r>
      <w:r>
        <w:rPr>
          <w:rStyle w:val="18"/>
          <w:rFonts w:hint="eastAsia" w:ascii="Times New Roman" w:hAnsi="Times New Roman" w:eastAsia="黑体" w:cs="黑体"/>
          <w:b w:val="0"/>
          <w:bCs w:val="0"/>
        </w:rPr>
        <w:t>其他重要事项的情况说明</w:t>
      </w:r>
      <w:bookmarkEnd w:id="121"/>
      <w:bookmarkEnd w:id="122"/>
      <w:bookmarkEnd w:id="123"/>
      <w:bookmarkEnd w:id="124"/>
      <w:bookmarkEnd w:id="125"/>
    </w:p>
    <w:p>
      <w:pPr>
        <w:adjustRightInd w:val="0"/>
        <w:snapToGrid w:val="0"/>
        <w:spacing w:line="608" w:lineRule="exact"/>
        <w:ind w:firstLine="640" w:firstLineChars="200"/>
        <w:outlineLvl w:val="2"/>
        <w:rPr>
          <w:rFonts w:eastAsia="楷体_GB2312"/>
          <w:sz w:val="32"/>
          <w:szCs w:val="32"/>
        </w:rPr>
      </w:pPr>
      <w:bookmarkStart w:id="126" w:name="_Toc81293510"/>
      <w:bookmarkStart w:id="127" w:name="_Toc15377222"/>
      <w:bookmarkStart w:id="128" w:name="_Toc81380056"/>
      <w:bookmarkStart w:id="129" w:name="_Toc81293331"/>
      <w:r>
        <w:rPr>
          <w:rFonts w:hint="eastAsia" w:eastAsia="楷体_GB2312" w:cs="楷体_GB2312"/>
          <w:sz w:val="32"/>
          <w:szCs w:val="32"/>
        </w:rPr>
        <w:t>（一）机关运行经费支出情况</w:t>
      </w:r>
      <w:bookmarkEnd w:id="126"/>
      <w:bookmarkEnd w:id="127"/>
      <w:bookmarkEnd w:id="128"/>
      <w:bookmarkEnd w:id="129"/>
    </w:p>
    <w:p>
      <w:pPr>
        <w:adjustRightInd w:val="0"/>
        <w:snapToGrid w:val="0"/>
        <w:spacing w:line="608" w:lineRule="exact"/>
        <w:ind w:firstLine="640" w:firstLineChars="200"/>
        <w:rPr>
          <w:rFonts w:eastAsia="仿宋_GB2312"/>
          <w:b/>
          <w:bCs/>
          <w:sz w:val="32"/>
          <w:szCs w:val="32"/>
        </w:rPr>
      </w:pPr>
      <w:r>
        <w:rPr>
          <w:rFonts w:eastAsia="仿宋_GB2312"/>
          <w:sz w:val="32"/>
          <w:szCs w:val="32"/>
        </w:rPr>
        <w:t>2020</w:t>
      </w:r>
      <w:r>
        <w:rPr>
          <w:rFonts w:hint="eastAsia" w:eastAsia="仿宋_GB2312" w:cs="仿宋_GB2312"/>
          <w:sz w:val="32"/>
          <w:szCs w:val="32"/>
        </w:rPr>
        <w:t>年，人力资源社会保障厅机关运行经费支出</w:t>
      </w:r>
      <w:r>
        <w:rPr>
          <w:rFonts w:eastAsia="仿宋_GB2312"/>
          <w:sz w:val="32"/>
          <w:szCs w:val="32"/>
        </w:rPr>
        <w:t>1174.88</w:t>
      </w:r>
      <w:r>
        <w:rPr>
          <w:rFonts w:hint="eastAsia" w:eastAsia="仿宋_GB2312" w:cs="仿宋_GB2312"/>
          <w:sz w:val="32"/>
          <w:szCs w:val="32"/>
        </w:rPr>
        <w:t>万元，比</w:t>
      </w:r>
      <w:r>
        <w:rPr>
          <w:rFonts w:eastAsia="仿宋_GB2312"/>
          <w:sz w:val="32"/>
          <w:szCs w:val="32"/>
        </w:rPr>
        <w:t>2019</w:t>
      </w:r>
      <w:r>
        <w:rPr>
          <w:rFonts w:hint="eastAsia" w:eastAsia="仿宋_GB2312" w:cs="仿宋_GB2312"/>
          <w:sz w:val="32"/>
          <w:szCs w:val="32"/>
        </w:rPr>
        <w:t>年减少</w:t>
      </w:r>
      <w:r>
        <w:rPr>
          <w:rFonts w:eastAsia="仿宋_GB2312"/>
          <w:sz w:val="32"/>
          <w:szCs w:val="32"/>
        </w:rPr>
        <w:t>369.01</w:t>
      </w:r>
      <w:r>
        <w:rPr>
          <w:rFonts w:hint="eastAsia" w:eastAsia="仿宋_GB2312" w:cs="仿宋_GB2312"/>
          <w:sz w:val="32"/>
          <w:szCs w:val="32"/>
        </w:rPr>
        <w:t>万元，下降</w:t>
      </w:r>
      <w:r>
        <w:rPr>
          <w:rFonts w:eastAsia="仿宋_GB2312"/>
          <w:sz w:val="32"/>
          <w:szCs w:val="32"/>
        </w:rPr>
        <w:t>23.9%</w:t>
      </w:r>
      <w:r>
        <w:rPr>
          <w:rFonts w:hint="eastAsia" w:eastAsia="仿宋_GB2312" w:cs="仿宋_GB2312"/>
          <w:sz w:val="32"/>
          <w:szCs w:val="32"/>
        </w:rPr>
        <w:t>。主要原因：一是机关物业管理费、食堂人员劳务费项目调整到人力资源社会保障厅机关服务中心统一核算管理；二是</w:t>
      </w:r>
      <w:r>
        <w:rPr>
          <w:rStyle w:val="14"/>
          <w:rFonts w:hint="eastAsia" w:eastAsia="仿宋_GB2312" w:cs="仿宋_GB2312"/>
          <w:b w:val="0"/>
          <w:bCs w:val="0"/>
          <w:sz w:val="32"/>
          <w:szCs w:val="32"/>
        </w:rPr>
        <w:t>疫情期间，按“可压尽压、应压尽压”要求压缩了厅机关培训费、会议费，核减了出国（境）经费等一般性公用支出预算。</w:t>
      </w:r>
    </w:p>
    <w:p>
      <w:pPr>
        <w:autoSpaceDE w:val="0"/>
        <w:autoSpaceDN w:val="0"/>
        <w:adjustRightInd w:val="0"/>
        <w:snapToGrid w:val="0"/>
        <w:spacing w:line="608" w:lineRule="exact"/>
        <w:ind w:firstLine="640" w:firstLineChars="200"/>
        <w:jc w:val="left"/>
        <w:outlineLvl w:val="2"/>
        <w:rPr>
          <w:rFonts w:eastAsia="楷体_GB2312"/>
          <w:sz w:val="32"/>
          <w:szCs w:val="32"/>
        </w:rPr>
      </w:pPr>
      <w:bookmarkStart w:id="130" w:name="_Toc81380057"/>
      <w:bookmarkStart w:id="131" w:name="_Toc81293511"/>
      <w:bookmarkStart w:id="132" w:name="_Toc15377223"/>
      <w:bookmarkStart w:id="133" w:name="_Toc81293332"/>
      <w:r>
        <w:rPr>
          <w:rFonts w:hint="eastAsia" w:eastAsia="楷体_GB2312" w:cs="楷体_GB2312"/>
          <w:sz w:val="32"/>
          <w:szCs w:val="32"/>
        </w:rPr>
        <w:t>（二）政府采购支出情况</w:t>
      </w:r>
      <w:bookmarkEnd w:id="130"/>
      <w:bookmarkEnd w:id="131"/>
      <w:bookmarkEnd w:id="132"/>
      <w:bookmarkEnd w:id="133"/>
    </w:p>
    <w:p>
      <w:pPr>
        <w:adjustRightInd w:val="0"/>
        <w:snapToGrid w:val="0"/>
        <w:spacing w:line="608" w:lineRule="exact"/>
        <w:ind w:firstLine="640" w:firstLineChars="200"/>
        <w:rPr>
          <w:rFonts w:eastAsia="仿宋_GB2312"/>
          <w:sz w:val="32"/>
          <w:szCs w:val="32"/>
        </w:rPr>
      </w:pPr>
      <w:r>
        <w:rPr>
          <w:rFonts w:eastAsia="仿宋_GB2312"/>
          <w:sz w:val="32"/>
          <w:szCs w:val="32"/>
        </w:rPr>
        <w:t>2020</w:t>
      </w:r>
      <w:r>
        <w:rPr>
          <w:rFonts w:hint="eastAsia" w:eastAsia="仿宋_GB2312" w:cs="仿宋_GB2312"/>
          <w:sz w:val="32"/>
          <w:szCs w:val="32"/>
        </w:rPr>
        <w:t>年，人力资源社会保障厅机关政府采购支出总额</w:t>
      </w:r>
      <w:r>
        <w:rPr>
          <w:rFonts w:eastAsia="仿宋_GB2312"/>
          <w:sz w:val="32"/>
          <w:szCs w:val="32"/>
        </w:rPr>
        <w:t>356.26</w:t>
      </w:r>
      <w:r>
        <w:rPr>
          <w:rFonts w:hint="eastAsia" w:eastAsia="仿宋_GB2312" w:cs="仿宋_GB2312"/>
          <w:sz w:val="32"/>
          <w:szCs w:val="32"/>
        </w:rPr>
        <w:t>万元，其中：政府采购货物支出</w:t>
      </w:r>
      <w:r>
        <w:rPr>
          <w:rFonts w:eastAsia="仿宋_GB2312"/>
          <w:sz w:val="32"/>
          <w:szCs w:val="32"/>
        </w:rPr>
        <w:t>31.73</w:t>
      </w:r>
      <w:r>
        <w:rPr>
          <w:rFonts w:hint="eastAsia" w:eastAsia="仿宋_GB2312" w:cs="仿宋_GB2312"/>
          <w:sz w:val="32"/>
          <w:szCs w:val="32"/>
        </w:rPr>
        <w:t>万元、政府采购工程支出</w:t>
      </w:r>
      <w:r>
        <w:rPr>
          <w:rFonts w:eastAsia="仿宋_GB2312"/>
          <w:sz w:val="32"/>
          <w:szCs w:val="32"/>
        </w:rPr>
        <w:t>101.70</w:t>
      </w:r>
      <w:r>
        <w:rPr>
          <w:rFonts w:hint="eastAsia" w:eastAsia="仿宋_GB2312" w:cs="仿宋_GB2312"/>
          <w:sz w:val="32"/>
          <w:szCs w:val="32"/>
        </w:rPr>
        <w:t>万元、政府采购服务支出</w:t>
      </w:r>
      <w:r>
        <w:rPr>
          <w:rFonts w:eastAsia="仿宋_GB2312"/>
          <w:sz w:val="32"/>
          <w:szCs w:val="32"/>
        </w:rPr>
        <w:t>222.83</w:t>
      </w:r>
      <w:r>
        <w:rPr>
          <w:rFonts w:hint="eastAsia" w:eastAsia="仿宋_GB2312" w:cs="仿宋_GB2312"/>
          <w:sz w:val="32"/>
          <w:szCs w:val="32"/>
        </w:rPr>
        <w:t>万元。主要用于办公设备购置、办公楼安装电梯、信息化建设系统维护、公务用车加油维修维护保障服务等。授予中小企业合同金额</w:t>
      </w:r>
      <w:r>
        <w:rPr>
          <w:rFonts w:eastAsia="仿宋_GB2312"/>
          <w:sz w:val="32"/>
          <w:szCs w:val="32"/>
        </w:rPr>
        <w:t>14.20</w:t>
      </w:r>
      <w:r>
        <w:rPr>
          <w:rFonts w:hint="eastAsia" w:eastAsia="仿宋_GB2312" w:cs="仿宋_GB2312"/>
          <w:sz w:val="32"/>
          <w:szCs w:val="32"/>
        </w:rPr>
        <w:t>万元，占政府采购支出总额的</w:t>
      </w:r>
      <w:r>
        <w:rPr>
          <w:rFonts w:eastAsia="仿宋_GB2312"/>
          <w:sz w:val="32"/>
          <w:szCs w:val="32"/>
        </w:rPr>
        <w:t>3.99%</w:t>
      </w:r>
      <w:r>
        <w:rPr>
          <w:rFonts w:hint="eastAsia" w:eastAsia="仿宋_GB2312" w:cs="仿宋_GB2312"/>
          <w:sz w:val="32"/>
          <w:szCs w:val="32"/>
        </w:rPr>
        <w:t>，其中：授予小微企业合同金额</w:t>
      </w:r>
      <w:r>
        <w:rPr>
          <w:rFonts w:eastAsia="仿宋_GB2312"/>
          <w:sz w:val="32"/>
          <w:szCs w:val="32"/>
        </w:rPr>
        <w:t>14.20</w:t>
      </w:r>
      <w:r>
        <w:rPr>
          <w:rFonts w:hint="eastAsia" w:eastAsia="仿宋_GB2312" w:cs="仿宋_GB2312"/>
          <w:sz w:val="32"/>
          <w:szCs w:val="32"/>
        </w:rPr>
        <w:t>万元，占政府采购支出总额的</w:t>
      </w:r>
      <w:r>
        <w:rPr>
          <w:rFonts w:eastAsia="仿宋_GB2312"/>
          <w:sz w:val="32"/>
          <w:szCs w:val="32"/>
        </w:rPr>
        <w:t>3.99%</w:t>
      </w:r>
      <w:r>
        <w:rPr>
          <w:rFonts w:hint="eastAsia" w:eastAsia="仿宋_GB2312" w:cs="仿宋_GB2312"/>
          <w:sz w:val="32"/>
          <w:szCs w:val="32"/>
        </w:rPr>
        <w:t>。</w:t>
      </w:r>
    </w:p>
    <w:p>
      <w:pPr>
        <w:autoSpaceDE w:val="0"/>
        <w:autoSpaceDN w:val="0"/>
        <w:adjustRightInd w:val="0"/>
        <w:snapToGrid w:val="0"/>
        <w:spacing w:line="608" w:lineRule="exact"/>
        <w:ind w:firstLine="640" w:firstLineChars="200"/>
        <w:jc w:val="left"/>
        <w:outlineLvl w:val="2"/>
        <w:rPr>
          <w:rFonts w:eastAsia="楷体_GB2312"/>
          <w:sz w:val="32"/>
          <w:szCs w:val="32"/>
        </w:rPr>
      </w:pPr>
      <w:bookmarkStart w:id="134" w:name="_Toc81293512"/>
      <w:bookmarkStart w:id="135" w:name="_Toc81380058"/>
      <w:bookmarkStart w:id="136" w:name="_Toc15377224"/>
      <w:bookmarkStart w:id="137" w:name="_Toc81293333"/>
      <w:r>
        <w:rPr>
          <w:rFonts w:hint="eastAsia" w:eastAsia="楷体_GB2312" w:cs="楷体_GB2312"/>
          <w:sz w:val="32"/>
          <w:szCs w:val="32"/>
        </w:rPr>
        <w:t>（三）国有资产占有使用情况</w:t>
      </w:r>
      <w:bookmarkEnd w:id="134"/>
      <w:bookmarkEnd w:id="135"/>
      <w:bookmarkEnd w:id="136"/>
      <w:bookmarkEnd w:id="137"/>
    </w:p>
    <w:p>
      <w:pPr>
        <w:autoSpaceDE w:val="0"/>
        <w:autoSpaceDN w:val="0"/>
        <w:adjustRightInd w:val="0"/>
        <w:snapToGrid w:val="0"/>
        <w:spacing w:line="608" w:lineRule="exact"/>
        <w:ind w:firstLine="640" w:firstLineChars="200"/>
        <w:jc w:val="left"/>
        <w:rPr>
          <w:rFonts w:eastAsia="仿宋_GB2312"/>
          <w:sz w:val="32"/>
          <w:szCs w:val="32"/>
        </w:rPr>
      </w:pPr>
      <w:r>
        <w:rPr>
          <w:rFonts w:hint="eastAsia" w:eastAsia="仿宋_GB2312" w:cs="仿宋_GB2312"/>
          <w:sz w:val="32"/>
          <w:szCs w:val="32"/>
        </w:rPr>
        <w:t>截至</w:t>
      </w:r>
      <w:r>
        <w:rPr>
          <w:rFonts w:eastAsia="仿宋_GB2312"/>
          <w:sz w:val="32"/>
          <w:szCs w:val="32"/>
        </w:rPr>
        <w:t>2020</w:t>
      </w:r>
      <w:r>
        <w:rPr>
          <w:rFonts w:hint="eastAsia" w:eastAsia="仿宋_GB2312" w:cs="仿宋_GB2312"/>
          <w:sz w:val="32"/>
          <w:szCs w:val="32"/>
        </w:rPr>
        <w:t>年</w:t>
      </w:r>
      <w:r>
        <w:rPr>
          <w:rFonts w:eastAsia="仿宋_GB2312"/>
          <w:sz w:val="32"/>
          <w:szCs w:val="32"/>
        </w:rPr>
        <w:t>12</w:t>
      </w:r>
      <w:r>
        <w:rPr>
          <w:rFonts w:hint="eastAsia" w:eastAsia="仿宋_GB2312" w:cs="仿宋_GB2312"/>
          <w:sz w:val="32"/>
          <w:szCs w:val="32"/>
        </w:rPr>
        <w:t>月</w:t>
      </w:r>
      <w:r>
        <w:rPr>
          <w:rFonts w:eastAsia="仿宋_GB2312"/>
          <w:sz w:val="32"/>
          <w:szCs w:val="32"/>
        </w:rPr>
        <w:t>31</w:t>
      </w:r>
      <w:r>
        <w:rPr>
          <w:rFonts w:hint="eastAsia" w:eastAsia="仿宋_GB2312" w:cs="仿宋_GB2312"/>
          <w:sz w:val="32"/>
          <w:szCs w:val="32"/>
        </w:rPr>
        <w:t>日，人力资源社会保障厅机关共有车辆</w:t>
      </w:r>
      <w:r>
        <w:rPr>
          <w:rFonts w:eastAsia="仿宋_GB2312"/>
          <w:sz w:val="32"/>
          <w:szCs w:val="32"/>
        </w:rPr>
        <w:t>16</w:t>
      </w:r>
      <w:r>
        <w:rPr>
          <w:rFonts w:hint="eastAsia" w:eastAsia="仿宋_GB2312" w:cs="仿宋_GB2312"/>
          <w:sz w:val="32"/>
          <w:szCs w:val="32"/>
        </w:rPr>
        <w:t>辆，其中：主要领导干部用车</w:t>
      </w:r>
      <w:r>
        <w:rPr>
          <w:rFonts w:eastAsia="仿宋_GB2312"/>
          <w:sz w:val="32"/>
          <w:szCs w:val="32"/>
        </w:rPr>
        <w:t>1</w:t>
      </w:r>
      <w:r>
        <w:rPr>
          <w:rFonts w:hint="eastAsia" w:eastAsia="仿宋_GB2312" w:cs="仿宋_GB2312"/>
          <w:sz w:val="32"/>
          <w:szCs w:val="32"/>
        </w:rPr>
        <w:t>辆、机要通信用车</w:t>
      </w:r>
      <w:r>
        <w:rPr>
          <w:rFonts w:eastAsia="仿宋_GB2312"/>
          <w:sz w:val="32"/>
          <w:szCs w:val="32"/>
        </w:rPr>
        <w:t>1</w:t>
      </w:r>
      <w:r>
        <w:rPr>
          <w:rFonts w:hint="eastAsia" w:eastAsia="仿宋_GB2312" w:cs="仿宋_GB2312"/>
          <w:sz w:val="32"/>
          <w:szCs w:val="32"/>
        </w:rPr>
        <w:t>辆、应急保障用车</w:t>
      </w:r>
      <w:r>
        <w:rPr>
          <w:rFonts w:eastAsia="仿宋_GB2312"/>
          <w:sz w:val="32"/>
          <w:szCs w:val="32"/>
        </w:rPr>
        <w:t>3</w:t>
      </w:r>
      <w:r>
        <w:rPr>
          <w:rFonts w:hint="eastAsia" w:eastAsia="仿宋_GB2312" w:cs="仿宋_GB2312"/>
          <w:sz w:val="32"/>
          <w:szCs w:val="32"/>
        </w:rPr>
        <w:t>辆、</w:t>
      </w:r>
      <w:r>
        <w:rPr>
          <w:rFonts w:hint="eastAsia" w:eastAsia="仿宋" w:cs="仿宋"/>
          <w:color w:val="000000"/>
          <w:sz w:val="32"/>
          <w:szCs w:val="32"/>
        </w:rPr>
        <w:t>离退休干部用车</w:t>
      </w:r>
      <w:r>
        <w:rPr>
          <w:rFonts w:eastAsia="仿宋"/>
          <w:color w:val="000000"/>
          <w:sz w:val="32"/>
          <w:szCs w:val="32"/>
        </w:rPr>
        <w:t>7</w:t>
      </w:r>
      <w:r>
        <w:rPr>
          <w:rFonts w:hint="eastAsia" w:eastAsia="仿宋" w:cs="仿宋"/>
          <w:color w:val="000000"/>
          <w:sz w:val="32"/>
          <w:szCs w:val="32"/>
        </w:rPr>
        <w:t>辆、</w:t>
      </w:r>
      <w:r>
        <w:rPr>
          <w:rFonts w:hint="eastAsia" w:eastAsia="仿宋_GB2312" w:cs="仿宋_GB2312"/>
          <w:sz w:val="32"/>
          <w:szCs w:val="32"/>
        </w:rPr>
        <w:t>其他用车</w:t>
      </w:r>
      <w:r>
        <w:rPr>
          <w:rFonts w:eastAsia="仿宋_GB2312"/>
          <w:sz w:val="32"/>
          <w:szCs w:val="32"/>
        </w:rPr>
        <w:t>4</w:t>
      </w:r>
      <w:r>
        <w:rPr>
          <w:rFonts w:hint="eastAsia" w:eastAsia="仿宋_GB2312" w:cs="仿宋_GB2312"/>
          <w:sz w:val="32"/>
          <w:szCs w:val="32"/>
        </w:rPr>
        <w:t>辆，其他用车主要是用于机关行政运行保障、离退休人员保障用车。单价</w:t>
      </w:r>
      <w:r>
        <w:rPr>
          <w:rFonts w:eastAsia="仿宋_GB2312"/>
          <w:sz w:val="32"/>
          <w:szCs w:val="32"/>
        </w:rPr>
        <w:t>50</w:t>
      </w:r>
      <w:r>
        <w:rPr>
          <w:rFonts w:hint="eastAsia" w:eastAsia="仿宋_GB2312" w:cs="仿宋_GB2312"/>
          <w:sz w:val="32"/>
          <w:szCs w:val="32"/>
        </w:rPr>
        <w:t>万元以上通用设备</w:t>
      </w:r>
      <w:r>
        <w:rPr>
          <w:rFonts w:eastAsia="仿宋_GB2312"/>
          <w:sz w:val="32"/>
          <w:szCs w:val="32"/>
        </w:rPr>
        <w:t>26</w:t>
      </w:r>
      <w:r>
        <w:rPr>
          <w:rFonts w:hint="eastAsia" w:eastAsia="仿宋_GB2312" w:cs="仿宋_GB2312"/>
          <w:sz w:val="32"/>
          <w:szCs w:val="32"/>
        </w:rPr>
        <w:t>台（套），单价</w:t>
      </w:r>
      <w:r>
        <w:rPr>
          <w:rFonts w:eastAsia="仿宋_GB2312"/>
          <w:sz w:val="32"/>
          <w:szCs w:val="32"/>
        </w:rPr>
        <w:t>100</w:t>
      </w:r>
      <w:r>
        <w:rPr>
          <w:rFonts w:hint="eastAsia" w:eastAsia="仿宋_GB2312" w:cs="仿宋_GB2312"/>
          <w:sz w:val="32"/>
          <w:szCs w:val="32"/>
        </w:rPr>
        <w:t>万元以上专用设备</w:t>
      </w:r>
      <w:r>
        <w:rPr>
          <w:rFonts w:eastAsia="仿宋_GB2312"/>
          <w:sz w:val="32"/>
          <w:szCs w:val="32"/>
        </w:rPr>
        <w:t>0</w:t>
      </w:r>
      <w:r>
        <w:rPr>
          <w:rFonts w:hint="eastAsia" w:eastAsia="仿宋_GB2312" w:cs="仿宋_GB2312"/>
          <w:sz w:val="32"/>
          <w:szCs w:val="32"/>
        </w:rPr>
        <w:t>台（套）。</w:t>
      </w:r>
    </w:p>
    <w:p>
      <w:pPr>
        <w:autoSpaceDE w:val="0"/>
        <w:autoSpaceDN w:val="0"/>
        <w:adjustRightInd w:val="0"/>
        <w:snapToGrid w:val="0"/>
        <w:spacing w:line="608" w:lineRule="exact"/>
        <w:ind w:firstLine="640" w:firstLineChars="200"/>
        <w:jc w:val="left"/>
        <w:outlineLvl w:val="2"/>
        <w:rPr>
          <w:rFonts w:eastAsia="楷体_GB2312"/>
          <w:sz w:val="32"/>
          <w:szCs w:val="32"/>
        </w:rPr>
      </w:pPr>
      <w:bookmarkStart w:id="138" w:name="_Toc81380059"/>
      <w:bookmarkStart w:id="139" w:name="_Toc81293334"/>
      <w:bookmarkStart w:id="140" w:name="_Toc81293513"/>
      <w:r>
        <w:rPr>
          <w:rFonts w:hint="eastAsia" w:eastAsia="楷体_GB2312" w:cs="楷体_GB2312"/>
          <w:sz w:val="32"/>
          <w:szCs w:val="32"/>
        </w:rPr>
        <w:t>（四）预算绩效管理情况</w:t>
      </w:r>
      <w:bookmarkEnd w:id="138"/>
      <w:bookmarkEnd w:id="139"/>
      <w:bookmarkEnd w:id="140"/>
    </w:p>
    <w:p>
      <w:pPr>
        <w:adjustRightInd w:val="0"/>
        <w:snapToGrid w:val="0"/>
        <w:spacing w:line="608" w:lineRule="exact"/>
        <w:ind w:firstLine="640" w:firstLineChars="200"/>
        <w:rPr>
          <w:rFonts w:eastAsia="仿宋_GB2312"/>
          <w:sz w:val="32"/>
          <w:szCs w:val="32"/>
        </w:rPr>
      </w:pPr>
      <w:r>
        <w:rPr>
          <w:rFonts w:hint="eastAsia" w:eastAsia="仿宋_GB2312" w:cs="仿宋_GB2312"/>
          <w:sz w:val="32"/>
          <w:szCs w:val="32"/>
        </w:rPr>
        <w:t>根据预算绩效管理要求，本单位在</w:t>
      </w:r>
      <w:r>
        <w:rPr>
          <w:rFonts w:eastAsia="仿宋_GB2312"/>
          <w:sz w:val="32"/>
          <w:szCs w:val="32"/>
        </w:rPr>
        <w:t>2020</w:t>
      </w:r>
      <w:r>
        <w:rPr>
          <w:rFonts w:hint="eastAsia" w:eastAsia="仿宋_GB2312" w:cs="仿宋_GB2312"/>
          <w:sz w:val="32"/>
          <w:szCs w:val="32"/>
        </w:rPr>
        <w:t>年度预算编制阶段，组织对“设备购置</w:t>
      </w:r>
      <w:r>
        <w:rPr>
          <w:rFonts w:eastAsia="仿宋_GB2312"/>
          <w:sz w:val="32"/>
          <w:szCs w:val="32"/>
        </w:rPr>
        <w:t>”</w:t>
      </w:r>
      <w:r>
        <w:rPr>
          <w:rFonts w:hint="eastAsia" w:eastAsia="仿宋_GB2312" w:cs="仿宋_GB2312"/>
          <w:sz w:val="32"/>
          <w:szCs w:val="32"/>
        </w:rPr>
        <w:t>项目开展了预算事前绩效评估，对</w:t>
      </w:r>
      <w:r>
        <w:rPr>
          <w:rFonts w:eastAsia="仿宋_GB2312"/>
          <w:sz w:val="32"/>
          <w:szCs w:val="32"/>
        </w:rPr>
        <w:t>7</w:t>
      </w:r>
      <w:r>
        <w:rPr>
          <w:rFonts w:hint="eastAsia" w:eastAsia="仿宋_GB2312" w:cs="仿宋_GB2312"/>
          <w:sz w:val="32"/>
          <w:szCs w:val="32"/>
        </w:rPr>
        <w:t>个项目编制了绩效目标，预算执行过程中，选取</w:t>
      </w:r>
      <w:r>
        <w:rPr>
          <w:rFonts w:eastAsia="仿宋_GB2312"/>
          <w:sz w:val="32"/>
          <w:szCs w:val="32"/>
        </w:rPr>
        <w:t>7</w:t>
      </w:r>
      <w:r>
        <w:rPr>
          <w:rFonts w:hint="eastAsia" w:eastAsia="仿宋_GB2312" w:cs="仿宋_GB2312"/>
          <w:sz w:val="32"/>
          <w:szCs w:val="32"/>
        </w:rPr>
        <w:t>个项目开展绩效监控，年终执行完毕后，对</w:t>
      </w:r>
      <w:r>
        <w:rPr>
          <w:rFonts w:eastAsia="仿宋_GB2312"/>
          <w:sz w:val="32"/>
          <w:szCs w:val="32"/>
        </w:rPr>
        <w:t>7</w:t>
      </w:r>
      <w:r>
        <w:rPr>
          <w:rFonts w:hint="eastAsia" w:eastAsia="仿宋_GB2312" w:cs="仿宋_GB2312"/>
          <w:sz w:val="32"/>
          <w:szCs w:val="32"/>
        </w:rPr>
        <w:t>个项目开展了绩效目标完成情况自评。</w:t>
      </w:r>
    </w:p>
    <w:p>
      <w:pPr>
        <w:adjustRightInd w:val="0"/>
        <w:snapToGrid w:val="0"/>
        <w:spacing w:line="608" w:lineRule="exact"/>
        <w:ind w:firstLine="640" w:firstLineChars="200"/>
        <w:rPr>
          <w:rFonts w:eastAsia="仿宋_GB2312"/>
          <w:sz w:val="32"/>
          <w:szCs w:val="32"/>
        </w:rPr>
      </w:pPr>
      <w:r>
        <w:rPr>
          <w:rFonts w:hint="eastAsia" w:eastAsia="仿宋_GB2312" w:cs="仿宋_GB2312"/>
          <w:sz w:val="32"/>
          <w:szCs w:val="32"/>
        </w:rPr>
        <w:t>本单位按要求对</w:t>
      </w:r>
      <w:r>
        <w:rPr>
          <w:rFonts w:eastAsia="仿宋_GB2312"/>
          <w:sz w:val="32"/>
          <w:szCs w:val="32"/>
        </w:rPr>
        <w:t>2020</w:t>
      </w:r>
      <w:r>
        <w:rPr>
          <w:rFonts w:hint="eastAsia" w:eastAsia="仿宋_GB2312" w:cs="仿宋_GB2312"/>
          <w:sz w:val="32"/>
          <w:szCs w:val="32"/>
        </w:rPr>
        <w:t>年整体支出开展绩效自评，从评价情况来看部门预算严格按照“人员经费按标准、日常公用经费按定额、专项经费按项目</w:t>
      </w:r>
      <w:r>
        <w:rPr>
          <w:rFonts w:eastAsia="仿宋_GB2312"/>
          <w:sz w:val="32"/>
          <w:szCs w:val="32"/>
        </w:rPr>
        <w:t>”</w:t>
      </w:r>
      <w:r>
        <w:rPr>
          <w:rFonts w:hint="eastAsia" w:eastAsia="仿宋_GB2312" w:cs="仿宋_GB2312"/>
          <w:sz w:val="32"/>
          <w:szCs w:val="32"/>
        </w:rPr>
        <w:t>全口径编制，在执行中严格按照预算批复组织实施。</w:t>
      </w:r>
      <w:r>
        <w:rPr>
          <w:rFonts w:eastAsia="仿宋_GB2312"/>
          <w:sz w:val="32"/>
          <w:szCs w:val="32"/>
        </w:rPr>
        <w:t>2020</w:t>
      </w:r>
      <w:r>
        <w:rPr>
          <w:rFonts w:hint="eastAsia" w:eastAsia="仿宋_GB2312" w:cs="仿宋_GB2312"/>
          <w:sz w:val="32"/>
          <w:szCs w:val="32"/>
        </w:rPr>
        <w:t>年，受新冠疫情影响，“功勋荣誉表彰奖励获得者待遇落实和困难帮扶经费</w:t>
      </w:r>
      <w:r>
        <w:rPr>
          <w:rFonts w:eastAsia="仿宋_GB2312"/>
          <w:sz w:val="32"/>
          <w:szCs w:val="32"/>
        </w:rPr>
        <w:t>”</w:t>
      </w:r>
      <w:r>
        <w:rPr>
          <w:rFonts w:hint="eastAsia" w:eastAsia="仿宋_GB2312" w:cs="仿宋_GB2312"/>
          <w:sz w:val="32"/>
          <w:szCs w:val="32"/>
        </w:rPr>
        <w:t>中的休假疗养项目取消，因此指标未能达到预期；按照财政部门统一压缩预算的要求，“专家选拔评审工作经费</w:t>
      </w:r>
      <w:r>
        <w:rPr>
          <w:rFonts w:eastAsia="仿宋_GB2312"/>
          <w:sz w:val="32"/>
          <w:szCs w:val="32"/>
        </w:rPr>
        <w:t>”</w:t>
      </w:r>
      <w:r>
        <w:rPr>
          <w:rFonts w:hint="eastAsia" w:eastAsia="仿宋_GB2312" w:cs="仿宋_GB2312"/>
          <w:sz w:val="32"/>
          <w:szCs w:val="32"/>
        </w:rPr>
        <w:t>项目压缩经费，因此与年初指标存在差异，但完成了项目整体支出绩效目标，其余项目较好地完成了年初设定的绩效目标。</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本单位未自行组织项目支出绩效评价。</w:t>
      </w:r>
    </w:p>
    <w:p>
      <w:pPr>
        <w:tabs>
          <w:tab w:val="left" w:pos="312"/>
        </w:tabs>
        <w:adjustRightInd w:val="0"/>
        <w:snapToGrid w:val="0"/>
        <w:spacing w:line="608" w:lineRule="exact"/>
        <w:ind w:firstLine="640" w:firstLineChars="200"/>
        <w:rPr>
          <w:rFonts w:eastAsia="仿宋_GB2312"/>
          <w:sz w:val="32"/>
          <w:szCs w:val="32"/>
        </w:rPr>
      </w:pPr>
      <w:r>
        <w:rPr>
          <w:rFonts w:eastAsia="楷体_GB2312"/>
          <w:sz w:val="32"/>
          <w:szCs w:val="32"/>
        </w:rPr>
        <w:t>1.</w:t>
      </w:r>
      <w:r>
        <w:rPr>
          <w:rFonts w:hint="eastAsia" w:eastAsia="楷体_GB2312" w:cs="楷体_GB2312"/>
          <w:sz w:val="32"/>
          <w:szCs w:val="32"/>
        </w:rPr>
        <w:t>项目绩效目标完成情况。</w:t>
      </w:r>
    </w:p>
    <w:p>
      <w:pPr>
        <w:tabs>
          <w:tab w:val="left" w:pos="312"/>
        </w:tabs>
        <w:adjustRightInd w:val="0"/>
        <w:snapToGrid w:val="0"/>
        <w:spacing w:line="608" w:lineRule="exact"/>
        <w:ind w:firstLine="640" w:firstLineChars="200"/>
        <w:rPr>
          <w:rFonts w:eastAsia="仿宋_GB2312"/>
          <w:sz w:val="32"/>
          <w:szCs w:val="32"/>
        </w:rPr>
      </w:pPr>
      <w:r>
        <w:rPr>
          <w:rFonts w:hint="eastAsia" w:eastAsia="仿宋_GB2312" w:cs="仿宋_GB2312"/>
          <w:sz w:val="32"/>
          <w:szCs w:val="32"/>
        </w:rPr>
        <w:t>本单位在</w:t>
      </w:r>
      <w:r>
        <w:rPr>
          <w:rFonts w:eastAsia="仿宋_GB2312"/>
          <w:sz w:val="32"/>
          <w:szCs w:val="32"/>
        </w:rPr>
        <w:t>2020</w:t>
      </w:r>
      <w:r>
        <w:rPr>
          <w:rFonts w:hint="eastAsia" w:eastAsia="仿宋_GB2312" w:cs="仿宋_GB2312"/>
          <w:sz w:val="32"/>
          <w:szCs w:val="32"/>
        </w:rPr>
        <w:t>年度部门决算中反映“委托业务费</w:t>
      </w:r>
      <w:r>
        <w:rPr>
          <w:rFonts w:eastAsia="仿宋_GB2312"/>
          <w:sz w:val="32"/>
          <w:szCs w:val="32"/>
        </w:rPr>
        <w:t>”</w:t>
      </w:r>
      <w:r>
        <w:rPr>
          <w:rFonts w:hint="eastAsia" w:eastAsia="仿宋_GB2312" w:cs="仿宋_GB2312"/>
          <w:sz w:val="32"/>
          <w:szCs w:val="32"/>
        </w:rPr>
        <w:t>、“专家选拔评审工作经费</w:t>
      </w:r>
      <w:r>
        <w:rPr>
          <w:rFonts w:eastAsia="仿宋_GB2312"/>
          <w:sz w:val="32"/>
          <w:szCs w:val="32"/>
        </w:rPr>
        <w:t>”</w:t>
      </w:r>
      <w:r>
        <w:rPr>
          <w:rFonts w:hint="eastAsia" w:eastAsia="仿宋_GB2312" w:cs="仿宋_GB2312"/>
          <w:sz w:val="32"/>
          <w:szCs w:val="32"/>
        </w:rPr>
        <w:t>、“功勋荣誉表彰奖励获得者待遇落实和困难帮扶经费</w:t>
      </w:r>
      <w:r>
        <w:rPr>
          <w:rFonts w:eastAsia="仿宋_GB2312"/>
          <w:sz w:val="32"/>
          <w:szCs w:val="32"/>
        </w:rPr>
        <w:t>”</w:t>
      </w:r>
      <w:r>
        <w:rPr>
          <w:rFonts w:hint="eastAsia" w:eastAsia="仿宋_GB2312" w:cs="仿宋_GB2312"/>
          <w:sz w:val="32"/>
          <w:szCs w:val="32"/>
        </w:rPr>
        <w:t>、“流动人员人事档案管理经费</w:t>
      </w:r>
      <w:r>
        <w:rPr>
          <w:rFonts w:eastAsia="仿宋_GB2312"/>
          <w:sz w:val="32"/>
          <w:szCs w:val="32"/>
        </w:rPr>
        <w:t>”</w:t>
      </w:r>
      <w:r>
        <w:rPr>
          <w:rFonts w:hint="eastAsia" w:eastAsia="仿宋_GB2312" w:cs="仿宋_GB2312"/>
          <w:sz w:val="32"/>
          <w:szCs w:val="32"/>
        </w:rPr>
        <w:t>、“返乡下乡创业明星奖励资金</w:t>
      </w:r>
      <w:r>
        <w:rPr>
          <w:rFonts w:eastAsia="仿宋_GB2312"/>
          <w:sz w:val="32"/>
          <w:szCs w:val="32"/>
        </w:rPr>
        <w:t>”</w:t>
      </w:r>
      <w:r>
        <w:rPr>
          <w:rFonts w:hint="eastAsia" w:eastAsia="仿宋_GB2312" w:cs="仿宋_GB2312"/>
          <w:sz w:val="32"/>
          <w:szCs w:val="32"/>
        </w:rPr>
        <w:t>等</w:t>
      </w:r>
      <w:r>
        <w:rPr>
          <w:rFonts w:eastAsia="仿宋_GB2312"/>
          <w:sz w:val="32"/>
          <w:szCs w:val="32"/>
        </w:rPr>
        <w:t>5</w:t>
      </w:r>
      <w:r>
        <w:rPr>
          <w:rFonts w:hint="eastAsia" w:eastAsia="仿宋_GB2312" w:cs="仿宋_GB2312"/>
          <w:sz w:val="32"/>
          <w:szCs w:val="32"/>
        </w:rPr>
        <w:t>个项目绩效目标实际完成情况。</w:t>
      </w:r>
    </w:p>
    <w:p>
      <w:pPr>
        <w:adjustRightInd w:val="0"/>
        <w:snapToGrid w:val="0"/>
        <w:spacing w:line="608"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1</w:t>
      </w:r>
      <w:r>
        <w:rPr>
          <w:rFonts w:hint="eastAsia" w:eastAsia="仿宋_GB2312" w:cs="仿宋_GB2312"/>
          <w:sz w:val="32"/>
          <w:szCs w:val="32"/>
        </w:rPr>
        <w:t>）委托业务费项目绩效目标完成情况综述。项目全年预算数</w:t>
      </w:r>
      <w:r>
        <w:rPr>
          <w:rFonts w:eastAsia="仿宋_GB2312"/>
          <w:sz w:val="32"/>
          <w:szCs w:val="32"/>
        </w:rPr>
        <w:t>142</w:t>
      </w:r>
      <w:r>
        <w:rPr>
          <w:rFonts w:hint="eastAsia" w:eastAsia="仿宋_GB2312" w:cs="仿宋_GB2312"/>
          <w:sz w:val="32"/>
          <w:szCs w:val="32"/>
        </w:rPr>
        <w:t>万元，执行数为</w:t>
      </w:r>
      <w:r>
        <w:rPr>
          <w:rFonts w:eastAsia="仿宋_GB2312"/>
          <w:sz w:val="32"/>
          <w:szCs w:val="32"/>
        </w:rPr>
        <w:t>133.61</w:t>
      </w:r>
      <w:r>
        <w:rPr>
          <w:rFonts w:hint="eastAsia" w:eastAsia="仿宋_GB2312" w:cs="仿宋_GB2312"/>
          <w:sz w:val="32"/>
          <w:szCs w:val="32"/>
        </w:rPr>
        <w:t>万元，完成预算的</w:t>
      </w:r>
      <w:r>
        <w:rPr>
          <w:rFonts w:eastAsia="仿宋_GB2312"/>
          <w:sz w:val="32"/>
          <w:szCs w:val="32"/>
        </w:rPr>
        <w:t>94.09%</w:t>
      </w:r>
      <w:r>
        <w:rPr>
          <w:rFonts w:hint="eastAsia" w:eastAsia="仿宋_GB2312" w:cs="仿宋_GB2312"/>
          <w:sz w:val="32"/>
          <w:szCs w:val="32"/>
        </w:rPr>
        <w:t>。通过项目实施，落实政府法律顾问制度，推进依法行政建设法治政府；深化全省人社系统政风行风建设；加强监督检查，及时发现和纠正所属单位违反财经纪律和制度的行为；确保各项基金安全运行；落实档案数字化管理要求；发布企业行业人工成本信息及工资指导价位，掌握我省企业薪酬情况和用工状况；编制重点领域急需人才目录，推动全省人力资源服务业高质量发展保障。发现的主要问题：该项目</w:t>
      </w:r>
      <w:r>
        <w:rPr>
          <w:rFonts w:eastAsia="仿宋_GB2312"/>
          <w:sz w:val="32"/>
          <w:szCs w:val="32"/>
        </w:rPr>
        <w:t>11</w:t>
      </w:r>
      <w:r>
        <w:rPr>
          <w:rFonts w:hint="eastAsia" w:eastAsia="仿宋_GB2312" w:cs="仿宋_GB2312"/>
          <w:sz w:val="32"/>
          <w:szCs w:val="32"/>
        </w:rPr>
        <w:t>月和</w:t>
      </w:r>
      <w:r>
        <w:rPr>
          <w:rFonts w:eastAsia="仿宋_GB2312"/>
          <w:sz w:val="32"/>
          <w:szCs w:val="32"/>
        </w:rPr>
        <w:t>12</w:t>
      </w:r>
      <w:r>
        <w:rPr>
          <w:rFonts w:hint="eastAsia" w:eastAsia="仿宋_GB2312" w:cs="仿宋_GB2312"/>
          <w:sz w:val="32"/>
          <w:szCs w:val="32"/>
        </w:rPr>
        <w:t>月支出金额占全年支出总额的</w:t>
      </w:r>
      <w:r>
        <w:rPr>
          <w:rFonts w:eastAsia="仿宋_GB2312"/>
          <w:sz w:val="32"/>
          <w:szCs w:val="32"/>
        </w:rPr>
        <w:t>57%</w:t>
      </w:r>
      <w:r>
        <w:rPr>
          <w:rFonts w:hint="eastAsia" w:eastAsia="仿宋_GB2312" w:cs="仿宋_GB2312"/>
          <w:sz w:val="32"/>
          <w:szCs w:val="32"/>
        </w:rPr>
        <w:t>，原因是本项目经费涉及多个第三方服务合同，是依据合同约定进行分期付款，所以预算执行进度集中在下半年。下一步改进措施：对项目开展情况事先进行充分预估，能在上半年完成的工作尽量安排在上半年，在严格按照合同约定的情况下积极推进项目实施进度，加快预算执行力度。</w:t>
      </w:r>
    </w:p>
    <w:p>
      <w:pPr>
        <w:adjustRightInd w:val="0"/>
        <w:snapToGrid w:val="0"/>
        <w:spacing w:line="608" w:lineRule="exact"/>
        <w:ind w:firstLine="640" w:firstLineChars="200"/>
        <w:rPr>
          <w:rFonts w:eastAsia="仿宋_GB2312"/>
          <w:sz w:val="32"/>
          <w:szCs w:val="32"/>
        </w:rPr>
      </w:pPr>
      <w:r>
        <w:rPr>
          <w:rFonts w:hint="eastAsia" w:eastAsia="仿宋_GB2312" w:cs="仿宋_GB2312"/>
          <w:sz w:val="32"/>
          <w:szCs w:val="32"/>
        </w:rPr>
        <w:t>（</w:t>
      </w:r>
      <w:r>
        <w:rPr>
          <w:rFonts w:eastAsia="仿宋_GB2312"/>
          <w:sz w:val="32"/>
          <w:szCs w:val="32"/>
        </w:rPr>
        <w:t>2</w:t>
      </w:r>
      <w:r>
        <w:rPr>
          <w:rFonts w:hint="eastAsia" w:eastAsia="仿宋_GB2312" w:cs="仿宋_GB2312"/>
          <w:sz w:val="32"/>
          <w:szCs w:val="32"/>
        </w:rPr>
        <w:t>）流动人员人事档案管理经费项目绩效目标完成情况综述。项目全年预算数</w:t>
      </w:r>
      <w:r>
        <w:rPr>
          <w:rFonts w:eastAsia="仿宋_GB2312"/>
          <w:sz w:val="32"/>
          <w:szCs w:val="32"/>
        </w:rPr>
        <w:t>118</w:t>
      </w:r>
      <w:r>
        <w:rPr>
          <w:rFonts w:hint="eastAsia" w:eastAsia="仿宋_GB2312" w:cs="仿宋_GB2312"/>
          <w:sz w:val="32"/>
          <w:szCs w:val="32"/>
        </w:rPr>
        <w:t>万元，执行数为</w:t>
      </w:r>
      <w:r>
        <w:rPr>
          <w:rFonts w:eastAsia="仿宋_GB2312"/>
          <w:sz w:val="32"/>
          <w:szCs w:val="32"/>
        </w:rPr>
        <w:t>118</w:t>
      </w:r>
      <w:r>
        <w:rPr>
          <w:rFonts w:hint="eastAsia" w:eastAsia="仿宋_GB2312" w:cs="仿宋_GB2312"/>
          <w:sz w:val="32"/>
          <w:szCs w:val="32"/>
        </w:rPr>
        <w:t>万元，完成预算的</w:t>
      </w:r>
      <w:r>
        <w:rPr>
          <w:rFonts w:eastAsia="仿宋_GB2312"/>
          <w:sz w:val="32"/>
          <w:szCs w:val="32"/>
        </w:rPr>
        <w:t>100%</w:t>
      </w:r>
      <w:r>
        <w:rPr>
          <w:rFonts w:hint="eastAsia" w:eastAsia="仿宋_GB2312" w:cs="仿宋_GB2312"/>
          <w:sz w:val="32"/>
          <w:szCs w:val="32"/>
        </w:rPr>
        <w:t>。通过项目实施，保障了流动人员人事档案业务高效开展，为跨地区档案信息的共享和管理服务水平的提升奠定了基础。全年管理人事档案</w:t>
      </w:r>
      <w:r>
        <w:rPr>
          <w:rFonts w:eastAsia="仿宋_GB2312"/>
          <w:sz w:val="32"/>
          <w:szCs w:val="32"/>
        </w:rPr>
        <w:t>2.6</w:t>
      </w:r>
      <w:r>
        <w:rPr>
          <w:rFonts w:hint="eastAsia" w:eastAsia="仿宋_GB2312" w:cs="仿宋_GB2312"/>
          <w:sz w:val="32"/>
          <w:szCs w:val="32"/>
        </w:rPr>
        <w:t>万余份、流动人才党员</w:t>
      </w:r>
      <w:r>
        <w:rPr>
          <w:rFonts w:eastAsia="仿宋_GB2312"/>
          <w:sz w:val="32"/>
          <w:szCs w:val="32"/>
        </w:rPr>
        <w:t>2100</w:t>
      </w:r>
      <w:r>
        <w:rPr>
          <w:rFonts w:hint="eastAsia" w:eastAsia="仿宋_GB2312" w:cs="仿宋_GB2312"/>
          <w:sz w:val="32"/>
          <w:szCs w:val="32"/>
        </w:rPr>
        <w:t>名、集体户籍</w:t>
      </w:r>
      <w:r>
        <w:rPr>
          <w:rFonts w:eastAsia="仿宋_GB2312"/>
          <w:sz w:val="32"/>
          <w:szCs w:val="32"/>
        </w:rPr>
        <w:t>4658</w:t>
      </w:r>
      <w:r>
        <w:rPr>
          <w:rFonts w:hint="eastAsia" w:eastAsia="仿宋_GB2312" w:cs="仿宋_GB2312"/>
          <w:sz w:val="32"/>
          <w:szCs w:val="32"/>
        </w:rPr>
        <w:t>人，办理职称</w:t>
      </w:r>
      <w:r>
        <w:rPr>
          <w:rFonts w:eastAsia="仿宋_GB2312"/>
          <w:sz w:val="32"/>
          <w:szCs w:val="32"/>
        </w:rPr>
        <w:t>6</w:t>
      </w:r>
      <w:r>
        <w:rPr>
          <w:rFonts w:hint="eastAsia" w:eastAsia="仿宋_GB2312" w:cs="仿宋_GB2312"/>
          <w:sz w:val="32"/>
          <w:szCs w:val="32"/>
        </w:rPr>
        <w:t>人，服务办事群众</w:t>
      </w:r>
      <w:r>
        <w:rPr>
          <w:rFonts w:eastAsia="仿宋_GB2312"/>
          <w:sz w:val="32"/>
          <w:szCs w:val="32"/>
        </w:rPr>
        <w:t>5</w:t>
      </w:r>
      <w:r>
        <w:rPr>
          <w:rFonts w:hint="eastAsia" w:eastAsia="仿宋_GB2312" w:cs="仿宋_GB2312"/>
          <w:sz w:val="32"/>
          <w:szCs w:val="32"/>
        </w:rPr>
        <w:t>万余人次。以全省人事档案管理系统为依托，完成了</w:t>
      </w:r>
      <w:r>
        <w:rPr>
          <w:rFonts w:eastAsia="仿宋_GB2312"/>
          <w:sz w:val="32"/>
          <w:szCs w:val="32"/>
        </w:rPr>
        <w:t>26673</w:t>
      </w:r>
      <w:r>
        <w:rPr>
          <w:rFonts w:hint="eastAsia" w:eastAsia="仿宋_GB2312" w:cs="仿宋_GB2312"/>
          <w:sz w:val="32"/>
          <w:szCs w:val="32"/>
        </w:rPr>
        <w:t>份人事档案的数字化录入，档案查询、转接、证明开具等人事人才服务工作实现网上通办，稳步推进了档案数字化管理服务的规范化和精细化，不断满足办事群众的基本需求，增强了办事群众的获得感、安全感与幸福感。发现的主要问题：中雇所档案室目前只有</w:t>
      </w:r>
      <w:r>
        <w:rPr>
          <w:rFonts w:eastAsia="仿宋_GB2312"/>
          <w:sz w:val="32"/>
          <w:szCs w:val="32"/>
        </w:rPr>
        <w:t>1</w:t>
      </w:r>
      <w:r>
        <w:rPr>
          <w:rFonts w:hint="eastAsia" w:eastAsia="仿宋_GB2312" w:cs="仿宋_GB2312"/>
          <w:sz w:val="32"/>
          <w:szCs w:val="32"/>
        </w:rPr>
        <w:t>名在编人员，</w:t>
      </w:r>
      <w:r>
        <w:rPr>
          <w:rFonts w:eastAsia="仿宋_GB2312"/>
          <w:sz w:val="32"/>
          <w:szCs w:val="32"/>
        </w:rPr>
        <w:t>2</w:t>
      </w:r>
      <w:r>
        <w:rPr>
          <w:rFonts w:hint="eastAsia" w:eastAsia="仿宋_GB2312" w:cs="仿宋_GB2312"/>
          <w:sz w:val="32"/>
          <w:szCs w:val="32"/>
        </w:rPr>
        <w:t>名编外人员，因编外人员流动性较大，业务工作连续性差。下一步改进措施：在保障经费的情况下，加大对流动人员人事档案库房和信息系统等基础设施的投入，保障业务工作正常运行；开展多种形式的教育培训活动，提高档案工作人员政治素质、政策水平和业务能力，不断提升服务水平和质量。</w:t>
      </w:r>
    </w:p>
    <w:p>
      <w:pPr>
        <w:pStyle w:val="2"/>
        <w:adjustRightInd w:val="0"/>
        <w:snapToGrid w:val="0"/>
        <w:spacing w:beforeLines="0" w:line="608"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3</w:t>
      </w:r>
      <w:r>
        <w:rPr>
          <w:rFonts w:hint="eastAsia" w:ascii="Times New Roman"/>
          <w:sz w:val="32"/>
          <w:szCs w:val="32"/>
        </w:rPr>
        <w:t>）专家选拔评审工作经费项目绩效目标完成情况综述。项目全年预算数</w:t>
      </w:r>
      <w:r>
        <w:rPr>
          <w:rFonts w:ascii="Times New Roman" w:cs="Times New Roman"/>
          <w:sz w:val="32"/>
          <w:szCs w:val="32"/>
        </w:rPr>
        <w:t>115</w:t>
      </w:r>
      <w:r>
        <w:rPr>
          <w:rFonts w:hint="eastAsia" w:ascii="Times New Roman"/>
          <w:sz w:val="32"/>
          <w:szCs w:val="32"/>
        </w:rPr>
        <w:t>万元，年中按照统一要求经费压缩</w:t>
      </w:r>
      <w:r>
        <w:rPr>
          <w:rFonts w:ascii="Times New Roman" w:cs="Times New Roman"/>
          <w:sz w:val="32"/>
          <w:szCs w:val="32"/>
        </w:rPr>
        <w:t>7</w:t>
      </w:r>
      <w:r>
        <w:rPr>
          <w:rFonts w:hint="eastAsia" w:ascii="Times New Roman"/>
          <w:sz w:val="32"/>
          <w:szCs w:val="32"/>
        </w:rPr>
        <w:t>万，执行数为</w:t>
      </w:r>
      <w:r>
        <w:rPr>
          <w:rFonts w:ascii="Times New Roman" w:cs="Times New Roman"/>
          <w:sz w:val="32"/>
          <w:szCs w:val="32"/>
        </w:rPr>
        <w:t>102.47</w:t>
      </w:r>
      <w:r>
        <w:rPr>
          <w:rFonts w:hint="eastAsia" w:ascii="Times New Roman"/>
          <w:sz w:val="32"/>
          <w:szCs w:val="32"/>
        </w:rPr>
        <w:t>万元，完成预算的</w:t>
      </w:r>
      <w:r>
        <w:rPr>
          <w:rFonts w:ascii="Times New Roman" w:cs="Times New Roman"/>
          <w:sz w:val="32"/>
          <w:szCs w:val="32"/>
        </w:rPr>
        <w:t>94.87%</w:t>
      </w:r>
      <w:r>
        <w:rPr>
          <w:rFonts w:hint="eastAsia" w:ascii="Times New Roman"/>
          <w:sz w:val="32"/>
          <w:szCs w:val="32"/>
        </w:rPr>
        <w:t>。通过项目实施，完成第十三批省学术和技术带头人、享受政府津贴专家的选拔评审工作，进一步促进我省高层次专业技术人才队伍梯队建设，为建设西部人才高地提供支撑。发现的主要问题：预算执行进度有所滞后，预算执行率有待进一步提高。下一步改进措施：与合作单位加强工作协作，能在上半年完成的工作部分尽量提前到上半年完成，加快预算执行进度，提高预算执行率。</w:t>
      </w:r>
    </w:p>
    <w:p>
      <w:pPr>
        <w:pStyle w:val="2"/>
        <w:adjustRightInd w:val="0"/>
        <w:snapToGrid w:val="0"/>
        <w:spacing w:beforeLines="0" w:line="608"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4</w:t>
      </w:r>
      <w:r>
        <w:rPr>
          <w:rFonts w:hint="eastAsia" w:ascii="Times New Roman"/>
          <w:sz w:val="32"/>
          <w:szCs w:val="32"/>
        </w:rPr>
        <w:t>）功勋荣誉表彰奖励获得者待遇落实和困难帮扶经费项目绩效目标完成情况综述。项目全年预算数</w:t>
      </w:r>
      <w:r>
        <w:rPr>
          <w:rFonts w:ascii="Times New Roman" w:cs="Times New Roman"/>
          <w:sz w:val="32"/>
          <w:szCs w:val="32"/>
        </w:rPr>
        <w:t>165.92</w:t>
      </w:r>
      <w:r>
        <w:rPr>
          <w:rFonts w:hint="eastAsia" w:ascii="Times New Roman"/>
          <w:sz w:val="32"/>
          <w:szCs w:val="32"/>
        </w:rPr>
        <w:t>万元，按照工作需求经费调整了</w:t>
      </w:r>
      <w:r>
        <w:rPr>
          <w:rFonts w:ascii="Times New Roman" w:cs="Times New Roman"/>
          <w:sz w:val="32"/>
          <w:szCs w:val="32"/>
        </w:rPr>
        <w:t>80</w:t>
      </w:r>
      <w:r>
        <w:rPr>
          <w:rFonts w:hint="eastAsia" w:ascii="Times New Roman"/>
          <w:sz w:val="32"/>
          <w:szCs w:val="32"/>
        </w:rPr>
        <w:t>万，执行数为</w:t>
      </w:r>
      <w:r>
        <w:rPr>
          <w:rFonts w:ascii="Times New Roman" w:cs="Times New Roman"/>
          <w:sz w:val="32"/>
          <w:szCs w:val="32"/>
        </w:rPr>
        <w:t>46.06</w:t>
      </w:r>
      <w:r>
        <w:rPr>
          <w:rFonts w:hint="eastAsia" w:ascii="Times New Roman"/>
          <w:sz w:val="32"/>
          <w:szCs w:val="32"/>
        </w:rPr>
        <w:t>万元，完成预算的</w:t>
      </w:r>
      <w:r>
        <w:rPr>
          <w:rFonts w:ascii="Times New Roman" w:cs="Times New Roman"/>
          <w:sz w:val="32"/>
          <w:szCs w:val="32"/>
        </w:rPr>
        <w:t>53.61%</w:t>
      </w:r>
      <w:r>
        <w:rPr>
          <w:rFonts w:hint="eastAsia" w:ascii="Times New Roman"/>
          <w:sz w:val="32"/>
          <w:szCs w:val="32"/>
        </w:rPr>
        <w:t>。通过项目实施，为</w:t>
      </w:r>
      <w:r>
        <w:rPr>
          <w:rFonts w:ascii="Times New Roman" w:cs="Times New Roman"/>
          <w:sz w:val="32"/>
          <w:szCs w:val="32"/>
        </w:rPr>
        <w:t>329</w:t>
      </w:r>
      <w:r>
        <w:rPr>
          <w:rFonts w:hint="eastAsia" w:ascii="Times New Roman"/>
          <w:sz w:val="32"/>
          <w:szCs w:val="32"/>
        </w:rPr>
        <w:t>名功勋荣誉章表彰奖励获得者发放了春节慰问金，将省委、省政府对功勋荣誉表彰奖励获得者的关心关怀传达到位，进一步增强了其荣誉感、获得感和归属感。发现的主要问题：存在部分功勋荣誉表彰奖励获得者已享受劳模待遇、去世等信息不对称的问题，可能导致慰问金发放不精准、数量与预估不一致；疗养活动因受疫情影响，正常开展存在较大变数。下一步改进措施：加强与总工会、公安等部门沟通联系，对人员信息进行认真核查，确保精准发放；做好疗养活动预案，积极对接相关部门，确保疗养活动安全开展。</w:t>
      </w:r>
    </w:p>
    <w:p>
      <w:pPr>
        <w:pStyle w:val="2"/>
        <w:adjustRightInd w:val="0"/>
        <w:snapToGrid w:val="0"/>
        <w:spacing w:beforeLines="0" w:line="608" w:lineRule="exact"/>
        <w:ind w:firstLine="640" w:firstLineChars="200"/>
        <w:rPr>
          <w:rFonts w:ascii="Times New Roman" w:cs="Times New Roman"/>
          <w:sz w:val="32"/>
          <w:szCs w:val="32"/>
        </w:rPr>
      </w:pPr>
      <w:r>
        <w:rPr>
          <w:rFonts w:hint="eastAsia" w:ascii="Times New Roman"/>
          <w:sz w:val="32"/>
          <w:szCs w:val="32"/>
        </w:rPr>
        <w:t>（</w:t>
      </w:r>
      <w:r>
        <w:rPr>
          <w:rFonts w:ascii="Times New Roman" w:cs="Times New Roman"/>
          <w:sz w:val="32"/>
          <w:szCs w:val="32"/>
        </w:rPr>
        <w:t>5</w:t>
      </w:r>
      <w:r>
        <w:rPr>
          <w:rFonts w:hint="eastAsia" w:ascii="Times New Roman"/>
          <w:sz w:val="32"/>
          <w:szCs w:val="32"/>
        </w:rPr>
        <w:t>）</w:t>
      </w:r>
      <w:r>
        <w:rPr>
          <w:rFonts w:hint="eastAsia"/>
          <w:sz w:val="32"/>
          <w:szCs w:val="32"/>
        </w:rPr>
        <w:t>返乡下乡创业明星奖励资金项目绩效目标完成情况综述。项目全年预算数</w:t>
      </w:r>
      <w:r>
        <w:rPr>
          <w:sz w:val="32"/>
          <w:szCs w:val="32"/>
        </w:rPr>
        <w:t>100</w:t>
      </w:r>
      <w:r>
        <w:rPr>
          <w:rFonts w:hint="eastAsia"/>
          <w:sz w:val="32"/>
          <w:szCs w:val="32"/>
        </w:rPr>
        <w:t>万元，执行数为</w:t>
      </w:r>
      <w:r>
        <w:rPr>
          <w:sz w:val="32"/>
          <w:szCs w:val="32"/>
        </w:rPr>
        <w:t>100</w:t>
      </w:r>
      <w:r>
        <w:rPr>
          <w:rFonts w:hint="eastAsia"/>
          <w:sz w:val="32"/>
          <w:szCs w:val="32"/>
        </w:rPr>
        <w:t>万元，完成预算的</w:t>
      </w:r>
      <w:r>
        <w:rPr>
          <w:sz w:val="32"/>
          <w:szCs w:val="32"/>
        </w:rPr>
        <w:t>100%</w:t>
      </w:r>
      <w:r>
        <w:rPr>
          <w:rFonts w:hint="eastAsia"/>
          <w:sz w:val="32"/>
          <w:szCs w:val="32"/>
        </w:rPr>
        <w:t>。通过项目实施，评选树立返乡下乡创业先进典型，带动农民工就业发挥示范带头作用，推动全省经济高质量发展。发现的主要问题：在发放奖金过程中，因前期收集账号信息不准确，部分获奖人员奖金经过反复核对后才发放到位，影响工作效率。下一步改进措施：提前核对账号信息，争取奖金一次性发放到位，提高工作效率。</w:t>
      </w:r>
    </w:p>
    <w:p>
      <w:pPr>
        <w:widowControl/>
        <w:adjustRightInd w:val="0"/>
        <w:snapToGrid w:val="0"/>
        <w:jc w:val="center"/>
        <w:rPr>
          <w:rFonts w:eastAsia="方正小标宋_GBK"/>
          <w:kern w:val="0"/>
          <w:sz w:val="36"/>
          <w:szCs w:val="36"/>
        </w:rPr>
      </w:pPr>
      <w:r>
        <w:rPr>
          <w:sz w:val="32"/>
          <w:szCs w:val="32"/>
        </w:rPr>
        <w:br w:type="page"/>
      </w:r>
      <w:r>
        <w:rPr>
          <w:rFonts w:hint="eastAsia" w:eastAsia="方正小标宋_GBK" w:cs="方正小标宋_GBK"/>
          <w:kern w:val="0"/>
          <w:sz w:val="36"/>
          <w:szCs w:val="36"/>
        </w:rPr>
        <w:t>项目绩效目标完成情况表</w:t>
      </w:r>
    </w:p>
    <w:p>
      <w:pPr>
        <w:pStyle w:val="2"/>
        <w:spacing w:beforeLines="0" w:line="440" w:lineRule="exact"/>
        <w:jc w:val="center"/>
        <w:rPr>
          <w:rFonts w:ascii="Times New Roman" w:eastAsia="楷体_GB2312" w:cs="Times New Roman"/>
          <w:sz w:val="32"/>
          <w:szCs w:val="32"/>
        </w:rPr>
      </w:pPr>
      <w:r>
        <w:rPr>
          <w:rFonts w:hint="eastAsia" w:ascii="Times New Roman" w:eastAsia="楷体_GB2312" w:cs="楷体_GB2312"/>
          <w:sz w:val="32"/>
          <w:szCs w:val="32"/>
        </w:rPr>
        <w:t>（</w:t>
      </w:r>
      <w:r>
        <w:rPr>
          <w:rFonts w:ascii="Times New Roman" w:eastAsia="楷体_GB2312" w:cs="Times New Roman"/>
          <w:sz w:val="32"/>
          <w:szCs w:val="32"/>
        </w:rPr>
        <w:t>2020</w:t>
      </w:r>
      <w:r>
        <w:rPr>
          <w:rFonts w:hint="eastAsia" w:ascii="Times New Roman" w:eastAsia="楷体_GB2312" w:cs="楷体_GB2312"/>
          <w:sz w:val="32"/>
          <w:szCs w:val="32"/>
        </w:rPr>
        <w:t>年度）</w:t>
      </w:r>
    </w:p>
    <w:tbl>
      <w:tblPr>
        <w:tblStyle w:val="12"/>
        <w:tblW w:w="10289" w:type="dxa"/>
        <w:jc w:val="center"/>
        <w:tblLayout w:type="autofit"/>
        <w:tblCellMar>
          <w:top w:w="0" w:type="dxa"/>
          <w:left w:w="108" w:type="dxa"/>
          <w:bottom w:w="0" w:type="dxa"/>
          <w:right w:w="108" w:type="dxa"/>
        </w:tblCellMar>
      </w:tblPr>
      <w:tblGrid>
        <w:gridCol w:w="1406"/>
        <w:gridCol w:w="1004"/>
        <w:gridCol w:w="709"/>
        <w:gridCol w:w="1984"/>
        <w:gridCol w:w="2268"/>
        <w:gridCol w:w="2918"/>
      </w:tblGrid>
      <w:tr>
        <w:tblPrEx>
          <w:tblCellMar>
            <w:top w:w="0" w:type="dxa"/>
            <w:left w:w="108" w:type="dxa"/>
            <w:bottom w:w="0" w:type="dxa"/>
            <w:right w:w="108" w:type="dxa"/>
          </w:tblCellMar>
        </w:tblPrEx>
        <w:trPr>
          <w:trHeight w:val="113" w:hRule="exact"/>
          <w:jc w:val="center"/>
        </w:trPr>
        <w:tc>
          <w:tcPr>
            <w:tcW w:w="31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p>
        </w:tc>
        <w:tc>
          <w:tcPr>
            <w:tcW w:w="71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p>
        </w:tc>
      </w:tr>
      <w:tr>
        <w:tblPrEx>
          <w:tblCellMar>
            <w:top w:w="0" w:type="dxa"/>
            <w:left w:w="108" w:type="dxa"/>
            <w:bottom w:w="0" w:type="dxa"/>
            <w:right w:w="108" w:type="dxa"/>
          </w:tblCellMar>
        </w:tblPrEx>
        <w:trPr>
          <w:trHeight w:val="255" w:hRule="atLeast"/>
          <w:jc w:val="center"/>
        </w:trPr>
        <w:tc>
          <w:tcPr>
            <w:tcW w:w="31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项目名称</w:t>
            </w:r>
          </w:p>
        </w:tc>
        <w:tc>
          <w:tcPr>
            <w:tcW w:w="71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委托业务费</w:t>
            </w:r>
          </w:p>
        </w:tc>
      </w:tr>
      <w:tr>
        <w:tblPrEx>
          <w:tblCellMar>
            <w:top w:w="0" w:type="dxa"/>
            <w:left w:w="108" w:type="dxa"/>
            <w:bottom w:w="0" w:type="dxa"/>
            <w:right w:w="108" w:type="dxa"/>
          </w:tblCellMar>
        </w:tblPrEx>
        <w:trPr>
          <w:trHeight w:val="255" w:hRule="atLeast"/>
          <w:jc w:val="center"/>
        </w:trPr>
        <w:tc>
          <w:tcPr>
            <w:tcW w:w="311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预算单位</w:t>
            </w:r>
          </w:p>
        </w:tc>
        <w:tc>
          <w:tcPr>
            <w:tcW w:w="71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eastAsia="仿宋_GB2312"/>
                <w:kern w:val="0"/>
                <w:sz w:val="22"/>
                <w:szCs w:val="22"/>
                <w:lang w:eastAsia="zh-CN"/>
              </w:rPr>
            </w:pPr>
            <w:r>
              <w:rPr>
                <w:rFonts w:eastAsia="仿宋_GB2312"/>
                <w:kern w:val="0"/>
                <w:sz w:val="22"/>
                <w:szCs w:val="22"/>
              </w:rPr>
              <w:t>313301-</w:t>
            </w:r>
            <w:r>
              <w:rPr>
                <w:rFonts w:hint="eastAsia" w:eastAsia="仿宋_GB2312" w:cs="仿宋_GB2312"/>
                <w:kern w:val="0"/>
                <w:sz w:val="22"/>
                <w:szCs w:val="22"/>
              </w:rPr>
              <w:t>四川省人力资源和社会保障厅</w:t>
            </w:r>
            <w:r>
              <w:rPr>
                <w:rFonts w:hint="eastAsia" w:eastAsia="仿宋_GB2312" w:cs="仿宋_GB2312"/>
                <w:kern w:val="0"/>
                <w:sz w:val="22"/>
                <w:szCs w:val="22"/>
                <w:lang w:eastAsia="zh-CN"/>
              </w:rPr>
              <w:t>机关</w:t>
            </w:r>
          </w:p>
        </w:tc>
      </w:tr>
      <w:tr>
        <w:tblPrEx>
          <w:tblCellMar>
            <w:top w:w="0" w:type="dxa"/>
            <w:left w:w="108" w:type="dxa"/>
            <w:bottom w:w="0" w:type="dxa"/>
            <w:right w:w="108" w:type="dxa"/>
          </w:tblCellMar>
        </w:tblPrEx>
        <w:trPr>
          <w:trHeight w:val="285" w:hRule="atLeast"/>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预算执行情况</w:t>
            </w:r>
            <w:r>
              <w:rPr>
                <w:rFonts w:eastAsia="仿宋_GB2312"/>
                <w:kern w:val="0"/>
                <w:sz w:val="22"/>
                <w:szCs w:val="22"/>
              </w:rPr>
              <w:t>(</w:t>
            </w:r>
            <w:r>
              <w:rPr>
                <w:rFonts w:hint="eastAsia" w:eastAsia="仿宋_GB2312" w:cs="仿宋_GB2312"/>
                <w:kern w:val="0"/>
                <w:sz w:val="22"/>
                <w:szCs w:val="22"/>
              </w:rPr>
              <w:t>万元</w:t>
            </w:r>
            <w:r>
              <w:rPr>
                <w:rFonts w:eastAsia="仿宋_GB2312"/>
                <w:kern w:val="0"/>
                <w:sz w:val="22"/>
                <w:szCs w:val="22"/>
              </w:rPr>
              <w:t>)</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预算数</w:t>
            </w:r>
            <w:r>
              <w:rPr>
                <w:rFonts w:eastAsia="仿宋_GB2312"/>
                <w:kern w:val="0"/>
                <w:sz w:val="22"/>
                <w:szCs w:val="22"/>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142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执行数</w:t>
            </w:r>
            <w:r>
              <w:rPr>
                <w:rFonts w:eastAsia="仿宋_GB2312"/>
                <w:kern w:val="0"/>
                <w:sz w:val="22"/>
                <w:szCs w:val="22"/>
              </w:rPr>
              <w:t>:</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133.61</w:t>
            </w:r>
          </w:p>
        </w:tc>
      </w:tr>
      <w:tr>
        <w:tblPrEx>
          <w:tblCellMar>
            <w:top w:w="0" w:type="dxa"/>
            <w:left w:w="108" w:type="dxa"/>
            <w:bottom w:w="0" w:type="dxa"/>
            <w:right w:w="108" w:type="dxa"/>
          </w:tblCellMar>
        </w:tblPrEx>
        <w:trPr>
          <w:trHeight w:val="285" w:hRule="atLeast"/>
          <w:jc w:val="center"/>
        </w:trPr>
        <w:tc>
          <w:tcPr>
            <w:tcW w:w="1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142</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133.61</w:t>
            </w:r>
          </w:p>
        </w:tc>
      </w:tr>
      <w:tr>
        <w:tblPrEx>
          <w:tblCellMar>
            <w:top w:w="0" w:type="dxa"/>
            <w:left w:w="108" w:type="dxa"/>
            <w:bottom w:w="0" w:type="dxa"/>
            <w:right w:w="108" w:type="dxa"/>
          </w:tblCellMar>
        </w:tblPrEx>
        <w:trPr>
          <w:trHeight w:val="285" w:hRule="atLeast"/>
          <w:jc w:val="center"/>
        </w:trPr>
        <w:tc>
          <w:tcPr>
            <w:tcW w:w="1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71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0</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　</w:t>
            </w:r>
            <w:r>
              <w:rPr>
                <w:rFonts w:eastAsia="仿宋_GB2312"/>
                <w:kern w:val="0"/>
                <w:sz w:val="22"/>
                <w:szCs w:val="22"/>
              </w:rPr>
              <w:t>0</w:t>
            </w:r>
          </w:p>
        </w:tc>
      </w:tr>
      <w:tr>
        <w:tblPrEx>
          <w:tblCellMar>
            <w:top w:w="0" w:type="dxa"/>
            <w:left w:w="108" w:type="dxa"/>
            <w:bottom w:w="0" w:type="dxa"/>
            <w:right w:w="108" w:type="dxa"/>
          </w:tblCellMar>
        </w:tblPrEx>
        <w:trPr>
          <w:trHeight w:val="255" w:hRule="atLeast"/>
          <w:jc w:val="center"/>
        </w:trPr>
        <w:tc>
          <w:tcPr>
            <w:tcW w:w="14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年度目标完成情况</w:t>
            </w:r>
          </w:p>
        </w:tc>
        <w:tc>
          <w:tcPr>
            <w:tcW w:w="369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预期目标</w:t>
            </w:r>
          </w:p>
        </w:tc>
        <w:tc>
          <w:tcPr>
            <w:tcW w:w="518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实际完成目标</w:t>
            </w:r>
          </w:p>
        </w:tc>
      </w:tr>
      <w:tr>
        <w:tblPrEx>
          <w:tblCellMar>
            <w:top w:w="0" w:type="dxa"/>
            <w:left w:w="108" w:type="dxa"/>
            <w:bottom w:w="0" w:type="dxa"/>
            <w:right w:w="108" w:type="dxa"/>
          </w:tblCellMar>
        </w:tblPrEx>
        <w:trPr>
          <w:trHeight w:val="4872" w:hRule="atLeast"/>
          <w:jc w:val="center"/>
        </w:trPr>
        <w:tc>
          <w:tcPr>
            <w:tcW w:w="14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r>
              <w:rPr>
                <w:rFonts w:hint="eastAsia" w:eastAsia="仿宋_GB2312" w:cs="仿宋_GB2312"/>
                <w:kern w:val="0"/>
                <w:sz w:val="22"/>
                <w:szCs w:val="22"/>
              </w:rPr>
              <w:t>按照</w:t>
            </w:r>
            <w:r>
              <w:rPr>
                <w:rFonts w:eastAsia="仿宋_GB2312"/>
                <w:kern w:val="0"/>
                <w:sz w:val="22"/>
                <w:szCs w:val="22"/>
              </w:rPr>
              <w:t>2020</w:t>
            </w:r>
            <w:r>
              <w:rPr>
                <w:rFonts w:hint="eastAsia" w:eastAsia="仿宋_GB2312" w:cs="仿宋_GB2312"/>
                <w:kern w:val="0"/>
                <w:sz w:val="22"/>
                <w:szCs w:val="22"/>
              </w:rPr>
              <w:t>年人力资源社会保障厅事业发展计划，委托专业三方机构或专业人员开展法律咨询、基金审计、薪酬调查、政风行风群众满意度测评、编制重点领域急需人才目录和农民工调研分析等专项工作，为出台行业政策和省领导决策提供数据和相关资料依据。</w:t>
            </w:r>
          </w:p>
        </w:tc>
        <w:tc>
          <w:tcPr>
            <w:tcW w:w="5186" w:type="dxa"/>
            <w:gridSpan w:val="2"/>
            <w:tcBorders>
              <w:top w:val="single" w:color="auto" w:sz="4" w:space="0"/>
              <w:left w:val="single" w:color="auto" w:sz="4" w:space="0"/>
              <w:bottom w:val="single" w:color="auto" w:sz="4" w:space="0"/>
              <w:right w:val="single" w:color="auto" w:sz="4" w:space="0"/>
            </w:tcBorders>
          </w:tcPr>
          <w:p>
            <w:pPr>
              <w:widowControl/>
              <w:spacing w:line="360" w:lineRule="exact"/>
              <w:jc w:val="left"/>
              <w:rPr>
                <w:rFonts w:eastAsia="仿宋_GB2312"/>
                <w:kern w:val="0"/>
                <w:sz w:val="22"/>
                <w:szCs w:val="22"/>
              </w:rPr>
            </w:pPr>
            <w:r>
              <w:rPr>
                <w:rFonts w:hint="eastAsia" w:eastAsia="仿宋_GB2312" w:cs="仿宋_GB2312"/>
                <w:kern w:val="0"/>
                <w:sz w:val="22"/>
                <w:szCs w:val="22"/>
              </w:rPr>
              <w:t>对全厅开展常年法律顾问工作；委托档案服务公司进行档案数字化整理工作，整理档案</w:t>
            </w:r>
            <w:r>
              <w:rPr>
                <w:rFonts w:eastAsia="仿宋_GB2312"/>
                <w:kern w:val="0"/>
                <w:sz w:val="22"/>
                <w:szCs w:val="22"/>
              </w:rPr>
              <w:t>4290</w:t>
            </w:r>
            <w:r>
              <w:rPr>
                <w:rFonts w:hint="eastAsia" w:eastAsia="仿宋_GB2312" w:cs="仿宋_GB2312"/>
                <w:kern w:val="0"/>
                <w:sz w:val="22"/>
                <w:szCs w:val="22"/>
              </w:rPr>
              <w:t>件</w:t>
            </w:r>
            <w:r>
              <w:rPr>
                <w:rFonts w:eastAsia="仿宋_GB2312"/>
                <w:kern w:val="0"/>
                <w:sz w:val="22"/>
                <w:szCs w:val="22"/>
              </w:rPr>
              <w:t>206796</w:t>
            </w:r>
            <w:r>
              <w:rPr>
                <w:rFonts w:hint="eastAsia" w:eastAsia="仿宋_GB2312" w:cs="仿宋_GB2312"/>
                <w:kern w:val="0"/>
                <w:sz w:val="22"/>
                <w:szCs w:val="22"/>
              </w:rPr>
              <w:t>页；委托会计师事务所对</w:t>
            </w:r>
            <w:r>
              <w:rPr>
                <w:rFonts w:eastAsia="仿宋_GB2312"/>
                <w:kern w:val="0"/>
                <w:sz w:val="22"/>
                <w:szCs w:val="22"/>
              </w:rPr>
              <w:t>20</w:t>
            </w:r>
            <w:r>
              <w:rPr>
                <w:rFonts w:hint="eastAsia" w:eastAsia="仿宋_GB2312" w:cs="仿宋_GB2312"/>
                <w:kern w:val="0"/>
                <w:sz w:val="22"/>
                <w:szCs w:val="22"/>
              </w:rPr>
              <w:t>个市州企业职工基本养老保险提前退休审批开展专项核查；委托人力资源公司对</w:t>
            </w:r>
            <w:r>
              <w:rPr>
                <w:rFonts w:eastAsia="仿宋_GB2312"/>
                <w:kern w:val="0"/>
                <w:sz w:val="22"/>
                <w:szCs w:val="22"/>
              </w:rPr>
              <w:t>6817</w:t>
            </w:r>
            <w:r>
              <w:rPr>
                <w:rFonts w:hint="eastAsia" w:eastAsia="仿宋_GB2312" w:cs="仿宋_GB2312"/>
                <w:kern w:val="0"/>
                <w:sz w:val="22"/>
                <w:szCs w:val="22"/>
              </w:rPr>
              <w:t>家企业</w:t>
            </w:r>
            <w:r>
              <w:rPr>
                <w:rFonts w:eastAsia="仿宋_GB2312"/>
                <w:kern w:val="0"/>
                <w:sz w:val="22"/>
                <w:szCs w:val="22"/>
              </w:rPr>
              <w:t>972699</w:t>
            </w:r>
            <w:r>
              <w:rPr>
                <w:rFonts w:hint="eastAsia" w:eastAsia="仿宋_GB2312" w:cs="仿宋_GB2312"/>
                <w:kern w:val="0"/>
                <w:sz w:val="22"/>
                <w:szCs w:val="22"/>
              </w:rPr>
              <w:t>条数据开展企业薪酬调查分析，印制</w:t>
            </w:r>
            <w:r>
              <w:rPr>
                <w:rFonts w:eastAsia="仿宋_GB2312"/>
                <w:kern w:val="0"/>
                <w:sz w:val="22"/>
                <w:szCs w:val="22"/>
              </w:rPr>
              <w:t>7000</w:t>
            </w:r>
            <w:r>
              <w:rPr>
                <w:rFonts w:hint="eastAsia" w:eastAsia="仿宋_GB2312" w:cs="仿宋_GB2312"/>
                <w:kern w:val="0"/>
                <w:sz w:val="22"/>
                <w:szCs w:val="22"/>
              </w:rPr>
              <w:t>本《四川省</w:t>
            </w:r>
            <w:r>
              <w:rPr>
                <w:rFonts w:eastAsia="仿宋_GB2312"/>
                <w:kern w:val="0"/>
                <w:sz w:val="22"/>
                <w:szCs w:val="22"/>
              </w:rPr>
              <w:t>2019</w:t>
            </w:r>
            <w:r>
              <w:rPr>
                <w:rFonts w:hint="eastAsia" w:eastAsia="仿宋_GB2312" w:cs="仿宋_GB2312"/>
                <w:kern w:val="0"/>
                <w:sz w:val="22"/>
                <w:szCs w:val="22"/>
              </w:rPr>
              <w:t>年人力资源市场工资指导价位及行业人工成本信息》；委托统计师事务所对全省人社系统政风行风群众满意度测评；委托会计师事务所对厅属</w:t>
            </w:r>
            <w:r>
              <w:rPr>
                <w:rFonts w:eastAsia="仿宋_GB2312"/>
                <w:kern w:val="0"/>
                <w:sz w:val="22"/>
                <w:szCs w:val="22"/>
              </w:rPr>
              <w:t>8</w:t>
            </w:r>
            <w:r>
              <w:rPr>
                <w:rFonts w:hint="eastAsia" w:eastAsia="仿宋_GB2312" w:cs="仿宋_GB2312"/>
                <w:kern w:val="0"/>
                <w:sz w:val="22"/>
                <w:szCs w:val="22"/>
              </w:rPr>
              <w:t>个事业单位负责人开展经济责任审计；委托会计师事务所对</w:t>
            </w:r>
            <w:r>
              <w:rPr>
                <w:rFonts w:eastAsia="仿宋_GB2312"/>
                <w:kern w:val="0"/>
                <w:sz w:val="22"/>
                <w:szCs w:val="22"/>
              </w:rPr>
              <w:t>47</w:t>
            </w:r>
            <w:r>
              <w:rPr>
                <w:rFonts w:hint="eastAsia" w:eastAsia="仿宋_GB2312" w:cs="仿宋_GB2312"/>
                <w:kern w:val="0"/>
                <w:sz w:val="22"/>
                <w:szCs w:val="22"/>
              </w:rPr>
              <w:t>户省本级困难企业稳岗返还失业保险情况开展专项核查；编制完成《四川省人力资源服务业急需紧缺人才目录》；委托西南财大开展《后疫情时期农民工就业状况研究》</w:t>
            </w:r>
          </w:p>
        </w:tc>
      </w:tr>
      <w:tr>
        <w:tblPrEx>
          <w:tblCellMar>
            <w:top w:w="0" w:type="dxa"/>
            <w:left w:w="108" w:type="dxa"/>
            <w:bottom w:w="0" w:type="dxa"/>
            <w:right w:w="108" w:type="dxa"/>
          </w:tblCellMar>
        </w:tblPrEx>
        <w:trPr>
          <w:trHeight w:val="738" w:hRule="atLeast"/>
          <w:jc w:val="center"/>
        </w:trPr>
        <w:tc>
          <w:tcPr>
            <w:tcW w:w="1406"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绩效指标完成情况</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一级指标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二级指标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三级指标</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预期指标值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实际完成指标值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r>
      <w:tr>
        <w:tblPrEx>
          <w:tblCellMar>
            <w:top w:w="0" w:type="dxa"/>
            <w:left w:w="108" w:type="dxa"/>
            <w:bottom w:w="0" w:type="dxa"/>
            <w:right w:w="108" w:type="dxa"/>
          </w:tblCellMar>
        </w:tblPrEx>
        <w:trPr>
          <w:trHeight w:val="960" w:hRule="atLeast"/>
          <w:jc w:val="center"/>
        </w:trPr>
        <w:tc>
          <w:tcPr>
            <w:tcW w:w="1406" w:type="dxa"/>
            <w:vMerge w:val="continue"/>
            <w:tcBorders>
              <w:left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2"/>
                <w:szCs w:val="22"/>
              </w:rPr>
            </w:pPr>
            <w:r>
              <w:rPr>
                <w:rFonts w:hint="eastAsia" w:eastAsia="仿宋_GB2312" w:cs="仿宋_GB2312"/>
                <w:kern w:val="0"/>
                <w:sz w:val="22"/>
                <w:szCs w:val="22"/>
              </w:rPr>
              <w:t>项目完成指标</w:t>
            </w:r>
          </w:p>
        </w:tc>
        <w:tc>
          <w:tcPr>
            <w:tcW w:w="709"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kern w:val="0"/>
                <w:sz w:val="22"/>
                <w:szCs w:val="22"/>
              </w:rPr>
            </w:pPr>
            <w:r>
              <w:rPr>
                <w:rFonts w:hint="eastAsia" w:eastAsia="仿宋_GB2312" w:cs="仿宋_GB2312"/>
                <w:kern w:val="0"/>
                <w:sz w:val="22"/>
                <w:szCs w:val="22"/>
              </w:rPr>
              <w:t>数量指标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开展企业薪酬调查、用工状况调查和制造业人工成本调查）</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5000</w:t>
            </w:r>
            <w:r>
              <w:rPr>
                <w:rFonts w:hint="eastAsia" w:eastAsia="仿宋_GB2312" w:cs="仿宋_GB2312"/>
                <w:kern w:val="0"/>
                <w:sz w:val="22"/>
                <w:szCs w:val="22"/>
              </w:rPr>
              <w:t>户</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对</w:t>
            </w:r>
            <w:r>
              <w:rPr>
                <w:rFonts w:eastAsia="仿宋_GB2312"/>
                <w:kern w:val="0"/>
                <w:sz w:val="22"/>
                <w:szCs w:val="22"/>
              </w:rPr>
              <w:t>6817</w:t>
            </w:r>
            <w:r>
              <w:rPr>
                <w:rFonts w:hint="eastAsia" w:eastAsia="仿宋_GB2312" w:cs="仿宋_GB2312"/>
                <w:kern w:val="0"/>
                <w:sz w:val="22"/>
                <w:szCs w:val="22"/>
              </w:rPr>
              <w:t>户企业</w:t>
            </w:r>
            <w:r>
              <w:rPr>
                <w:rFonts w:eastAsia="仿宋_GB2312"/>
                <w:kern w:val="0"/>
                <w:sz w:val="22"/>
                <w:szCs w:val="22"/>
              </w:rPr>
              <w:t>972699</w:t>
            </w:r>
            <w:r>
              <w:rPr>
                <w:rFonts w:hint="eastAsia" w:eastAsia="仿宋_GB2312" w:cs="仿宋_GB2312"/>
                <w:kern w:val="0"/>
                <w:sz w:val="22"/>
                <w:szCs w:val="22"/>
              </w:rPr>
              <w:t>条进行数据分析</w:t>
            </w:r>
          </w:p>
        </w:tc>
      </w:tr>
      <w:tr>
        <w:tblPrEx>
          <w:tblCellMar>
            <w:top w:w="0" w:type="dxa"/>
            <w:left w:w="108" w:type="dxa"/>
            <w:bottom w:w="0" w:type="dxa"/>
            <w:right w:w="108" w:type="dxa"/>
          </w:tblCellMar>
        </w:tblPrEx>
        <w:trPr>
          <w:trHeight w:val="551" w:hRule="atLeast"/>
          <w:jc w:val="center"/>
        </w:trPr>
        <w:tc>
          <w:tcPr>
            <w:tcW w:w="1406" w:type="dxa"/>
            <w:vMerge w:val="continue"/>
            <w:tcBorders>
              <w:left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709"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spacing w:val="-14"/>
                <w:kern w:val="0"/>
                <w:sz w:val="22"/>
                <w:szCs w:val="22"/>
              </w:rPr>
            </w:pPr>
            <w:r>
              <w:rPr>
                <w:rFonts w:hint="eastAsia" w:eastAsia="仿宋_GB2312" w:cs="仿宋_GB2312"/>
                <w:spacing w:val="-14"/>
                <w:kern w:val="0"/>
                <w:sz w:val="22"/>
                <w:szCs w:val="22"/>
              </w:rPr>
              <w:t>档案数字化整理件数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12500</w:t>
            </w:r>
            <w:r>
              <w:rPr>
                <w:rFonts w:hint="eastAsia" w:eastAsia="仿宋_GB2312" w:cs="仿宋_GB2312"/>
                <w:kern w:val="0"/>
                <w:sz w:val="22"/>
                <w:szCs w:val="22"/>
              </w:rPr>
              <w:t>份</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档案数字化整理</w:t>
            </w:r>
            <w:r>
              <w:rPr>
                <w:rFonts w:eastAsia="仿宋_GB2312"/>
                <w:kern w:val="0"/>
                <w:sz w:val="22"/>
                <w:szCs w:val="22"/>
              </w:rPr>
              <w:t>4290</w:t>
            </w:r>
            <w:r>
              <w:rPr>
                <w:rFonts w:hint="eastAsia" w:eastAsia="仿宋_GB2312" w:cs="仿宋_GB2312"/>
                <w:kern w:val="0"/>
                <w:sz w:val="22"/>
                <w:szCs w:val="22"/>
              </w:rPr>
              <w:t>件</w:t>
            </w:r>
            <w:r>
              <w:rPr>
                <w:rFonts w:eastAsia="仿宋_GB2312"/>
                <w:kern w:val="0"/>
                <w:sz w:val="22"/>
                <w:szCs w:val="22"/>
              </w:rPr>
              <w:t>206796</w:t>
            </w:r>
            <w:r>
              <w:rPr>
                <w:rFonts w:hint="eastAsia" w:eastAsia="仿宋_GB2312" w:cs="仿宋_GB2312"/>
                <w:kern w:val="0"/>
                <w:sz w:val="22"/>
                <w:szCs w:val="22"/>
              </w:rPr>
              <w:t>页</w:t>
            </w:r>
          </w:p>
        </w:tc>
      </w:tr>
      <w:tr>
        <w:tblPrEx>
          <w:tblCellMar>
            <w:top w:w="0" w:type="dxa"/>
            <w:left w:w="108" w:type="dxa"/>
            <w:bottom w:w="0" w:type="dxa"/>
            <w:right w:w="108" w:type="dxa"/>
          </w:tblCellMar>
        </w:tblPrEx>
        <w:trPr>
          <w:trHeight w:val="829" w:hRule="atLeast"/>
          <w:jc w:val="center"/>
        </w:trPr>
        <w:tc>
          <w:tcPr>
            <w:tcW w:w="1406" w:type="dxa"/>
            <w:vMerge w:val="continue"/>
            <w:tcBorders>
              <w:left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709"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对市州社保经办机构审计数</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个</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20</w:t>
            </w:r>
            <w:r>
              <w:rPr>
                <w:rFonts w:hint="eastAsia" w:eastAsia="仿宋_GB2312" w:cs="仿宋_GB2312"/>
                <w:kern w:val="0"/>
                <w:sz w:val="22"/>
                <w:szCs w:val="22"/>
              </w:rPr>
              <w:t>个</w:t>
            </w:r>
          </w:p>
        </w:tc>
      </w:tr>
      <w:tr>
        <w:tblPrEx>
          <w:tblCellMar>
            <w:top w:w="0" w:type="dxa"/>
            <w:left w:w="108" w:type="dxa"/>
            <w:bottom w:w="0" w:type="dxa"/>
            <w:right w:w="108" w:type="dxa"/>
          </w:tblCellMar>
        </w:tblPrEx>
        <w:trPr>
          <w:trHeight w:val="510" w:hRule="atLeast"/>
          <w:jc w:val="center"/>
        </w:trPr>
        <w:tc>
          <w:tcPr>
            <w:tcW w:w="1406" w:type="dxa"/>
            <w:vMerge w:val="continue"/>
            <w:tcBorders>
              <w:left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709" w:type="dxa"/>
            <w:vMerge w:val="continue"/>
            <w:tcBorders>
              <w:left w:val="single" w:color="auto" w:sz="4" w:space="0"/>
              <w:right w:val="single" w:color="auto" w:sz="4" w:space="0"/>
            </w:tcBorders>
            <w:vAlign w:val="center"/>
          </w:tcPr>
          <w:p>
            <w:pPr>
              <w:spacing w:line="360" w:lineRule="exact"/>
              <w:jc w:val="center"/>
              <w:rPr>
                <w:rFonts w:eastAsia="仿宋_GB2312"/>
                <w:kern w:val="0"/>
                <w:sz w:val="22"/>
                <w:szCs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农民工课题研究</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w:t>
            </w:r>
            <w:r>
              <w:rPr>
                <w:rFonts w:hint="eastAsia" w:eastAsia="仿宋_GB2312" w:cs="仿宋_GB2312"/>
                <w:kern w:val="0"/>
                <w:sz w:val="22"/>
                <w:szCs w:val="22"/>
              </w:rPr>
              <w:t>项</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w:t>
            </w:r>
            <w:r>
              <w:rPr>
                <w:rFonts w:hint="eastAsia" w:eastAsia="仿宋_GB2312" w:cs="仿宋_GB2312"/>
                <w:kern w:val="0"/>
                <w:sz w:val="22"/>
                <w:szCs w:val="22"/>
              </w:rPr>
              <w:t>项</w:t>
            </w:r>
          </w:p>
        </w:tc>
      </w:tr>
      <w:tr>
        <w:tblPrEx>
          <w:tblCellMar>
            <w:top w:w="0" w:type="dxa"/>
            <w:left w:w="108" w:type="dxa"/>
            <w:bottom w:w="0" w:type="dxa"/>
            <w:right w:w="108" w:type="dxa"/>
          </w:tblCellMar>
        </w:tblPrEx>
        <w:trPr>
          <w:trHeight w:val="889" w:hRule="atLeast"/>
          <w:jc w:val="center"/>
        </w:trPr>
        <w:tc>
          <w:tcPr>
            <w:tcW w:w="1406"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p>
        </w:tc>
        <w:tc>
          <w:tcPr>
            <w:tcW w:w="709"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编制全省重点领域急需紧缺人才目录</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w:t>
            </w:r>
            <w:r>
              <w:rPr>
                <w:rFonts w:hint="eastAsia" w:eastAsia="仿宋_GB2312" w:cs="仿宋_GB2312"/>
                <w:kern w:val="0"/>
                <w:sz w:val="22"/>
                <w:szCs w:val="22"/>
              </w:rPr>
              <w:t>批</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w:t>
            </w:r>
            <w:r>
              <w:rPr>
                <w:rFonts w:hint="eastAsia" w:eastAsia="仿宋_GB2312" w:cs="仿宋_GB2312"/>
                <w:kern w:val="0"/>
                <w:sz w:val="22"/>
                <w:szCs w:val="22"/>
              </w:rPr>
              <w:t>批</w:t>
            </w:r>
          </w:p>
        </w:tc>
      </w:tr>
      <w:tr>
        <w:tblPrEx>
          <w:tblCellMar>
            <w:top w:w="0" w:type="dxa"/>
            <w:left w:w="108" w:type="dxa"/>
            <w:bottom w:w="0" w:type="dxa"/>
            <w:right w:w="108" w:type="dxa"/>
          </w:tblCellMar>
        </w:tblPrEx>
        <w:trPr>
          <w:trHeight w:val="1140" w:hRule="atLeast"/>
          <w:jc w:val="center"/>
        </w:trPr>
        <w:tc>
          <w:tcPr>
            <w:tcW w:w="1406" w:type="dxa"/>
            <w:vMerge w:val="restart"/>
            <w:tcBorders>
              <w:top w:val="single" w:color="auto" w:sz="4" w:space="0"/>
              <w:left w:val="single" w:color="auto" w:sz="4" w:space="0"/>
              <w:right w:val="single" w:color="auto" w:sz="4" w:space="0"/>
            </w:tcBorders>
            <w:vAlign w:val="center"/>
          </w:tcPr>
          <w:p>
            <w:pPr>
              <w:widowControl/>
              <w:spacing w:line="360" w:lineRule="exact"/>
              <w:jc w:val="left"/>
              <w:rPr>
                <w:rFonts w:eastAsia="仿宋_GB2312"/>
                <w:kern w:val="0"/>
                <w:sz w:val="22"/>
                <w:szCs w:val="22"/>
              </w:rPr>
            </w:pPr>
            <w:r>
              <w:rPr>
                <w:rFonts w:hint="eastAsia" w:eastAsia="仿宋_GB2312" w:cs="仿宋_GB2312"/>
                <w:kern w:val="0"/>
                <w:sz w:val="22"/>
                <w:szCs w:val="22"/>
              </w:rPr>
              <w:t>绩效指标完成情况</w:t>
            </w:r>
          </w:p>
        </w:tc>
        <w:tc>
          <w:tcPr>
            <w:tcW w:w="10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项目完成指标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时效指标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完成时限</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月底</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月</w:t>
            </w:r>
          </w:p>
        </w:tc>
      </w:tr>
      <w:tr>
        <w:tblPrEx>
          <w:tblCellMar>
            <w:top w:w="0" w:type="dxa"/>
            <w:left w:w="108" w:type="dxa"/>
            <w:bottom w:w="0" w:type="dxa"/>
            <w:right w:w="108" w:type="dxa"/>
          </w:tblCellMar>
        </w:tblPrEx>
        <w:trPr>
          <w:trHeight w:val="5352" w:hRule="atLeast"/>
          <w:jc w:val="center"/>
        </w:trPr>
        <w:tc>
          <w:tcPr>
            <w:tcW w:w="1406" w:type="dxa"/>
            <w:vMerge w:val="continue"/>
            <w:tcBorders>
              <w:left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可持续影响指标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对人社事业发展的促进作用</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r>
              <w:rPr>
                <w:rFonts w:hint="eastAsia" w:eastAsia="仿宋_GB2312" w:cs="仿宋_GB2312"/>
                <w:kern w:val="0"/>
                <w:sz w:val="22"/>
                <w:szCs w:val="22"/>
              </w:rPr>
              <w:t>落实政府法律顾问制度，推进依法行政，建立法治政府；发布全省重点领域急需紧缺人才目录；确保各项基金安全运行；了解农民工生存现状，帮助他们更好地解决实际问题；深化全省人社系统行风政风建设；加强监督检查，即时发现和纠正所属单位违反财经纪律和制度的行为。</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r>
              <w:rPr>
                <w:rFonts w:hint="eastAsia" w:eastAsia="仿宋_GB2312" w:cs="仿宋_GB2312"/>
                <w:kern w:val="0"/>
                <w:sz w:val="22"/>
                <w:szCs w:val="22"/>
              </w:rPr>
              <w:t>落实政府法律顾问制度，推进依法行政建设法治政府；落实国家档案管理要求；发布企业行业人工成本信息及工资指导价位，掌握我省企业薪酬情况和用工状况；确保各项基金安全运行；深化全省人社系统政风行风建设；加强监督检查，及时发现和纠正所属单位违反财经纪律和制度的行为；编制重点领域急需人才目录，推动全省人力资源服务业高质量发展。</w:t>
            </w:r>
          </w:p>
        </w:tc>
      </w:tr>
      <w:tr>
        <w:tblPrEx>
          <w:tblCellMar>
            <w:top w:w="0" w:type="dxa"/>
            <w:left w:w="108" w:type="dxa"/>
            <w:bottom w:w="0" w:type="dxa"/>
            <w:right w:w="108" w:type="dxa"/>
          </w:tblCellMar>
        </w:tblPrEx>
        <w:trPr>
          <w:trHeight w:val="1140" w:hRule="atLeast"/>
          <w:jc w:val="center"/>
        </w:trPr>
        <w:tc>
          <w:tcPr>
            <w:tcW w:w="1406" w:type="dxa"/>
            <w:vMerge w:val="continue"/>
            <w:tcBorders>
              <w:left w:val="single" w:color="auto" w:sz="4" w:space="0"/>
              <w:bottom w:val="single" w:color="auto" w:sz="4" w:space="0"/>
              <w:right w:val="single" w:color="auto" w:sz="4" w:space="0"/>
            </w:tcBorders>
            <w:vAlign w:val="center"/>
          </w:tcPr>
          <w:p>
            <w:pPr>
              <w:widowControl/>
              <w:spacing w:line="360" w:lineRule="exact"/>
              <w:jc w:val="left"/>
              <w:rPr>
                <w:rFonts w:eastAsia="仿宋_GB2312"/>
                <w:kern w:val="0"/>
                <w:sz w:val="22"/>
                <w:szCs w:val="22"/>
              </w:rPr>
            </w:pPr>
          </w:p>
        </w:tc>
        <w:tc>
          <w:tcPr>
            <w:tcW w:w="10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满意度指标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满意度指标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spacing w:val="-14"/>
                <w:kern w:val="0"/>
                <w:sz w:val="22"/>
                <w:szCs w:val="22"/>
              </w:rPr>
              <w:t>法律顾问咨询满意度</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95%</w:t>
            </w:r>
          </w:p>
        </w:tc>
        <w:tc>
          <w:tcPr>
            <w:tcW w:w="291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仿宋_GB2312"/>
                <w:kern w:val="0"/>
                <w:sz w:val="22"/>
                <w:szCs w:val="22"/>
              </w:rPr>
            </w:pPr>
            <w:r>
              <w:rPr>
                <w:rFonts w:eastAsia="仿宋_GB2312"/>
                <w:kern w:val="0"/>
                <w:sz w:val="22"/>
                <w:szCs w:val="22"/>
              </w:rPr>
              <w:t>100%</w:t>
            </w:r>
          </w:p>
        </w:tc>
      </w:tr>
    </w:tbl>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p>
    <w:p>
      <w:pPr>
        <w:pStyle w:val="2"/>
        <w:spacing w:before="93"/>
        <w:rPr>
          <w:rFonts w:ascii="Times New Roman" w:cs="Times New Roman"/>
          <w:sz w:val="32"/>
          <w:szCs w:val="32"/>
        </w:rPr>
      </w:pPr>
    </w:p>
    <w:p>
      <w:pPr>
        <w:pStyle w:val="2"/>
        <w:spacing w:before="93" w:line="240" w:lineRule="exact"/>
        <w:rPr>
          <w:rFonts w:ascii="Times New Roman" w:cs="Times New Roman"/>
          <w:sz w:val="32"/>
          <w:szCs w:val="32"/>
        </w:rPr>
      </w:pPr>
      <w:r>
        <w:rPr>
          <w:rFonts w:ascii="Times New Roman" w:cs="Times New Roman"/>
          <w:sz w:val="32"/>
          <w:szCs w:val="32"/>
        </w:rPr>
        <w:br w:type="page"/>
      </w:r>
    </w:p>
    <w:tbl>
      <w:tblPr>
        <w:tblStyle w:val="12"/>
        <w:tblW w:w="9660" w:type="dxa"/>
        <w:jc w:val="center"/>
        <w:tblLayout w:type="autofit"/>
        <w:tblCellMar>
          <w:top w:w="0" w:type="dxa"/>
          <w:left w:w="108" w:type="dxa"/>
          <w:bottom w:w="0" w:type="dxa"/>
          <w:right w:w="108" w:type="dxa"/>
        </w:tblCellMar>
      </w:tblPr>
      <w:tblGrid>
        <w:gridCol w:w="900"/>
        <w:gridCol w:w="1257"/>
        <w:gridCol w:w="1221"/>
        <w:gridCol w:w="1714"/>
        <w:gridCol w:w="1903"/>
        <w:gridCol w:w="2665"/>
      </w:tblGrid>
      <w:tr>
        <w:tblPrEx>
          <w:tblCellMar>
            <w:top w:w="0" w:type="dxa"/>
            <w:left w:w="108" w:type="dxa"/>
            <w:bottom w:w="0" w:type="dxa"/>
            <w:right w:w="108" w:type="dxa"/>
          </w:tblCellMar>
        </w:tblPrEx>
        <w:trPr>
          <w:trHeight w:val="1002" w:hRule="atLeast"/>
          <w:jc w:val="center"/>
        </w:trPr>
        <w:tc>
          <w:tcPr>
            <w:tcW w:w="9660" w:type="dxa"/>
            <w:gridSpan w:val="6"/>
            <w:tcBorders>
              <w:top w:val="nil"/>
              <w:left w:val="nil"/>
              <w:bottom w:val="single" w:color="auto" w:sz="4" w:space="0"/>
              <w:right w:val="nil"/>
            </w:tcBorders>
            <w:vAlign w:val="center"/>
          </w:tcPr>
          <w:p>
            <w:pPr>
              <w:widowControl/>
              <w:spacing w:line="500" w:lineRule="exact"/>
              <w:jc w:val="center"/>
              <w:rPr>
                <w:rFonts w:eastAsia="仿宋_GB2312"/>
                <w:b/>
                <w:bCs/>
                <w:kern w:val="0"/>
                <w:sz w:val="36"/>
                <w:szCs w:val="36"/>
              </w:rPr>
            </w:pPr>
            <w:r>
              <w:rPr>
                <w:rFonts w:hint="eastAsia" w:eastAsia="方正小标宋_GBK" w:cs="方正小标宋_GBK"/>
                <w:kern w:val="0"/>
                <w:sz w:val="36"/>
                <w:szCs w:val="36"/>
              </w:rPr>
              <w:t>项目绩效目标完成情况表</w:t>
            </w:r>
          </w:p>
          <w:p>
            <w:pPr>
              <w:widowControl/>
              <w:spacing w:line="500" w:lineRule="exact"/>
              <w:jc w:val="center"/>
              <w:rPr>
                <w:rFonts w:eastAsia="仿宋_GB2312"/>
                <w:kern w:val="0"/>
                <w:sz w:val="32"/>
                <w:szCs w:val="32"/>
              </w:rPr>
            </w:pPr>
            <w:r>
              <w:rPr>
                <w:rFonts w:hint="eastAsia" w:eastAsia="楷体_GB2312" w:cs="楷体_GB2312"/>
                <w:sz w:val="32"/>
                <w:szCs w:val="32"/>
              </w:rPr>
              <w:t>（</w:t>
            </w:r>
            <w:r>
              <w:rPr>
                <w:rFonts w:eastAsia="楷体_GB2312"/>
                <w:kern w:val="0"/>
                <w:sz w:val="32"/>
                <w:szCs w:val="32"/>
              </w:rPr>
              <w:t>2020</w:t>
            </w:r>
            <w:r>
              <w:rPr>
                <w:rFonts w:hint="eastAsia" w:eastAsia="楷体_GB2312" w:cs="楷体_GB2312"/>
                <w:kern w:val="0"/>
                <w:sz w:val="32"/>
                <w:szCs w:val="32"/>
              </w:rPr>
              <w:t>年度</w:t>
            </w:r>
            <w:r>
              <w:rPr>
                <w:rFonts w:hint="eastAsia" w:eastAsia="楷体_GB2312" w:cs="楷体_GB2312"/>
                <w:sz w:val="32"/>
                <w:szCs w:val="32"/>
              </w:rPr>
              <w:t>）</w:t>
            </w:r>
          </w:p>
        </w:tc>
      </w:tr>
      <w:tr>
        <w:tblPrEx>
          <w:tblCellMar>
            <w:top w:w="0" w:type="dxa"/>
            <w:left w:w="108" w:type="dxa"/>
            <w:bottom w:w="0" w:type="dxa"/>
            <w:right w:w="108" w:type="dxa"/>
          </w:tblCellMar>
        </w:tblPrEx>
        <w:trPr>
          <w:trHeight w:val="255" w:hRule="atLeast"/>
          <w:jc w:val="center"/>
        </w:trPr>
        <w:tc>
          <w:tcPr>
            <w:tcW w:w="337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项目名称</w:t>
            </w:r>
          </w:p>
        </w:tc>
        <w:tc>
          <w:tcPr>
            <w:tcW w:w="628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流动人员人事档案管理经费</w:t>
            </w:r>
          </w:p>
        </w:tc>
      </w:tr>
      <w:tr>
        <w:tblPrEx>
          <w:tblCellMar>
            <w:top w:w="0" w:type="dxa"/>
            <w:left w:w="108" w:type="dxa"/>
            <w:bottom w:w="0" w:type="dxa"/>
            <w:right w:w="108" w:type="dxa"/>
          </w:tblCellMar>
        </w:tblPrEx>
        <w:trPr>
          <w:trHeight w:val="255" w:hRule="atLeast"/>
          <w:jc w:val="center"/>
        </w:trPr>
        <w:tc>
          <w:tcPr>
            <w:tcW w:w="3378"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预算单位</w:t>
            </w:r>
          </w:p>
        </w:tc>
        <w:tc>
          <w:tcPr>
            <w:tcW w:w="628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eastAsia="仿宋_GB2312"/>
                <w:kern w:val="0"/>
                <w:sz w:val="22"/>
                <w:szCs w:val="22"/>
                <w:lang w:eastAsia="zh-CN"/>
              </w:rPr>
            </w:pPr>
            <w:r>
              <w:rPr>
                <w:rFonts w:eastAsia="仿宋_GB2312"/>
                <w:kern w:val="0"/>
                <w:sz w:val="22"/>
                <w:szCs w:val="22"/>
              </w:rPr>
              <w:t>313301-</w:t>
            </w:r>
            <w:r>
              <w:rPr>
                <w:rFonts w:hint="eastAsia" w:eastAsia="仿宋_GB2312" w:cs="仿宋_GB2312"/>
                <w:kern w:val="0"/>
                <w:sz w:val="22"/>
                <w:szCs w:val="22"/>
              </w:rPr>
              <w:t>四川省人力资源和社会保障厅</w:t>
            </w:r>
            <w:r>
              <w:rPr>
                <w:rFonts w:hint="eastAsia" w:eastAsia="仿宋_GB2312" w:cs="仿宋_GB2312"/>
                <w:kern w:val="0"/>
                <w:sz w:val="22"/>
                <w:szCs w:val="22"/>
                <w:lang w:eastAsia="zh-CN"/>
              </w:rPr>
              <w:t>机关</w:t>
            </w:r>
          </w:p>
        </w:tc>
      </w:tr>
      <w:tr>
        <w:tblPrEx>
          <w:tblCellMar>
            <w:top w:w="0" w:type="dxa"/>
            <w:left w:w="108" w:type="dxa"/>
            <w:bottom w:w="0" w:type="dxa"/>
            <w:right w:w="108" w:type="dxa"/>
          </w:tblCellMar>
        </w:tblPrEx>
        <w:trPr>
          <w:trHeight w:val="285"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预算执行情况</w:t>
            </w:r>
            <w:r>
              <w:rPr>
                <w:rFonts w:eastAsia="仿宋_GB2312"/>
                <w:kern w:val="0"/>
                <w:sz w:val="22"/>
                <w:szCs w:val="22"/>
              </w:rPr>
              <w:t>(</w:t>
            </w:r>
            <w:r>
              <w:rPr>
                <w:rFonts w:hint="eastAsia" w:eastAsia="仿宋_GB2312" w:cs="仿宋_GB2312"/>
                <w:kern w:val="0"/>
                <w:sz w:val="22"/>
                <w:szCs w:val="22"/>
              </w:rPr>
              <w:t>万元</w:t>
            </w:r>
            <w:r>
              <w:rPr>
                <w:rFonts w:eastAsia="仿宋_GB2312"/>
                <w:kern w:val="0"/>
                <w:sz w:val="22"/>
                <w:szCs w:val="22"/>
              </w:rPr>
              <w:t>)</w:t>
            </w:r>
          </w:p>
        </w:tc>
        <w:tc>
          <w:tcPr>
            <w:tcW w:w="247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预算数</w:t>
            </w:r>
            <w:r>
              <w:rPr>
                <w:rFonts w:eastAsia="仿宋_GB2312"/>
                <w:kern w:val="0"/>
                <w:sz w:val="22"/>
                <w:szCs w:val="22"/>
              </w:rPr>
              <w:t>:</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118</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执行数</w:t>
            </w:r>
            <w:r>
              <w:rPr>
                <w:rFonts w:eastAsia="仿宋_GB2312"/>
                <w:kern w:val="0"/>
                <w:sz w:val="22"/>
                <w:szCs w:val="22"/>
              </w:rPr>
              <w:t>:</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118</w:t>
            </w:r>
          </w:p>
        </w:tc>
      </w:tr>
      <w:tr>
        <w:tblPrEx>
          <w:tblCellMar>
            <w:top w:w="0" w:type="dxa"/>
            <w:left w:w="108" w:type="dxa"/>
            <w:bottom w:w="0" w:type="dxa"/>
            <w:right w:w="108" w:type="dxa"/>
          </w:tblCellMar>
        </w:tblPrEx>
        <w:trPr>
          <w:trHeight w:val="28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247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118</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118</w:t>
            </w:r>
          </w:p>
        </w:tc>
      </w:tr>
      <w:tr>
        <w:tblPrEx>
          <w:tblCellMar>
            <w:top w:w="0" w:type="dxa"/>
            <w:left w:w="108" w:type="dxa"/>
            <w:bottom w:w="0" w:type="dxa"/>
            <w:right w:w="108" w:type="dxa"/>
          </w:tblCellMar>
        </w:tblPrEx>
        <w:trPr>
          <w:trHeight w:val="285"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247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0</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　</w:t>
            </w:r>
            <w:r>
              <w:rPr>
                <w:rFonts w:eastAsia="仿宋_GB2312"/>
                <w:kern w:val="0"/>
                <w:sz w:val="22"/>
                <w:szCs w:val="22"/>
              </w:rPr>
              <w:t>0</w:t>
            </w:r>
          </w:p>
        </w:tc>
      </w:tr>
      <w:tr>
        <w:tblPrEx>
          <w:tblCellMar>
            <w:top w:w="0" w:type="dxa"/>
            <w:left w:w="108" w:type="dxa"/>
            <w:bottom w:w="0" w:type="dxa"/>
            <w:right w:w="108" w:type="dxa"/>
          </w:tblCellMar>
        </w:tblPrEx>
        <w:trPr>
          <w:trHeight w:val="255"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年度目标完成情况</w:t>
            </w:r>
          </w:p>
        </w:tc>
        <w:tc>
          <w:tcPr>
            <w:tcW w:w="419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预期目标</w:t>
            </w:r>
          </w:p>
        </w:tc>
        <w:tc>
          <w:tcPr>
            <w:tcW w:w="456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实际完成目标</w:t>
            </w:r>
          </w:p>
        </w:tc>
      </w:tr>
      <w:tr>
        <w:tblPrEx>
          <w:tblCellMar>
            <w:top w:w="0" w:type="dxa"/>
            <w:left w:w="108" w:type="dxa"/>
            <w:bottom w:w="0" w:type="dxa"/>
            <w:right w:w="108" w:type="dxa"/>
          </w:tblCellMar>
        </w:tblPrEx>
        <w:trPr>
          <w:trHeight w:val="460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4192"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r>
              <w:rPr>
                <w:rFonts w:hint="eastAsia" w:eastAsia="仿宋_GB2312" w:cs="仿宋_GB2312"/>
                <w:kern w:val="0"/>
                <w:sz w:val="22"/>
                <w:szCs w:val="22"/>
              </w:rPr>
              <w:t>按照《中共中央组织部人力资源社会保障部等五部门关于进一步加强流动人员人事档案管理服务工作的通知》、《关于做好人才集体户口管理服务工作的通知》、《财政部国家发展改革委关于取消停征和免征一批行政事业性收费的通知》有关规定，日常办理的档案、集体户管理等发生的成本性支出需由同级财政预算予以统筹安排。</w:t>
            </w:r>
            <w:r>
              <w:rPr>
                <w:rFonts w:eastAsia="仿宋_GB2312"/>
                <w:kern w:val="0"/>
                <w:sz w:val="22"/>
                <w:szCs w:val="22"/>
              </w:rPr>
              <w:t>2020</w:t>
            </w:r>
            <w:r>
              <w:rPr>
                <w:rFonts w:hint="eastAsia" w:eastAsia="仿宋_GB2312" w:cs="仿宋_GB2312"/>
                <w:kern w:val="0"/>
                <w:sz w:val="22"/>
                <w:szCs w:val="22"/>
              </w:rPr>
              <w:t>年计划管理人事档案信息</w:t>
            </w:r>
            <w:r>
              <w:rPr>
                <w:rFonts w:eastAsia="仿宋_GB2312"/>
                <w:kern w:val="0"/>
                <w:sz w:val="22"/>
                <w:szCs w:val="22"/>
              </w:rPr>
              <w:t>3</w:t>
            </w:r>
            <w:r>
              <w:rPr>
                <w:rFonts w:hint="eastAsia" w:eastAsia="仿宋_GB2312" w:cs="仿宋_GB2312"/>
                <w:kern w:val="0"/>
                <w:sz w:val="22"/>
                <w:szCs w:val="22"/>
              </w:rPr>
              <w:t>万份，对</w:t>
            </w:r>
            <w:r>
              <w:rPr>
                <w:rFonts w:eastAsia="仿宋_GB2312"/>
                <w:kern w:val="0"/>
                <w:sz w:val="22"/>
                <w:szCs w:val="22"/>
              </w:rPr>
              <w:t>6000</w:t>
            </w:r>
            <w:r>
              <w:rPr>
                <w:rFonts w:hint="eastAsia" w:eastAsia="仿宋_GB2312" w:cs="仿宋_GB2312"/>
                <w:kern w:val="0"/>
                <w:sz w:val="22"/>
                <w:szCs w:val="22"/>
              </w:rPr>
              <w:t>户集体户籍进行日常管理，对</w:t>
            </w:r>
            <w:r>
              <w:rPr>
                <w:rFonts w:eastAsia="仿宋_GB2312"/>
                <w:kern w:val="0"/>
                <w:sz w:val="22"/>
                <w:szCs w:val="22"/>
              </w:rPr>
              <w:t>2100</w:t>
            </w:r>
            <w:r>
              <w:rPr>
                <w:rFonts w:hint="eastAsia" w:eastAsia="仿宋_GB2312" w:cs="仿宋_GB2312"/>
                <w:kern w:val="0"/>
                <w:sz w:val="22"/>
                <w:szCs w:val="22"/>
              </w:rPr>
              <w:t>名流动人才党员进行日常教育管理，全年提供公益职称、户籍、档案开展人事人才服务</w:t>
            </w:r>
            <w:r>
              <w:rPr>
                <w:rFonts w:eastAsia="仿宋_GB2312"/>
                <w:kern w:val="0"/>
                <w:sz w:val="22"/>
                <w:szCs w:val="22"/>
              </w:rPr>
              <w:t>2</w:t>
            </w:r>
            <w:r>
              <w:rPr>
                <w:rFonts w:hint="eastAsia" w:eastAsia="仿宋_GB2312" w:cs="仿宋_GB2312"/>
                <w:kern w:val="0"/>
                <w:sz w:val="22"/>
                <w:szCs w:val="22"/>
              </w:rPr>
              <w:t>万人次。</w:t>
            </w:r>
          </w:p>
        </w:tc>
        <w:tc>
          <w:tcPr>
            <w:tcW w:w="4568"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r>
              <w:rPr>
                <w:rFonts w:hint="eastAsia" w:eastAsia="仿宋_GB2312" w:cs="仿宋_GB2312"/>
                <w:kern w:val="0"/>
                <w:sz w:val="22"/>
                <w:szCs w:val="22"/>
              </w:rPr>
              <w:t>实际管理人事档案</w:t>
            </w:r>
            <w:r>
              <w:rPr>
                <w:rFonts w:eastAsia="仿宋_GB2312"/>
                <w:kern w:val="0"/>
                <w:sz w:val="22"/>
                <w:szCs w:val="22"/>
              </w:rPr>
              <w:t>2.6</w:t>
            </w:r>
            <w:r>
              <w:rPr>
                <w:rFonts w:hint="eastAsia" w:eastAsia="仿宋_GB2312" w:cs="仿宋_GB2312"/>
                <w:kern w:val="0"/>
                <w:sz w:val="22"/>
                <w:szCs w:val="22"/>
              </w:rPr>
              <w:t>万份，对</w:t>
            </w:r>
            <w:r>
              <w:rPr>
                <w:rFonts w:eastAsia="仿宋_GB2312"/>
                <w:kern w:val="0"/>
                <w:sz w:val="22"/>
                <w:szCs w:val="22"/>
              </w:rPr>
              <w:t>4658</w:t>
            </w:r>
            <w:r>
              <w:rPr>
                <w:rFonts w:hint="eastAsia" w:eastAsia="仿宋_GB2312" w:cs="仿宋_GB2312"/>
                <w:kern w:val="0"/>
                <w:sz w:val="22"/>
                <w:szCs w:val="22"/>
              </w:rPr>
              <w:t>户集体户籍进行日常管理，对</w:t>
            </w:r>
            <w:r>
              <w:rPr>
                <w:rFonts w:eastAsia="仿宋_GB2312"/>
                <w:kern w:val="0"/>
                <w:sz w:val="22"/>
                <w:szCs w:val="22"/>
              </w:rPr>
              <w:t>1550</w:t>
            </w:r>
            <w:r>
              <w:rPr>
                <w:rFonts w:hint="eastAsia" w:eastAsia="仿宋_GB2312" w:cs="仿宋_GB2312"/>
                <w:kern w:val="0"/>
                <w:sz w:val="22"/>
                <w:szCs w:val="22"/>
              </w:rPr>
              <w:t>名流动人才党员进行日常教育管理，在联党员</w:t>
            </w:r>
            <w:r>
              <w:rPr>
                <w:rFonts w:eastAsia="仿宋_GB2312"/>
                <w:kern w:val="0"/>
                <w:sz w:val="22"/>
                <w:szCs w:val="22"/>
              </w:rPr>
              <w:t>1742</w:t>
            </w:r>
            <w:r>
              <w:rPr>
                <w:rFonts w:hint="eastAsia" w:eastAsia="仿宋_GB2312" w:cs="仿宋_GB2312"/>
                <w:kern w:val="0"/>
                <w:sz w:val="22"/>
                <w:szCs w:val="22"/>
              </w:rPr>
              <w:t>名，全年提供公益职称、户籍、档案开展人事人才服务</w:t>
            </w:r>
            <w:r>
              <w:rPr>
                <w:rFonts w:eastAsia="仿宋_GB2312"/>
                <w:kern w:val="0"/>
                <w:sz w:val="22"/>
                <w:szCs w:val="22"/>
              </w:rPr>
              <w:t>2.48</w:t>
            </w:r>
            <w:r>
              <w:rPr>
                <w:rFonts w:hint="eastAsia" w:eastAsia="仿宋_GB2312" w:cs="仿宋_GB2312"/>
                <w:kern w:val="0"/>
                <w:sz w:val="22"/>
                <w:szCs w:val="22"/>
              </w:rPr>
              <w:t>万人次。</w:t>
            </w:r>
          </w:p>
        </w:tc>
      </w:tr>
      <w:tr>
        <w:tblPrEx>
          <w:tblCellMar>
            <w:top w:w="0" w:type="dxa"/>
            <w:left w:w="108" w:type="dxa"/>
            <w:bottom w:w="0" w:type="dxa"/>
            <w:right w:w="108" w:type="dxa"/>
          </w:tblCellMar>
        </w:tblPrEx>
        <w:trPr>
          <w:trHeight w:val="1548"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绩效指标完成情况</w:t>
            </w: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一级指标</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二级指标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三级指标</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预期指标值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实际完成指标值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r>
      <w:tr>
        <w:tblPrEx>
          <w:tblCellMar>
            <w:top w:w="0" w:type="dxa"/>
            <w:left w:w="108" w:type="dxa"/>
            <w:bottom w:w="0" w:type="dxa"/>
            <w:right w:w="108" w:type="dxa"/>
          </w:tblCellMar>
        </w:tblPrEx>
        <w:trPr>
          <w:trHeight w:val="971"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项目完成指标</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r>
              <w:rPr>
                <w:rFonts w:hint="eastAsia" w:eastAsia="仿宋_GB2312" w:cs="仿宋_GB2312"/>
                <w:kern w:val="0"/>
                <w:sz w:val="22"/>
                <w:szCs w:val="22"/>
              </w:rPr>
              <w:t>数量指标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群发人事人才服务短信</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6000</w:t>
            </w:r>
            <w:r>
              <w:rPr>
                <w:rFonts w:hint="eastAsia" w:eastAsia="仿宋_GB2312" w:cs="仿宋_GB2312"/>
                <w:kern w:val="0"/>
                <w:sz w:val="22"/>
                <w:szCs w:val="22"/>
              </w:rPr>
              <w:t>条</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6500</w:t>
            </w:r>
            <w:r>
              <w:rPr>
                <w:rFonts w:hint="eastAsia" w:eastAsia="仿宋_GB2312" w:cs="仿宋_GB2312"/>
                <w:kern w:val="0"/>
                <w:sz w:val="22"/>
                <w:szCs w:val="22"/>
              </w:rPr>
              <w:t>条</w:t>
            </w:r>
          </w:p>
        </w:tc>
      </w:tr>
      <w:tr>
        <w:tblPrEx>
          <w:tblCellMar>
            <w:top w:w="0" w:type="dxa"/>
            <w:left w:w="108" w:type="dxa"/>
            <w:bottom w:w="0" w:type="dxa"/>
            <w:right w:w="108" w:type="dxa"/>
          </w:tblCellMar>
        </w:tblPrEx>
        <w:trPr>
          <w:trHeight w:val="139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集体户服务</w:t>
            </w:r>
          </w:p>
          <w:p>
            <w:pPr>
              <w:widowControl/>
              <w:spacing w:line="320" w:lineRule="exact"/>
              <w:jc w:val="center"/>
              <w:rPr>
                <w:rFonts w:eastAsia="仿宋_GB2312"/>
                <w:kern w:val="0"/>
                <w:sz w:val="22"/>
                <w:szCs w:val="22"/>
              </w:rPr>
            </w:pPr>
            <w:r>
              <w:rPr>
                <w:rFonts w:hint="eastAsia" w:eastAsia="仿宋_GB2312" w:cs="仿宋_GB2312"/>
                <w:kern w:val="0"/>
                <w:sz w:val="22"/>
                <w:szCs w:val="22"/>
              </w:rPr>
              <w:t>管理</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6000</w:t>
            </w:r>
            <w:r>
              <w:rPr>
                <w:rFonts w:hint="eastAsia" w:eastAsia="仿宋_GB2312" w:cs="仿宋_GB2312"/>
                <w:kern w:val="0"/>
                <w:sz w:val="22"/>
                <w:szCs w:val="22"/>
              </w:rPr>
              <w:t>户</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截止</w:t>
            </w:r>
            <w:r>
              <w:rPr>
                <w:rFonts w:eastAsia="仿宋_GB2312"/>
                <w:kern w:val="0"/>
                <w:sz w:val="22"/>
                <w:szCs w:val="22"/>
              </w:rPr>
              <w:t>2020</w:t>
            </w:r>
            <w:r>
              <w:rPr>
                <w:rFonts w:hint="eastAsia" w:eastAsia="仿宋_GB2312" w:cs="仿宋_GB2312"/>
                <w:kern w:val="0"/>
                <w:sz w:val="22"/>
                <w:szCs w:val="22"/>
              </w:rPr>
              <w:t>年</w:t>
            </w:r>
            <w:r>
              <w:rPr>
                <w:rFonts w:eastAsia="仿宋_GB2312"/>
                <w:kern w:val="0"/>
                <w:sz w:val="22"/>
                <w:szCs w:val="22"/>
              </w:rPr>
              <w:t>12</w:t>
            </w:r>
            <w:r>
              <w:rPr>
                <w:rFonts w:hint="eastAsia" w:eastAsia="仿宋_GB2312" w:cs="仿宋_GB2312"/>
                <w:kern w:val="0"/>
                <w:sz w:val="22"/>
                <w:szCs w:val="22"/>
              </w:rPr>
              <w:t>月挂靠户籍</w:t>
            </w:r>
            <w:r>
              <w:rPr>
                <w:rFonts w:eastAsia="仿宋_GB2312"/>
                <w:kern w:val="0"/>
                <w:sz w:val="22"/>
                <w:szCs w:val="22"/>
              </w:rPr>
              <w:t>4658</w:t>
            </w:r>
            <w:r>
              <w:rPr>
                <w:rFonts w:hint="eastAsia" w:eastAsia="仿宋_GB2312" w:cs="仿宋_GB2312"/>
                <w:kern w:val="0"/>
                <w:sz w:val="22"/>
                <w:szCs w:val="22"/>
              </w:rPr>
              <w:t>户，</w:t>
            </w:r>
            <w:r>
              <w:rPr>
                <w:rFonts w:eastAsia="仿宋_GB2312"/>
                <w:kern w:val="0"/>
                <w:sz w:val="22"/>
                <w:szCs w:val="22"/>
              </w:rPr>
              <w:t>2020</w:t>
            </w:r>
            <w:r>
              <w:rPr>
                <w:rFonts w:hint="eastAsia" w:eastAsia="仿宋_GB2312" w:cs="仿宋_GB2312"/>
                <w:kern w:val="0"/>
                <w:sz w:val="22"/>
                <w:szCs w:val="22"/>
              </w:rPr>
              <w:t>全年迁出</w:t>
            </w:r>
            <w:r>
              <w:rPr>
                <w:rFonts w:eastAsia="仿宋_GB2312"/>
                <w:kern w:val="0"/>
                <w:sz w:val="22"/>
                <w:szCs w:val="22"/>
              </w:rPr>
              <w:t>101</w:t>
            </w:r>
            <w:r>
              <w:rPr>
                <w:rFonts w:hint="eastAsia" w:eastAsia="仿宋_GB2312" w:cs="仿宋_GB2312"/>
                <w:kern w:val="0"/>
                <w:sz w:val="22"/>
                <w:szCs w:val="22"/>
              </w:rPr>
              <w:t>户</w:t>
            </w:r>
          </w:p>
        </w:tc>
      </w:tr>
      <w:tr>
        <w:tblPrEx>
          <w:tblCellMar>
            <w:top w:w="0" w:type="dxa"/>
            <w:left w:w="108" w:type="dxa"/>
            <w:bottom w:w="0" w:type="dxa"/>
            <w:right w:w="108" w:type="dxa"/>
          </w:tblCellMar>
        </w:tblPrEx>
        <w:trPr>
          <w:trHeight w:val="1498"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流动人才党员管理</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2100</w:t>
            </w:r>
            <w:r>
              <w:rPr>
                <w:rFonts w:hint="eastAsia" w:eastAsia="仿宋_GB2312" w:cs="仿宋_GB2312"/>
                <w:kern w:val="0"/>
                <w:sz w:val="22"/>
                <w:szCs w:val="22"/>
              </w:rPr>
              <w:t>人</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全年转出党员</w:t>
            </w:r>
            <w:r>
              <w:rPr>
                <w:rFonts w:eastAsia="仿宋_GB2312"/>
                <w:kern w:val="0"/>
                <w:sz w:val="22"/>
                <w:szCs w:val="22"/>
              </w:rPr>
              <w:t>233</w:t>
            </w:r>
            <w:r>
              <w:rPr>
                <w:rFonts w:hint="eastAsia" w:eastAsia="仿宋_GB2312" w:cs="仿宋_GB2312"/>
                <w:kern w:val="0"/>
                <w:sz w:val="22"/>
                <w:szCs w:val="22"/>
              </w:rPr>
              <w:t>名，接收党员</w:t>
            </w:r>
            <w:r>
              <w:rPr>
                <w:rFonts w:eastAsia="仿宋_GB2312"/>
                <w:kern w:val="0"/>
                <w:sz w:val="22"/>
                <w:szCs w:val="22"/>
              </w:rPr>
              <w:t>10</w:t>
            </w:r>
            <w:r>
              <w:rPr>
                <w:rFonts w:hint="eastAsia" w:eastAsia="仿宋_GB2312" w:cs="仿宋_GB2312"/>
                <w:kern w:val="0"/>
                <w:sz w:val="22"/>
                <w:szCs w:val="22"/>
              </w:rPr>
              <w:t>名，发展党员</w:t>
            </w:r>
            <w:r>
              <w:rPr>
                <w:rFonts w:eastAsia="仿宋_GB2312"/>
                <w:kern w:val="0"/>
                <w:sz w:val="22"/>
                <w:szCs w:val="22"/>
              </w:rPr>
              <w:t>8</w:t>
            </w:r>
            <w:r>
              <w:rPr>
                <w:rFonts w:hint="eastAsia" w:eastAsia="仿宋_GB2312" w:cs="仿宋_GB2312"/>
                <w:kern w:val="0"/>
                <w:sz w:val="22"/>
                <w:szCs w:val="22"/>
              </w:rPr>
              <w:t>名，恢复党籍</w:t>
            </w:r>
            <w:r>
              <w:rPr>
                <w:rFonts w:eastAsia="仿宋_GB2312"/>
                <w:kern w:val="0"/>
                <w:sz w:val="22"/>
                <w:szCs w:val="22"/>
              </w:rPr>
              <w:t>86</w:t>
            </w:r>
            <w:r>
              <w:rPr>
                <w:rFonts w:hint="eastAsia" w:eastAsia="仿宋_GB2312" w:cs="仿宋_GB2312"/>
                <w:kern w:val="0"/>
                <w:sz w:val="22"/>
                <w:szCs w:val="22"/>
              </w:rPr>
              <w:t>名，在联党员</w:t>
            </w:r>
            <w:r>
              <w:rPr>
                <w:rFonts w:eastAsia="仿宋_GB2312"/>
                <w:kern w:val="0"/>
                <w:sz w:val="22"/>
                <w:szCs w:val="22"/>
              </w:rPr>
              <w:t>1742</w:t>
            </w:r>
            <w:r>
              <w:rPr>
                <w:rFonts w:hint="eastAsia" w:eastAsia="仿宋_GB2312" w:cs="仿宋_GB2312"/>
                <w:kern w:val="0"/>
                <w:sz w:val="22"/>
                <w:szCs w:val="22"/>
              </w:rPr>
              <w:t>名</w:t>
            </w:r>
          </w:p>
        </w:tc>
      </w:tr>
      <w:tr>
        <w:tblPrEx>
          <w:tblCellMar>
            <w:top w:w="0" w:type="dxa"/>
            <w:left w:w="108" w:type="dxa"/>
            <w:bottom w:w="0" w:type="dxa"/>
            <w:right w:w="108" w:type="dxa"/>
          </w:tblCellMar>
        </w:tblPrEx>
        <w:trPr>
          <w:trHeight w:val="1537" w:hRule="atLeast"/>
          <w:jc w:val="center"/>
        </w:trPr>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r>
              <w:rPr>
                <w:rFonts w:hint="eastAsia" w:eastAsia="仿宋_GB2312" w:cs="仿宋_GB2312"/>
                <w:kern w:val="0"/>
                <w:sz w:val="22"/>
                <w:szCs w:val="22"/>
              </w:rPr>
              <w:t>绩效指标完成情况</w:t>
            </w:r>
          </w:p>
        </w:tc>
        <w:tc>
          <w:tcPr>
            <w:tcW w:w="1257"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r>
              <w:rPr>
                <w:rFonts w:hint="eastAsia" w:eastAsia="仿宋_GB2312" w:cs="仿宋_GB2312"/>
                <w:kern w:val="0"/>
                <w:sz w:val="22"/>
                <w:szCs w:val="22"/>
              </w:rPr>
              <w:t>项目完成指标</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r>
              <w:rPr>
                <w:rFonts w:hint="eastAsia" w:eastAsia="仿宋_GB2312" w:cs="仿宋_GB2312"/>
                <w:kern w:val="0"/>
                <w:sz w:val="22"/>
                <w:szCs w:val="22"/>
              </w:rPr>
              <w:t>数量指标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通过提供公益职称、户籍、档案开展人事人才服务</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20000</w:t>
            </w:r>
            <w:r>
              <w:rPr>
                <w:rFonts w:hint="eastAsia" w:eastAsia="仿宋_GB2312" w:cs="仿宋_GB2312"/>
                <w:kern w:val="0"/>
                <w:sz w:val="22"/>
                <w:szCs w:val="22"/>
              </w:rPr>
              <w:t>人次</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电话咨询、现场办理</w:t>
            </w:r>
          </w:p>
          <w:p>
            <w:pPr>
              <w:widowControl/>
              <w:spacing w:line="320" w:lineRule="exact"/>
              <w:jc w:val="center"/>
              <w:rPr>
                <w:rFonts w:eastAsia="仿宋_GB2312"/>
                <w:kern w:val="0"/>
                <w:sz w:val="22"/>
                <w:szCs w:val="22"/>
              </w:rPr>
            </w:pPr>
            <w:r>
              <w:rPr>
                <w:rFonts w:eastAsia="仿宋_GB2312"/>
                <w:kern w:val="0"/>
                <w:sz w:val="22"/>
                <w:szCs w:val="22"/>
              </w:rPr>
              <w:t>24880</w:t>
            </w:r>
            <w:r>
              <w:rPr>
                <w:rFonts w:hint="eastAsia" w:eastAsia="仿宋_GB2312" w:cs="仿宋_GB2312"/>
                <w:kern w:val="0"/>
                <w:sz w:val="22"/>
                <w:szCs w:val="22"/>
              </w:rPr>
              <w:t>人次</w:t>
            </w:r>
          </w:p>
        </w:tc>
      </w:tr>
      <w:tr>
        <w:tblPrEx>
          <w:tblCellMar>
            <w:top w:w="0" w:type="dxa"/>
            <w:left w:w="108" w:type="dxa"/>
            <w:bottom w:w="0" w:type="dxa"/>
            <w:right w:w="108" w:type="dxa"/>
          </w:tblCellMar>
        </w:tblPrEx>
        <w:trPr>
          <w:trHeight w:val="1266"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kern w:val="0"/>
                <w:sz w:val="22"/>
                <w:szCs w:val="22"/>
              </w:rPr>
            </w:pP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人事档案管理</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30000</w:t>
            </w:r>
            <w:r>
              <w:rPr>
                <w:rFonts w:hint="eastAsia" w:eastAsia="仿宋_GB2312" w:cs="仿宋_GB2312"/>
                <w:kern w:val="0"/>
                <w:sz w:val="22"/>
                <w:szCs w:val="22"/>
              </w:rPr>
              <w:t>份</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调出档案</w:t>
            </w:r>
            <w:r>
              <w:rPr>
                <w:rFonts w:eastAsia="仿宋_GB2312"/>
                <w:kern w:val="0"/>
                <w:sz w:val="22"/>
                <w:szCs w:val="22"/>
              </w:rPr>
              <w:t>1278</w:t>
            </w:r>
            <w:r>
              <w:rPr>
                <w:rFonts w:hint="eastAsia" w:eastAsia="仿宋_GB2312" w:cs="仿宋_GB2312"/>
                <w:kern w:val="0"/>
                <w:sz w:val="22"/>
                <w:szCs w:val="22"/>
              </w:rPr>
              <w:t>份，接受档案</w:t>
            </w:r>
            <w:r>
              <w:rPr>
                <w:rFonts w:eastAsia="仿宋_GB2312"/>
                <w:kern w:val="0"/>
                <w:sz w:val="22"/>
                <w:szCs w:val="22"/>
              </w:rPr>
              <w:t>120</w:t>
            </w:r>
            <w:r>
              <w:rPr>
                <w:rFonts w:hint="eastAsia" w:eastAsia="仿宋_GB2312" w:cs="仿宋_GB2312"/>
                <w:kern w:val="0"/>
                <w:sz w:val="22"/>
                <w:szCs w:val="22"/>
              </w:rPr>
              <w:t>份，完成</w:t>
            </w:r>
            <w:r>
              <w:rPr>
                <w:rFonts w:eastAsia="仿宋_GB2312"/>
                <w:kern w:val="0"/>
                <w:sz w:val="22"/>
                <w:szCs w:val="22"/>
              </w:rPr>
              <w:t>26673</w:t>
            </w:r>
            <w:r>
              <w:rPr>
                <w:rFonts w:hint="eastAsia" w:eastAsia="仿宋_GB2312" w:cs="仿宋_GB2312"/>
                <w:kern w:val="0"/>
                <w:sz w:val="22"/>
                <w:szCs w:val="22"/>
              </w:rPr>
              <w:t>份档案数字化工作</w:t>
            </w:r>
          </w:p>
        </w:tc>
      </w:tr>
      <w:tr>
        <w:tblPrEx>
          <w:tblCellMar>
            <w:top w:w="0" w:type="dxa"/>
            <w:left w:w="108" w:type="dxa"/>
            <w:bottom w:w="0" w:type="dxa"/>
            <w:right w:w="108" w:type="dxa"/>
          </w:tblCellMar>
        </w:tblPrEx>
        <w:trPr>
          <w:trHeight w:val="1389"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p>
        </w:tc>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时效指标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降低档案办理时效</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从原</w:t>
            </w:r>
            <w:r>
              <w:rPr>
                <w:rFonts w:eastAsia="仿宋_GB2312"/>
                <w:kern w:val="0"/>
                <w:sz w:val="22"/>
                <w:szCs w:val="22"/>
              </w:rPr>
              <w:t>7-20</w:t>
            </w:r>
            <w:r>
              <w:rPr>
                <w:rFonts w:hint="eastAsia" w:eastAsia="仿宋_GB2312" w:cs="仿宋_GB2312"/>
                <w:kern w:val="0"/>
                <w:sz w:val="22"/>
                <w:szCs w:val="22"/>
              </w:rPr>
              <w:t>工作日缩减为现场一次办结</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已缩减为现场一次办结</w:t>
            </w:r>
          </w:p>
        </w:tc>
      </w:tr>
      <w:tr>
        <w:tblPrEx>
          <w:tblCellMar>
            <w:top w:w="0" w:type="dxa"/>
            <w:left w:w="108" w:type="dxa"/>
            <w:bottom w:w="0" w:type="dxa"/>
            <w:right w:w="108" w:type="dxa"/>
          </w:tblCellMar>
        </w:tblPrEx>
        <w:trPr>
          <w:trHeight w:val="2213"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效益指标</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社会效益指标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为存档及办事人员提供更加高效便捷的</w:t>
            </w:r>
          </w:p>
          <w:p>
            <w:pPr>
              <w:widowControl/>
              <w:spacing w:line="320" w:lineRule="exact"/>
              <w:jc w:val="center"/>
              <w:rPr>
                <w:rFonts w:eastAsia="仿宋_GB2312"/>
                <w:kern w:val="0"/>
                <w:sz w:val="22"/>
                <w:szCs w:val="22"/>
              </w:rPr>
            </w:pPr>
            <w:r>
              <w:rPr>
                <w:rFonts w:hint="eastAsia" w:eastAsia="仿宋_GB2312" w:cs="仿宋_GB2312"/>
                <w:kern w:val="0"/>
                <w:sz w:val="22"/>
                <w:szCs w:val="22"/>
              </w:rPr>
              <w:t>服务</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做到进一扇门办完所有业务，实现一站式服务，为</w:t>
            </w:r>
            <w:r>
              <w:rPr>
                <w:rFonts w:eastAsia="仿宋_GB2312"/>
                <w:kern w:val="0"/>
                <w:sz w:val="22"/>
                <w:szCs w:val="22"/>
              </w:rPr>
              <w:t>3</w:t>
            </w:r>
            <w:r>
              <w:rPr>
                <w:rFonts w:hint="eastAsia" w:eastAsia="仿宋_GB2312" w:cs="仿宋_GB2312"/>
                <w:kern w:val="0"/>
                <w:sz w:val="22"/>
                <w:szCs w:val="22"/>
              </w:rPr>
              <w:t>万余存档人员提供高效便捷的公共服务。</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已做到一扇门办完所有</w:t>
            </w:r>
          </w:p>
          <w:p>
            <w:pPr>
              <w:widowControl/>
              <w:spacing w:line="320" w:lineRule="exact"/>
              <w:jc w:val="center"/>
              <w:rPr>
                <w:rFonts w:eastAsia="仿宋_GB2312"/>
                <w:kern w:val="0"/>
                <w:sz w:val="22"/>
                <w:szCs w:val="22"/>
              </w:rPr>
            </w:pPr>
            <w:r>
              <w:rPr>
                <w:rFonts w:hint="eastAsia" w:eastAsia="仿宋_GB2312" w:cs="仿宋_GB2312"/>
                <w:kern w:val="0"/>
                <w:sz w:val="22"/>
                <w:szCs w:val="22"/>
              </w:rPr>
              <w:t>业务</w:t>
            </w:r>
          </w:p>
        </w:tc>
      </w:tr>
      <w:tr>
        <w:tblPrEx>
          <w:tblCellMar>
            <w:top w:w="0" w:type="dxa"/>
            <w:left w:w="108" w:type="dxa"/>
            <w:bottom w:w="0" w:type="dxa"/>
            <w:right w:w="108" w:type="dxa"/>
          </w:tblCellMar>
        </w:tblPrEx>
        <w:trPr>
          <w:trHeight w:val="1140" w:hRule="atLeast"/>
          <w:jc w:val="center"/>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仿宋_GB2312"/>
                <w:kern w:val="0"/>
                <w:sz w:val="22"/>
                <w:szCs w:val="22"/>
              </w:rPr>
            </w:pPr>
          </w:p>
        </w:tc>
        <w:tc>
          <w:tcPr>
            <w:tcW w:w="125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满意度</w:t>
            </w:r>
          </w:p>
          <w:p>
            <w:pPr>
              <w:widowControl/>
              <w:spacing w:line="320" w:lineRule="exact"/>
              <w:jc w:val="center"/>
            </w:pPr>
            <w:r>
              <w:rPr>
                <w:rFonts w:hint="eastAsia" w:eastAsia="仿宋_GB2312" w:cs="仿宋_GB2312"/>
                <w:kern w:val="0"/>
                <w:sz w:val="22"/>
                <w:szCs w:val="22"/>
              </w:rPr>
              <w:t>指标</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满意度</w:t>
            </w:r>
          </w:p>
          <w:p>
            <w:pPr>
              <w:widowControl/>
              <w:spacing w:line="320" w:lineRule="exact"/>
              <w:jc w:val="center"/>
              <w:rPr>
                <w:rFonts w:eastAsia="仿宋_GB2312"/>
                <w:kern w:val="0"/>
                <w:sz w:val="22"/>
                <w:szCs w:val="22"/>
              </w:rPr>
            </w:pPr>
            <w:r>
              <w:rPr>
                <w:rFonts w:hint="eastAsia" w:eastAsia="仿宋_GB2312" w:cs="仿宋_GB2312"/>
                <w:kern w:val="0"/>
                <w:sz w:val="22"/>
                <w:szCs w:val="22"/>
              </w:rPr>
              <w:t>指标</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服务对象满意度测评满意率</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95%</w:t>
            </w:r>
          </w:p>
        </w:tc>
        <w:tc>
          <w:tcPr>
            <w:tcW w:w="266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仿宋_GB2312"/>
                <w:kern w:val="0"/>
                <w:sz w:val="22"/>
                <w:szCs w:val="22"/>
              </w:rPr>
            </w:pPr>
            <w:r>
              <w:rPr>
                <w:rFonts w:eastAsia="仿宋_GB2312"/>
                <w:kern w:val="0"/>
                <w:sz w:val="22"/>
                <w:szCs w:val="22"/>
              </w:rPr>
              <w:t>98%</w:t>
            </w:r>
          </w:p>
        </w:tc>
      </w:tr>
    </w:tbl>
    <w:p>
      <w:pPr>
        <w:pStyle w:val="2"/>
        <w:spacing w:before="93" w:line="240" w:lineRule="exact"/>
        <w:rPr>
          <w:rFonts w:ascii="Times New Roman" w:cs="Times New Roman"/>
          <w:sz w:val="22"/>
          <w:szCs w:val="22"/>
        </w:rPr>
      </w:pPr>
      <w:r>
        <w:rPr>
          <w:rFonts w:ascii="Times New Roman" w:cs="Times New Roman"/>
          <w:sz w:val="22"/>
          <w:szCs w:val="22"/>
        </w:rPr>
        <w:br w:type="page"/>
      </w:r>
    </w:p>
    <w:tbl>
      <w:tblPr>
        <w:tblStyle w:val="12"/>
        <w:tblW w:w="9100" w:type="dxa"/>
        <w:tblInd w:w="-106" w:type="dxa"/>
        <w:tblLayout w:type="autofit"/>
        <w:tblCellMar>
          <w:top w:w="0" w:type="dxa"/>
          <w:left w:w="108" w:type="dxa"/>
          <w:bottom w:w="0" w:type="dxa"/>
          <w:right w:w="108" w:type="dxa"/>
        </w:tblCellMar>
      </w:tblPr>
      <w:tblGrid>
        <w:gridCol w:w="696"/>
        <w:gridCol w:w="1147"/>
        <w:gridCol w:w="1459"/>
        <w:gridCol w:w="1376"/>
        <w:gridCol w:w="1985"/>
        <w:gridCol w:w="2437"/>
      </w:tblGrid>
      <w:tr>
        <w:tblPrEx>
          <w:tblCellMar>
            <w:top w:w="0" w:type="dxa"/>
            <w:left w:w="108" w:type="dxa"/>
            <w:bottom w:w="0" w:type="dxa"/>
            <w:right w:w="108" w:type="dxa"/>
          </w:tblCellMar>
        </w:tblPrEx>
        <w:trPr>
          <w:trHeight w:val="1002" w:hRule="atLeast"/>
        </w:trPr>
        <w:tc>
          <w:tcPr>
            <w:tcW w:w="9100" w:type="dxa"/>
            <w:gridSpan w:val="6"/>
            <w:tcBorders>
              <w:top w:val="nil"/>
              <w:left w:val="nil"/>
              <w:bottom w:val="nil"/>
              <w:right w:val="nil"/>
            </w:tcBorders>
            <w:vAlign w:val="center"/>
          </w:tcPr>
          <w:p>
            <w:pPr>
              <w:widowControl/>
              <w:spacing w:line="500" w:lineRule="exact"/>
              <w:jc w:val="center"/>
              <w:rPr>
                <w:rFonts w:eastAsia="仿宋_GB2312"/>
                <w:b/>
                <w:bCs/>
                <w:kern w:val="0"/>
                <w:sz w:val="36"/>
                <w:szCs w:val="36"/>
              </w:rPr>
            </w:pPr>
            <w:r>
              <w:rPr>
                <w:rFonts w:hint="eastAsia" w:eastAsia="方正小标宋_GBK" w:cs="方正小标宋_GBK"/>
                <w:kern w:val="0"/>
                <w:sz w:val="36"/>
                <w:szCs w:val="36"/>
              </w:rPr>
              <w:t>项目绩效目标完成情况表</w:t>
            </w:r>
          </w:p>
          <w:p>
            <w:pPr>
              <w:widowControl/>
              <w:spacing w:line="500" w:lineRule="exact"/>
              <w:jc w:val="center"/>
              <w:rPr>
                <w:rFonts w:eastAsia="仿宋_GB2312"/>
                <w:b/>
                <w:bCs/>
                <w:kern w:val="0"/>
                <w:sz w:val="36"/>
                <w:szCs w:val="36"/>
              </w:rPr>
            </w:pPr>
            <w:r>
              <w:rPr>
                <w:rFonts w:hint="eastAsia" w:eastAsia="楷体_GB2312" w:cs="楷体_GB2312"/>
                <w:sz w:val="32"/>
                <w:szCs w:val="32"/>
              </w:rPr>
              <w:t>（</w:t>
            </w:r>
            <w:r>
              <w:rPr>
                <w:rFonts w:eastAsia="楷体_GB2312"/>
                <w:kern w:val="0"/>
                <w:sz w:val="32"/>
                <w:szCs w:val="32"/>
              </w:rPr>
              <w:t>2020</w:t>
            </w:r>
            <w:r>
              <w:rPr>
                <w:rFonts w:hint="eastAsia" w:eastAsia="楷体_GB2312" w:cs="楷体_GB2312"/>
                <w:kern w:val="0"/>
                <w:sz w:val="32"/>
                <w:szCs w:val="32"/>
              </w:rPr>
              <w:t>年度</w:t>
            </w:r>
            <w:r>
              <w:rPr>
                <w:rFonts w:hint="eastAsia" w:eastAsia="楷体_GB2312" w:cs="楷体_GB2312"/>
                <w:sz w:val="32"/>
                <w:szCs w:val="32"/>
              </w:rPr>
              <w:t>）</w:t>
            </w:r>
          </w:p>
        </w:tc>
      </w:tr>
      <w:tr>
        <w:tblPrEx>
          <w:tblCellMar>
            <w:top w:w="0" w:type="dxa"/>
            <w:left w:w="108" w:type="dxa"/>
            <w:bottom w:w="0" w:type="dxa"/>
            <w:right w:w="108" w:type="dxa"/>
          </w:tblCellMar>
        </w:tblPrEx>
        <w:trPr>
          <w:trHeight w:val="255" w:hRule="atLeast"/>
        </w:trPr>
        <w:tc>
          <w:tcPr>
            <w:tcW w:w="33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项目名称</w:t>
            </w:r>
          </w:p>
        </w:tc>
        <w:tc>
          <w:tcPr>
            <w:tcW w:w="5798"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专家选拔评审工作经费</w:t>
            </w:r>
          </w:p>
        </w:tc>
      </w:tr>
      <w:tr>
        <w:tblPrEx>
          <w:tblCellMar>
            <w:top w:w="0" w:type="dxa"/>
            <w:left w:w="108" w:type="dxa"/>
            <w:bottom w:w="0" w:type="dxa"/>
            <w:right w:w="108" w:type="dxa"/>
          </w:tblCellMar>
        </w:tblPrEx>
        <w:trPr>
          <w:trHeight w:val="255" w:hRule="atLeast"/>
        </w:trPr>
        <w:tc>
          <w:tcPr>
            <w:tcW w:w="330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预算单位</w:t>
            </w:r>
          </w:p>
        </w:tc>
        <w:tc>
          <w:tcPr>
            <w:tcW w:w="5798"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eastAsia="仿宋_GB2312"/>
                <w:kern w:val="0"/>
                <w:sz w:val="22"/>
                <w:szCs w:val="22"/>
                <w:lang w:eastAsia="zh-CN"/>
              </w:rPr>
            </w:pPr>
            <w:r>
              <w:rPr>
                <w:rFonts w:eastAsia="仿宋_GB2312"/>
                <w:kern w:val="0"/>
                <w:sz w:val="22"/>
                <w:szCs w:val="22"/>
              </w:rPr>
              <w:t>313301-</w:t>
            </w:r>
            <w:r>
              <w:rPr>
                <w:rFonts w:hint="eastAsia" w:eastAsia="仿宋_GB2312" w:cs="仿宋_GB2312"/>
                <w:kern w:val="0"/>
                <w:sz w:val="22"/>
                <w:szCs w:val="22"/>
              </w:rPr>
              <w:t>四川省人力资源和社会保障厅</w:t>
            </w:r>
            <w:r>
              <w:rPr>
                <w:rFonts w:hint="eastAsia" w:eastAsia="仿宋_GB2312" w:cs="仿宋_GB2312"/>
                <w:kern w:val="0"/>
                <w:sz w:val="22"/>
                <w:szCs w:val="22"/>
                <w:lang w:eastAsia="zh-CN"/>
              </w:rPr>
              <w:t>机关</w:t>
            </w:r>
          </w:p>
        </w:tc>
      </w:tr>
      <w:tr>
        <w:tblPrEx>
          <w:tblCellMar>
            <w:top w:w="0" w:type="dxa"/>
            <w:left w:w="108" w:type="dxa"/>
            <w:bottom w:w="0" w:type="dxa"/>
            <w:right w:w="108" w:type="dxa"/>
          </w:tblCellMar>
        </w:tblPrEx>
        <w:trPr>
          <w:trHeight w:val="285" w:hRule="atLeast"/>
        </w:trPr>
        <w:tc>
          <w:tcPr>
            <w:tcW w:w="696"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预算执行情况</w:t>
            </w:r>
            <w:r>
              <w:rPr>
                <w:rFonts w:eastAsia="仿宋_GB2312"/>
                <w:kern w:val="0"/>
                <w:sz w:val="22"/>
                <w:szCs w:val="22"/>
              </w:rPr>
              <w:t>(</w:t>
            </w:r>
            <w:r>
              <w:rPr>
                <w:rFonts w:hint="eastAsia" w:eastAsia="仿宋_GB2312" w:cs="仿宋_GB2312"/>
                <w:kern w:val="0"/>
                <w:sz w:val="22"/>
                <w:szCs w:val="22"/>
              </w:rPr>
              <w:t>万元</w:t>
            </w:r>
            <w:r>
              <w:rPr>
                <w:rFonts w:eastAsia="仿宋_GB2312"/>
                <w:kern w:val="0"/>
                <w:sz w:val="22"/>
                <w:szCs w:val="22"/>
              </w:rPr>
              <w:t>)</w:t>
            </w:r>
          </w:p>
        </w:tc>
        <w:tc>
          <w:tcPr>
            <w:tcW w:w="2606"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预算数</w:t>
            </w:r>
            <w:r>
              <w:rPr>
                <w:rFonts w:eastAsia="仿宋_GB2312"/>
                <w:kern w:val="0"/>
                <w:sz w:val="22"/>
                <w:szCs w:val="22"/>
              </w:rPr>
              <w:t>:</w:t>
            </w: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115</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执行数</w:t>
            </w:r>
            <w:r>
              <w:rPr>
                <w:rFonts w:eastAsia="仿宋_GB2312"/>
                <w:kern w:val="0"/>
                <w:sz w:val="22"/>
                <w:szCs w:val="22"/>
              </w:rPr>
              <w:t>:</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102.47</w:t>
            </w:r>
          </w:p>
        </w:tc>
      </w:tr>
      <w:tr>
        <w:tblPrEx>
          <w:tblCellMar>
            <w:top w:w="0" w:type="dxa"/>
            <w:left w:w="108" w:type="dxa"/>
            <w:bottom w:w="0" w:type="dxa"/>
            <w:right w:w="108" w:type="dxa"/>
          </w:tblCellMar>
        </w:tblPrEx>
        <w:trPr>
          <w:trHeight w:val="28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2606"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115</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437" w:type="dxa"/>
            <w:tcBorders>
              <w:top w:val="nil"/>
              <w:left w:val="single" w:color="auto" w:sz="4" w:space="0"/>
              <w:bottom w:val="single" w:color="auto" w:sz="4" w:space="0"/>
              <w:right w:val="single" w:color="auto" w:sz="4" w:space="0"/>
            </w:tcBorders>
            <w:vAlign w:val="center"/>
          </w:tcPr>
          <w:p>
            <w:pPr>
              <w:widowControl/>
              <w:ind w:right="440"/>
              <w:jc w:val="center"/>
              <w:rPr>
                <w:rFonts w:eastAsia="仿宋_GB2312"/>
                <w:kern w:val="0"/>
                <w:sz w:val="22"/>
                <w:szCs w:val="22"/>
              </w:rPr>
            </w:pPr>
            <w:r>
              <w:rPr>
                <w:rFonts w:eastAsia="仿宋_GB2312"/>
                <w:kern w:val="0"/>
                <w:sz w:val="22"/>
                <w:szCs w:val="22"/>
              </w:rPr>
              <w:t xml:space="preserve">    102.47</w:t>
            </w:r>
          </w:p>
        </w:tc>
      </w:tr>
      <w:tr>
        <w:tblPrEx>
          <w:tblCellMar>
            <w:top w:w="0" w:type="dxa"/>
            <w:left w:w="108" w:type="dxa"/>
            <w:bottom w:w="0" w:type="dxa"/>
            <w:right w:w="108" w:type="dxa"/>
          </w:tblCellMar>
        </w:tblPrEx>
        <w:trPr>
          <w:trHeight w:val="28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2606"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0</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43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　</w:t>
            </w:r>
            <w:r>
              <w:rPr>
                <w:rFonts w:eastAsia="仿宋_GB2312"/>
                <w:kern w:val="0"/>
                <w:sz w:val="22"/>
                <w:szCs w:val="22"/>
              </w:rPr>
              <w:t>0</w:t>
            </w:r>
          </w:p>
        </w:tc>
      </w:tr>
      <w:tr>
        <w:tblPrEx>
          <w:tblCellMar>
            <w:top w:w="0" w:type="dxa"/>
            <w:left w:w="108" w:type="dxa"/>
            <w:bottom w:w="0" w:type="dxa"/>
            <w:right w:w="108" w:type="dxa"/>
          </w:tblCellMar>
        </w:tblPrEx>
        <w:trPr>
          <w:trHeight w:val="255" w:hRule="atLeast"/>
        </w:trPr>
        <w:tc>
          <w:tcPr>
            <w:tcW w:w="696"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年度目标完成情况</w:t>
            </w:r>
          </w:p>
        </w:tc>
        <w:tc>
          <w:tcPr>
            <w:tcW w:w="398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预期目标</w:t>
            </w:r>
          </w:p>
        </w:tc>
        <w:tc>
          <w:tcPr>
            <w:tcW w:w="4422" w:type="dxa"/>
            <w:gridSpan w:val="2"/>
            <w:tcBorders>
              <w:top w:val="single" w:color="000000" w:sz="4" w:space="0"/>
              <w:left w:val="nil"/>
              <w:bottom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实际完成目标</w:t>
            </w:r>
          </w:p>
        </w:tc>
      </w:tr>
      <w:tr>
        <w:tblPrEx>
          <w:tblCellMar>
            <w:top w:w="0" w:type="dxa"/>
            <w:left w:w="108" w:type="dxa"/>
            <w:bottom w:w="0" w:type="dxa"/>
            <w:right w:w="108" w:type="dxa"/>
          </w:tblCellMar>
        </w:tblPrEx>
        <w:trPr>
          <w:trHeight w:val="1999"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3982" w:type="dxa"/>
            <w:gridSpan w:val="3"/>
            <w:tcBorders>
              <w:top w:val="single" w:color="000000" w:sz="4" w:space="0"/>
              <w:left w:val="nil"/>
              <w:bottom w:val="single" w:color="000000" w:sz="4" w:space="0"/>
              <w:right w:val="nil"/>
            </w:tcBorders>
            <w:vAlign w:val="center"/>
          </w:tcPr>
          <w:p>
            <w:pPr>
              <w:widowControl/>
              <w:jc w:val="left"/>
              <w:rPr>
                <w:rFonts w:eastAsia="仿宋_GB2312"/>
                <w:kern w:val="0"/>
                <w:sz w:val="22"/>
                <w:szCs w:val="22"/>
              </w:rPr>
            </w:pPr>
            <w:r>
              <w:rPr>
                <w:rFonts w:eastAsia="仿宋_GB2312"/>
                <w:kern w:val="0"/>
                <w:sz w:val="22"/>
                <w:szCs w:val="22"/>
              </w:rPr>
              <w:t>2020</w:t>
            </w:r>
            <w:r>
              <w:rPr>
                <w:rFonts w:hint="eastAsia" w:eastAsia="仿宋_GB2312" w:cs="仿宋_GB2312"/>
                <w:kern w:val="0"/>
                <w:sz w:val="22"/>
                <w:szCs w:val="22"/>
              </w:rPr>
              <w:t>年按照专技人才队伍建设计划，依据省政府批复的方案对第十三批省学术技术带头人和后备人选的选拔开展评审工作，促进我省自主创新能力，为进一步加强我省高层次专业技术人才队伍梯队建设储备高层次专家人才。</w:t>
            </w:r>
          </w:p>
        </w:tc>
        <w:tc>
          <w:tcPr>
            <w:tcW w:w="442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22"/>
                <w:szCs w:val="22"/>
              </w:rPr>
            </w:pPr>
            <w:r>
              <w:rPr>
                <w:rFonts w:hint="eastAsia" w:eastAsia="仿宋_GB2312" w:cs="仿宋_GB2312"/>
                <w:kern w:val="0"/>
                <w:sz w:val="22"/>
                <w:szCs w:val="22"/>
              </w:rPr>
              <w:t>完成第十三批省学术技术带头人、享受政府津贴专家的选拔评审工作，进一步促进我省高层次专业技术人才队伍梯队建设，为建设西部人才高地提供支撑。</w:t>
            </w:r>
          </w:p>
        </w:tc>
      </w:tr>
      <w:tr>
        <w:tblPrEx>
          <w:tblCellMar>
            <w:top w:w="0" w:type="dxa"/>
            <w:left w:w="108" w:type="dxa"/>
            <w:bottom w:w="0" w:type="dxa"/>
            <w:right w:w="108" w:type="dxa"/>
          </w:tblCellMar>
        </w:tblPrEx>
        <w:trPr>
          <w:trHeight w:val="855" w:hRule="atLeast"/>
        </w:trPr>
        <w:tc>
          <w:tcPr>
            <w:tcW w:w="696"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绩效指标完成情况</w:t>
            </w:r>
          </w:p>
        </w:tc>
        <w:tc>
          <w:tcPr>
            <w:tcW w:w="1147"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一级指标</w:t>
            </w:r>
          </w:p>
        </w:tc>
        <w:tc>
          <w:tcPr>
            <w:tcW w:w="145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二级指标</w:t>
            </w: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三级指标</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预期指标值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c>
          <w:tcPr>
            <w:tcW w:w="2437"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实际完成指标值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r>
      <w:tr>
        <w:tblPrEx>
          <w:tblCellMar>
            <w:top w:w="0" w:type="dxa"/>
            <w:left w:w="108" w:type="dxa"/>
            <w:bottom w:w="0" w:type="dxa"/>
            <w:right w:w="108" w:type="dxa"/>
          </w:tblCellMar>
        </w:tblPrEx>
        <w:trPr>
          <w:trHeight w:val="57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vMerge w:val="restart"/>
            <w:tcBorders>
              <w:top w:val="nil"/>
              <w:left w:val="nil"/>
              <w:right w:val="single" w:color="000000" w:sz="4" w:space="0"/>
            </w:tcBorders>
            <w:vAlign w:val="center"/>
          </w:tcPr>
          <w:p>
            <w:pPr>
              <w:jc w:val="center"/>
              <w:rPr>
                <w:rFonts w:eastAsia="仿宋_GB2312"/>
                <w:kern w:val="0"/>
                <w:sz w:val="22"/>
                <w:szCs w:val="22"/>
              </w:rPr>
            </w:pPr>
            <w:r>
              <w:rPr>
                <w:rFonts w:hint="eastAsia" w:eastAsia="仿宋_GB2312" w:cs="仿宋_GB2312"/>
                <w:kern w:val="0"/>
                <w:sz w:val="22"/>
                <w:szCs w:val="22"/>
              </w:rPr>
              <w:t>项目完成指标</w:t>
            </w:r>
          </w:p>
        </w:tc>
        <w:tc>
          <w:tcPr>
            <w:tcW w:w="1459" w:type="dxa"/>
            <w:vMerge w:val="restart"/>
            <w:tcBorders>
              <w:top w:val="nil"/>
              <w:left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数量指标</w:t>
            </w: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开展评审专项工作（次）</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2</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2</w:t>
            </w:r>
          </w:p>
        </w:tc>
      </w:tr>
      <w:tr>
        <w:tblPrEx>
          <w:tblCellMar>
            <w:top w:w="0" w:type="dxa"/>
            <w:left w:w="108" w:type="dxa"/>
            <w:bottom w:w="0" w:type="dxa"/>
            <w:right w:w="108" w:type="dxa"/>
          </w:tblCellMar>
        </w:tblPrEx>
        <w:trPr>
          <w:trHeight w:val="57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vMerge w:val="continue"/>
            <w:tcBorders>
              <w:left w:val="nil"/>
              <w:right w:val="single" w:color="000000" w:sz="4" w:space="0"/>
            </w:tcBorders>
            <w:vAlign w:val="center"/>
          </w:tcPr>
          <w:p>
            <w:pPr>
              <w:jc w:val="center"/>
              <w:rPr>
                <w:rFonts w:eastAsia="仿宋_GB2312"/>
                <w:kern w:val="0"/>
                <w:sz w:val="22"/>
                <w:szCs w:val="22"/>
              </w:rPr>
            </w:pPr>
          </w:p>
        </w:tc>
        <w:tc>
          <w:tcPr>
            <w:tcW w:w="1459" w:type="dxa"/>
            <w:vMerge w:val="continue"/>
            <w:tcBorders>
              <w:left w:val="nil"/>
              <w:bottom w:val="single" w:color="000000" w:sz="4" w:space="0"/>
              <w:right w:val="single" w:color="000000" w:sz="4" w:space="0"/>
            </w:tcBorders>
            <w:vAlign w:val="center"/>
          </w:tcPr>
          <w:p>
            <w:pPr>
              <w:widowControl/>
              <w:jc w:val="center"/>
              <w:rPr>
                <w:rFonts w:eastAsia="仿宋_GB2312"/>
                <w:kern w:val="0"/>
                <w:sz w:val="22"/>
                <w:szCs w:val="22"/>
              </w:rPr>
            </w:pPr>
          </w:p>
        </w:tc>
        <w:tc>
          <w:tcPr>
            <w:tcW w:w="1376"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评审工作</w:t>
            </w:r>
          </w:p>
          <w:p>
            <w:pPr>
              <w:widowControl/>
              <w:jc w:val="center"/>
              <w:rPr>
                <w:rFonts w:eastAsia="仿宋_GB2312"/>
                <w:kern w:val="0"/>
                <w:sz w:val="22"/>
                <w:szCs w:val="22"/>
              </w:rPr>
            </w:pPr>
            <w:r>
              <w:rPr>
                <w:rFonts w:hint="eastAsia" w:eastAsia="仿宋_GB2312" w:cs="仿宋_GB2312"/>
                <w:kern w:val="0"/>
                <w:sz w:val="22"/>
                <w:szCs w:val="22"/>
              </w:rPr>
              <w:t>种类</w:t>
            </w:r>
          </w:p>
        </w:tc>
        <w:tc>
          <w:tcPr>
            <w:tcW w:w="1985"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2</w:t>
            </w:r>
          </w:p>
        </w:tc>
        <w:tc>
          <w:tcPr>
            <w:tcW w:w="2437"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2</w:t>
            </w:r>
          </w:p>
        </w:tc>
      </w:tr>
      <w:tr>
        <w:tblPrEx>
          <w:tblCellMar>
            <w:top w:w="0" w:type="dxa"/>
            <w:left w:w="108" w:type="dxa"/>
            <w:bottom w:w="0" w:type="dxa"/>
            <w:right w:w="108" w:type="dxa"/>
          </w:tblCellMar>
        </w:tblPrEx>
        <w:trPr>
          <w:trHeight w:val="570"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vMerge w:val="continue"/>
            <w:tcBorders>
              <w:left w:val="nil"/>
              <w:right w:val="single" w:color="000000" w:sz="4" w:space="0"/>
            </w:tcBorders>
            <w:vAlign w:val="center"/>
          </w:tcPr>
          <w:p>
            <w:pPr>
              <w:jc w:val="center"/>
              <w:rPr>
                <w:rFonts w:eastAsia="仿宋_GB2312"/>
                <w:kern w:val="0"/>
                <w:sz w:val="22"/>
                <w:szCs w:val="22"/>
              </w:rPr>
            </w:pPr>
          </w:p>
        </w:tc>
        <w:tc>
          <w:tcPr>
            <w:tcW w:w="145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质量指标</w:t>
            </w:r>
          </w:p>
        </w:tc>
        <w:tc>
          <w:tcPr>
            <w:tcW w:w="1376" w:type="dxa"/>
            <w:tcBorders>
              <w:top w:val="nil"/>
              <w:left w:val="nil"/>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评审完成率</w:t>
            </w:r>
          </w:p>
        </w:tc>
        <w:tc>
          <w:tcPr>
            <w:tcW w:w="1985" w:type="dxa"/>
            <w:tcBorders>
              <w:top w:val="nil"/>
              <w:left w:val="nil"/>
              <w:bottom w:val="single" w:color="auto"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100%</w:t>
            </w:r>
          </w:p>
        </w:tc>
        <w:tc>
          <w:tcPr>
            <w:tcW w:w="2437"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100%</w:t>
            </w:r>
          </w:p>
        </w:tc>
      </w:tr>
      <w:tr>
        <w:tblPrEx>
          <w:tblCellMar>
            <w:top w:w="0" w:type="dxa"/>
            <w:left w:w="108" w:type="dxa"/>
            <w:bottom w:w="0" w:type="dxa"/>
            <w:right w:w="108" w:type="dxa"/>
          </w:tblCellMar>
        </w:tblPrEx>
        <w:trPr>
          <w:trHeight w:val="796"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vMerge w:val="continue"/>
            <w:tcBorders>
              <w:left w:val="nil"/>
              <w:bottom w:val="single" w:color="000000" w:sz="4" w:space="0"/>
              <w:right w:val="single" w:color="000000" w:sz="4" w:space="0"/>
            </w:tcBorders>
            <w:vAlign w:val="center"/>
          </w:tcPr>
          <w:p>
            <w:pPr>
              <w:widowControl/>
              <w:jc w:val="center"/>
              <w:rPr>
                <w:rFonts w:eastAsia="仿宋_GB2312"/>
                <w:kern w:val="0"/>
                <w:sz w:val="22"/>
                <w:szCs w:val="22"/>
              </w:rPr>
            </w:pPr>
          </w:p>
        </w:tc>
        <w:tc>
          <w:tcPr>
            <w:tcW w:w="1459" w:type="dxa"/>
            <w:tcBorders>
              <w:top w:val="nil"/>
              <w:left w:val="nil"/>
              <w:bottom w:val="single" w:color="000000"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时效指标</w:t>
            </w:r>
          </w:p>
        </w:tc>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完成时限</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月</w:t>
            </w:r>
          </w:p>
        </w:tc>
        <w:tc>
          <w:tcPr>
            <w:tcW w:w="2437"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月</w:t>
            </w:r>
          </w:p>
        </w:tc>
      </w:tr>
      <w:tr>
        <w:tblPrEx>
          <w:tblCellMar>
            <w:top w:w="0" w:type="dxa"/>
            <w:left w:w="108" w:type="dxa"/>
            <w:bottom w:w="0" w:type="dxa"/>
            <w:right w:w="108" w:type="dxa"/>
          </w:tblCellMar>
        </w:tblPrEx>
        <w:trPr>
          <w:trHeight w:val="3357"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效益指标</w:t>
            </w:r>
          </w:p>
        </w:tc>
        <w:tc>
          <w:tcPr>
            <w:tcW w:w="1459" w:type="dxa"/>
            <w:tcBorders>
              <w:top w:val="nil"/>
              <w:left w:val="nil"/>
              <w:bottom w:val="single" w:color="000000"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可持续影响指标</w:t>
            </w:r>
          </w:p>
        </w:tc>
        <w:tc>
          <w:tcPr>
            <w:tcW w:w="1376"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对专业技术人才工作的促进作用</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通过安排评审专项经费，为选拔高层次专技人才提供保障，进一步促进我省高层次专业技术人才队伍梯队建设，为建设西部人才高地提供支撑。</w:t>
            </w:r>
          </w:p>
        </w:tc>
        <w:tc>
          <w:tcPr>
            <w:tcW w:w="2437" w:type="dxa"/>
            <w:tcBorders>
              <w:top w:val="single" w:color="000000" w:sz="4" w:space="0"/>
              <w:left w:val="single" w:color="auto" w:sz="4" w:space="0"/>
              <w:bottom w:val="single" w:color="000000" w:sz="4" w:space="0"/>
              <w:right w:val="single" w:color="000000" w:sz="4" w:space="0"/>
            </w:tcBorders>
            <w:vAlign w:val="center"/>
          </w:tcPr>
          <w:p>
            <w:pPr>
              <w:widowControl/>
              <w:jc w:val="left"/>
              <w:rPr>
                <w:rFonts w:eastAsia="仿宋_GB2312"/>
                <w:kern w:val="0"/>
                <w:sz w:val="22"/>
                <w:szCs w:val="22"/>
              </w:rPr>
            </w:pPr>
            <w:r>
              <w:rPr>
                <w:rFonts w:hint="eastAsia" w:eastAsia="仿宋_GB2312" w:cs="仿宋_GB2312"/>
                <w:kern w:val="0"/>
                <w:sz w:val="22"/>
                <w:szCs w:val="22"/>
              </w:rPr>
              <w:t>通过安排评审专项经费，为我省专业技术人才队伍建设提供了坚强经费保障，通过同行评价，更加精准地围绕省委省政府重大战略部署选拔、培养、使用人才。为新时代治蜀兴川再上新台阶提供了有力的人才智力支撑。</w:t>
            </w:r>
          </w:p>
        </w:tc>
      </w:tr>
      <w:tr>
        <w:tblPrEx>
          <w:tblCellMar>
            <w:top w:w="0" w:type="dxa"/>
            <w:left w:w="108" w:type="dxa"/>
            <w:bottom w:w="0" w:type="dxa"/>
            <w:right w:w="108" w:type="dxa"/>
          </w:tblCellMar>
        </w:tblPrEx>
        <w:trPr>
          <w:trHeight w:val="285" w:hRule="atLeast"/>
        </w:trPr>
        <w:tc>
          <w:tcPr>
            <w:tcW w:w="696"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147"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满意度</w:t>
            </w:r>
          </w:p>
          <w:p>
            <w:pPr>
              <w:widowControl/>
              <w:jc w:val="center"/>
              <w:rPr>
                <w:rFonts w:eastAsia="仿宋_GB2312"/>
                <w:kern w:val="0"/>
                <w:sz w:val="22"/>
                <w:szCs w:val="22"/>
              </w:rPr>
            </w:pPr>
            <w:r>
              <w:rPr>
                <w:rFonts w:hint="eastAsia" w:eastAsia="仿宋_GB2312" w:cs="仿宋_GB2312"/>
                <w:kern w:val="0"/>
                <w:sz w:val="22"/>
                <w:szCs w:val="22"/>
              </w:rPr>
              <w:t>指标</w:t>
            </w:r>
          </w:p>
        </w:tc>
        <w:tc>
          <w:tcPr>
            <w:tcW w:w="145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　</w:t>
            </w:r>
          </w:p>
        </w:tc>
        <w:tc>
          <w:tcPr>
            <w:tcW w:w="1376" w:type="dxa"/>
            <w:tcBorders>
              <w:top w:val="single" w:color="auto"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评审专家</w:t>
            </w:r>
          </w:p>
          <w:p>
            <w:pPr>
              <w:widowControl/>
              <w:jc w:val="center"/>
              <w:rPr>
                <w:rFonts w:eastAsia="仿宋_GB2312"/>
                <w:kern w:val="0"/>
                <w:sz w:val="22"/>
                <w:szCs w:val="22"/>
              </w:rPr>
            </w:pPr>
            <w:r>
              <w:rPr>
                <w:rFonts w:hint="eastAsia" w:eastAsia="仿宋_GB2312" w:cs="仿宋_GB2312"/>
                <w:kern w:val="0"/>
                <w:sz w:val="22"/>
                <w:szCs w:val="22"/>
              </w:rPr>
              <w:t>满意度</w:t>
            </w:r>
          </w:p>
        </w:tc>
        <w:tc>
          <w:tcPr>
            <w:tcW w:w="1985" w:type="dxa"/>
            <w:tcBorders>
              <w:top w:val="single" w:color="auto"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95%</w:t>
            </w:r>
          </w:p>
        </w:tc>
        <w:tc>
          <w:tcPr>
            <w:tcW w:w="2437"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95%</w:t>
            </w:r>
          </w:p>
        </w:tc>
      </w:tr>
    </w:tbl>
    <w:p>
      <w:pPr>
        <w:pStyle w:val="2"/>
        <w:spacing w:beforeLines="0" w:line="240" w:lineRule="exact"/>
        <w:rPr>
          <w:rFonts w:ascii="Times New Roman" w:cs="Times New Roman"/>
          <w:sz w:val="32"/>
          <w:szCs w:val="32"/>
        </w:rPr>
      </w:pPr>
    </w:p>
    <w:tbl>
      <w:tblPr>
        <w:tblStyle w:val="12"/>
        <w:tblW w:w="9979" w:type="dxa"/>
        <w:tblInd w:w="-106" w:type="dxa"/>
        <w:tblLayout w:type="fixed"/>
        <w:tblCellMar>
          <w:top w:w="0" w:type="dxa"/>
          <w:left w:w="108" w:type="dxa"/>
          <w:bottom w:w="0" w:type="dxa"/>
          <w:right w:w="108" w:type="dxa"/>
        </w:tblCellMar>
      </w:tblPr>
      <w:tblGrid>
        <w:gridCol w:w="1002"/>
        <w:gridCol w:w="841"/>
        <w:gridCol w:w="1134"/>
        <w:gridCol w:w="2313"/>
        <w:gridCol w:w="1749"/>
        <w:gridCol w:w="2940"/>
      </w:tblGrid>
      <w:tr>
        <w:tblPrEx>
          <w:tblCellMar>
            <w:top w:w="0" w:type="dxa"/>
            <w:left w:w="108" w:type="dxa"/>
            <w:bottom w:w="0" w:type="dxa"/>
            <w:right w:w="108" w:type="dxa"/>
          </w:tblCellMar>
        </w:tblPrEx>
        <w:trPr>
          <w:trHeight w:val="1204" w:hRule="atLeast"/>
        </w:trPr>
        <w:tc>
          <w:tcPr>
            <w:tcW w:w="9979" w:type="dxa"/>
            <w:gridSpan w:val="6"/>
            <w:tcBorders>
              <w:top w:val="nil"/>
              <w:left w:val="nil"/>
              <w:bottom w:val="nil"/>
              <w:right w:val="nil"/>
            </w:tcBorders>
            <w:vAlign w:val="center"/>
          </w:tcPr>
          <w:p>
            <w:pPr>
              <w:widowControl/>
              <w:spacing w:line="500" w:lineRule="exact"/>
              <w:jc w:val="center"/>
              <w:rPr>
                <w:rFonts w:eastAsia="方正小标宋_GBK"/>
                <w:kern w:val="0"/>
                <w:sz w:val="36"/>
                <w:szCs w:val="36"/>
              </w:rPr>
            </w:pPr>
            <w:r>
              <w:rPr>
                <w:rFonts w:hint="eastAsia" w:eastAsia="方正小标宋_GBK" w:cs="方正小标宋_GBK"/>
                <w:kern w:val="0"/>
                <w:sz w:val="36"/>
                <w:szCs w:val="36"/>
              </w:rPr>
              <w:t>项目支出绩效目标自评表</w:t>
            </w:r>
          </w:p>
          <w:p>
            <w:pPr>
              <w:widowControl/>
              <w:jc w:val="center"/>
              <w:rPr>
                <w:rFonts w:eastAsia="仿宋_GB2312"/>
                <w:kern w:val="0"/>
                <w:sz w:val="32"/>
                <w:szCs w:val="32"/>
              </w:rPr>
            </w:pPr>
            <w:r>
              <w:rPr>
                <w:rFonts w:hint="eastAsia" w:eastAsia="楷体_GB2312" w:cs="楷体_GB2312"/>
                <w:sz w:val="32"/>
                <w:szCs w:val="32"/>
              </w:rPr>
              <w:t>（</w:t>
            </w:r>
            <w:r>
              <w:rPr>
                <w:rFonts w:eastAsia="楷体_GB2312"/>
                <w:kern w:val="0"/>
                <w:sz w:val="32"/>
                <w:szCs w:val="32"/>
              </w:rPr>
              <w:t>2020</w:t>
            </w:r>
            <w:r>
              <w:rPr>
                <w:rFonts w:hint="eastAsia" w:eastAsia="楷体_GB2312" w:cs="楷体_GB2312"/>
                <w:kern w:val="0"/>
                <w:sz w:val="32"/>
                <w:szCs w:val="32"/>
              </w:rPr>
              <w:t>年度</w:t>
            </w:r>
            <w:r>
              <w:rPr>
                <w:rFonts w:hint="eastAsia" w:eastAsia="楷体_GB2312" w:cs="楷体_GB2312"/>
                <w:sz w:val="32"/>
                <w:szCs w:val="32"/>
              </w:rPr>
              <w:t>）</w:t>
            </w:r>
          </w:p>
        </w:tc>
      </w:tr>
      <w:tr>
        <w:tblPrEx>
          <w:tblCellMar>
            <w:top w:w="0" w:type="dxa"/>
            <w:left w:w="108" w:type="dxa"/>
            <w:bottom w:w="0" w:type="dxa"/>
            <w:right w:w="108" w:type="dxa"/>
          </w:tblCellMar>
        </w:tblPrEx>
        <w:trPr>
          <w:trHeight w:val="255" w:hRule="atLeast"/>
        </w:trPr>
        <w:tc>
          <w:tcPr>
            <w:tcW w:w="29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项目名称</w:t>
            </w:r>
          </w:p>
        </w:tc>
        <w:tc>
          <w:tcPr>
            <w:tcW w:w="7002"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功勋荣誉表彰奖励获得者待遇落实和困难帮扶经费</w:t>
            </w:r>
          </w:p>
        </w:tc>
      </w:tr>
      <w:tr>
        <w:tblPrEx>
          <w:tblCellMar>
            <w:top w:w="0" w:type="dxa"/>
            <w:left w:w="108" w:type="dxa"/>
            <w:bottom w:w="0" w:type="dxa"/>
            <w:right w:w="108" w:type="dxa"/>
          </w:tblCellMar>
        </w:tblPrEx>
        <w:trPr>
          <w:trHeight w:val="255" w:hRule="atLeast"/>
        </w:trPr>
        <w:tc>
          <w:tcPr>
            <w:tcW w:w="29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预算单位</w:t>
            </w:r>
          </w:p>
        </w:tc>
        <w:tc>
          <w:tcPr>
            <w:tcW w:w="700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eastAsia="仿宋_GB2312"/>
                <w:kern w:val="0"/>
                <w:sz w:val="22"/>
                <w:szCs w:val="22"/>
                <w:lang w:eastAsia="zh-CN"/>
              </w:rPr>
            </w:pPr>
            <w:r>
              <w:rPr>
                <w:rFonts w:eastAsia="仿宋_GB2312"/>
                <w:kern w:val="0"/>
                <w:sz w:val="22"/>
                <w:szCs w:val="22"/>
              </w:rPr>
              <w:t>313301-</w:t>
            </w:r>
            <w:r>
              <w:rPr>
                <w:rFonts w:hint="eastAsia" w:eastAsia="仿宋_GB2312" w:cs="仿宋_GB2312"/>
                <w:kern w:val="0"/>
                <w:sz w:val="22"/>
                <w:szCs w:val="22"/>
              </w:rPr>
              <w:t>四川省人力资源和社会保障厅</w:t>
            </w:r>
            <w:r>
              <w:rPr>
                <w:rFonts w:hint="eastAsia" w:eastAsia="仿宋_GB2312" w:cs="仿宋_GB2312"/>
                <w:kern w:val="0"/>
                <w:sz w:val="22"/>
                <w:szCs w:val="22"/>
                <w:lang w:eastAsia="zh-CN"/>
              </w:rPr>
              <w:t>机关</w:t>
            </w:r>
          </w:p>
        </w:tc>
      </w:tr>
      <w:tr>
        <w:tblPrEx>
          <w:tblCellMar>
            <w:top w:w="0" w:type="dxa"/>
            <w:left w:w="108" w:type="dxa"/>
            <w:bottom w:w="0" w:type="dxa"/>
            <w:right w:w="108" w:type="dxa"/>
          </w:tblCellMar>
        </w:tblPrEx>
        <w:trPr>
          <w:trHeight w:val="285"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预算执行情况</w:t>
            </w:r>
            <w:r>
              <w:rPr>
                <w:rFonts w:eastAsia="仿宋_GB2312"/>
                <w:kern w:val="0"/>
                <w:sz w:val="22"/>
                <w:szCs w:val="22"/>
              </w:rPr>
              <w:t>(</w:t>
            </w:r>
            <w:r>
              <w:rPr>
                <w:rFonts w:hint="eastAsia" w:eastAsia="仿宋_GB2312" w:cs="仿宋_GB2312"/>
                <w:kern w:val="0"/>
                <w:sz w:val="22"/>
                <w:szCs w:val="22"/>
              </w:rPr>
              <w:t>万元</w:t>
            </w:r>
            <w:r>
              <w:rPr>
                <w:rFonts w:eastAsia="仿宋_GB2312"/>
                <w:kern w:val="0"/>
                <w:sz w:val="22"/>
                <w:szCs w:val="22"/>
              </w:rPr>
              <w:t>)</w:t>
            </w: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预算数</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165.92</w:t>
            </w:r>
          </w:p>
        </w:tc>
        <w:tc>
          <w:tcPr>
            <w:tcW w:w="174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执行数</w:t>
            </w:r>
            <w:r>
              <w:rPr>
                <w:rFonts w:eastAsia="仿宋_GB2312"/>
                <w:kern w:val="0"/>
                <w:sz w:val="22"/>
                <w:szCs w:val="22"/>
              </w:rPr>
              <w:t>:</w:t>
            </w:r>
          </w:p>
        </w:tc>
        <w:tc>
          <w:tcPr>
            <w:tcW w:w="29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46.06</w:t>
            </w:r>
          </w:p>
        </w:tc>
      </w:tr>
      <w:tr>
        <w:tblPrEx>
          <w:tblCellMar>
            <w:top w:w="0" w:type="dxa"/>
            <w:left w:w="108" w:type="dxa"/>
            <w:bottom w:w="0" w:type="dxa"/>
            <w:right w:w="108" w:type="dxa"/>
          </w:tblCellMar>
        </w:tblPrEx>
        <w:trPr>
          <w:trHeight w:val="28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165.92</w:t>
            </w:r>
          </w:p>
        </w:tc>
        <w:tc>
          <w:tcPr>
            <w:tcW w:w="174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940"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46.06</w:t>
            </w:r>
          </w:p>
        </w:tc>
      </w:tr>
      <w:tr>
        <w:tblPrEx>
          <w:tblCellMar>
            <w:top w:w="0" w:type="dxa"/>
            <w:left w:w="108" w:type="dxa"/>
            <w:bottom w:w="0" w:type="dxa"/>
            <w:right w:w="108" w:type="dxa"/>
          </w:tblCellMar>
        </w:tblPrEx>
        <w:trPr>
          <w:trHeight w:val="28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0</w:t>
            </w:r>
          </w:p>
        </w:tc>
        <w:tc>
          <w:tcPr>
            <w:tcW w:w="174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940"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0</w:t>
            </w:r>
          </w:p>
        </w:tc>
      </w:tr>
      <w:tr>
        <w:tblPrEx>
          <w:tblCellMar>
            <w:top w:w="0" w:type="dxa"/>
            <w:left w:w="108" w:type="dxa"/>
            <w:bottom w:w="0" w:type="dxa"/>
            <w:right w:w="108" w:type="dxa"/>
          </w:tblCellMar>
        </w:tblPrEx>
        <w:trPr>
          <w:trHeight w:val="255"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年度目标完成情况</w:t>
            </w:r>
          </w:p>
        </w:tc>
        <w:tc>
          <w:tcPr>
            <w:tcW w:w="4288"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预期目标</w:t>
            </w:r>
          </w:p>
        </w:tc>
        <w:tc>
          <w:tcPr>
            <w:tcW w:w="4689" w:type="dxa"/>
            <w:gridSpan w:val="2"/>
            <w:tcBorders>
              <w:top w:val="single" w:color="000000" w:sz="4" w:space="0"/>
              <w:left w:val="nil"/>
              <w:bottom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实际完成目标</w:t>
            </w:r>
          </w:p>
        </w:tc>
      </w:tr>
      <w:tr>
        <w:tblPrEx>
          <w:tblCellMar>
            <w:top w:w="0" w:type="dxa"/>
            <w:left w:w="108" w:type="dxa"/>
            <w:bottom w:w="0" w:type="dxa"/>
            <w:right w:w="108" w:type="dxa"/>
          </w:tblCellMar>
        </w:tblPrEx>
        <w:trPr>
          <w:trHeight w:val="199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4288" w:type="dxa"/>
            <w:gridSpan w:val="3"/>
            <w:tcBorders>
              <w:top w:val="single" w:color="000000" w:sz="4" w:space="0"/>
              <w:left w:val="nil"/>
              <w:bottom w:val="single" w:color="000000" w:sz="4" w:space="0"/>
              <w:right w:val="nil"/>
            </w:tcBorders>
            <w:vAlign w:val="center"/>
          </w:tcPr>
          <w:p>
            <w:pPr>
              <w:widowControl/>
              <w:spacing w:line="280" w:lineRule="exact"/>
              <w:jc w:val="left"/>
              <w:rPr>
                <w:rFonts w:eastAsia="仿宋_GB2312"/>
                <w:kern w:val="0"/>
                <w:sz w:val="22"/>
                <w:szCs w:val="22"/>
              </w:rPr>
            </w:pPr>
            <w:r>
              <w:rPr>
                <w:rFonts w:hint="eastAsia" w:eastAsia="仿宋_GB2312" w:cs="仿宋_GB2312"/>
                <w:kern w:val="0"/>
                <w:sz w:val="22"/>
                <w:szCs w:val="22"/>
              </w:rPr>
              <w:t>切实落实中央和省委文件要求，传递好党中央、国务院和省委、省政府对功勋荣誉表彰奖励获得者的关心关怀，确保功勋荣誉表彰奖励获得者各项待遇和帮扶措施落到实处。</w:t>
            </w:r>
          </w:p>
        </w:tc>
        <w:tc>
          <w:tcPr>
            <w:tcW w:w="468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2"/>
                <w:szCs w:val="22"/>
              </w:rPr>
            </w:pPr>
            <w:r>
              <w:rPr>
                <w:rFonts w:hint="eastAsia" w:eastAsia="仿宋_GB2312" w:cs="仿宋_GB2312"/>
                <w:kern w:val="0"/>
                <w:sz w:val="22"/>
                <w:szCs w:val="22"/>
              </w:rPr>
              <w:t>对接省总工会剔除已享受劳模待遇人员、核实各地各部门报送人数、核查已去世人员等情况，对相关数据进行梳理，核准核实功勋荣誉表彰奖励获得者</w:t>
            </w:r>
            <w:r>
              <w:rPr>
                <w:rFonts w:eastAsia="仿宋_GB2312"/>
                <w:kern w:val="0"/>
                <w:sz w:val="22"/>
                <w:szCs w:val="22"/>
              </w:rPr>
              <w:t>329</w:t>
            </w:r>
            <w:r>
              <w:rPr>
                <w:rFonts w:hint="eastAsia" w:eastAsia="仿宋_GB2312" w:cs="仿宋_GB2312"/>
                <w:kern w:val="0"/>
                <w:sz w:val="22"/>
                <w:szCs w:val="22"/>
              </w:rPr>
              <w:t>人，于</w:t>
            </w:r>
            <w:r>
              <w:rPr>
                <w:rFonts w:eastAsia="仿宋_GB2312"/>
                <w:kern w:val="0"/>
                <w:sz w:val="22"/>
                <w:szCs w:val="22"/>
              </w:rPr>
              <w:t>9</w:t>
            </w:r>
            <w:r>
              <w:rPr>
                <w:rFonts w:hint="eastAsia" w:eastAsia="仿宋_GB2312" w:cs="仿宋_GB2312"/>
                <w:kern w:val="0"/>
                <w:sz w:val="22"/>
                <w:szCs w:val="22"/>
              </w:rPr>
              <w:t>月按标准发放慰问金，让功勋荣誉表彰奖励获得者各项待遇和帮扶措施落到实处；因疫情不断反复，取消疗养活动；全年无申请荣誉津贴者。</w:t>
            </w:r>
          </w:p>
        </w:tc>
      </w:tr>
      <w:tr>
        <w:tblPrEx>
          <w:tblCellMar>
            <w:top w:w="0" w:type="dxa"/>
            <w:left w:w="108" w:type="dxa"/>
            <w:bottom w:w="0" w:type="dxa"/>
            <w:right w:w="108" w:type="dxa"/>
          </w:tblCellMar>
        </w:tblPrEx>
        <w:trPr>
          <w:trHeight w:val="564"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绩效指标完成情况</w:t>
            </w:r>
          </w:p>
        </w:tc>
        <w:tc>
          <w:tcPr>
            <w:tcW w:w="841"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一级指标</w:t>
            </w:r>
          </w:p>
        </w:tc>
        <w:tc>
          <w:tcPr>
            <w:tcW w:w="1134"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二级指标</w:t>
            </w:r>
          </w:p>
        </w:tc>
        <w:tc>
          <w:tcPr>
            <w:tcW w:w="231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三级指标</w:t>
            </w:r>
          </w:p>
        </w:tc>
        <w:tc>
          <w:tcPr>
            <w:tcW w:w="1749"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预期指标值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c>
          <w:tcPr>
            <w:tcW w:w="2940"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实际完成指标值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r>
      <w:tr>
        <w:tblPrEx>
          <w:tblCellMar>
            <w:top w:w="0" w:type="dxa"/>
            <w:left w:w="108" w:type="dxa"/>
            <w:bottom w:w="0" w:type="dxa"/>
            <w:right w:w="108" w:type="dxa"/>
          </w:tblCellMar>
        </w:tblPrEx>
        <w:trPr>
          <w:trHeight w:val="641"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restart"/>
            <w:tcBorders>
              <w:top w:val="nil"/>
              <w:left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项目完成指标</w:t>
            </w:r>
          </w:p>
        </w:tc>
        <w:tc>
          <w:tcPr>
            <w:tcW w:w="1134" w:type="dxa"/>
            <w:vMerge w:val="restart"/>
            <w:tcBorders>
              <w:top w:val="nil"/>
              <w:left w:val="nil"/>
              <w:right w:val="single" w:color="000000" w:sz="4" w:space="0"/>
            </w:tcBorders>
            <w:vAlign w:val="center"/>
          </w:tcPr>
          <w:p>
            <w:pPr>
              <w:jc w:val="center"/>
              <w:rPr>
                <w:rFonts w:eastAsia="仿宋_GB2312"/>
                <w:kern w:val="0"/>
                <w:sz w:val="22"/>
                <w:szCs w:val="22"/>
              </w:rPr>
            </w:pPr>
            <w:r>
              <w:rPr>
                <w:rFonts w:hint="eastAsia" w:eastAsia="仿宋_GB2312" w:cs="仿宋_GB2312"/>
                <w:kern w:val="0"/>
                <w:sz w:val="22"/>
                <w:szCs w:val="22"/>
              </w:rPr>
              <w:t>数量指标</w:t>
            </w:r>
          </w:p>
        </w:tc>
        <w:tc>
          <w:tcPr>
            <w:tcW w:w="2313" w:type="dxa"/>
            <w:tcBorders>
              <w:top w:val="single" w:color="000000" w:sz="4" w:space="0"/>
              <w:left w:val="nil"/>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享受待遇的功勋荣誉表彰奖励获得者</w:t>
            </w:r>
          </w:p>
        </w:tc>
        <w:tc>
          <w:tcPr>
            <w:tcW w:w="174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360</w:t>
            </w:r>
            <w:r>
              <w:rPr>
                <w:rFonts w:hint="eastAsia" w:eastAsia="仿宋_GB2312" w:cs="仿宋_GB2312"/>
                <w:kern w:val="0"/>
                <w:sz w:val="22"/>
                <w:szCs w:val="22"/>
              </w:rPr>
              <w:t>人</w:t>
            </w:r>
          </w:p>
        </w:tc>
        <w:tc>
          <w:tcPr>
            <w:tcW w:w="294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329</w:t>
            </w:r>
            <w:r>
              <w:rPr>
                <w:rFonts w:hint="eastAsia" w:eastAsia="仿宋_GB2312" w:cs="仿宋_GB2312"/>
                <w:kern w:val="0"/>
                <w:sz w:val="22"/>
                <w:szCs w:val="22"/>
              </w:rPr>
              <w:t>人</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continue"/>
            <w:tcBorders>
              <w:left w:val="nil"/>
              <w:right w:val="single" w:color="000000" w:sz="4" w:space="0"/>
            </w:tcBorders>
            <w:vAlign w:val="center"/>
          </w:tcPr>
          <w:p>
            <w:pPr>
              <w:jc w:val="center"/>
              <w:rPr>
                <w:rFonts w:eastAsia="仿宋_GB2312"/>
                <w:kern w:val="0"/>
                <w:sz w:val="22"/>
                <w:szCs w:val="22"/>
              </w:rPr>
            </w:pPr>
          </w:p>
        </w:tc>
        <w:tc>
          <w:tcPr>
            <w:tcW w:w="1134" w:type="dxa"/>
            <w:vMerge w:val="continue"/>
            <w:tcBorders>
              <w:left w:val="nil"/>
              <w:right w:val="single" w:color="000000" w:sz="4" w:space="0"/>
            </w:tcBorders>
            <w:vAlign w:val="center"/>
          </w:tcPr>
          <w:p>
            <w:pPr>
              <w:jc w:val="center"/>
              <w:rPr>
                <w:rFonts w:eastAsia="仿宋_GB2312"/>
                <w:kern w:val="0"/>
                <w:sz w:val="22"/>
                <w:szCs w:val="22"/>
              </w:rPr>
            </w:pPr>
          </w:p>
        </w:tc>
        <w:tc>
          <w:tcPr>
            <w:tcW w:w="2313"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享受荣誉津贴者</w:t>
            </w:r>
          </w:p>
        </w:tc>
        <w:tc>
          <w:tcPr>
            <w:tcW w:w="1749"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36</w:t>
            </w:r>
            <w:r>
              <w:rPr>
                <w:rFonts w:hint="eastAsia" w:eastAsia="仿宋_GB2312" w:cs="仿宋_GB2312"/>
                <w:kern w:val="0"/>
                <w:sz w:val="22"/>
                <w:szCs w:val="22"/>
              </w:rPr>
              <w:t>人</w:t>
            </w:r>
          </w:p>
        </w:tc>
        <w:tc>
          <w:tcPr>
            <w:tcW w:w="2940"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0</w:t>
            </w:r>
            <w:r>
              <w:rPr>
                <w:rFonts w:hint="eastAsia" w:eastAsia="仿宋_GB2312" w:cs="仿宋_GB2312"/>
                <w:kern w:val="0"/>
                <w:sz w:val="22"/>
                <w:szCs w:val="22"/>
              </w:rPr>
              <w:t>人（无申请荣誉津贴者）</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auto" w:sz="4" w:space="0"/>
            </w:tcBorders>
            <w:vAlign w:val="center"/>
          </w:tcPr>
          <w:p>
            <w:pPr>
              <w:widowControl/>
              <w:jc w:val="left"/>
              <w:rPr>
                <w:rFonts w:eastAsia="仿宋_GB2312"/>
                <w:kern w:val="0"/>
                <w:sz w:val="22"/>
                <w:szCs w:val="22"/>
              </w:rPr>
            </w:pPr>
          </w:p>
        </w:tc>
        <w:tc>
          <w:tcPr>
            <w:tcW w:w="841" w:type="dxa"/>
            <w:vMerge w:val="continue"/>
            <w:tcBorders>
              <w:left w:val="single" w:color="auto" w:sz="4" w:space="0"/>
              <w:right w:val="single" w:color="000000" w:sz="4" w:space="0"/>
            </w:tcBorders>
            <w:vAlign w:val="center"/>
          </w:tcPr>
          <w:p>
            <w:pPr>
              <w:jc w:val="center"/>
              <w:rPr>
                <w:rFonts w:eastAsia="仿宋_GB2312"/>
                <w:kern w:val="0"/>
                <w:sz w:val="22"/>
                <w:szCs w:val="22"/>
              </w:rPr>
            </w:pPr>
          </w:p>
        </w:tc>
        <w:tc>
          <w:tcPr>
            <w:tcW w:w="1134" w:type="dxa"/>
            <w:vMerge w:val="continue"/>
            <w:tcBorders>
              <w:left w:val="nil"/>
              <w:bottom w:val="single" w:color="auto" w:sz="4" w:space="0"/>
              <w:right w:val="single" w:color="000000" w:sz="4" w:space="0"/>
            </w:tcBorders>
            <w:vAlign w:val="center"/>
          </w:tcPr>
          <w:p>
            <w:pPr>
              <w:widowControl/>
              <w:jc w:val="center"/>
              <w:rPr>
                <w:rFonts w:eastAsia="仿宋_GB2312"/>
                <w:kern w:val="0"/>
                <w:sz w:val="22"/>
                <w:szCs w:val="22"/>
              </w:rPr>
            </w:pPr>
          </w:p>
        </w:tc>
        <w:tc>
          <w:tcPr>
            <w:tcW w:w="2313" w:type="dxa"/>
            <w:tcBorders>
              <w:top w:val="single" w:color="auto" w:sz="4" w:space="0"/>
              <w:left w:val="single" w:color="000000"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开展休假疗养期数</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2</w:t>
            </w:r>
            <w:r>
              <w:rPr>
                <w:rFonts w:hint="eastAsia" w:eastAsia="仿宋_GB2312" w:cs="仿宋_GB2312"/>
                <w:kern w:val="0"/>
                <w:sz w:val="22"/>
                <w:szCs w:val="22"/>
              </w:rPr>
              <w:t>次</w:t>
            </w:r>
          </w:p>
        </w:tc>
        <w:tc>
          <w:tcPr>
            <w:tcW w:w="294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未开展（受疫情影响）</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auto" w:sz="4" w:space="0"/>
            </w:tcBorders>
            <w:vAlign w:val="center"/>
          </w:tcPr>
          <w:p>
            <w:pPr>
              <w:widowControl/>
              <w:jc w:val="left"/>
              <w:rPr>
                <w:rFonts w:eastAsia="仿宋_GB2312"/>
                <w:kern w:val="0"/>
                <w:sz w:val="22"/>
                <w:szCs w:val="22"/>
              </w:rPr>
            </w:pPr>
          </w:p>
        </w:tc>
        <w:tc>
          <w:tcPr>
            <w:tcW w:w="841" w:type="dxa"/>
            <w:vMerge w:val="continue"/>
            <w:tcBorders>
              <w:left w:val="single" w:color="auto" w:sz="4" w:space="0"/>
              <w:right w:val="single" w:color="000000" w:sz="4" w:space="0"/>
            </w:tcBorders>
            <w:vAlign w:val="center"/>
          </w:tcPr>
          <w:p>
            <w:pPr>
              <w:jc w:val="center"/>
              <w:rPr>
                <w:rFonts w:eastAsia="仿宋_GB2312"/>
                <w:kern w:val="0"/>
                <w:sz w:val="22"/>
                <w:szCs w:val="22"/>
              </w:rPr>
            </w:pPr>
          </w:p>
        </w:tc>
        <w:tc>
          <w:tcPr>
            <w:tcW w:w="1134" w:type="dxa"/>
            <w:vMerge w:val="restart"/>
            <w:tcBorders>
              <w:top w:val="single" w:color="auto" w:sz="4" w:space="0"/>
              <w:left w:val="single" w:color="000000" w:sz="4" w:space="0"/>
              <w:right w:val="single" w:color="auto" w:sz="4" w:space="0"/>
            </w:tcBorders>
            <w:vAlign w:val="center"/>
          </w:tcPr>
          <w:p>
            <w:pPr>
              <w:jc w:val="center"/>
              <w:rPr>
                <w:rFonts w:eastAsia="仿宋_GB2312"/>
                <w:kern w:val="0"/>
                <w:sz w:val="22"/>
                <w:szCs w:val="22"/>
              </w:rPr>
            </w:pPr>
            <w:r>
              <w:rPr>
                <w:rFonts w:hint="eastAsia" w:eastAsia="仿宋_GB2312" w:cs="仿宋_GB2312"/>
                <w:kern w:val="0"/>
                <w:sz w:val="22"/>
                <w:szCs w:val="22"/>
              </w:rPr>
              <w:t>时间指标</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开展休假疗养时间</w:t>
            </w:r>
          </w:p>
        </w:tc>
        <w:tc>
          <w:tcPr>
            <w:tcW w:w="1749"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上下半年各</w:t>
            </w:r>
            <w:r>
              <w:rPr>
                <w:rFonts w:eastAsia="仿宋_GB2312"/>
                <w:kern w:val="0"/>
                <w:sz w:val="22"/>
                <w:szCs w:val="22"/>
              </w:rPr>
              <w:t>1</w:t>
            </w:r>
            <w:r>
              <w:rPr>
                <w:rFonts w:hint="eastAsia" w:eastAsia="仿宋_GB2312" w:cs="仿宋_GB2312"/>
                <w:kern w:val="0"/>
                <w:sz w:val="22"/>
                <w:szCs w:val="22"/>
              </w:rPr>
              <w:t>次</w:t>
            </w:r>
          </w:p>
        </w:tc>
        <w:tc>
          <w:tcPr>
            <w:tcW w:w="294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未开展（受疫情影响）</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continue"/>
            <w:tcBorders>
              <w:left w:val="nil"/>
              <w:right w:val="single" w:color="000000" w:sz="4" w:space="0"/>
            </w:tcBorders>
            <w:vAlign w:val="center"/>
          </w:tcPr>
          <w:p>
            <w:pPr>
              <w:jc w:val="center"/>
              <w:rPr>
                <w:rFonts w:eastAsia="仿宋_GB2312"/>
                <w:kern w:val="0"/>
                <w:sz w:val="22"/>
                <w:szCs w:val="22"/>
              </w:rPr>
            </w:pPr>
          </w:p>
        </w:tc>
        <w:tc>
          <w:tcPr>
            <w:tcW w:w="1134" w:type="dxa"/>
            <w:vMerge w:val="continue"/>
            <w:tcBorders>
              <w:left w:val="single" w:color="000000" w:sz="4" w:space="0"/>
              <w:right w:val="single" w:color="auto" w:sz="4" w:space="0"/>
            </w:tcBorders>
            <w:vAlign w:val="center"/>
          </w:tcPr>
          <w:p>
            <w:pPr>
              <w:jc w:val="center"/>
              <w:rPr>
                <w:rFonts w:eastAsia="仿宋_GB2312"/>
                <w:kern w:val="0"/>
                <w:sz w:val="22"/>
                <w:szCs w:val="22"/>
              </w:rPr>
            </w:pPr>
          </w:p>
        </w:tc>
        <w:tc>
          <w:tcPr>
            <w:tcW w:w="2313"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春节慰问金发放时间</w:t>
            </w:r>
          </w:p>
        </w:tc>
        <w:tc>
          <w:tcPr>
            <w:tcW w:w="174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春节前后</w:t>
            </w:r>
          </w:p>
        </w:tc>
        <w:tc>
          <w:tcPr>
            <w:tcW w:w="294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9</w:t>
            </w:r>
            <w:r>
              <w:rPr>
                <w:rFonts w:hint="eastAsia" w:eastAsia="仿宋_GB2312" w:cs="仿宋_GB2312"/>
                <w:kern w:val="0"/>
                <w:sz w:val="22"/>
                <w:szCs w:val="22"/>
              </w:rPr>
              <w:t>月</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continue"/>
            <w:tcBorders>
              <w:left w:val="nil"/>
              <w:bottom w:val="single" w:color="000000" w:sz="4" w:space="0"/>
              <w:right w:val="single" w:color="000000" w:sz="4" w:space="0"/>
            </w:tcBorders>
            <w:vAlign w:val="center"/>
          </w:tcPr>
          <w:p>
            <w:pPr>
              <w:widowControl/>
              <w:jc w:val="center"/>
              <w:rPr>
                <w:rFonts w:eastAsia="仿宋_GB2312"/>
                <w:kern w:val="0"/>
                <w:sz w:val="22"/>
                <w:szCs w:val="22"/>
              </w:rPr>
            </w:pPr>
          </w:p>
        </w:tc>
        <w:tc>
          <w:tcPr>
            <w:tcW w:w="1134" w:type="dxa"/>
            <w:vMerge w:val="continue"/>
            <w:tcBorders>
              <w:left w:val="single" w:color="000000" w:sz="4" w:space="0"/>
              <w:bottom w:val="single" w:color="000000" w:sz="4" w:space="0"/>
              <w:right w:val="single" w:color="auto" w:sz="4" w:space="0"/>
            </w:tcBorders>
            <w:vAlign w:val="center"/>
          </w:tcPr>
          <w:p>
            <w:pPr>
              <w:widowControl/>
              <w:jc w:val="center"/>
              <w:rPr>
                <w:rFonts w:eastAsia="仿宋_GB2312"/>
                <w:kern w:val="0"/>
                <w:sz w:val="22"/>
                <w:szCs w:val="22"/>
              </w:rPr>
            </w:pPr>
          </w:p>
        </w:tc>
        <w:tc>
          <w:tcPr>
            <w:tcW w:w="2313" w:type="dxa"/>
            <w:tcBorders>
              <w:top w:val="single" w:color="auto" w:sz="4" w:space="0"/>
              <w:left w:val="single" w:color="auto" w:sz="4" w:space="0"/>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荣誉津贴发放时间</w:t>
            </w:r>
          </w:p>
        </w:tc>
        <w:tc>
          <w:tcPr>
            <w:tcW w:w="1749"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年底</w:t>
            </w:r>
          </w:p>
        </w:tc>
        <w:tc>
          <w:tcPr>
            <w:tcW w:w="2940"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未发放（无申请荣誉津贴者）</w:t>
            </w:r>
          </w:p>
        </w:tc>
      </w:tr>
      <w:tr>
        <w:tblPrEx>
          <w:tblCellMar>
            <w:top w:w="0" w:type="dxa"/>
            <w:left w:w="108" w:type="dxa"/>
            <w:bottom w:w="0" w:type="dxa"/>
            <w:right w:w="108" w:type="dxa"/>
          </w:tblCellMar>
        </w:tblPrEx>
        <w:trPr>
          <w:trHeight w:val="1350"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效益指标</w:t>
            </w:r>
          </w:p>
        </w:tc>
        <w:tc>
          <w:tcPr>
            <w:tcW w:w="1134" w:type="dxa"/>
            <w:vMerge w:val="restart"/>
            <w:tcBorders>
              <w:top w:val="nil"/>
              <w:left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可持续影响指标</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对功勋荣誉表彰奖励获得者群体的效益</w:t>
            </w:r>
          </w:p>
        </w:tc>
        <w:tc>
          <w:tcPr>
            <w:tcW w:w="1749"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增强功勋荣誉表彰奖励获得者的荣誉感、获得感和归属感</w:t>
            </w:r>
          </w:p>
        </w:tc>
        <w:tc>
          <w:tcPr>
            <w:tcW w:w="294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通过春节慰问金的发放，让广大功勋荣誉获得者感受到了组织的关怀，进一步增强了荣誉感、获得感和归属感</w:t>
            </w:r>
          </w:p>
        </w:tc>
      </w:tr>
      <w:tr>
        <w:tblPrEx>
          <w:tblCellMar>
            <w:top w:w="0" w:type="dxa"/>
            <w:left w:w="108" w:type="dxa"/>
            <w:bottom w:w="0" w:type="dxa"/>
            <w:right w:w="108" w:type="dxa"/>
          </w:tblCellMar>
        </w:tblPrEx>
        <w:trPr>
          <w:trHeight w:val="814"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效益指标</w:t>
            </w:r>
          </w:p>
        </w:tc>
        <w:tc>
          <w:tcPr>
            <w:tcW w:w="1134" w:type="dxa"/>
            <w:vMerge w:val="continue"/>
            <w:tcBorders>
              <w:left w:val="nil"/>
              <w:bottom w:val="single" w:color="000000" w:sz="4" w:space="0"/>
              <w:right w:val="single" w:color="000000" w:sz="4" w:space="0"/>
            </w:tcBorders>
            <w:vAlign w:val="center"/>
          </w:tcPr>
          <w:p>
            <w:pPr>
              <w:widowControl/>
              <w:jc w:val="center"/>
              <w:rPr>
                <w:rFonts w:eastAsia="仿宋_GB2312"/>
                <w:kern w:val="0"/>
                <w:sz w:val="22"/>
                <w:szCs w:val="22"/>
              </w:rPr>
            </w:pP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对社会大众的整体</w:t>
            </w:r>
          </w:p>
          <w:p>
            <w:pPr>
              <w:widowControl/>
              <w:jc w:val="center"/>
              <w:rPr>
                <w:rFonts w:eastAsia="仿宋_GB2312"/>
                <w:kern w:val="0"/>
                <w:sz w:val="22"/>
                <w:szCs w:val="22"/>
              </w:rPr>
            </w:pPr>
            <w:r>
              <w:rPr>
                <w:rFonts w:hint="eastAsia" w:eastAsia="仿宋_GB2312" w:cs="仿宋_GB2312"/>
                <w:kern w:val="0"/>
                <w:sz w:val="22"/>
                <w:szCs w:val="22"/>
              </w:rPr>
              <w:t>效益</w:t>
            </w:r>
          </w:p>
        </w:tc>
        <w:tc>
          <w:tcPr>
            <w:tcW w:w="1749"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引领全社会形成崇尚先进、创先争优的良好氛围</w:t>
            </w:r>
          </w:p>
        </w:tc>
        <w:tc>
          <w:tcPr>
            <w:tcW w:w="2940"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在全社会营造了关心关怀先进典型和学习英雄模范的良好氛围</w:t>
            </w:r>
          </w:p>
        </w:tc>
      </w:tr>
      <w:tr>
        <w:tblPrEx>
          <w:tblCellMar>
            <w:top w:w="0" w:type="dxa"/>
            <w:left w:w="108" w:type="dxa"/>
            <w:bottom w:w="0" w:type="dxa"/>
            <w:right w:w="108" w:type="dxa"/>
          </w:tblCellMar>
        </w:tblPrEx>
        <w:trPr>
          <w:trHeight w:val="970"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满意度指标</w:t>
            </w:r>
          </w:p>
        </w:tc>
        <w:tc>
          <w:tcPr>
            <w:tcW w:w="1134"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　</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功勋荣誉表彰奖励获得者满意度</w:t>
            </w:r>
          </w:p>
        </w:tc>
        <w:tc>
          <w:tcPr>
            <w:tcW w:w="1749"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98%</w:t>
            </w:r>
          </w:p>
        </w:tc>
        <w:tc>
          <w:tcPr>
            <w:tcW w:w="2940"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98%</w:t>
            </w:r>
          </w:p>
        </w:tc>
      </w:tr>
    </w:tbl>
    <w:p>
      <w:pPr>
        <w:adjustRightInd w:val="0"/>
        <w:snapToGrid w:val="0"/>
        <w:spacing w:line="10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eastAsia="仿宋_GB2312"/>
          <w:sz w:val="32"/>
          <w:szCs w:val="32"/>
        </w:rPr>
      </w:pPr>
    </w:p>
    <w:tbl>
      <w:tblPr>
        <w:tblStyle w:val="12"/>
        <w:tblW w:w="9537" w:type="dxa"/>
        <w:tblInd w:w="-106" w:type="dxa"/>
        <w:tblLayout w:type="fixed"/>
        <w:tblCellMar>
          <w:top w:w="0" w:type="dxa"/>
          <w:left w:w="108" w:type="dxa"/>
          <w:bottom w:w="0" w:type="dxa"/>
          <w:right w:w="108" w:type="dxa"/>
        </w:tblCellMar>
      </w:tblPr>
      <w:tblGrid>
        <w:gridCol w:w="1002"/>
        <w:gridCol w:w="841"/>
        <w:gridCol w:w="1134"/>
        <w:gridCol w:w="2313"/>
        <w:gridCol w:w="1940"/>
        <w:gridCol w:w="2307"/>
      </w:tblGrid>
      <w:tr>
        <w:tblPrEx>
          <w:tblCellMar>
            <w:top w:w="0" w:type="dxa"/>
            <w:left w:w="108" w:type="dxa"/>
            <w:bottom w:w="0" w:type="dxa"/>
            <w:right w:w="108" w:type="dxa"/>
          </w:tblCellMar>
        </w:tblPrEx>
        <w:trPr>
          <w:trHeight w:val="1204" w:hRule="atLeast"/>
        </w:trPr>
        <w:tc>
          <w:tcPr>
            <w:tcW w:w="9537" w:type="dxa"/>
            <w:gridSpan w:val="6"/>
            <w:tcBorders>
              <w:top w:val="nil"/>
              <w:left w:val="nil"/>
              <w:bottom w:val="nil"/>
              <w:right w:val="nil"/>
            </w:tcBorders>
            <w:vAlign w:val="center"/>
          </w:tcPr>
          <w:p>
            <w:pPr>
              <w:widowControl/>
              <w:spacing w:line="500" w:lineRule="exact"/>
              <w:jc w:val="center"/>
              <w:rPr>
                <w:rFonts w:eastAsia="方正小标宋_GBK"/>
                <w:kern w:val="0"/>
                <w:sz w:val="36"/>
                <w:szCs w:val="36"/>
              </w:rPr>
            </w:pPr>
            <w:r>
              <w:rPr>
                <w:rFonts w:hint="eastAsia" w:eastAsia="方正小标宋_GBK" w:cs="方正小标宋_GBK"/>
                <w:kern w:val="0"/>
                <w:sz w:val="36"/>
                <w:szCs w:val="36"/>
              </w:rPr>
              <w:t>项目支出绩效目标自评表</w:t>
            </w:r>
          </w:p>
          <w:p>
            <w:pPr>
              <w:widowControl/>
              <w:jc w:val="center"/>
              <w:rPr>
                <w:rFonts w:eastAsia="仿宋_GB2312"/>
                <w:kern w:val="0"/>
                <w:sz w:val="32"/>
                <w:szCs w:val="32"/>
              </w:rPr>
            </w:pPr>
            <w:r>
              <w:rPr>
                <w:rFonts w:hint="eastAsia" w:eastAsia="楷体_GB2312" w:cs="楷体_GB2312"/>
                <w:sz w:val="32"/>
                <w:szCs w:val="32"/>
              </w:rPr>
              <w:t>（</w:t>
            </w:r>
            <w:r>
              <w:rPr>
                <w:rFonts w:eastAsia="楷体_GB2312"/>
                <w:kern w:val="0"/>
                <w:sz w:val="32"/>
                <w:szCs w:val="32"/>
              </w:rPr>
              <w:t>2020</w:t>
            </w:r>
            <w:r>
              <w:rPr>
                <w:rFonts w:hint="eastAsia" w:eastAsia="楷体_GB2312" w:cs="楷体_GB2312"/>
                <w:kern w:val="0"/>
                <w:sz w:val="32"/>
                <w:szCs w:val="32"/>
              </w:rPr>
              <w:t>年度</w:t>
            </w:r>
            <w:r>
              <w:rPr>
                <w:rFonts w:hint="eastAsia" w:eastAsia="楷体_GB2312" w:cs="楷体_GB2312"/>
                <w:sz w:val="32"/>
                <w:szCs w:val="32"/>
              </w:rPr>
              <w:t>）</w:t>
            </w:r>
          </w:p>
        </w:tc>
      </w:tr>
      <w:tr>
        <w:tblPrEx>
          <w:tblCellMar>
            <w:top w:w="0" w:type="dxa"/>
            <w:left w:w="108" w:type="dxa"/>
            <w:bottom w:w="0" w:type="dxa"/>
            <w:right w:w="108" w:type="dxa"/>
          </w:tblCellMar>
        </w:tblPrEx>
        <w:trPr>
          <w:trHeight w:val="255" w:hRule="atLeast"/>
        </w:trPr>
        <w:tc>
          <w:tcPr>
            <w:tcW w:w="29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项目名称</w:t>
            </w:r>
          </w:p>
        </w:tc>
        <w:tc>
          <w:tcPr>
            <w:tcW w:w="6560"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返乡下乡创业明星奖励资金</w:t>
            </w:r>
          </w:p>
        </w:tc>
      </w:tr>
      <w:tr>
        <w:tblPrEx>
          <w:tblCellMar>
            <w:top w:w="0" w:type="dxa"/>
            <w:left w:w="108" w:type="dxa"/>
            <w:bottom w:w="0" w:type="dxa"/>
            <w:right w:w="108" w:type="dxa"/>
          </w:tblCellMar>
        </w:tblPrEx>
        <w:trPr>
          <w:trHeight w:val="255" w:hRule="atLeast"/>
        </w:trPr>
        <w:tc>
          <w:tcPr>
            <w:tcW w:w="29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预算单位</w:t>
            </w:r>
          </w:p>
        </w:tc>
        <w:tc>
          <w:tcPr>
            <w:tcW w:w="656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eastAsia="仿宋_GB2312"/>
                <w:kern w:val="0"/>
                <w:sz w:val="22"/>
                <w:szCs w:val="22"/>
                <w:lang w:eastAsia="zh-CN"/>
              </w:rPr>
            </w:pPr>
            <w:r>
              <w:rPr>
                <w:rFonts w:eastAsia="仿宋_GB2312"/>
                <w:kern w:val="0"/>
                <w:sz w:val="22"/>
                <w:szCs w:val="22"/>
              </w:rPr>
              <w:t>313301-</w:t>
            </w:r>
            <w:r>
              <w:rPr>
                <w:rFonts w:hint="eastAsia" w:eastAsia="仿宋_GB2312" w:cs="仿宋_GB2312"/>
                <w:kern w:val="0"/>
                <w:sz w:val="22"/>
                <w:szCs w:val="22"/>
              </w:rPr>
              <w:t>四川省人力资源和社会保障厅</w:t>
            </w:r>
            <w:r>
              <w:rPr>
                <w:rFonts w:hint="eastAsia" w:eastAsia="仿宋_GB2312" w:cs="仿宋_GB2312"/>
                <w:kern w:val="0"/>
                <w:sz w:val="22"/>
                <w:szCs w:val="22"/>
                <w:lang w:eastAsia="zh-CN"/>
              </w:rPr>
              <w:t>机关</w:t>
            </w:r>
          </w:p>
        </w:tc>
      </w:tr>
      <w:tr>
        <w:tblPrEx>
          <w:tblCellMar>
            <w:top w:w="0" w:type="dxa"/>
            <w:left w:w="108" w:type="dxa"/>
            <w:bottom w:w="0" w:type="dxa"/>
            <w:right w:w="108" w:type="dxa"/>
          </w:tblCellMar>
        </w:tblPrEx>
        <w:trPr>
          <w:trHeight w:val="285"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预算执行情况</w:t>
            </w:r>
            <w:r>
              <w:rPr>
                <w:rFonts w:eastAsia="仿宋_GB2312"/>
                <w:kern w:val="0"/>
                <w:sz w:val="22"/>
                <w:szCs w:val="22"/>
              </w:rPr>
              <w:t>(</w:t>
            </w:r>
            <w:r>
              <w:rPr>
                <w:rFonts w:hint="eastAsia" w:eastAsia="仿宋_GB2312" w:cs="仿宋_GB2312"/>
                <w:kern w:val="0"/>
                <w:sz w:val="22"/>
                <w:szCs w:val="22"/>
              </w:rPr>
              <w:t>万元</w:t>
            </w:r>
            <w:r>
              <w:rPr>
                <w:rFonts w:eastAsia="仿宋_GB2312"/>
                <w:kern w:val="0"/>
                <w:sz w:val="22"/>
                <w:szCs w:val="22"/>
              </w:rPr>
              <w:t>)</w:t>
            </w: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预算数</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100</w:t>
            </w:r>
          </w:p>
        </w:tc>
        <w:tc>
          <w:tcPr>
            <w:tcW w:w="1940"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执行数</w:t>
            </w:r>
            <w:r>
              <w:rPr>
                <w:rFonts w:eastAsia="仿宋_GB2312"/>
                <w:kern w:val="0"/>
                <w:sz w:val="22"/>
                <w:szCs w:val="22"/>
              </w:rPr>
              <w:t>:</w:t>
            </w:r>
          </w:p>
        </w:tc>
        <w:tc>
          <w:tcPr>
            <w:tcW w:w="2307"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100</w:t>
            </w:r>
          </w:p>
        </w:tc>
      </w:tr>
      <w:tr>
        <w:tblPrEx>
          <w:tblCellMar>
            <w:top w:w="0" w:type="dxa"/>
            <w:left w:w="108" w:type="dxa"/>
            <w:bottom w:w="0" w:type="dxa"/>
            <w:right w:w="108" w:type="dxa"/>
          </w:tblCellMar>
        </w:tblPrEx>
        <w:trPr>
          <w:trHeight w:val="28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100</w:t>
            </w:r>
          </w:p>
        </w:tc>
        <w:tc>
          <w:tcPr>
            <w:tcW w:w="1940"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其中</w:t>
            </w:r>
            <w:r>
              <w:rPr>
                <w:rFonts w:eastAsia="仿宋_GB2312"/>
                <w:kern w:val="0"/>
                <w:sz w:val="22"/>
                <w:szCs w:val="22"/>
              </w:rPr>
              <w:t>-</w:t>
            </w:r>
            <w:r>
              <w:rPr>
                <w:rFonts w:hint="eastAsia" w:eastAsia="仿宋_GB2312" w:cs="仿宋_GB2312"/>
                <w:kern w:val="0"/>
                <w:sz w:val="22"/>
                <w:szCs w:val="22"/>
              </w:rPr>
              <w:t>财政拨款</w:t>
            </w:r>
            <w:r>
              <w:rPr>
                <w:rFonts w:eastAsia="仿宋_GB2312"/>
                <w:kern w:val="0"/>
                <w:sz w:val="22"/>
                <w:szCs w:val="22"/>
              </w:rPr>
              <w:t>:</w:t>
            </w:r>
          </w:p>
        </w:tc>
        <w:tc>
          <w:tcPr>
            <w:tcW w:w="2307"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100</w:t>
            </w:r>
          </w:p>
        </w:tc>
      </w:tr>
      <w:tr>
        <w:tblPrEx>
          <w:tblCellMar>
            <w:top w:w="0" w:type="dxa"/>
            <w:left w:w="108" w:type="dxa"/>
            <w:bottom w:w="0" w:type="dxa"/>
            <w:right w:w="108" w:type="dxa"/>
          </w:tblCellMar>
        </w:tblPrEx>
        <w:trPr>
          <w:trHeight w:val="28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1975" w:type="dxa"/>
            <w:gridSpan w:val="2"/>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eastAsia="仿宋_GB2312"/>
                <w:kern w:val="0"/>
                <w:sz w:val="22"/>
                <w:szCs w:val="22"/>
              </w:rPr>
              <w:t>0</w:t>
            </w:r>
          </w:p>
        </w:tc>
        <w:tc>
          <w:tcPr>
            <w:tcW w:w="1940"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其它资金</w:t>
            </w:r>
            <w:r>
              <w:rPr>
                <w:rFonts w:eastAsia="仿宋_GB2312"/>
                <w:kern w:val="0"/>
                <w:sz w:val="22"/>
                <w:szCs w:val="22"/>
              </w:rPr>
              <w:t>:</w:t>
            </w:r>
          </w:p>
        </w:tc>
        <w:tc>
          <w:tcPr>
            <w:tcW w:w="2307"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　</w:t>
            </w:r>
            <w:r>
              <w:rPr>
                <w:rFonts w:eastAsia="仿宋_GB2312"/>
                <w:kern w:val="0"/>
                <w:sz w:val="22"/>
                <w:szCs w:val="22"/>
              </w:rPr>
              <w:t>0</w:t>
            </w:r>
          </w:p>
        </w:tc>
      </w:tr>
      <w:tr>
        <w:tblPrEx>
          <w:tblCellMar>
            <w:top w:w="0" w:type="dxa"/>
            <w:left w:w="108" w:type="dxa"/>
            <w:bottom w:w="0" w:type="dxa"/>
            <w:right w:w="108" w:type="dxa"/>
          </w:tblCellMar>
        </w:tblPrEx>
        <w:trPr>
          <w:trHeight w:val="255"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年度目标完成情况</w:t>
            </w:r>
          </w:p>
        </w:tc>
        <w:tc>
          <w:tcPr>
            <w:tcW w:w="4288" w:type="dxa"/>
            <w:gridSpan w:val="3"/>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预期目标</w:t>
            </w:r>
          </w:p>
        </w:tc>
        <w:tc>
          <w:tcPr>
            <w:tcW w:w="4247" w:type="dxa"/>
            <w:gridSpan w:val="2"/>
            <w:tcBorders>
              <w:top w:val="single" w:color="000000" w:sz="4" w:space="0"/>
              <w:left w:val="nil"/>
              <w:bottom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实际完成目标</w:t>
            </w:r>
          </w:p>
        </w:tc>
      </w:tr>
      <w:tr>
        <w:tblPrEx>
          <w:tblCellMar>
            <w:top w:w="0" w:type="dxa"/>
            <w:left w:w="108" w:type="dxa"/>
            <w:bottom w:w="0" w:type="dxa"/>
            <w:right w:w="108" w:type="dxa"/>
          </w:tblCellMar>
        </w:tblPrEx>
        <w:trPr>
          <w:trHeight w:val="1995"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4288" w:type="dxa"/>
            <w:gridSpan w:val="3"/>
            <w:tcBorders>
              <w:top w:val="single" w:color="000000" w:sz="4" w:space="0"/>
              <w:left w:val="nil"/>
              <w:bottom w:val="single" w:color="000000" w:sz="4" w:space="0"/>
              <w:right w:val="nil"/>
            </w:tcBorders>
            <w:vAlign w:val="center"/>
          </w:tcPr>
          <w:p>
            <w:pPr>
              <w:widowControl/>
              <w:spacing w:line="280" w:lineRule="exact"/>
              <w:jc w:val="left"/>
              <w:rPr>
                <w:rFonts w:eastAsia="仿宋_GB2312"/>
                <w:kern w:val="0"/>
                <w:sz w:val="22"/>
                <w:szCs w:val="22"/>
              </w:rPr>
            </w:pPr>
            <w:r>
              <w:rPr>
                <w:rFonts w:hint="eastAsia" w:eastAsia="仿宋_GB2312" w:cs="仿宋_GB2312"/>
                <w:kern w:val="0"/>
                <w:sz w:val="22"/>
                <w:szCs w:val="22"/>
              </w:rPr>
              <w:t>评选树立返乡下乡创业先进典型，通过召开表彰大会，表彰</w:t>
            </w:r>
            <w:r>
              <w:rPr>
                <w:rFonts w:eastAsia="仿宋_GB2312"/>
                <w:kern w:val="0"/>
                <w:sz w:val="22"/>
                <w:szCs w:val="22"/>
              </w:rPr>
              <w:t>200</w:t>
            </w:r>
            <w:r>
              <w:rPr>
                <w:rFonts w:hint="eastAsia" w:eastAsia="仿宋_GB2312" w:cs="仿宋_GB2312"/>
                <w:kern w:val="0"/>
                <w:sz w:val="22"/>
                <w:szCs w:val="22"/>
              </w:rPr>
              <w:t>名返乡下乡创业明星。</w:t>
            </w:r>
          </w:p>
        </w:tc>
        <w:tc>
          <w:tcPr>
            <w:tcW w:w="424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eastAsia="仿宋_GB2312"/>
                <w:kern w:val="0"/>
                <w:sz w:val="22"/>
                <w:szCs w:val="22"/>
              </w:rPr>
            </w:pPr>
            <w:r>
              <w:rPr>
                <w:rFonts w:hint="eastAsia" w:eastAsia="仿宋_GB2312" w:cs="仿宋_GB2312"/>
                <w:kern w:val="0"/>
                <w:sz w:val="22"/>
                <w:szCs w:val="22"/>
              </w:rPr>
              <w:t>评选树立返乡下乡创业先进典型，召开表彰大会，表彰</w:t>
            </w:r>
            <w:r>
              <w:rPr>
                <w:rFonts w:eastAsia="仿宋_GB2312"/>
                <w:kern w:val="0"/>
                <w:sz w:val="22"/>
                <w:szCs w:val="22"/>
              </w:rPr>
              <w:t>200</w:t>
            </w:r>
            <w:r>
              <w:rPr>
                <w:rFonts w:hint="eastAsia" w:eastAsia="仿宋_GB2312" w:cs="仿宋_GB2312"/>
                <w:kern w:val="0"/>
                <w:sz w:val="22"/>
                <w:szCs w:val="22"/>
              </w:rPr>
              <w:t>名返乡下乡创业明星。</w:t>
            </w:r>
          </w:p>
        </w:tc>
      </w:tr>
      <w:tr>
        <w:tblPrEx>
          <w:tblCellMar>
            <w:top w:w="0" w:type="dxa"/>
            <w:left w:w="108" w:type="dxa"/>
            <w:bottom w:w="0" w:type="dxa"/>
            <w:right w:w="108" w:type="dxa"/>
          </w:tblCellMar>
        </w:tblPrEx>
        <w:trPr>
          <w:trHeight w:val="564" w:hRule="atLeast"/>
        </w:trPr>
        <w:tc>
          <w:tcPr>
            <w:tcW w:w="1002" w:type="dxa"/>
            <w:vMerge w:val="restart"/>
            <w:tcBorders>
              <w:top w:val="nil"/>
              <w:left w:val="single" w:color="000000" w:sz="4" w:space="0"/>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绩效指标完成情况</w:t>
            </w:r>
          </w:p>
        </w:tc>
        <w:tc>
          <w:tcPr>
            <w:tcW w:w="841"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一级指标</w:t>
            </w:r>
          </w:p>
        </w:tc>
        <w:tc>
          <w:tcPr>
            <w:tcW w:w="1134"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二级指标</w:t>
            </w:r>
          </w:p>
        </w:tc>
        <w:tc>
          <w:tcPr>
            <w:tcW w:w="2313" w:type="dxa"/>
            <w:tcBorders>
              <w:top w:val="single" w:color="000000" w:sz="4" w:space="0"/>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三级指标</w:t>
            </w:r>
          </w:p>
        </w:tc>
        <w:tc>
          <w:tcPr>
            <w:tcW w:w="1940"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预期指标值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c>
          <w:tcPr>
            <w:tcW w:w="2307" w:type="dxa"/>
            <w:tcBorders>
              <w:top w:val="nil"/>
              <w:left w:val="nil"/>
              <w:bottom w:val="single" w:color="000000" w:sz="4" w:space="0"/>
              <w:right w:val="single" w:color="000000"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实际完成指标值</w:t>
            </w:r>
            <w:r>
              <w:rPr>
                <w:rFonts w:eastAsia="仿宋_GB2312"/>
                <w:kern w:val="0"/>
                <w:sz w:val="22"/>
                <w:szCs w:val="22"/>
              </w:rPr>
              <w:t>(</w:t>
            </w:r>
            <w:r>
              <w:rPr>
                <w:rFonts w:hint="eastAsia" w:eastAsia="仿宋_GB2312" w:cs="仿宋_GB2312"/>
                <w:kern w:val="0"/>
                <w:sz w:val="22"/>
                <w:szCs w:val="22"/>
              </w:rPr>
              <w:t>包含数字及文字描述</w:t>
            </w:r>
            <w:r>
              <w:rPr>
                <w:rFonts w:eastAsia="仿宋_GB2312"/>
                <w:kern w:val="0"/>
                <w:sz w:val="22"/>
                <w:szCs w:val="22"/>
              </w:rPr>
              <w:t>)</w:t>
            </w:r>
          </w:p>
        </w:tc>
      </w:tr>
      <w:tr>
        <w:tblPrEx>
          <w:tblCellMar>
            <w:top w:w="0" w:type="dxa"/>
            <w:left w:w="108" w:type="dxa"/>
            <w:bottom w:w="0" w:type="dxa"/>
            <w:right w:w="108" w:type="dxa"/>
          </w:tblCellMar>
        </w:tblPrEx>
        <w:trPr>
          <w:trHeight w:val="641"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restart"/>
            <w:tcBorders>
              <w:top w:val="nil"/>
              <w:left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项目完成指标</w:t>
            </w:r>
          </w:p>
        </w:tc>
        <w:tc>
          <w:tcPr>
            <w:tcW w:w="1134" w:type="dxa"/>
            <w:vMerge w:val="restart"/>
            <w:tcBorders>
              <w:top w:val="nil"/>
              <w:left w:val="nil"/>
              <w:right w:val="single" w:color="000000" w:sz="4" w:space="0"/>
            </w:tcBorders>
            <w:vAlign w:val="center"/>
          </w:tcPr>
          <w:p>
            <w:pPr>
              <w:jc w:val="center"/>
              <w:rPr>
                <w:rFonts w:eastAsia="仿宋_GB2312"/>
                <w:kern w:val="0"/>
                <w:sz w:val="22"/>
                <w:szCs w:val="22"/>
              </w:rPr>
            </w:pPr>
            <w:r>
              <w:rPr>
                <w:rFonts w:hint="eastAsia" w:eastAsia="仿宋_GB2312" w:cs="仿宋_GB2312"/>
                <w:kern w:val="0"/>
                <w:sz w:val="22"/>
                <w:szCs w:val="22"/>
              </w:rPr>
              <w:t>数量指标</w:t>
            </w:r>
          </w:p>
        </w:tc>
        <w:tc>
          <w:tcPr>
            <w:tcW w:w="2313" w:type="dxa"/>
            <w:tcBorders>
              <w:top w:val="single" w:color="000000" w:sz="4" w:space="0"/>
              <w:left w:val="nil"/>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表彰返乡下乡创业明星人数</w:t>
            </w:r>
          </w:p>
        </w:tc>
        <w:tc>
          <w:tcPr>
            <w:tcW w:w="1940"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200</w:t>
            </w:r>
            <w:r>
              <w:rPr>
                <w:rFonts w:hint="eastAsia" w:eastAsia="仿宋_GB2312" w:cs="仿宋_GB2312"/>
                <w:kern w:val="0"/>
                <w:sz w:val="22"/>
                <w:szCs w:val="22"/>
              </w:rPr>
              <w:t>人</w:t>
            </w:r>
          </w:p>
        </w:tc>
        <w:tc>
          <w:tcPr>
            <w:tcW w:w="230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200</w:t>
            </w:r>
            <w:r>
              <w:rPr>
                <w:rFonts w:hint="eastAsia" w:eastAsia="仿宋_GB2312" w:cs="仿宋_GB2312"/>
                <w:kern w:val="0"/>
                <w:sz w:val="22"/>
                <w:szCs w:val="22"/>
              </w:rPr>
              <w:t>人</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vMerge w:val="continue"/>
            <w:tcBorders>
              <w:left w:val="nil"/>
              <w:right w:val="single" w:color="000000" w:sz="4" w:space="0"/>
            </w:tcBorders>
            <w:vAlign w:val="center"/>
          </w:tcPr>
          <w:p>
            <w:pPr>
              <w:jc w:val="center"/>
              <w:rPr>
                <w:rFonts w:eastAsia="仿宋_GB2312"/>
                <w:kern w:val="0"/>
                <w:sz w:val="22"/>
                <w:szCs w:val="22"/>
              </w:rPr>
            </w:pPr>
          </w:p>
        </w:tc>
        <w:tc>
          <w:tcPr>
            <w:tcW w:w="1134" w:type="dxa"/>
            <w:vMerge w:val="continue"/>
            <w:tcBorders>
              <w:left w:val="nil"/>
              <w:right w:val="single" w:color="000000" w:sz="4" w:space="0"/>
            </w:tcBorders>
            <w:vAlign w:val="center"/>
          </w:tcPr>
          <w:p>
            <w:pPr>
              <w:jc w:val="center"/>
              <w:rPr>
                <w:rFonts w:eastAsia="仿宋_GB2312"/>
                <w:kern w:val="0"/>
                <w:sz w:val="22"/>
                <w:szCs w:val="22"/>
              </w:rPr>
            </w:pPr>
          </w:p>
        </w:tc>
        <w:tc>
          <w:tcPr>
            <w:tcW w:w="2313"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每人奖励资金</w:t>
            </w:r>
          </w:p>
        </w:tc>
        <w:tc>
          <w:tcPr>
            <w:tcW w:w="1940"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5000</w:t>
            </w:r>
            <w:r>
              <w:rPr>
                <w:rFonts w:hint="eastAsia" w:eastAsia="仿宋_GB2312" w:cs="仿宋_GB2312"/>
                <w:kern w:val="0"/>
                <w:sz w:val="22"/>
                <w:szCs w:val="22"/>
              </w:rPr>
              <w:t>元</w:t>
            </w:r>
          </w:p>
        </w:tc>
        <w:tc>
          <w:tcPr>
            <w:tcW w:w="2307"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5000</w:t>
            </w:r>
            <w:r>
              <w:rPr>
                <w:rFonts w:hint="eastAsia" w:eastAsia="仿宋_GB2312" w:cs="仿宋_GB2312"/>
                <w:kern w:val="0"/>
                <w:sz w:val="22"/>
                <w:szCs w:val="22"/>
              </w:rPr>
              <w:t>元</w:t>
            </w:r>
          </w:p>
        </w:tc>
      </w:tr>
      <w:tr>
        <w:tblPrEx>
          <w:tblCellMar>
            <w:top w:w="0" w:type="dxa"/>
            <w:left w:w="108" w:type="dxa"/>
            <w:bottom w:w="0" w:type="dxa"/>
            <w:right w:w="108" w:type="dxa"/>
          </w:tblCellMar>
        </w:tblPrEx>
        <w:trPr>
          <w:trHeight w:val="397" w:hRule="exact"/>
        </w:trPr>
        <w:tc>
          <w:tcPr>
            <w:tcW w:w="1002" w:type="dxa"/>
            <w:vMerge w:val="continue"/>
            <w:tcBorders>
              <w:top w:val="nil"/>
              <w:left w:val="single" w:color="000000" w:sz="4" w:space="0"/>
              <w:bottom w:val="single" w:color="000000" w:sz="4" w:space="0"/>
              <w:right w:val="single" w:color="auto" w:sz="4" w:space="0"/>
            </w:tcBorders>
            <w:vAlign w:val="center"/>
          </w:tcPr>
          <w:p>
            <w:pPr>
              <w:widowControl/>
              <w:jc w:val="left"/>
              <w:rPr>
                <w:rFonts w:eastAsia="仿宋_GB2312"/>
                <w:kern w:val="0"/>
                <w:sz w:val="22"/>
                <w:szCs w:val="22"/>
              </w:rPr>
            </w:pPr>
          </w:p>
        </w:tc>
        <w:tc>
          <w:tcPr>
            <w:tcW w:w="841" w:type="dxa"/>
            <w:vMerge w:val="continue"/>
            <w:tcBorders>
              <w:left w:val="single" w:color="auto" w:sz="4" w:space="0"/>
              <w:right w:val="single" w:color="000000" w:sz="4" w:space="0"/>
            </w:tcBorders>
            <w:vAlign w:val="center"/>
          </w:tcPr>
          <w:p>
            <w:pPr>
              <w:jc w:val="center"/>
              <w:rPr>
                <w:rFonts w:eastAsia="仿宋_GB2312"/>
                <w:kern w:val="0"/>
                <w:sz w:val="22"/>
                <w:szCs w:val="22"/>
              </w:rPr>
            </w:pPr>
          </w:p>
        </w:tc>
        <w:tc>
          <w:tcPr>
            <w:tcW w:w="1134" w:type="dxa"/>
            <w:tcBorders>
              <w:top w:val="single" w:color="auto" w:sz="4" w:space="0"/>
              <w:left w:val="single" w:color="000000" w:sz="4" w:space="0"/>
              <w:right w:val="single" w:color="auto" w:sz="4" w:space="0"/>
            </w:tcBorders>
            <w:vAlign w:val="center"/>
          </w:tcPr>
          <w:p>
            <w:pPr>
              <w:jc w:val="center"/>
              <w:rPr>
                <w:rFonts w:eastAsia="仿宋_GB2312"/>
                <w:kern w:val="0"/>
                <w:sz w:val="22"/>
                <w:szCs w:val="22"/>
              </w:rPr>
            </w:pPr>
            <w:r>
              <w:rPr>
                <w:rFonts w:hint="eastAsia" w:eastAsia="仿宋_GB2312" w:cs="仿宋_GB2312"/>
                <w:kern w:val="0"/>
                <w:sz w:val="22"/>
                <w:szCs w:val="22"/>
              </w:rPr>
              <w:t>时间指标</w:t>
            </w:r>
          </w:p>
        </w:tc>
        <w:tc>
          <w:tcPr>
            <w:tcW w:w="2313"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项目完成时间</w:t>
            </w:r>
          </w:p>
        </w:tc>
        <w:tc>
          <w:tcPr>
            <w:tcW w:w="1940"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年底</w:t>
            </w:r>
          </w:p>
        </w:tc>
        <w:tc>
          <w:tcPr>
            <w:tcW w:w="2307"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2"/>
                <w:szCs w:val="22"/>
              </w:rPr>
            </w:pPr>
            <w:r>
              <w:rPr>
                <w:rFonts w:eastAsia="仿宋_GB2312"/>
                <w:kern w:val="0"/>
                <w:sz w:val="22"/>
                <w:szCs w:val="22"/>
              </w:rPr>
              <w:t>12</w:t>
            </w:r>
            <w:r>
              <w:rPr>
                <w:rFonts w:hint="eastAsia" w:eastAsia="仿宋_GB2312" w:cs="仿宋_GB2312"/>
                <w:kern w:val="0"/>
                <w:sz w:val="22"/>
                <w:szCs w:val="22"/>
              </w:rPr>
              <w:t>月</w:t>
            </w:r>
          </w:p>
        </w:tc>
      </w:tr>
      <w:tr>
        <w:tblPrEx>
          <w:tblCellMar>
            <w:top w:w="0" w:type="dxa"/>
            <w:left w:w="108" w:type="dxa"/>
            <w:bottom w:w="0" w:type="dxa"/>
            <w:right w:w="108" w:type="dxa"/>
          </w:tblCellMar>
        </w:tblPrEx>
        <w:trPr>
          <w:trHeight w:val="1350"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效益指标</w:t>
            </w:r>
          </w:p>
        </w:tc>
        <w:tc>
          <w:tcPr>
            <w:tcW w:w="1134" w:type="dxa"/>
            <w:vMerge w:val="restart"/>
            <w:tcBorders>
              <w:top w:val="nil"/>
              <w:left w:val="nil"/>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可持续影响指标</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受表彰返乡下乡创业明星群体效益</w:t>
            </w:r>
          </w:p>
        </w:tc>
        <w:tc>
          <w:tcPr>
            <w:tcW w:w="1940" w:type="dxa"/>
            <w:tcBorders>
              <w:top w:val="single" w:color="000000" w:sz="4" w:space="0"/>
              <w:left w:val="nil"/>
              <w:bottom w:val="single" w:color="000000" w:sz="4" w:space="0"/>
              <w:right w:val="single" w:color="000000" w:sz="4" w:space="0"/>
            </w:tcBorders>
            <w:vAlign w:val="center"/>
          </w:tcPr>
          <w:p>
            <w:pPr>
              <w:widowControl/>
              <w:spacing w:line="240" w:lineRule="exact"/>
              <w:jc w:val="left"/>
              <w:rPr>
                <w:rFonts w:eastAsia="仿宋_GB2312"/>
                <w:kern w:val="0"/>
                <w:sz w:val="22"/>
                <w:szCs w:val="22"/>
              </w:rPr>
            </w:pPr>
            <w:r>
              <w:rPr>
                <w:rFonts w:hint="eastAsia" w:eastAsia="仿宋_GB2312" w:cs="仿宋_GB2312"/>
                <w:kern w:val="0"/>
                <w:sz w:val="22"/>
                <w:szCs w:val="22"/>
              </w:rPr>
              <w:t>增强表彰奖励获得者的荣誉感、获得感和归属感</w:t>
            </w:r>
          </w:p>
        </w:tc>
        <w:tc>
          <w:tcPr>
            <w:tcW w:w="2307" w:type="dxa"/>
            <w:tcBorders>
              <w:top w:val="nil"/>
              <w:left w:val="nil"/>
              <w:bottom w:val="single" w:color="auto" w:sz="4" w:space="0"/>
              <w:right w:val="single" w:color="auto" w:sz="4" w:space="0"/>
            </w:tcBorders>
            <w:vAlign w:val="center"/>
          </w:tcPr>
          <w:p>
            <w:pPr>
              <w:widowControl/>
              <w:spacing w:line="240" w:lineRule="exact"/>
              <w:jc w:val="center"/>
              <w:rPr>
                <w:rFonts w:eastAsia="仿宋_GB2312"/>
                <w:kern w:val="0"/>
                <w:sz w:val="22"/>
                <w:szCs w:val="22"/>
              </w:rPr>
            </w:pPr>
            <w:r>
              <w:rPr>
                <w:rFonts w:hint="eastAsia" w:eastAsia="仿宋_GB2312" w:cs="仿宋_GB2312"/>
                <w:kern w:val="0"/>
                <w:sz w:val="22"/>
                <w:szCs w:val="22"/>
              </w:rPr>
              <w:t>通过表彰，增强了返乡下乡创业明星的荣誉感，获得感和归属感。</w:t>
            </w:r>
          </w:p>
        </w:tc>
      </w:tr>
      <w:tr>
        <w:tblPrEx>
          <w:tblCellMar>
            <w:top w:w="0" w:type="dxa"/>
            <w:left w:w="108" w:type="dxa"/>
            <w:bottom w:w="0" w:type="dxa"/>
            <w:right w:w="108" w:type="dxa"/>
          </w:tblCellMar>
        </w:tblPrEx>
        <w:trPr>
          <w:trHeight w:val="814"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效益指标</w:t>
            </w:r>
          </w:p>
        </w:tc>
        <w:tc>
          <w:tcPr>
            <w:tcW w:w="1134" w:type="dxa"/>
            <w:vMerge w:val="continue"/>
            <w:tcBorders>
              <w:left w:val="nil"/>
              <w:bottom w:val="single" w:color="000000" w:sz="4" w:space="0"/>
              <w:right w:val="single" w:color="000000" w:sz="4" w:space="0"/>
            </w:tcBorders>
            <w:vAlign w:val="center"/>
          </w:tcPr>
          <w:p>
            <w:pPr>
              <w:widowControl/>
              <w:jc w:val="center"/>
              <w:rPr>
                <w:rFonts w:eastAsia="仿宋_GB2312"/>
                <w:kern w:val="0"/>
                <w:sz w:val="22"/>
                <w:szCs w:val="22"/>
              </w:rPr>
            </w:pP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社会效益</w:t>
            </w:r>
          </w:p>
        </w:tc>
        <w:tc>
          <w:tcPr>
            <w:tcW w:w="1940" w:type="dxa"/>
            <w:tcBorders>
              <w:top w:val="nil"/>
              <w:left w:val="nil"/>
              <w:bottom w:val="single" w:color="000000" w:sz="4" w:space="0"/>
              <w:right w:val="single" w:color="000000" w:sz="4" w:space="0"/>
            </w:tcBorders>
            <w:vAlign w:val="center"/>
          </w:tcPr>
          <w:p>
            <w:pPr>
              <w:widowControl/>
              <w:spacing w:line="240" w:lineRule="exact"/>
              <w:jc w:val="left"/>
              <w:rPr>
                <w:rFonts w:eastAsia="仿宋_GB2312"/>
                <w:kern w:val="0"/>
                <w:sz w:val="22"/>
                <w:szCs w:val="22"/>
              </w:rPr>
            </w:pPr>
            <w:r>
              <w:rPr>
                <w:rFonts w:hint="eastAsia" w:eastAsia="仿宋_GB2312" w:cs="仿宋_GB2312"/>
                <w:kern w:val="0"/>
                <w:sz w:val="22"/>
                <w:szCs w:val="22"/>
              </w:rPr>
              <w:t>通过评选树立返乡下乡创业先进典型，发挥示范带头作用，推动全省经济高质量发展</w:t>
            </w:r>
          </w:p>
        </w:tc>
        <w:tc>
          <w:tcPr>
            <w:tcW w:w="2307" w:type="dxa"/>
            <w:tcBorders>
              <w:top w:val="nil"/>
              <w:left w:val="nil"/>
              <w:bottom w:val="single" w:color="auto" w:sz="4" w:space="0"/>
              <w:right w:val="single" w:color="auto" w:sz="4" w:space="0"/>
            </w:tcBorders>
            <w:vAlign w:val="center"/>
          </w:tcPr>
          <w:p>
            <w:pPr>
              <w:widowControl/>
              <w:spacing w:line="240" w:lineRule="exact"/>
              <w:jc w:val="left"/>
              <w:rPr>
                <w:rFonts w:eastAsia="仿宋_GB2312"/>
                <w:kern w:val="0"/>
                <w:sz w:val="22"/>
                <w:szCs w:val="22"/>
              </w:rPr>
            </w:pPr>
            <w:r>
              <w:rPr>
                <w:rFonts w:hint="eastAsia" w:eastAsia="仿宋_GB2312" w:cs="仿宋_GB2312"/>
                <w:kern w:val="0"/>
                <w:sz w:val="22"/>
                <w:szCs w:val="22"/>
              </w:rPr>
              <w:t>通过评选树立返乡下乡创业先进典型，发挥农民工返乡下乡创业示范带头作用，推动全省经济高质量发展</w:t>
            </w:r>
          </w:p>
        </w:tc>
      </w:tr>
      <w:tr>
        <w:tblPrEx>
          <w:tblCellMar>
            <w:top w:w="0" w:type="dxa"/>
            <w:left w:w="108" w:type="dxa"/>
            <w:bottom w:w="0" w:type="dxa"/>
            <w:right w:w="108" w:type="dxa"/>
          </w:tblCellMar>
        </w:tblPrEx>
        <w:trPr>
          <w:trHeight w:val="970" w:hRule="atLeast"/>
        </w:trPr>
        <w:tc>
          <w:tcPr>
            <w:tcW w:w="1002" w:type="dxa"/>
            <w:vMerge w:val="continue"/>
            <w:tcBorders>
              <w:top w:val="nil"/>
              <w:left w:val="single" w:color="000000" w:sz="4" w:space="0"/>
              <w:bottom w:val="single" w:color="000000" w:sz="4" w:space="0"/>
              <w:right w:val="single" w:color="000000" w:sz="4" w:space="0"/>
            </w:tcBorders>
            <w:vAlign w:val="center"/>
          </w:tcPr>
          <w:p>
            <w:pPr>
              <w:widowControl/>
              <w:jc w:val="left"/>
              <w:rPr>
                <w:rFonts w:eastAsia="仿宋_GB2312"/>
                <w:kern w:val="0"/>
                <w:sz w:val="22"/>
                <w:szCs w:val="22"/>
              </w:rPr>
            </w:pPr>
          </w:p>
        </w:tc>
        <w:tc>
          <w:tcPr>
            <w:tcW w:w="841"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满意度指标</w:t>
            </w:r>
          </w:p>
        </w:tc>
        <w:tc>
          <w:tcPr>
            <w:tcW w:w="1134"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　</w:t>
            </w:r>
          </w:p>
        </w:tc>
        <w:tc>
          <w:tcPr>
            <w:tcW w:w="2313" w:type="dxa"/>
            <w:tcBorders>
              <w:top w:val="single" w:color="000000" w:sz="4" w:space="0"/>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受表彰返乡下乡创业明星满意度</w:t>
            </w:r>
          </w:p>
        </w:tc>
        <w:tc>
          <w:tcPr>
            <w:tcW w:w="1940" w:type="dxa"/>
            <w:tcBorders>
              <w:top w:val="nil"/>
              <w:left w:val="nil"/>
              <w:bottom w:val="single" w:color="000000" w:sz="4" w:space="0"/>
              <w:right w:val="single" w:color="000000"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98%</w:t>
            </w:r>
          </w:p>
        </w:tc>
        <w:tc>
          <w:tcPr>
            <w:tcW w:w="2307" w:type="dxa"/>
            <w:tcBorders>
              <w:top w:val="nil"/>
              <w:left w:val="nil"/>
              <w:bottom w:val="single" w:color="auto" w:sz="4" w:space="0"/>
              <w:right w:val="single" w:color="auto" w:sz="4" w:space="0"/>
            </w:tcBorders>
            <w:vAlign w:val="center"/>
          </w:tcPr>
          <w:p>
            <w:pPr>
              <w:widowControl/>
              <w:jc w:val="center"/>
              <w:rPr>
                <w:rFonts w:eastAsia="仿宋_GB2312"/>
                <w:kern w:val="0"/>
                <w:sz w:val="22"/>
                <w:szCs w:val="22"/>
              </w:rPr>
            </w:pPr>
            <w:r>
              <w:rPr>
                <w:rFonts w:hint="eastAsia" w:eastAsia="仿宋_GB2312" w:cs="仿宋_GB2312"/>
                <w:kern w:val="0"/>
                <w:sz w:val="22"/>
                <w:szCs w:val="22"/>
              </w:rPr>
              <w:t>大于</w:t>
            </w:r>
            <w:r>
              <w:rPr>
                <w:rFonts w:eastAsia="仿宋_GB2312"/>
                <w:kern w:val="0"/>
                <w:sz w:val="22"/>
                <w:szCs w:val="22"/>
              </w:rPr>
              <w:t>98%</w:t>
            </w:r>
          </w:p>
        </w:tc>
      </w:tr>
    </w:tbl>
    <w:p>
      <w:pPr>
        <w:adjustRightInd w:val="0"/>
        <w:snapToGrid w:val="0"/>
        <w:spacing w:line="608" w:lineRule="exact"/>
        <w:ind w:firstLine="640" w:firstLineChars="200"/>
        <w:jc w:val="left"/>
        <w:rPr>
          <w:rFonts w:eastAsia="仿宋_GB2312"/>
          <w:sz w:val="32"/>
          <w:szCs w:val="32"/>
        </w:rPr>
      </w:pPr>
    </w:p>
    <w:p>
      <w:pPr>
        <w:adjustRightInd w:val="0"/>
        <w:snapToGrid w:val="0"/>
        <w:spacing w:line="608" w:lineRule="exact"/>
        <w:ind w:firstLine="640" w:firstLineChars="200"/>
        <w:jc w:val="left"/>
        <w:rPr>
          <w:rFonts w:eastAsia="仿宋_GB2312"/>
          <w:sz w:val="32"/>
          <w:szCs w:val="32"/>
        </w:rPr>
      </w:pPr>
      <w:r>
        <w:rPr>
          <w:rFonts w:eastAsia="仿宋_GB2312"/>
          <w:sz w:val="32"/>
          <w:szCs w:val="32"/>
        </w:rPr>
        <w:t>2.</w:t>
      </w:r>
      <w:r>
        <w:rPr>
          <w:rFonts w:hint="eastAsia" w:ascii="CESI楷体-GB2312" w:hAnsi="CESI楷体-GB2312" w:eastAsia="CESI楷体-GB2312" w:cs="CESI楷体-GB2312"/>
          <w:sz w:val="32"/>
          <w:szCs w:val="32"/>
        </w:rPr>
        <w:t>单位绩效评价结果。</w:t>
      </w:r>
    </w:p>
    <w:p>
      <w:pPr>
        <w:adjustRightInd w:val="0"/>
        <w:snapToGrid w:val="0"/>
        <w:spacing w:line="608" w:lineRule="exact"/>
        <w:ind w:firstLine="640" w:firstLineChars="200"/>
        <w:jc w:val="left"/>
        <w:rPr>
          <w:rFonts w:eastAsia="仿宋_GB2312"/>
          <w:b/>
          <w:bCs/>
          <w:sz w:val="32"/>
          <w:szCs w:val="32"/>
        </w:rPr>
      </w:pPr>
      <w:r>
        <w:rPr>
          <w:rFonts w:hint="eastAsia" w:eastAsia="仿宋_GB2312" w:cs="仿宋_GB2312"/>
          <w:sz w:val="32"/>
          <w:szCs w:val="32"/>
        </w:rPr>
        <w:t>本单位未自行组织开展项目支出绩效评价。</w:t>
      </w:r>
    </w:p>
    <w:p>
      <w:pPr>
        <w:spacing w:line="600" w:lineRule="exact"/>
        <w:jc w:val="center"/>
        <w:outlineLvl w:val="0"/>
        <w:rPr>
          <w:rFonts w:eastAsia="仿宋_GB2312"/>
          <w:b/>
          <w:bCs/>
          <w:sz w:val="32"/>
          <w:szCs w:val="32"/>
        </w:rPr>
      </w:pPr>
      <w:r>
        <w:rPr>
          <w:rFonts w:eastAsia="仿宋_GB2312"/>
          <w:b/>
          <w:bCs/>
          <w:sz w:val="32"/>
          <w:szCs w:val="32"/>
        </w:rPr>
        <w:br w:type="page"/>
      </w:r>
      <w:bookmarkStart w:id="141" w:name="_Toc15377225"/>
      <w:bookmarkStart w:id="142" w:name="_Toc15396613"/>
    </w:p>
    <w:p>
      <w:pPr>
        <w:spacing w:line="600" w:lineRule="exact"/>
        <w:jc w:val="center"/>
        <w:outlineLvl w:val="0"/>
        <w:rPr>
          <w:rStyle w:val="17"/>
          <w:rFonts w:eastAsia="方正小标宋_GBK"/>
          <w:b w:val="0"/>
          <w:bCs w:val="0"/>
        </w:rPr>
      </w:pPr>
      <w:bookmarkStart w:id="143" w:name="_Toc81380060"/>
      <w:r>
        <w:rPr>
          <w:rFonts w:hint="eastAsia" w:eastAsia="方正小标宋_GBK" w:cs="方正小标宋_GBK"/>
          <w:sz w:val="44"/>
          <w:szCs w:val="44"/>
        </w:rPr>
        <w:t>第三部分</w:t>
      </w:r>
      <w:r>
        <w:rPr>
          <w:rFonts w:hint="eastAsia" w:eastAsia="方正小标宋_GBK" w:cs="方正小标宋_GBK"/>
          <w:color w:val="000000"/>
          <w:sz w:val="44"/>
          <w:szCs w:val="44"/>
        </w:rPr>
        <w:t>名</w:t>
      </w:r>
      <w:r>
        <w:rPr>
          <w:rStyle w:val="17"/>
          <w:rFonts w:hint="eastAsia" w:eastAsia="方正小标宋_GBK" w:cs="方正小标宋_GBK"/>
          <w:b w:val="0"/>
          <w:bCs w:val="0"/>
        </w:rPr>
        <w:t>词解释</w:t>
      </w:r>
      <w:bookmarkEnd w:id="143"/>
    </w:p>
    <w:bookmarkEnd w:id="141"/>
    <w:bookmarkEnd w:id="142"/>
    <w:p>
      <w:pPr>
        <w:adjustRightInd w:val="0"/>
        <w:snapToGrid w:val="0"/>
        <w:spacing w:line="608" w:lineRule="exact"/>
        <w:ind w:firstLine="642" w:firstLineChars="200"/>
        <w:rPr>
          <w:rFonts w:eastAsia="仿宋_GB2312"/>
          <w:b/>
          <w:bCs/>
          <w:color w:val="000000"/>
          <w:sz w:val="32"/>
          <w:szCs w:val="32"/>
        </w:rPr>
      </w:pP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财政拨款收入：指单位从同级财政部门取得的财政预算资金。</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事业收入：指事业单位开展专业业务活动及辅助活动取得的收入。</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经营收入：指事业单位在专业业务活动及其辅助活动之外开展非独立核算经营活动取得的收入。</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其他收入：指单位取得的除上述收入以外的各项收入。主要是利息收入等。</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使用非财政拨款结余：指事业单位使用以前年度积累的非财政拨款结余弥补当年收支差额的金额。</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年初结转和结余：指以前年度尚未完成、结转到本年按有关规定继续使用的资金。</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结余分配：指事业单位按照会计制度规定缴纳的所得税、提取的专用结余以及转入非财政拨款结余的金额等。</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年末结转和结余：指单位按有关规定结转到下年或以后年度继续使用的资金。</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9.</w:t>
      </w:r>
      <w:r>
        <w:rPr>
          <w:rFonts w:hint="eastAsia" w:eastAsia="仿宋_GB2312" w:cs="仿宋_GB2312"/>
          <w:color w:val="000000"/>
          <w:sz w:val="32"/>
          <w:szCs w:val="32"/>
        </w:rPr>
        <w:t>一般公共服务（类）政府办公厅（室）及相关机构事务（款）其他政府办公厅（室）及相关机构事务支出（项）：指除反映各级政府办公厅（室）及相关机构的支出以外的其他各级政府办公厅（室）及相关机构事务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一般公共服务（类）人力资源事务（款）博士后日常经费（项）：反映国家计划内招收的博士后人员日常经费及相关管理工作经费支出。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一般公共服务（类）其他一般公共服务支出（款）其他一般公共服务支出（项）：反映项目未包括的一般公共服务支出以外的其他一般公共服务支出。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10.</w:t>
      </w:r>
      <w:r>
        <w:rPr>
          <w:rFonts w:hint="eastAsia" w:eastAsia="仿宋_GB2312" w:cs="仿宋_GB2312"/>
          <w:color w:val="000000"/>
          <w:sz w:val="32"/>
          <w:szCs w:val="32"/>
        </w:rPr>
        <w:t>教育（类）进修及培训（款）培训支出（项）：</w:t>
      </w:r>
      <w:r>
        <w:rPr>
          <w:rFonts w:hint="eastAsia" w:eastAsia="仿宋_GB2312" w:cs="仿宋_GB2312"/>
          <w:sz w:val="32"/>
          <w:szCs w:val="32"/>
        </w:rPr>
        <w:t>指人力资源和社会保障部门用于培训方面的支出。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11.</w:t>
      </w:r>
      <w:r>
        <w:rPr>
          <w:rFonts w:hint="eastAsia" w:eastAsia="仿宋_GB2312" w:cs="仿宋_GB2312"/>
          <w:color w:val="000000"/>
          <w:sz w:val="32"/>
          <w:szCs w:val="32"/>
        </w:rPr>
        <w:t>社会保障和就业（类）人力资源和社会保障管理事务（款）行政运行（项）：指反映行政单位（包括实行公务员管理的事业单位）的基本支出。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社会保障和就业（类）人力资源和社会保障管理事务（款）一般行政管理事务（项）：指反映行政单位（包括实行公务员管理的事业单位）未单独设置项级科目的其他项目支出。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社会保障和就业（类）人力资源和社会保障管理事务（款）信息化建设（项）：指反映人力资源和社会保障部门用于信息化建设、运行维护和数据分析等方面的支出，如金保工程、社会保障卡建设和运行维护、人力资源市场信息化等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社会保障和就业（类）人力资源和社会保障管理事务（款）其他人力资源和社会保障管理事务（项）：指反映人力资源和社会保障管理事务支出以外其他用于人力资源和社会保障管理事务方面的支出。</w:t>
      </w:r>
    </w:p>
    <w:p>
      <w:pPr>
        <w:adjustRightInd w:val="0"/>
        <w:snapToGrid w:val="0"/>
        <w:spacing w:line="608" w:lineRule="exact"/>
        <w:ind w:firstLine="640" w:firstLineChars="200"/>
        <w:rPr>
          <w:rFonts w:eastAsia="仿宋_GB2312"/>
          <w:color w:val="000000"/>
          <w:sz w:val="32"/>
          <w:szCs w:val="32"/>
        </w:rPr>
      </w:pPr>
      <w:r>
        <w:rPr>
          <w:rFonts w:hint="eastAsia" w:eastAsia="仿宋_GB2312" w:cs="仿宋_GB2312"/>
          <w:color w:val="000000"/>
          <w:sz w:val="32"/>
          <w:szCs w:val="32"/>
        </w:rPr>
        <w:t>社会保障和就业（类）行政事业单位养老支出（款）行政单位离退休（项）：指反映行政单位（包括实行公务员管理的事业单位）开支的离退休经费。</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社会保障和就业（类）行政事业单位养老支出（款）机关事业单位基本养老保险缴费支出（项）：指反映机关事业单位实施养老保险制度由单位缴纳的基本养老保险费支出。</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社会保障和就业（类）就业补助（款）其他就业补助支出（项）：反映财政用于就业方面的补助支出项目以外的按规定确定的其他用于促进就业的补助支出。</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社会保障和就业（类）抚恤（款）死亡抚恤（项）：指反映按规定用于烈士和牺牲、病故人员家属的一次性和定期抚恤金以及丧葬补助费。</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社会保障和就业（类）其他社会保障和就业支出（款）其他社会保障和就业支出（项）：指反映政府在社会保障和就业方面的支出项目以外的其他用于社会保障和就业方面的支出。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12.</w:t>
      </w:r>
      <w:r>
        <w:rPr>
          <w:rFonts w:hint="eastAsia" w:eastAsia="仿宋_GB2312" w:cs="仿宋_GB2312"/>
          <w:color w:val="000000"/>
          <w:sz w:val="32"/>
          <w:szCs w:val="32"/>
        </w:rPr>
        <w:t>卫生健康（类）行政事业单位医疗（款）行政单位医疗（项）：指反映财政部门安排的行政单位（包括公务员管理的事业单位，下同）基本医疗保险缴费经费，未参加医疗保险的行政单位的公费医疗经费，按国家规定享受离休人员、红军老战士待遇人员的医疗经费。</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卫生健康（类）行政事业单位医疗（款）公务员医疗补助（项）：指反映财政部门安排的公务员医疗补助经费。</w:t>
      </w:r>
    </w:p>
    <w:p>
      <w:pPr>
        <w:pStyle w:val="2"/>
        <w:adjustRightInd w:val="0"/>
        <w:snapToGrid w:val="0"/>
        <w:spacing w:beforeLines="0" w:line="608" w:lineRule="exact"/>
        <w:ind w:firstLine="640" w:firstLineChars="200"/>
        <w:rPr>
          <w:rFonts w:ascii="Times New Roman" w:cs="Times New Roman"/>
          <w:color w:val="000000"/>
          <w:sz w:val="32"/>
          <w:szCs w:val="32"/>
        </w:rPr>
      </w:pPr>
      <w:r>
        <w:rPr>
          <w:rFonts w:ascii="Times New Roman" w:cs="Times New Roman"/>
          <w:color w:val="000000"/>
          <w:sz w:val="32"/>
          <w:szCs w:val="32"/>
        </w:rPr>
        <w:t>13.</w:t>
      </w:r>
      <w:r>
        <w:rPr>
          <w:rFonts w:hint="eastAsia" w:ascii="Times New Roman"/>
          <w:color w:val="000000"/>
          <w:sz w:val="32"/>
          <w:szCs w:val="32"/>
        </w:rPr>
        <w:t>住房保障（类）住房改革支出（款）住房公积金（项）：指反映行政事业单位按人力资源社会保障部、财政部规定的基本工资和津贴补贴以及规定比例为职工缴纳的住房公积金。</w:t>
      </w:r>
    </w:p>
    <w:p>
      <w:pPr>
        <w:pStyle w:val="2"/>
        <w:adjustRightInd w:val="0"/>
        <w:snapToGrid w:val="0"/>
        <w:spacing w:beforeLines="0" w:line="608" w:lineRule="exact"/>
        <w:ind w:firstLine="640" w:firstLineChars="200"/>
        <w:rPr>
          <w:rFonts w:ascii="Times New Roman" w:cs="Times New Roman"/>
          <w:color w:val="000000"/>
          <w:sz w:val="32"/>
          <w:szCs w:val="32"/>
        </w:rPr>
      </w:pPr>
      <w:r>
        <w:rPr>
          <w:rFonts w:hint="eastAsia" w:ascii="Times New Roman"/>
          <w:color w:val="000000"/>
          <w:sz w:val="32"/>
          <w:szCs w:val="32"/>
        </w:rPr>
        <w:t>住房保障（类）住房改革支出（款）购房补贴（项）：指反映按房改政策规定，行政事业单位向符合条件职工（含离退休人员）、军队（含武警）向转役复员离退休人员发放的用于购买住房的补贴。</w:t>
      </w:r>
    </w:p>
    <w:p>
      <w:pPr>
        <w:pStyle w:val="2"/>
        <w:adjustRightInd w:val="0"/>
        <w:snapToGrid w:val="0"/>
        <w:spacing w:beforeLines="0" w:line="608" w:lineRule="exact"/>
        <w:ind w:firstLine="640" w:firstLineChars="200"/>
        <w:rPr>
          <w:rFonts w:ascii="Times New Roman" w:cs="Times New Roman"/>
          <w:color w:val="000000"/>
          <w:sz w:val="32"/>
          <w:szCs w:val="32"/>
        </w:rPr>
      </w:pPr>
      <w:r>
        <w:rPr>
          <w:rFonts w:ascii="Times New Roman" w:cs="Times New Roman"/>
          <w:color w:val="000000"/>
          <w:sz w:val="32"/>
          <w:szCs w:val="32"/>
        </w:rPr>
        <w:t>14.</w:t>
      </w:r>
      <w:r>
        <w:rPr>
          <w:rFonts w:hint="eastAsia" w:ascii="Times New Roman"/>
          <w:color w:val="000000"/>
          <w:sz w:val="32"/>
          <w:szCs w:val="32"/>
        </w:rPr>
        <w:t>灾害防治及应急管理（类）应急管理事务（款）其他应急管理支出（项）：指反映政府用于自然灾害防治、安全生产监管及应急管理等方面的支出以外的其他应急管理方面的支出。</w:t>
      </w:r>
    </w:p>
    <w:p>
      <w:pPr>
        <w:pStyle w:val="2"/>
        <w:adjustRightInd w:val="0"/>
        <w:snapToGrid w:val="0"/>
        <w:spacing w:beforeLines="0" w:line="608" w:lineRule="exact"/>
        <w:ind w:firstLine="640" w:firstLineChars="200"/>
        <w:rPr>
          <w:rFonts w:ascii="Times New Roman" w:cs="Times New Roman"/>
          <w:sz w:val="32"/>
          <w:szCs w:val="32"/>
        </w:rPr>
      </w:pPr>
      <w:r>
        <w:rPr>
          <w:rFonts w:ascii="Times New Roman" w:cs="Times New Roman"/>
          <w:sz w:val="32"/>
          <w:szCs w:val="32"/>
        </w:rPr>
        <w:t>15.</w:t>
      </w:r>
      <w:r>
        <w:rPr>
          <w:rFonts w:hint="eastAsia" w:ascii="Times New Roman"/>
          <w:color w:val="000000"/>
          <w:sz w:val="32"/>
          <w:szCs w:val="32"/>
        </w:rPr>
        <w:t>其他（类）其他支出（款）其他支出（项）：指反映不能划分到具体功能科目中的其他政府支出项目以外的其他政府支出。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16.</w:t>
      </w:r>
      <w:r>
        <w:rPr>
          <w:rFonts w:hint="eastAsia" w:eastAsia="仿宋_GB2312" w:cs="仿宋_GB2312"/>
          <w:color w:val="000000"/>
          <w:sz w:val="32"/>
          <w:szCs w:val="32"/>
        </w:rPr>
        <w:t>基本支出：指为保障机构正常运转、完成日常工作任务而发生的人员支出和公用支出。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17.</w:t>
      </w:r>
      <w:r>
        <w:rPr>
          <w:rFonts w:hint="eastAsia" w:eastAsia="仿宋_GB2312" w:cs="仿宋_GB2312"/>
          <w:color w:val="000000"/>
          <w:sz w:val="32"/>
          <w:szCs w:val="32"/>
        </w:rPr>
        <w:t>项目支出：指在基本支出之外为完成特定行政任务和事业发展目标所发生的支出。</w:t>
      </w:r>
    </w:p>
    <w:p>
      <w:pPr>
        <w:adjustRightInd w:val="0"/>
        <w:snapToGrid w:val="0"/>
        <w:spacing w:line="608" w:lineRule="exact"/>
        <w:ind w:firstLine="640" w:firstLineChars="200"/>
        <w:rPr>
          <w:rFonts w:eastAsia="仿宋_GB2312"/>
          <w:color w:val="000000"/>
          <w:sz w:val="32"/>
          <w:szCs w:val="32"/>
        </w:rPr>
      </w:pPr>
      <w:r>
        <w:rPr>
          <w:rFonts w:eastAsia="仿宋_GB2312"/>
          <w:color w:val="000000"/>
          <w:sz w:val="32"/>
          <w:szCs w:val="32"/>
        </w:rPr>
        <w:t>18.</w:t>
      </w:r>
      <w:r>
        <w:rPr>
          <w:rFonts w:hint="eastAsia" w:eastAsia="仿宋_GB2312" w:cs="仿宋_GB2312"/>
          <w:color w:val="000000"/>
          <w:sz w:val="32"/>
          <w:szCs w:val="32"/>
        </w:rPr>
        <w:t>经营支出：指事业单位在专业业务活动及其辅助活动之外开展非独立核算经营活动发生的支出。</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19.</w:t>
      </w:r>
      <w:r>
        <w:rPr>
          <w:rFonts w:hint="eastAsia" w:ascii="Times New Roman" w:hAnsi="Times New Roman" w:eastAsia="仿宋_GB2312" w:cs="仿宋_GB2312"/>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napToGrid w:val="0"/>
        <w:spacing w:line="608"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napToGrid w:val="0"/>
        <w:spacing w:line="608" w:lineRule="exact"/>
        <w:ind w:firstLine="880" w:firstLineChars="200"/>
        <w:jc w:val="both"/>
        <w:rPr>
          <w:rFonts w:ascii="Times New Roman" w:hAnsi="Times New Roman" w:eastAsia="仿宋_GB2312" w:cs="Times New Roman"/>
          <w:sz w:val="44"/>
          <w:szCs w:val="44"/>
        </w:rPr>
        <w:sectPr>
          <w:footerReference r:id="rId10" w:type="default"/>
          <w:footerReference r:id="rId11" w:type="even"/>
          <w:pgSz w:w="11906" w:h="16838"/>
          <w:pgMar w:top="1928" w:right="1418" w:bottom="1474" w:left="1418" w:header="851" w:footer="992" w:gutter="0"/>
          <w:cols w:space="425" w:num="1"/>
          <w:docGrid w:type="lines" w:linePitch="312" w:charSpace="0"/>
        </w:sectPr>
      </w:pPr>
    </w:p>
    <w:p>
      <w:pPr>
        <w:pStyle w:val="27"/>
        <w:spacing w:line="560" w:lineRule="exact"/>
        <w:ind w:firstLine="880" w:firstLineChars="200"/>
        <w:rPr>
          <w:rFonts w:ascii="Times New Roman" w:hAnsi="Times New Roman" w:eastAsia="仿宋_GB2312" w:cs="Times New Roman"/>
          <w:sz w:val="44"/>
          <w:szCs w:val="44"/>
        </w:rPr>
      </w:pPr>
    </w:p>
    <w:p>
      <w:pPr>
        <w:adjustRightInd w:val="0"/>
        <w:snapToGrid w:val="0"/>
        <w:spacing w:line="600" w:lineRule="exact"/>
        <w:jc w:val="center"/>
        <w:outlineLvl w:val="0"/>
        <w:rPr>
          <w:rStyle w:val="17"/>
          <w:rFonts w:eastAsia="方正小标宋简体"/>
          <w:b w:val="0"/>
          <w:bCs w:val="0"/>
        </w:rPr>
      </w:pPr>
      <w:bookmarkStart w:id="144" w:name="_Toc81293335"/>
      <w:bookmarkStart w:id="145" w:name="_Toc15396614"/>
      <w:bookmarkStart w:id="146" w:name="_Toc81293514"/>
      <w:bookmarkStart w:id="147" w:name="_Toc81380061"/>
      <w:bookmarkStart w:id="148" w:name="_Toc15377226"/>
      <w:r>
        <w:rPr>
          <w:rFonts w:hint="eastAsia" w:eastAsia="方正小标宋简体" w:cs="方正小标宋简体"/>
          <w:color w:val="000000"/>
          <w:sz w:val="44"/>
          <w:szCs w:val="44"/>
        </w:rPr>
        <w:t>第</w:t>
      </w:r>
      <w:r>
        <w:rPr>
          <w:rStyle w:val="17"/>
          <w:rFonts w:hint="eastAsia" w:eastAsia="方正小标宋简体" w:cs="方正小标宋简体"/>
          <w:b w:val="0"/>
          <w:bCs w:val="0"/>
        </w:rPr>
        <w:t>四部分附件</w:t>
      </w:r>
      <w:bookmarkEnd w:id="144"/>
      <w:bookmarkEnd w:id="145"/>
      <w:bookmarkEnd w:id="146"/>
      <w:bookmarkEnd w:id="147"/>
    </w:p>
    <w:p>
      <w:pPr>
        <w:spacing w:line="600" w:lineRule="exact"/>
        <w:ind w:firstLine="640"/>
        <w:jc w:val="center"/>
        <w:rPr>
          <w:rFonts w:eastAsia="仿宋_GB2312"/>
          <w:sz w:val="32"/>
          <w:szCs w:val="32"/>
          <w:lang w:val="zh-CN"/>
        </w:rPr>
      </w:pPr>
    </w:p>
    <w:p>
      <w:pPr>
        <w:spacing w:line="600" w:lineRule="exact"/>
        <w:ind w:firstLine="640"/>
        <w:rPr>
          <w:rFonts w:eastAsia="仿宋_GB2312"/>
          <w:sz w:val="32"/>
          <w:szCs w:val="32"/>
          <w:lang w:val="zh-CN"/>
        </w:rPr>
      </w:pPr>
      <w:r>
        <w:rPr>
          <w:rFonts w:hint="eastAsia" w:eastAsia="仿宋_GB2312" w:cs="仿宋_GB2312"/>
          <w:sz w:val="32"/>
          <w:szCs w:val="32"/>
          <w:lang w:val="zh-CN"/>
        </w:rPr>
        <w:t>四川省人力资源和社会保障厅机关，未组织开展</w:t>
      </w:r>
      <w:r>
        <w:rPr>
          <w:rFonts w:eastAsia="仿宋_GB2312"/>
          <w:sz w:val="32"/>
          <w:szCs w:val="32"/>
          <w:lang w:val="zh-CN"/>
        </w:rPr>
        <w:t>2020</w:t>
      </w:r>
      <w:r>
        <w:rPr>
          <w:rFonts w:hint="eastAsia" w:eastAsia="仿宋_GB2312" w:cs="仿宋_GB2312"/>
          <w:sz w:val="32"/>
          <w:szCs w:val="32"/>
          <w:lang w:val="zh-CN"/>
        </w:rPr>
        <w:t>年项目支出绩效自评。</w:t>
      </w:r>
    </w:p>
    <w:p>
      <w:pPr>
        <w:adjustRightInd w:val="0"/>
        <w:snapToGrid w:val="0"/>
        <w:spacing w:line="600" w:lineRule="exact"/>
        <w:ind w:firstLine="640" w:firstLineChars="200"/>
        <w:rPr>
          <w:rFonts w:eastAsia="仿宋_GB2312"/>
          <w:color w:val="FF0000"/>
          <w:sz w:val="32"/>
          <w:szCs w:val="32"/>
        </w:rPr>
      </w:pPr>
      <w:r>
        <w:rPr>
          <w:rFonts w:eastAsia="仿宋_GB2312"/>
          <w:sz w:val="32"/>
          <w:szCs w:val="32"/>
          <w:lang w:val="zh-CN"/>
        </w:rPr>
        <w:tab/>
      </w:r>
    </w:p>
    <w:p>
      <w:pPr>
        <w:spacing w:line="600" w:lineRule="exact"/>
        <w:jc w:val="center"/>
        <w:outlineLvl w:val="0"/>
        <w:rPr>
          <w:rFonts w:eastAsia="仿宋_GB2312"/>
          <w:color w:val="000000"/>
          <w:sz w:val="32"/>
          <w:szCs w:val="32"/>
        </w:rPr>
      </w:pPr>
      <w:bookmarkStart w:id="149" w:name="_Toc15396618"/>
    </w:p>
    <w:p>
      <w:pPr>
        <w:spacing w:line="600" w:lineRule="exact"/>
        <w:jc w:val="center"/>
        <w:outlineLvl w:val="0"/>
        <w:rPr>
          <w:rFonts w:eastAsia="仿宋_GB2312"/>
          <w:color w:val="000000"/>
          <w:sz w:val="32"/>
          <w:szCs w:val="32"/>
        </w:rPr>
      </w:pPr>
    </w:p>
    <w:p>
      <w:pPr>
        <w:spacing w:line="600" w:lineRule="exact"/>
        <w:jc w:val="center"/>
        <w:outlineLvl w:val="0"/>
        <w:rPr>
          <w:rFonts w:eastAsia="仿宋_GB2312"/>
          <w:color w:val="000000"/>
          <w:sz w:val="32"/>
          <w:szCs w:val="32"/>
        </w:rPr>
      </w:pPr>
    </w:p>
    <w:p>
      <w:pPr>
        <w:spacing w:line="600" w:lineRule="exact"/>
        <w:jc w:val="center"/>
        <w:outlineLvl w:val="0"/>
        <w:rPr>
          <w:rFonts w:eastAsia="仿宋_GB2312"/>
          <w:color w:val="000000"/>
          <w:sz w:val="32"/>
          <w:szCs w:val="32"/>
        </w:rPr>
      </w:pPr>
    </w:p>
    <w:p>
      <w:pPr>
        <w:spacing w:line="600" w:lineRule="exact"/>
        <w:jc w:val="center"/>
        <w:outlineLvl w:val="0"/>
        <w:rPr>
          <w:rFonts w:eastAsia="仿宋_GB2312"/>
          <w:color w:val="000000"/>
          <w:sz w:val="32"/>
          <w:szCs w:val="32"/>
        </w:rPr>
      </w:pPr>
    </w:p>
    <w:p>
      <w:pPr>
        <w:spacing w:line="600" w:lineRule="exact"/>
        <w:jc w:val="center"/>
        <w:outlineLvl w:val="0"/>
        <w:rPr>
          <w:rFonts w:eastAsia="仿宋_GB2312"/>
          <w:color w:val="000000"/>
          <w:sz w:val="32"/>
          <w:szCs w:val="32"/>
        </w:rPr>
      </w:pPr>
    </w:p>
    <w:p>
      <w:pPr>
        <w:spacing w:line="600" w:lineRule="exact"/>
        <w:jc w:val="center"/>
        <w:outlineLvl w:val="0"/>
        <w:rPr>
          <w:rFonts w:eastAsia="仿宋_GB2312"/>
          <w:color w:val="000000"/>
          <w:sz w:val="32"/>
          <w:szCs w:val="32"/>
        </w:rPr>
        <w:sectPr>
          <w:footerReference r:id="rId12" w:type="default"/>
          <w:pgSz w:w="11906" w:h="16838"/>
          <w:pgMar w:top="1928" w:right="1418" w:bottom="1474" w:left="1418" w:header="851" w:footer="992" w:gutter="0"/>
          <w:cols w:space="425" w:num="1"/>
          <w:docGrid w:type="lines" w:linePitch="312" w:charSpace="0"/>
        </w:sectPr>
      </w:pPr>
    </w:p>
    <w:p>
      <w:pPr>
        <w:spacing w:line="600" w:lineRule="exact"/>
        <w:jc w:val="center"/>
        <w:outlineLvl w:val="0"/>
        <w:rPr>
          <w:rFonts w:eastAsia="仿宋_GB2312"/>
          <w:color w:val="000000"/>
          <w:sz w:val="32"/>
          <w:szCs w:val="32"/>
        </w:rPr>
      </w:pPr>
    </w:p>
    <w:p>
      <w:pPr>
        <w:spacing w:line="600" w:lineRule="exact"/>
        <w:jc w:val="center"/>
        <w:outlineLvl w:val="0"/>
        <w:rPr>
          <w:rStyle w:val="17"/>
          <w:rFonts w:eastAsia="方正小标宋简体"/>
          <w:b w:val="0"/>
          <w:bCs w:val="0"/>
        </w:rPr>
      </w:pPr>
      <w:bookmarkStart w:id="150" w:name="_Toc81293336"/>
      <w:bookmarkStart w:id="151" w:name="_Toc81293515"/>
      <w:bookmarkStart w:id="152" w:name="_Toc81380062"/>
      <w:r>
        <w:rPr>
          <w:rFonts w:hint="eastAsia" w:eastAsia="方正小标宋简体" w:cs="方正小标宋简体"/>
          <w:color w:val="000000"/>
          <w:sz w:val="44"/>
          <w:szCs w:val="44"/>
        </w:rPr>
        <w:t>第</w:t>
      </w:r>
      <w:r>
        <w:rPr>
          <w:rStyle w:val="17"/>
          <w:rFonts w:hint="eastAsia" w:eastAsia="方正小标宋简体" w:cs="方正小标宋简体"/>
          <w:b w:val="0"/>
          <w:bCs w:val="0"/>
        </w:rPr>
        <w:t>五部分附表</w:t>
      </w:r>
      <w:bookmarkEnd w:id="148"/>
      <w:bookmarkEnd w:id="149"/>
      <w:bookmarkEnd w:id="150"/>
      <w:bookmarkEnd w:id="151"/>
      <w:bookmarkEnd w:id="152"/>
      <w:bookmarkStart w:id="153" w:name="_Toc15396619"/>
    </w:p>
    <w:p>
      <w:pPr>
        <w:spacing w:line="600" w:lineRule="exact"/>
        <w:ind w:firstLine="640"/>
        <w:jc w:val="center"/>
      </w:pPr>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54" w:name="_Toc81293516"/>
      <w:bookmarkStart w:id="155" w:name="_Toc81293337"/>
      <w:bookmarkStart w:id="156" w:name="_Toc81380063"/>
      <w:r>
        <w:rPr>
          <w:rFonts w:hint="eastAsia" w:ascii="Times New Roman" w:hAnsi="Times New Roman" w:eastAsia="仿宋_GB2312" w:cs="仿宋_GB2312"/>
          <w:b w:val="0"/>
          <w:bCs w:val="0"/>
          <w:color w:val="000000"/>
        </w:rPr>
        <w:t>一、收</w:t>
      </w:r>
      <w:r>
        <w:rPr>
          <w:rStyle w:val="18"/>
          <w:rFonts w:hint="eastAsia" w:ascii="Times New Roman" w:hAnsi="Times New Roman" w:eastAsia="仿宋_GB2312" w:cs="仿宋_GB2312"/>
          <w:b w:val="0"/>
          <w:bCs w:val="0"/>
        </w:rPr>
        <w:t>入支出决算总表</w:t>
      </w:r>
      <w:bookmarkEnd w:id="153"/>
      <w:bookmarkEnd w:id="154"/>
      <w:bookmarkEnd w:id="155"/>
      <w:bookmarkEnd w:id="156"/>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57" w:name="_Toc81380064"/>
      <w:bookmarkStart w:id="158" w:name="_Toc81293517"/>
      <w:bookmarkStart w:id="159" w:name="_Toc81293338"/>
      <w:bookmarkStart w:id="160" w:name="_Toc15396620"/>
      <w:r>
        <w:rPr>
          <w:rFonts w:hint="eastAsia" w:ascii="Times New Roman" w:hAnsi="Times New Roman" w:eastAsia="仿宋_GB2312" w:cs="仿宋_GB2312"/>
          <w:b w:val="0"/>
          <w:bCs w:val="0"/>
          <w:color w:val="000000"/>
        </w:rPr>
        <w:t>二、收</w:t>
      </w:r>
      <w:r>
        <w:rPr>
          <w:rStyle w:val="18"/>
          <w:rFonts w:hint="eastAsia" w:ascii="Times New Roman" w:hAnsi="Times New Roman" w:eastAsia="仿宋_GB2312" w:cs="仿宋_GB2312"/>
          <w:b w:val="0"/>
          <w:bCs w:val="0"/>
        </w:rPr>
        <w:t>入决算表</w:t>
      </w:r>
      <w:bookmarkEnd w:id="157"/>
      <w:bookmarkEnd w:id="158"/>
      <w:bookmarkEnd w:id="159"/>
      <w:bookmarkEnd w:id="160"/>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61" w:name="_Toc81380065"/>
      <w:bookmarkStart w:id="162" w:name="_Toc81293339"/>
      <w:bookmarkStart w:id="163" w:name="_Toc81293518"/>
      <w:bookmarkStart w:id="164" w:name="_Toc15396621"/>
      <w:r>
        <w:rPr>
          <w:rStyle w:val="18"/>
          <w:rFonts w:hint="eastAsia" w:ascii="Times New Roman" w:hAnsi="Times New Roman" w:eastAsia="仿宋_GB2312" w:cs="仿宋_GB2312"/>
          <w:b w:val="0"/>
          <w:bCs w:val="0"/>
        </w:rPr>
        <w:t>三、</w:t>
      </w:r>
      <w:r>
        <w:rPr>
          <w:rFonts w:hint="eastAsia" w:ascii="Times New Roman" w:hAnsi="Times New Roman" w:eastAsia="仿宋_GB2312" w:cs="仿宋_GB2312"/>
          <w:b w:val="0"/>
          <w:bCs w:val="0"/>
          <w:color w:val="000000"/>
        </w:rPr>
        <w:t>支</w:t>
      </w:r>
      <w:r>
        <w:rPr>
          <w:rStyle w:val="18"/>
          <w:rFonts w:hint="eastAsia" w:ascii="Times New Roman" w:hAnsi="Times New Roman" w:eastAsia="仿宋_GB2312" w:cs="仿宋_GB2312"/>
          <w:b w:val="0"/>
          <w:bCs w:val="0"/>
        </w:rPr>
        <w:t>出决算表</w:t>
      </w:r>
      <w:bookmarkEnd w:id="161"/>
      <w:bookmarkEnd w:id="162"/>
      <w:bookmarkEnd w:id="163"/>
      <w:bookmarkEnd w:id="164"/>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b w:val="0"/>
          <w:bCs w:val="0"/>
          <w:color w:val="000000"/>
        </w:rPr>
      </w:pPr>
      <w:bookmarkStart w:id="165" w:name="_Toc81293340"/>
      <w:bookmarkStart w:id="166" w:name="_Toc15396622"/>
      <w:bookmarkStart w:id="167" w:name="_Toc81380066"/>
      <w:bookmarkStart w:id="168" w:name="_Toc81293519"/>
      <w:r>
        <w:rPr>
          <w:rStyle w:val="18"/>
          <w:rFonts w:hint="eastAsia" w:ascii="Times New Roman" w:hAnsi="Times New Roman" w:eastAsia="仿宋_GB2312" w:cs="仿宋_GB2312"/>
          <w:b w:val="0"/>
          <w:bCs w:val="0"/>
        </w:rPr>
        <w:t>四、</w:t>
      </w:r>
      <w:r>
        <w:rPr>
          <w:rFonts w:hint="eastAsia" w:ascii="Times New Roman" w:hAnsi="Times New Roman" w:eastAsia="仿宋_GB2312" w:cs="仿宋_GB2312"/>
          <w:b w:val="0"/>
          <w:bCs w:val="0"/>
          <w:color w:val="000000"/>
        </w:rPr>
        <w:t>财</w:t>
      </w:r>
      <w:r>
        <w:rPr>
          <w:rStyle w:val="18"/>
          <w:rFonts w:hint="eastAsia" w:ascii="Times New Roman" w:hAnsi="Times New Roman" w:eastAsia="仿宋_GB2312" w:cs="仿宋_GB2312"/>
          <w:b w:val="0"/>
          <w:bCs w:val="0"/>
        </w:rPr>
        <w:t>政拨款收入支出决算总表</w:t>
      </w:r>
      <w:bookmarkEnd w:id="165"/>
      <w:bookmarkEnd w:id="166"/>
      <w:bookmarkEnd w:id="167"/>
      <w:bookmarkEnd w:id="168"/>
    </w:p>
    <w:p>
      <w:pPr>
        <w:pStyle w:val="4"/>
        <w:keepNext w:val="0"/>
        <w:keepLines w:val="0"/>
        <w:adjustRightInd w:val="0"/>
        <w:snapToGrid w:val="0"/>
        <w:spacing w:before="0" w:after="0" w:line="600" w:lineRule="exact"/>
        <w:ind w:firstLine="640" w:firstLineChars="200"/>
        <w:rPr>
          <w:rStyle w:val="18"/>
          <w:rFonts w:ascii="Times New Roman" w:hAnsi="Times New Roman" w:eastAsia="仿宋_GB2312" w:cs="Times New Roman"/>
          <w:b w:val="0"/>
          <w:bCs w:val="0"/>
        </w:rPr>
      </w:pPr>
      <w:bookmarkStart w:id="169" w:name="_Toc15396623"/>
      <w:bookmarkStart w:id="170" w:name="_Toc81293520"/>
      <w:bookmarkStart w:id="171" w:name="_Toc81380067"/>
      <w:bookmarkStart w:id="172" w:name="_Toc81293341"/>
      <w:r>
        <w:rPr>
          <w:rStyle w:val="18"/>
          <w:rFonts w:hint="eastAsia" w:ascii="Times New Roman" w:hAnsi="Times New Roman" w:eastAsia="仿宋_GB2312" w:cs="仿宋_GB2312"/>
          <w:b w:val="0"/>
          <w:bCs w:val="0"/>
        </w:rPr>
        <w:t>五、</w:t>
      </w:r>
      <w:r>
        <w:rPr>
          <w:rFonts w:hint="eastAsia" w:ascii="Times New Roman" w:hAnsi="Times New Roman" w:eastAsia="仿宋_GB2312" w:cs="仿宋_GB2312"/>
          <w:b w:val="0"/>
          <w:bCs w:val="0"/>
          <w:color w:val="000000"/>
        </w:rPr>
        <w:t>财</w:t>
      </w:r>
      <w:r>
        <w:rPr>
          <w:rStyle w:val="18"/>
          <w:rFonts w:hint="eastAsia" w:ascii="Times New Roman" w:hAnsi="Times New Roman" w:eastAsia="仿宋_GB2312" w:cs="仿宋_GB2312"/>
          <w:b w:val="0"/>
          <w:bCs w:val="0"/>
        </w:rPr>
        <w:t>政拨款支出决算明细表</w:t>
      </w:r>
      <w:bookmarkEnd w:id="169"/>
      <w:bookmarkEnd w:id="170"/>
      <w:bookmarkEnd w:id="171"/>
      <w:bookmarkEnd w:id="172"/>
      <w:bookmarkStart w:id="173" w:name="_Toc15396624"/>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74" w:name="_Toc81293342"/>
      <w:bookmarkStart w:id="175" w:name="_Toc81293521"/>
      <w:bookmarkStart w:id="176" w:name="_Toc81380068"/>
      <w:r>
        <w:rPr>
          <w:rStyle w:val="18"/>
          <w:rFonts w:hint="eastAsia" w:ascii="Times New Roman" w:hAnsi="Times New Roman" w:eastAsia="仿宋_GB2312" w:cs="仿宋_GB2312"/>
          <w:b w:val="0"/>
          <w:bCs w:val="0"/>
        </w:rPr>
        <w:t>六、</w:t>
      </w:r>
      <w:r>
        <w:rPr>
          <w:rFonts w:hint="eastAsia" w:ascii="Times New Roman" w:hAnsi="Times New Roman" w:eastAsia="仿宋_GB2312" w:cs="仿宋_GB2312"/>
          <w:b w:val="0"/>
          <w:bCs w:val="0"/>
          <w:color w:val="000000"/>
        </w:rPr>
        <w:t>一</w:t>
      </w:r>
      <w:r>
        <w:rPr>
          <w:rStyle w:val="18"/>
          <w:rFonts w:hint="eastAsia" w:ascii="Times New Roman" w:hAnsi="Times New Roman" w:eastAsia="仿宋_GB2312" w:cs="仿宋_GB2312"/>
          <w:b w:val="0"/>
          <w:bCs w:val="0"/>
        </w:rPr>
        <w:t>般公共预算财政拨款支出决算表</w:t>
      </w:r>
      <w:bookmarkEnd w:id="173"/>
      <w:bookmarkEnd w:id="174"/>
      <w:bookmarkEnd w:id="175"/>
      <w:bookmarkEnd w:id="176"/>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77" w:name="_Toc81293522"/>
      <w:bookmarkStart w:id="178" w:name="_Toc81293343"/>
      <w:bookmarkStart w:id="179" w:name="_Toc15396625"/>
      <w:bookmarkStart w:id="180" w:name="_Toc81380069"/>
      <w:r>
        <w:rPr>
          <w:rStyle w:val="18"/>
          <w:rFonts w:hint="eastAsia" w:ascii="Times New Roman" w:hAnsi="Times New Roman" w:eastAsia="仿宋_GB2312" w:cs="仿宋_GB2312"/>
          <w:b w:val="0"/>
          <w:bCs w:val="0"/>
        </w:rPr>
        <w:t>七、</w:t>
      </w:r>
      <w:r>
        <w:rPr>
          <w:rFonts w:hint="eastAsia" w:ascii="Times New Roman" w:hAnsi="Times New Roman" w:eastAsia="仿宋_GB2312" w:cs="仿宋_GB2312"/>
          <w:b w:val="0"/>
          <w:bCs w:val="0"/>
          <w:color w:val="000000"/>
        </w:rPr>
        <w:t>一</w:t>
      </w:r>
      <w:r>
        <w:rPr>
          <w:rStyle w:val="18"/>
          <w:rFonts w:hint="eastAsia" w:ascii="Times New Roman" w:hAnsi="Times New Roman" w:eastAsia="仿宋_GB2312" w:cs="仿宋_GB2312"/>
          <w:b w:val="0"/>
          <w:bCs w:val="0"/>
        </w:rPr>
        <w:t>般公共预算财政拨款支出决算明细表</w:t>
      </w:r>
      <w:bookmarkEnd w:id="177"/>
      <w:bookmarkEnd w:id="178"/>
      <w:bookmarkEnd w:id="179"/>
      <w:bookmarkEnd w:id="180"/>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81" w:name="_Toc81293523"/>
      <w:bookmarkStart w:id="182" w:name="_Toc15396626"/>
      <w:bookmarkStart w:id="183" w:name="_Toc81380070"/>
      <w:bookmarkStart w:id="184" w:name="_Toc81293344"/>
      <w:r>
        <w:rPr>
          <w:rStyle w:val="18"/>
          <w:rFonts w:hint="eastAsia" w:ascii="Times New Roman" w:hAnsi="Times New Roman" w:eastAsia="仿宋_GB2312" w:cs="仿宋_GB2312"/>
          <w:b w:val="0"/>
          <w:bCs w:val="0"/>
        </w:rPr>
        <w:t>八、</w:t>
      </w:r>
      <w:r>
        <w:rPr>
          <w:rFonts w:hint="eastAsia" w:ascii="Times New Roman" w:hAnsi="Times New Roman" w:eastAsia="仿宋_GB2312" w:cs="仿宋_GB2312"/>
          <w:b w:val="0"/>
          <w:bCs w:val="0"/>
          <w:color w:val="000000"/>
        </w:rPr>
        <w:t>一</w:t>
      </w:r>
      <w:r>
        <w:rPr>
          <w:rStyle w:val="18"/>
          <w:rFonts w:hint="eastAsia" w:ascii="Times New Roman" w:hAnsi="Times New Roman" w:eastAsia="仿宋_GB2312" w:cs="仿宋_GB2312"/>
          <w:b w:val="0"/>
          <w:bCs w:val="0"/>
        </w:rPr>
        <w:t>般公共预算财政拨款基本支出决算表</w:t>
      </w:r>
      <w:bookmarkEnd w:id="181"/>
      <w:bookmarkEnd w:id="182"/>
      <w:bookmarkEnd w:id="183"/>
      <w:bookmarkEnd w:id="184"/>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85" w:name="_Toc81380071"/>
      <w:bookmarkStart w:id="186" w:name="_Toc15396627"/>
      <w:bookmarkStart w:id="187" w:name="_Toc81293345"/>
      <w:bookmarkStart w:id="188" w:name="_Toc81293524"/>
      <w:r>
        <w:rPr>
          <w:rStyle w:val="18"/>
          <w:rFonts w:hint="eastAsia" w:ascii="Times New Roman" w:hAnsi="Times New Roman" w:eastAsia="仿宋_GB2312" w:cs="仿宋_GB2312"/>
          <w:b w:val="0"/>
          <w:bCs w:val="0"/>
        </w:rPr>
        <w:t>九、</w:t>
      </w:r>
      <w:r>
        <w:rPr>
          <w:rFonts w:hint="eastAsia" w:ascii="Times New Roman" w:hAnsi="Times New Roman" w:eastAsia="仿宋_GB2312" w:cs="仿宋_GB2312"/>
          <w:b w:val="0"/>
          <w:bCs w:val="0"/>
          <w:color w:val="000000"/>
        </w:rPr>
        <w:t>一</w:t>
      </w:r>
      <w:r>
        <w:rPr>
          <w:rStyle w:val="18"/>
          <w:rFonts w:hint="eastAsia" w:ascii="Times New Roman" w:hAnsi="Times New Roman" w:eastAsia="仿宋_GB2312" w:cs="仿宋_GB2312"/>
          <w:b w:val="0"/>
          <w:bCs w:val="0"/>
        </w:rPr>
        <w:t>般公共预算财政拨款项目支出决算表</w:t>
      </w:r>
      <w:bookmarkEnd w:id="185"/>
      <w:bookmarkEnd w:id="186"/>
      <w:bookmarkEnd w:id="187"/>
      <w:bookmarkEnd w:id="188"/>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89" w:name="_Toc15396628"/>
      <w:bookmarkStart w:id="190" w:name="_Toc81293346"/>
      <w:bookmarkStart w:id="191" w:name="_Toc81293525"/>
      <w:bookmarkStart w:id="192" w:name="_Toc81380072"/>
      <w:r>
        <w:rPr>
          <w:rStyle w:val="18"/>
          <w:rFonts w:hint="eastAsia" w:ascii="Times New Roman" w:hAnsi="Times New Roman" w:eastAsia="仿宋_GB2312" w:cs="仿宋_GB2312"/>
          <w:b w:val="0"/>
          <w:bCs w:val="0"/>
        </w:rPr>
        <w:t>十、</w:t>
      </w:r>
      <w:r>
        <w:rPr>
          <w:rFonts w:hint="eastAsia" w:ascii="Times New Roman" w:hAnsi="Times New Roman" w:eastAsia="仿宋_GB2312" w:cs="仿宋_GB2312"/>
          <w:b w:val="0"/>
          <w:bCs w:val="0"/>
          <w:color w:val="000000"/>
        </w:rPr>
        <w:t>一</w:t>
      </w:r>
      <w:r>
        <w:rPr>
          <w:rStyle w:val="18"/>
          <w:rFonts w:hint="eastAsia" w:ascii="Times New Roman" w:hAnsi="Times New Roman" w:eastAsia="仿宋_GB2312" w:cs="仿宋_GB2312"/>
          <w:b w:val="0"/>
          <w:bCs w:val="0"/>
        </w:rPr>
        <w:t>般公共预算财政拨款“三公”经费支出决算表</w:t>
      </w:r>
      <w:bookmarkEnd w:id="189"/>
      <w:bookmarkEnd w:id="190"/>
      <w:bookmarkEnd w:id="191"/>
      <w:bookmarkEnd w:id="192"/>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93" w:name="_Toc81380073"/>
      <w:bookmarkStart w:id="194" w:name="_Toc81293347"/>
      <w:bookmarkStart w:id="195" w:name="_Toc15396629"/>
      <w:bookmarkStart w:id="196" w:name="_Toc81293526"/>
      <w:r>
        <w:rPr>
          <w:rStyle w:val="18"/>
          <w:rFonts w:hint="eastAsia" w:ascii="Times New Roman" w:hAnsi="Times New Roman" w:eastAsia="仿宋_GB2312" w:cs="仿宋_GB2312"/>
          <w:b w:val="0"/>
          <w:bCs w:val="0"/>
        </w:rPr>
        <w:t>十一、</w:t>
      </w:r>
      <w:r>
        <w:rPr>
          <w:rFonts w:hint="eastAsia" w:ascii="Times New Roman" w:hAnsi="Times New Roman" w:eastAsia="仿宋_GB2312" w:cs="仿宋_GB2312"/>
          <w:b w:val="0"/>
          <w:bCs w:val="0"/>
          <w:color w:val="000000"/>
        </w:rPr>
        <w:t>政</w:t>
      </w:r>
      <w:r>
        <w:rPr>
          <w:rStyle w:val="18"/>
          <w:rFonts w:hint="eastAsia" w:ascii="Times New Roman" w:hAnsi="Times New Roman" w:eastAsia="仿宋_GB2312" w:cs="仿宋_GB2312"/>
          <w:b w:val="0"/>
          <w:bCs w:val="0"/>
        </w:rPr>
        <w:t>府性基金预算财政拨款收入支出决算表</w:t>
      </w:r>
      <w:bookmarkEnd w:id="193"/>
      <w:bookmarkEnd w:id="194"/>
      <w:bookmarkEnd w:id="195"/>
      <w:bookmarkEnd w:id="196"/>
    </w:p>
    <w:p>
      <w:pPr>
        <w:pStyle w:val="4"/>
        <w:keepNext w:val="0"/>
        <w:keepLines w:val="0"/>
        <w:adjustRightInd w:val="0"/>
        <w:snapToGrid w:val="0"/>
        <w:spacing w:before="0" w:after="0" w:line="600" w:lineRule="exact"/>
        <w:ind w:firstLine="640" w:firstLineChars="200"/>
        <w:rPr>
          <w:rFonts w:ascii="Times New Roman" w:hAnsi="Times New Roman" w:eastAsia="仿宋_GB2312" w:cs="Times New Roman"/>
          <w:color w:val="000000"/>
        </w:rPr>
      </w:pPr>
      <w:bookmarkStart w:id="197" w:name="_Toc81380074"/>
      <w:bookmarkStart w:id="198" w:name="_Toc15396630"/>
      <w:bookmarkStart w:id="199" w:name="_Toc81293527"/>
      <w:bookmarkStart w:id="200" w:name="_Toc81293348"/>
      <w:r>
        <w:rPr>
          <w:rStyle w:val="18"/>
          <w:rFonts w:hint="eastAsia" w:ascii="Times New Roman" w:hAnsi="Times New Roman" w:eastAsia="仿宋_GB2312" w:cs="仿宋_GB2312"/>
          <w:b w:val="0"/>
          <w:bCs w:val="0"/>
        </w:rPr>
        <w:t>十二、</w:t>
      </w:r>
      <w:r>
        <w:rPr>
          <w:rFonts w:hint="eastAsia" w:ascii="Times New Roman" w:hAnsi="Times New Roman" w:eastAsia="仿宋_GB2312" w:cs="仿宋_GB2312"/>
          <w:b w:val="0"/>
          <w:bCs w:val="0"/>
          <w:color w:val="000000"/>
        </w:rPr>
        <w:t>政</w:t>
      </w:r>
      <w:r>
        <w:rPr>
          <w:rStyle w:val="18"/>
          <w:rFonts w:hint="eastAsia" w:ascii="Times New Roman" w:hAnsi="Times New Roman" w:eastAsia="仿宋_GB2312" w:cs="仿宋_GB2312"/>
          <w:b w:val="0"/>
          <w:bCs w:val="0"/>
        </w:rPr>
        <w:t>府性基金预算财政拨款“三公”经费支出决算表</w:t>
      </w:r>
      <w:bookmarkEnd w:id="197"/>
      <w:bookmarkEnd w:id="198"/>
      <w:bookmarkEnd w:id="199"/>
      <w:bookmarkEnd w:id="200"/>
    </w:p>
    <w:p>
      <w:pPr>
        <w:pStyle w:val="4"/>
        <w:keepNext w:val="0"/>
        <w:keepLines w:val="0"/>
        <w:adjustRightInd w:val="0"/>
        <w:snapToGrid w:val="0"/>
        <w:spacing w:before="0" w:after="0" w:line="600" w:lineRule="exact"/>
        <w:ind w:firstLine="640" w:firstLineChars="200"/>
        <w:rPr>
          <w:rStyle w:val="18"/>
          <w:rFonts w:ascii="Times New Roman" w:hAnsi="Times New Roman" w:eastAsia="仿宋_GB2312" w:cs="Times New Roman"/>
          <w:b w:val="0"/>
          <w:bCs w:val="0"/>
        </w:rPr>
      </w:pPr>
      <w:bookmarkStart w:id="201" w:name="_Toc81293528"/>
      <w:bookmarkStart w:id="202" w:name="_Toc81293349"/>
      <w:bookmarkStart w:id="203" w:name="_Toc81380075"/>
      <w:bookmarkStart w:id="204" w:name="_Toc15396631"/>
      <w:r>
        <w:rPr>
          <w:rStyle w:val="18"/>
          <w:rFonts w:hint="eastAsia" w:ascii="Times New Roman" w:hAnsi="Times New Roman" w:eastAsia="仿宋_GB2312" w:cs="仿宋_GB2312"/>
          <w:b w:val="0"/>
          <w:bCs w:val="0"/>
        </w:rPr>
        <w:t>十三、</w:t>
      </w:r>
      <w:r>
        <w:rPr>
          <w:rFonts w:hint="eastAsia" w:ascii="Times New Roman" w:hAnsi="Times New Roman" w:eastAsia="仿宋_GB2312" w:cs="仿宋_GB2312"/>
          <w:b w:val="0"/>
          <w:bCs w:val="0"/>
          <w:color w:val="000000"/>
        </w:rPr>
        <w:t>国</w:t>
      </w:r>
      <w:r>
        <w:rPr>
          <w:rStyle w:val="18"/>
          <w:rFonts w:hint="eastAsia" w:ascii="Times New Roman" w:hAnsi="Times New Roman" w:eastAsia="仿宋_GB2312" w:cs="仿宋_GB2312"/>
          <w:b w:val="0"/>
          <w:bCs w:val="0"/>
        </w:rPr>
        <w:t>有资本经营预算财政拨款收入支出决算表</w:t>
      </w:r>
      <w:bookmarkEnd w:id="201"/>
      <w:bookmarkEnd w:id="202"/>
      <w:bookmarkEnd w:id="203"/>
      <w:bookmarkEnd w:id="204"/>
    </w:p>
    <w:p>
      <w:pPr>
        <w:adjustRightInd w:val="0"/>
        <w:snapToGrid w:val="0"/>
        <w:spacing w:line="600" w:lineRule="exact"/>
        <w:ind w:firstLine="640" w:firstLineChars="200"/>
        <w:rPr>
          <w:rFonts w:eastAsia="仿宋_GB2312"/>
          <w:sz w:val="32"/>
          <w:szCs w:val="32"/>
        </w:rPr>
      </w:pPr>
      <w:bookmarkStart w:id="205" w:name="_Toc81293529"/>
      <w:bookmarkStart w:id="206" w:name="_Toc81380076"/>
      <w:bookmarkStart w:id="207" w:name="_Toc81293350"/>
      <w:r>
        <w:rPr>
          <w:rStyle w:val="18"/>
          <w:rFonts w:hint="eastAsia" w:ascii="Times New Roman" w:hAnsi="Times New Roman" w:eastAsia="仿宋_GB2312" w:cs="仿宋_GB2312"/>
          <w:b w:val="0"/>
          <w:bCs w:val="0"/>
        </w:rPr>
        <w:t>十四、国有资本经营预算财政拨款支出决算表</w:t>
      </w:r>
      <w:bookmarkEnd w:id="205"/>
      <w:bookmarkEnd w:id="206"/>
      <w:bookmarkEnd w:id="207"/>
    </w:p>
    <w:p/>
    <w:sectPr>
      <w:footerReference r:id="rId13" w:type="even"/>
      <w:pgSz w:w="11906" w:h="16838"/>
      <w:pgMar w:top="1928" w:right="141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方正细黑一_GBK"/>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CESI楷体-GB2312">
    <w:panose1 w:val="02000500000000000000"/>
    <w:charset w:val="86"/>
    <w:family w:val="auto"/>
    <w:pitch w:val="default"/>
    <w:sig w:usb0="800002BF" w:usb1="184F6CF8" w:usb2="00000012" w:usb3="00000000" w:csb0="0004000F"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37</w:t>
    </w:r>
    <w:r>
      <w:rPr>
        <w:rFonts w:ascii="??" w:hAnsi="??" w:cs="??"/>
        <w:sz w:val="28"/>
        <w:szCs w:val="28"/>
      </w:rPr>
      <w:fldChar w:fldCharType="end"/>
    </w:r>
    <w:r>
      <w:rPr>
        <w:rFonts w:ascii="??" w:hAnsi="??" w:cs="??"/>
        <w:sz w:val="28"/>
        <w:szCs w:val="2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36</w:t>
    </w:r>
    <w:r>
      <w:rPr>
        <w:rFonts w:ascii="??" w:hAnsi="??" w:cs="??"/>
        <w:sz w:val="28"/>
        <w:szCs w:val="28"/>
      </w:rPr>
      <w:fldChar w:fldCharType="end"/>
    </w:r>
    <w:r>
      <w:rPr>
        <w:rFonts w:ascii="??" w:hAnsi="??" w:cs="??"/>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cs="Times New Roman"/>
      </w:rPr>
    </w:pPr>
    <w:r>
      <w:fldChar w:fldCharType="begin"/>
    </w:r>
    <w:r>
      <w:instrText xml:space="preserve">PAGE   \* MERGEFORMAT</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1</w:t>
    </w:r>
    <w:r>
      <w:rPr>
        <w:rFonts w:ascii="??" w:hAnsi="??" w:cs="??"/>
        <w:sz w:val="28"/>
        <w:szCs w:val="28"/>
      </w:rPr>
      <w:fldChar w:fldCharType="end"/>
    </w:r>
    <w:r>
      <w:rPr>
        <w:rFonts w:ascii="??" w:hAnsi="??" w:cs="??"/>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2</w:t>
    </w:r>
    <w:r>
      <w:rPr>
        <w:rFonts w:ascii="??" w:hAnsi="??" w:cs="??"/>
        <w:sz w:val="28"/>
        <w:szCs w:val="28"/>
      </w:rPr>
      <w:fldChar w:fldCharType="end"/>
    </w:r>
    <w:r>
      <w:rPr>
        <w:rFonts w:ascii="??" w:hAnsi="??" w:cs="??"/>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17</w:t>
    </w:r>
    <w:r>
      <w:rPr>
        <w:rFonts w:ascii="??" w:hAnsi="??" w:cs="??"/>
        <w:sz w:val="28"/>
        <w:szCs w:val="28"/>
      </w:rPr>
      <w:fldChar w:fldCharType="end"/>
    </w:r>
    <w:r>
      <w:rPr>
        <w:rFonts w:ascii="??" w:hAnsi="??" w:cs="??"/>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 w:cs="Times New Roman"/>
        <w:sz w:val="28"/>
        <w:szCs w:val="28"/>
      </w:rPr>
    </w:pPr>
    <w:r>
      <w:rPr>
        <w:rFonts w:ascii="??" w:hAnsi="??" w:cs="??"/>
        <w:sz w:val="28"/>
        <w:szCs w:val="28"/>
      </w:rPr>
      <w:t>—</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lang w:val="zh-CN"/>
      </w:rPr>
      <w:t>16</w:t>
    </w:r>
    <w:r>
      <w:rPr>
        <w:rFonts w:ascii="??" w:hAnsi="??" w:cs="??"/>
        <w:sz w:val="28"/>
        <w:szCs w:val="28"/>
      </w:rPr>
      <w:fldChar w:fldCharType="end"/>
    </w:r>
    <w:r>
      <w:rPr>
        <w:rFonts w:ascii="??" w:hAnsi="??" w:cs="??"/>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2F8"/>
    <w:rsid w:val="0004250E"/>
    <w:rsid w:val="000846C9"/>
    <w:rsid w:val="000853F6"/>
    <w:rsid w:val="00093FD1"/>
    <w:rsid w:val="000B195B"/>
    <w:rsid w:val="000C6002"/>
    <w:rsid w:val="000D55FA"/>
    <w:rsid w:val="000E5592"/>
    <w:rsid w:val="000F0026"/>
    <w:rsid w:val="000F7811"/>
    <w:rsid w:val="00101D75"/>
    <w:rsid w:val="00107E4A"/>
    <w:rsid w:val="00171128"/>
    <w:rsid w:val="00171F83"/>
    <w:rsid w:val="00181D84"/>
    <w:rsid w:val="001A25C3"/>
    <w:rsid w:val="001B0C1F"/>
    <w:rsid w:val="001B2EEA"/>
    <w:rsid w:val="001C0169"/>
    <w:rsid w:val="00215F42"/>
    <w:rsid w:val="00217B8A"/>
    <w:rsid w:val="0023007C"/>
    <w:rsid w:val="00233165"/>
    <w:rsid w:val="00263CAF"/>
    <w:rsid w:val="00276C80"/>
    <w:rsid w:val="002971DA"/>
    <w:rsid w:val="002A3CB6"/>
    <w:rsid w:val="002F21DC"/>
    <w:rsid w:val="003D58D8"/>
    <w:rsid w:val="003E2B93"/>
    <w:rsid w:val="003F5739"/>
    <w:rsid w:val="003F5D29"/>
    <w:rsid w:val="00436A1B"/>
    <w:rsid w:val="004B6E6B"/>
    <w:rsid w:val="004C1FA9"/>
    <w:rsid w:val="004E2397"/>
    <w:rsid w:val="004F6EBB"/>
    <w:rsid w:val="00523901"/>
    <w:rsid w:val="00527EAD"/>
    <w:rsid w:val="00542B22"/>
    <w:rsid w:val="00545AAF"/>
    <w:rsid w:val="00560554"/>
    <w:rsid w:val="00565AF1"/>
    <w:rsid w:val="00591012"/>
    <w:rsid w:val="0059435B"/>
    <w:rsid w:val="005B478A"/>
    <w:rsid w:val="005B66A4"/>
    <w:rsid w:val="005D6AAE"/>
    <w:rsid w:val="005E4DD5"/>
    <w:rsid w:val="005E6705"/>
    <w:rsid w:val="005F301C"/>
    <w:rsid w:val="00622D11"/>
    <w:rsid w:val="00641637"/>
    <w:rsid w:val="006508C8"/>
    <w:rsid w:val="00652952"/>
    <w:rsid w:val="00653880"/>
    <w:rsid w:val="006A52F8"/>
    <w:rsid w:val="006C12B3"/>
    <w:rsid w:val="0075388F"/>
    <w:rsid w:val="00763B79"/>
    <w:rsid w:val="00770FBE"/>
    <w:rsid w:val="00781503"/>
    <w:rsid w:val="00796DCE"/>
    <w:rsid w:val="007C45E9"/>
    <w:rsid w:val="007C707E"/>
    <w:rsid w:val="007D253B"/>
    <w:rsid w:val="007D3A71"/>
    <w:rsid w:val="007F3E50"/>
    <w:rsid w:val="007F7FFD"/>
    <w:rsid w:val="00814DCD"/>
    <w:rsid w:val="00841531"/>
    <w:rsid w:val="00861FD1"/>
    <w:rsid w:val="0087612E"/>
    <w:rsid w:val="00886827"/>
    <w:rsid w:val="008C5359"/>
    <w:rsid w:val="008E6BF2"/>
    <w:rsid w:val="0093112F"/>
    <w:rsid w:val="00960A80"/>
    <w:rsid w:val="009874C6"/>
    <w:rsid w:val="009C1128"/>
    <w:rsid w:val="009C77F5"/>
    <w:rsid w:val="009F4713"/>
    <w:rsid w:val="00A44EE1"/>
    <w:rsid w:val="00A53BF5"/>
    <w:rsid w:val="00AD7B04"/>
    <w:rsid w:val="00B21988"/>
    <w:rsid w:val="00B80429"/>
    <w:rsid w:val="00B93DC8"/>
    <w:rsid w:val="00BC0D7E"/>
    <w:rsid w:val="00C357DA"/>
    <w:rsid w:val="00C61369"/>
    <w:rsid w:val="00C70DC1"/>
    <w:rsid w:val="00CF0F9D"/>
    <w:rsid w:val="00CF38EC"/>
    <w:rsid w:val="00D07C66"/>
    <w:rsid w:val="00D42E9A"/>
    <w:rsid w:val="00D8504E"/>
    <w:rsid w:val="00D86C68"/>
    <w:rsid w:val="00D86CAA"/>
    <w:rsid w:val="00D94188"/>
    <w:rsid w:val="00D96903"/>
    <w:rsid w:val="00DA5C91"/>
    <w:rsid w:val="00DA6627"/>
    <w:rsid w:val="00DC3B95"/>
    <w:rsid w:val="00DC7458"/>
    <w:rsid w:val="00DE4622"/>
    <w:rsid w:val="00E303C7"/>
    <w:rsid w:val="00E33C48"/>
    <w:rsid w:val="00E34D47"/>
    <w:rsid w:val="00E4697A"/>
    <w:rsid w:val="00E50BF1"/>
    <w:rsid w:val="00E95E3D"/>
    <w:rsid w:val="00EA43DB"/>
    <w:rsid w:val="00EB58C0"/>
    <w:rsid w:val="00EF30CD"/>
    <w:rsid w:val="00F326B3"/>
    <w:rsid w:val="00FB1511"/>
    <w:rsid w:val="00FC64C8"/>
    <w:rsid w:val="00FD394B"/>
    <w:rsid w:val="00FF3AA1"/>
    <w:rsid w:val="1AB78A56"/>
    <w:rsid w:val="2B9E0310"/>
    <w:rsid w:val="77FEC33E"/>
    <w:rsid w:val="78FFBA34"/>
    <w:rsid w:val="AB45973C"/>
    <w:rsid w:val="BCEF2D74"/>
    <w:rsid w:val="BF7D0B8A"/>
    <w:rsid w:val="C751012C"/>
    <w:rsid w:val="CDFF057F"/>
    <w:rsid w:val="CEEE4DB2"/>
    <w:rsid w:val="DDFAF0B6"/>
    <w:rsid w:val="DFF74ADD"/>
    <w:rsid w:val="DFFB7788"/>
    <w:rsid w:val="F7DE1235"/>
    <w:rsid w:val="F7DEA674"/>
    <w:rsid w:val="F7F7EB07"/>
    <w:rsid w:val="FD7F3FD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qFormat="1" w:unhideWhenUsed="0" w:uiPriority="99" w:name="line number"/>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szCs w:val="21"/>
      <w:lang w:val="en-US" w:eastAsia="zh-CN" w:bidi="ar-SA"/>
    </w:rPr>
  </w:style>
  <w:style w:type="paragraph" w:styleId="3">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cs="仿宋_GB2312"/>
      <w:kern w:val="0"/>
      <w:sz w:val="24"/>
      <w:szCs w:val="24"/>
    </w:rPr>
  </w:style>
  <w:style w:type="paragraph" w:styleId="6">
    <w:name w:val="toc 3"/>
    <w:basedOn w:val="1"/>
    <w:next w:val="1"/>
    <w:semiHidden/>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semiHidden/>
    <w:qFormat/>
    <w:uiPriority w:val="99"/>
    <w:pPr>
      <w:tabs>
        <w:tab w:val="right" w:leader="dot" w:pos="8296"/>
      </w:tabs>
      <w:spacing w:line="400" w:lineRule="exact"/>
      <w:ind w:left="179" w:hanging="179" w:hangingChars="64"/>
    </w:pPr>
    <w:rPr>
      <w:rFonts w:ascii="仿宋" w:hAnsi="仿宋" w:eastAsia="仿宋" w:cs="仿宋"/>
      <w:sz w:val="28"/>
      <w:szCs w:val="28"/>
    </w:rPr>
  </w:style>
  <w:style w:type="paragraph" w:styleId="11">
    <w:name w:val="toc 2"/>
    <w:basedOn w:val="1"/>
    <w:next w:val="1"/>
    <w:semiHidden/>
    <w:qFormat/>
    <w:uiPriority w:val="99"/>
    <w:pPr>
      <w:tabs>
        <w:tab w:val="right" w:leader="dot" w:pos="8296"/>
      </w:tabs>
      <w:ind w:left="420" w:hanging="420" w:hangingChars="200"/>
      <w:jc w:val="left"/>
    </w:pPr>
  </w:style>
  <w:style w:type="character" w:styleId="14">
    <w:name w:val="Strong"/>
    <w:basedOn w:val="13"/>
    <w:qFormat/>
    <w:uiPriority w:val="99"/>
    <w:rPr>
      <w:b/>
      <w:bCs/>
    </w:rPr>
  </w:style>
  <w:style w:type="character" w:styleId="15">
    <w:name w:val="line number"/>
    <w:basedOn w:val="13"/>
    <w:semiHidden/>
    <w:qFormat/>
    <w:uiPriority w:val="99"/>
  </w:style>
  <w:style w:type="character" w:styleId="16">
    <w:name w:val="Hyperlink"/>
    <w:basedOn w:val="13"/>
    <w:qFormat/>
    <w:uiPriority w:val="99"/>
    <w:rPr>
      <w:color w:val="0000FF"/>
      <w:u w:val="single"/>
    </w:rPr>
  </w:style>
  <w:style w:type="character" w:customStyle="1" w:styleId="17">
    <w:name w:val="Heading 1 Char"/>
    <w:basedOn w:val="13"/>
    <w:link w:val="3"/>
    <w:qFormat/>
    <w:locked/>
    <w:uiPriority w:val="99"/>
    <w:rPr>
      <w:rFonts w:ascii="Times New Roman" w:hAnsi="Times New Roman" w:cs="Times New Roman"/>
      <w:b/>
      <w:bCs/>
      <w:kern w:val="44"/>
      <w:sz w:val="44"/>
      <w:szCs w:val="44"/>
    </w:rPr>
  </w:style>
  <w:style w:type="character" w:customStyle="1" w:styleId="18">
    <w:name w:val="Heading 2 Char"/>
    <w:basedOn w:val="13"/>
    <w:link w:val="4"/>
    <w:qFormat/>
    <w:locked/>
    <w:uiPriority w:val="99"/>
    <w:rPr>
      <w:rFonts w:ascii="Cambria" w:hAnsi="Cambria" w:cs="Cambria"/>
      <w:b/>
      <w:bCs/>
      <w:sz w:val="32"/>
      <w:szCs w:val="32"/>
    </w:rPr>
  </w:style>
  <w:style w:type="character" w:customStyle="1" w:styleId="19">
    <w:name w:val="Heading 3 Char"/>
    <w:basedOn w:val="13"/>
    <w:link w:val="5"/>
    <w:qFormat/>
    <w:locked/>
    <w:uiPriority w:val="99"/>
    <w:rPr>
      <w:rFonts w:ascii="Times New Roman" w:hAnsi="Times New Roman" w:cs="Times New Roman"/>
      <w:b/>
      <w:bCs/>
      <w:sz w:val="32"/>
      <w:szCs w:val="32"/>
    </w:rPr>
  </w:style>
  <w:style w:type="character" w:customStyle="1" w:styleId="20">
    <w:name w:val="Body Text Char"/>
    <w:basedOn w:val="13"/>
    <w:link w:val="2"/>
    <w:semiHidden/>
    <w:qFormat/>
    <w:locked/>
    <w:uiPriority w:val="99"/>
    <w:rPr>
      <w:rFonts w:ascii="Times New Roman" w:hAnsi="Times New Roman" w:cs="Times New Roman"/>
      <w:sz w:val="24"/>
      <w:szCs w:val="24"/>
    </w:rPr>
  </w:style>
  <w:style w:type="character" w:customStyle="1" w:styleId="21">
    <w:name w:val="Balloon Text Char"/>
    <w:basedOn w:val="13"/>
    <w:link w:val="7"/>
    <w:semiHidden/>
    <w:qFormat/>
    <w:locked/>
    <w:uiPriority w:val="99"/>
    <w:rPr>
      <w:rFonts w:ascii="Times New Roman" w:hAnsi="Times New Roman" w:cs="Times New Roman"/>
      <w:sz w:val="18"/>
      <w:szCs w:val="18"/>
    </w:rPr>
  </w:style>
  <w:style w:type="character" w:customStyle="1" w:styleId="22">
    <w:name w:val="Footer Char"/>
    <w:basedOn w:val="13"/>
    <w:link w:val="8"/>
    <w:semiHidden/>
    <w:qFormat/>
    <w:locked/>
    <w:uiPriority w:val="99"/>
    <w:rPr>
      <w:rFonts w:ascii="Times New Roman" w:hAnsi="Times New Roman" w:cs="Times New Roman"/>
      <w:sz w:val="18"/>
      <w:szCs w:val="18"/>
    </w:rPr>
  </w:style>
  <w:style w:type="character" w:customStyle="1" w:styleId="23">
    <w:name w:val="Header Char"/>
    <w:basedOn w:val="13"/>
    <w:link w:val="9"/>
    <w:semiHidden/>
    <w:qFormat/>
    <w:locked/>
    <w:uiPriority w:val="99"/>
    <w:rPr>
      <w:rFonts w:ascii="Times New Roman" w:hAnsi="Times New Roman" w:cs="Times New Roman"/>
      <w:sz w:val="18"/>
      <w:szCs w:val="18"/>
    </w:rPr>
  </w:style>
  <w:style w:type="character" w:customStyle="1" w:styleId="24">
    <w:name w:val="Body Text Char1"/>
    <w:basedOn w:val="13"/>
    <w:link w:val="2"/>
    <w:qFormat/>
    <w:locked/>
    <w:uiPriority w:val="99"/>
    <w:rPr>
      <w:rFonts w:ascii="仿宋_GB2312" w:hAnsi="Times New Roman" w:eastAsia="仿宋_GB2312" w:cs="仿宋_GB2312"/>
      <w:kern w:val="0"/>
      <w:sz w:val="20"/>
      <w:szCs w:val="20"/>
    </w:rPr>
  </w:style>
  <w:style w:type="character" w:customStyle="1" w:styleId="25">
    <w:name w:val="Footer Char1"/>
    <w:basedOn w:val="13"/>
    <w:link w:val="8"/>
    <w:qFormat/>
    <w:locked/>
    <w:uiPriority w:val="99"/>
    <w:rPr>
      <w:rFonts w:ascii="Calibri" w:hAnsi="Calibri" w:cs="Calibri"/>
      <w:kern w:val="0"/>
      <w:sz w:val="20"/>
      <w:szCs w:val="20"/>
    </w:rPr>
  </w:style>
  <w:style w:type="character" w:customStyle="1" w:styleId="26">
    <w:name w:val="Header Char1"/>
    <w:basedOn w:val="13"/>
    <w:link w:val="9"/>
    <w:semiHidden/>
    <w:qFormat/>
    <w:locked/>
    <w:uiPriority w:val="99"/>
    <w:rPr>
      <w:rFonts w:ascii="Calibri" w:hAnsi="Calibri" w:cs="Calibri"/>
      <w:kern w:val="0"/>
      <w:sz w:val="20"/>
      <w:szCs w:val="20"/>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31">
    <w:name w:val="Char Char3"/>
    <w:semiHidden/>
    <w:qFormat/>
    <w:uiPriority w:val="99"/>
    <w:rPr>
      <w:sz w:val="18"/>
      <w:szCs w:val="18"/>
    </w:rPr>
  </w:style>
  <w:style w:type="paragraph" w:customStyle="1" w:styleId="32">
    <w:name w:val="TOC Heading2"/>
    <w:basedOn w:val="3"/>
    <w:next w:val="1"/>
    <w:qFormat/>
    <w:uiPriority w:val="99"/>
    <w:pPr>
      <w:widowControl/>
      <w:spacing w:before="240" w:after="0" w:line="259" w:lineRule="auto"/>
      <w:jc w:val="left"/>
      <w:outlineLvl w:val="9"/>
    </w:pPr>
    <w:rPr>
      <w:rFonts w:ascii="等线 Light" w:hAnsi="等线 Light" w:eastAsia="等线 Light" w:cs="等线 Light"/>
      <w:b w:val="0"/>
      <w:bCs w:val="0"/>
      <w:color w:val="2E74B5"/>
      <w:kern w:val="0"/>
      <w:sz w:val="32"/>
      <w:szCs w:val="32"/>
    </w:rPr>
  </w:style>
  <w:style w:type="paragraph" w:customStyle="1" w:styleId="33">
    <w:name w:val="Revision1"/>
    <w:hidden/>
    <w:semiHidden/>
    <w:qFormat/>
    <w:uiPriority w:val="99"/>
    <w:rPr>
      <w:rFonts w:ascii="Times New Roman" w:hAnsi="Times New Roman" w:eastAsia="等线" w:cs="Times New Roman"/>
      <w:kern w:val="2"/>
      <w:sz w:val="21"/>
      <w:szCs w:val="21"/>
      <w:lang w:val="en-US" w:eastAsia="zh-CN" w:bidi="ar-SA"/>
    </w:rPr>
  </w:style>
  <w:style w:type="character" w:customStyle="1" w:styleId="34">
    <w:name w:val="标题 2 字符"/>
    <w:link w:val="4"/>
    <w:qFormat/>
    <w:locked/>
    <w:uiPriority w:val="99"/>
    <w:rPr>
      <w:rFonts w:ascii="Cambria" w:hAnsi="Cambria" w:eastAsia="宋体" w:cs="Times New Roman"/>
      <w:b/>
      <w:kern w:val="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7.png"/><Relationship Id="rId27" Type="http://schemas.openxmlformats.org/officeDocument/2006/relationships/oleObject" Target="embeddings/oleObject7.bin"/><Relationship Id="rId26" Type="http://schemas.openxmlformats.org/officeDocument/2006/relationships/image" Target="media/image6.png"/><Relationship Id="rId25" Type="http://schemas.openxmlformats.org/officeDocument/2006/relationships/oleObject" Target="embeddings/oleObject6.bin"/><Relationship Id="rId24" Type="http://schemas.openxmlformats.org/officeDocument/2006/relationships/image" Target="media/image5.png"/><Relationship Id="rId23" Type="http://schemas.openxmlformats.org/officeDocument/2006/relationships/oleObject" Target="embeddings/oleObject5.bin"/><Relationship Id="rId22" Type="http://schemas.openxmlformats.org/officeDocument/2006/relationships/image" Target="media/image4.png"/><Relationship Id="rId21" Type="http://schemas.openxmlformats.org/officeDocument/2006/relationships/oleObject" Target="embeddings/oleObject4.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2.png"/><Relationship Id="rId17" Type="http://schemas.openxmlformats.org/officeDocument/2006/relationships/oleObject" Target="embeddings/oleObject2.bin"/><Relationship Id="rId16" Type="http://schemas.openxmlformats.org/officeDocument/2006/relationships/image" Target="media/image1.png"/><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Organization</Company>
  <Pages>43</Pages>
  <Words>3086</Words>
  <Characters>17592</Characters>
  <Lines>0</Lines>
  <Paragraphs>0</Paragraphs>
  <TotalTime>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2021-09-04T23:29:00Z</dcterms:created>
  <dc:creator>Owner</dc:creator>
  <cp:lastModifiedBy>user</cp:lastModifiedBy>
  <cp:lastPrinted>2021-09-09T19:34:00Z</cp:lastPrinted>
  <dcterms:modified xsi:type="dcterms:W3CDTF">2022-11-14T09:46:30Z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