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eastAsia="仿宋_GB2312"/>
          <w:color w:val="000000"/>
          <w:sz w:val="30"/>
          <w:szCs w:val="30"/>
        </w:rPr>
      </w:pPr>
      <w:bookmarkStart w:id="0" w:name="_Toc15306267"/>
    </w:p>
    <w:p>
      <w:pPr>
        <w:spacing w:line="600" w:lineRule="exact"/>
        <w:jc w:val="center"/>
        <w:outlineLvl w:val="0"/>
        <w:rPr>
          <w:rFonts w:eastAsia="仿宋_GB2312"/>
          <w:color w:val="000000"/>
          <w:sz w:val="72"/>
          <w:szCs w:val="72"/>
        </w:rPr>
      </w:pPr>
    </w:p>
    <w:p>
      <w:pPr>
        <w:spacing w:line="600" w:lineRule="exact"/>
        <w:jc w:val="center"/>
        <w:outlineLvl w:val="0"/>
        <w:rPr>
          <w:rFonts w:eastAsia="仿宋_GB2312"/>
          <w:color w:val="000000"/>
          <w:sz w:val="72"/>
          <w:szCs w:val="72"/>
        </w:rPr>
      </w:pPr>
    </w:p>
    <w:p>
      <w:pPr>
        <w:spacing w:line="600" w:lineRule="exact"/>
        <w:jc w:val="center"/>
        <w:outlineLvl w:val="0"/>
        <w:rPr>
          <w:rFonts w:eastAsia="仿宋_GB2312"/>
          <w:color w:val="000000"/>
          <w:sz w:val="72"/>
          <w:szCs w:val="72"/>
        </w:rPr>
      </w:pPr>
    </w:p>
    <w:p>
      <w:pPr>
        <w:adjustRightInd w:val="0"/>
        <w:snapToGrid w:val="0"/>
        <w:spacing w:line="360" w:lineRule="auto"/>
        <w:jc w:val="center"/>
        <w:outlineLvl w:val="0"/>
        <w:rPr>
          <w:rFonts w:eastAsia="方正小标宋简体"/>
          <w:sz w:val="72"/>
          <w:szCs w:val="72"/>
        </w:rPr>
      </w:pPr>
      <w:bookmarkStart w:id="1" w:name="_Toc15377425"/>
      <w:bookmarkStart w:id="2" w:name="_Toc15396597"/>
      <w:bookmarkStart w:id="3" w:name="_Toc15377193"/>
      <w:bookmarkStart w:id="4" w:name="_Toc15396475"/>
      <w:bookmarkStart w:id="5" w:name="_Toc15378441"/>
      <w:bookmarkStart w:id="6" w:name="_Toc81405624"/>
      <w:r>
        <w:rPr>
          <w:rFonts w:eastAsia="方正小标宋简体"/>
          <w:sz w:val="72"/>
          <w:szCs w:val="72"/>
        </w:rPr>
        <w:t>2020年度</w:t>
      </w:r>
      <w:bookmarkEnd w:id="1"/>
      <w:bookmarkEnd w:id="2"/>
      <w:bookmarkEnd w:id="3"/>
      <w:bookmarkEnd w:id="4"/>
      <w:bookmarkEnd w:id="5"/>
      <w:bookmarkEnd w:id="6"/>
    </w:p>
    <w:p>
      <w:pPr>
        <w:adjustRightInd w:val="0"/>
        <w:snapToGrid w:val="0"/>
        <w:spacing w:line="360" w:lineRule="auto"/>
        <w:jc w:val="center"/>
        <w:outlineLvl w:val="0"/>
        <w:rPr>
          <w:rFonts w:eastAsia="方正小标宋简体"/>
          <w:sz w:val="72"/>
          <w:szCs w:val="72"/>
        </w:rPr>
      </w:pPr>
      <w:bookmarkStart w:id="7" w:name="_Toc81405625"/>
      <w:bookmarkStart w:id="8" w:name="_Toc15377426"/>
      <w:bookmarkStart w:id="9" w:name="_Toc15378442"/>
      <w:bookmarkStart w:id="10" w:name="_Toc15396598"/>
      <w:bookmarkStart w:id="11" w:name="_Toc15396476"/>
      <w:bookmarkStart w:id="12" w:name="_Toc15377194"/>
      <w:r>
        <w:rPr>
          <w:rFonts w:eastAsia="方正小标宋简体"/>
          <w:sz w:val="72"/>
          <w:szCs w:val="72"/>
        </w:rPr>
        <w:t>四川省</w:t>
      </w:r>
      <w:bookmarkEnd w:id="0"/>
      <w:bookmarkStart w:id="13" w:name="_Toc15306268"/>
      <w:r>
        <w:rPr>
          <w:rFonts w:eastAsia="方正小标宋简体"/>
          <w:sz w:val="72"/>
          <w:szCs w:val="72"/>
        </w:rPr>
        <w:t>人事考试中心</w:t>
      </w:r>
      <w:bookmarkEnd w:id="7"/>
    </w:p>
    <w:p>
      <w:pPr>
        <w:adjustRightInd w:val="0"/>
        <w:snapToGrid w:val="0"/>
        <w:spacing w:line="360" w:lineRule="auto"/>
        <w:jc w:val="center"/>
        <w:outlineLvl w:val="0"/>
        <w:rPr>
          <w:rFonts w:eastAsia="方正小标宋简体"/>
          <w:sz w:val="72"/>
          <w:szCs w:val="72"/>
        </w:rPr>
        <w:sectPr>
          <w:footerReference r:id="rId5" w:type="first"/>
          <w:footerReference r:id="rId3" w:type="default"/>
          <w:footerReference r:id="rId4" w:type="even"/>
          <w:pgSz w:w="11906" w:h="16838"/>
          <w:pgMar w:top="1440" w:right="1800" w:bottom="1440" w:left="1800" w:header="851" w:footer="992" w:gutter="0"/>
          <w:pgNumType w:start="1"/>
          <w:cols w:space="425" w:num="1"/>
          <w:titlePg/>
          <w:docGrid w:type="lines" w:linePitch="312" w:charSpace="0"/>
        </w:sectPr>
      </w:pPr>
      <w:bookmarkStart w:id="14" w:name="_Toc81405626"/>
      <w:r>
        <w:rPr>
          <w:rFonts w:eastAsia="方正小标宋简体"/>
          <w:sz w:val="72"/>
          <w:szCs w:val="72"/>
        </w:rPr>
        <w:t>单位决算</w:t>
      </w:r>
      <w:bookmarkEnd w:id="8"/>
      <w:bookmarkEnd w:id="9"/>
      <w:bookmarkEnd w:id="10"/>
      <w:bookmarkEnd w:id="11"/>
      <w:bookmarkEnd w:id="12"/>
      <w:bookmarkEnd w:id="13"/>
      <w:bookmarkEnd w:id="14"/>
    </w:p>
    <w:p>
      <w:pPr>
        <w:pStyle w:val="2"/>
        <w:spacing w:before="93"/>
        <w:rPr>
          <w:rFonts w:ascii="Times New Roman"/>
        </w:rPr>
      </w:pPr>
    </w:p>
    <w:p>
      <w:pPr>
        <w:pStyle w:val="31"/>
        <w:jc w:val="center"/>
        <w:rPr>
          <w:rFonts w:ascii="Times New Roman" w:hAnsi="Times New Roman" w:eastAsia="黑体" w:cs="Times New Roman"/>
          <w:b w:val="0"/>
          <w:color w:val="auto"/>
          <w:sz w:val="48"/>
          <w:szCs w:val="48"/>
          <w:lang w:val="zh-CN"/>
        </w:rPr>
      </w:pPr>
      <w:r>
        <w:rPr>
          <w:rFonts w:ascii="Times New Roman" w:hAnsi="Times New Roman" w:eastAsia="黑体" w:cs="Times New Roman"/>
          <w:b w:val="0"/>
          <w:color w:val="auto"/>
          <w:sz w:val="48"/>
          <w:szCs w:val="48"/>
          <w:lang w:val="zh-CN"/>
        </w:rPr>
        <w:t>目</w:t>
      </w:r>
      <w:r>
        <w:rPr>
          <w:rFonts w:hint="eastAsia" w:ascii="Times New Roman" w:hAnsi="Times New Roman" w:eastAsia="黑体" w:cs="Times New Roman"/>
          <w:b w:val="0"/>
          <w:color w:val="auto"/>
          <w:sz w:val="48"/>
          <w:szCs w:val="48"/>
          <w:lang w:val="zh-CN"/>
        </w:rPr>
        <w:t xml:space="preserve"> </w:t>
      </w:r>
      <w:r>
        <w:rPr>
          <w:rFonts w:ascii="Times New Roman" w:hAnsi="Times New Roman" w:eastAsia="黑体" w:cs="Times New Roman"/>
          <w:b w:val="0"/>
          <w:color w:val="auto"/>
          <w:sz w:val="48"/>
          <w:szCs w:val="48"/>
          <w:lang w:val="zh-CN"/>
        </w:rPr>
        <w:t>录</w:t>
      </w:r>
    </w:p>
    <w:p>
      <w:pPr>
        <w:rPr>
          <w:lang w:val="zh-CN"/>
        </w:rPr>
      </w:pPr>
    </w:p>
    <w:p>
      <w:pPr>
        <w:pStyle w:val="10"/>
      </w:pPr>
      <w:r>
        <w:rPr>
          <w:rFonts w:hint="eastAsia"/>
        </w:rPr>
        <w:t>公开时间：2021年9月10日</w:t>
      </w:r>
    </w:p>
    <w:p>
      <w:pPr>
        <w:pStyle w:val="10"/>
        <w:rPr>
          <w:rFonts w:ascii="Times New Roman" w:hAnsi="Times New Roman" w:eastAsia="仿宋_GB2312" w:cs="Times New Roman"/>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p>
    <w:p>
      <w:pPr>
        <w:pStyle w:val="10"/>
        <w:rPr>
          <w:rFonts w:ascii="Times New Roman" w:hAnsi="Times New Roman" w:eastAsia="仿宋_GB2312" w:cs="Times New Roman"/>
        </w:rPr>
      </w:pPr>
      <w:r>
        <w:fldChar w:fldCharType="begin"/>
      </w:r>
      <w:r>
        <w:instrText xml:space="preserve"> HYPERLINK \l "_Toc81405627" </w:instrText>
      </w:r>
      <w:r>
        <w:fldChar w:fldCharType="separate"/>
      </w:r>
      <w:r>
        <w:rPr>
          <w:rStyle w:val="16"/>
          <w:rFonts w:ascii="Times New Roman" w:hAnsi="Times New Roman" w:eastAsia="仿宋_GB2312" w:cs="Times New Roman"/>
          <w:b/>
          <w:bCs/>
        </w:rPr>
        <w:t>第一部分</w:t>
      </w:r>
      <w:r>
        <w:rPr>
          <w:rStyle w:val="16"/>
          <w:rFonts w:hint="eastAsia" w:ascii="Times New Roman" w:hAnsi="Times New Roman" w:eastAsia="仿宋_GB2312" w:cs="Times New Roman"/>
          <w:b/>
          <w:bCs/>
        </w:rPr>
        <w:t xml:space="preserve"> </w:t>
      </w:r>
      <w:r>
        <w:rPr>
          <w:rStyle w:val="16"/>
          <w:rFonts w:ascii="Times New Roman" w:hAnsi="Times New Roman" w:eastAsia="仿宋_GB2312" w:cs="Times New Roman"/>
          <w:b/>
          <w:bCs/>
        </w:rPr>
        <w:t>单位概况</w:t>
      </w:r>
      <w:r>
        <w:rPr>
          <w:rFonts w:ascii="Times New Roman" w:hAnsi="Times New Roman" w:eastAsia="仿宋_GB2312" w:cs="Times New Roman"/>
        </w:rPr>
        <w:tab/>
      </w:r>
      <w:r>
        <w:rPr>
          <w:rFonts w:hint="eastAsia" w:ascii="Times New Roman" w:hAnsi="Times New Roman" w:eastAsia="仿宋_GB2312" w:cs="Times New Roman"/>
        </w:rPr>
        <w:t>1</w:t>
      </w:r>
      <w:r>
        <w:rPr>
          <w:rFonts w:hint="eastAsia" w:ascii="Times New Roman" w:hAnsi="Times New Roman" w:eastAsia="仿宋_GB2312" w:cs="Times New Roman"/>
        </w:rPr>
        <w:fldChar w:fldCharType="end"/>
      </w:r>
    </w:p>
    <w:p>
      <w:pPr>
        <w:pStyle w:val="11"/>
        <w:rPr>
          <w:rFonts w:eastAsia="仿宋_GB2312"/>
          <w:sz w:val="28"/>
          <w:szCs w:val="28"/>
        </w:rPr>
      </w:pPr>
      <w:r>
        <w:fldChar w:fldCharType="begin"/>
      </w:r>
      <w:r>
        <w:instrText xml:space="preserve"> HYPERLINK \l "_Toc81405628" </w:instrText>
      </w:r>
      <w:r>
        <w:fldChar w:fldCharType="separate"/>
      </w:r>
      <w:r>
        <w:rPr>
          <w:rStyle w:val="16"/>
          <w:rFonts w:eastAsia="仿宋_GB2312"/>
          <w:sz w:val="28"/>
          <w:szCs w:val="28"/>
        </w:rPr>
        <w:t>一、职能简介</w:t>
      </w:r>
      <w:r>
        <w:rPr>
          <w:rFonts w:eastAsia="仿宋_GB2312"/>
          <w:sz w:val="28"/>
          <w:szCs w:val="28"/>
        </w:rPr>
        <w:tab/>
      </w:r>
      <w:bookmarkStart w:id="113" w:name="_GoBack"/>
      <w:bookmarkEnd w:id="113"/>
      <w:r>
        <w:rPr>
          <w:rFonts w:hint="eastAsia" w:eastAsia="仿宋_GB2312"/>
          <w:sz w:val="28"/>
          <w:szCs w:val="28"/>
        </w:rPr>
        <w:t>1</w:t>
      </w:r>
      <w:r>
        <w:rPr>
          <w:rFonts w:hint="eastAsia" w:eastAsia="仿宋_GB2312"/>
          <w:sz w:val="28"/>
          <w:szCs w:val="28"/>
        </w:rPr>
        <w:fldChar w:fldCharType="end"/>
      </w:r>
    </w:p>
    <w:p>
      <w:pPr>
        <w:pStyle w:val="11"/>
        <w:rPr>
          <w:rFonts w:hint="eastAsia" w:eastAsia="仿宋_GB2312"/>
          <w:sz w:val="28"/>
          <w:szCs w:val="28"/>
        </w:rPr>
      </w:pPr>
      <w:r>
        <w:fldChar w:fldCharType="begin"/>
      </w:r>
      <w:r>
        <w:instrText xml:space="preserve"> HYPERLINK \l "_Toc81405629" </w:instrText>
      </w:r>
      <w:r>
        <w:fldChar w:fldCharType="separate"/>
      </w:r>
      <w:r>
        <w:rPr>
          <w:rStyle w:val="16"/>
          <w:rFonts w:eastAsia="仿宋_GB2312"/>
          <w:sz w:val="28"/>
          <w:szCs w:val="28"/>
        </w:rPr>
        <w:t>二、2020年重点工作完成情况</w:t>
      </w:r>
      <w:r>
        <w:rPr>
          <w:rFonts w:eastAsia="仿宋_GB2312"/>
          <w:sz w:val="28"/>
          <w:szCs w:val="28"/>
        </w:rPr>
        <w:tab/>
      </w:r>
      <w:r>
        <w:rPr>
          <w:rFonts w:hint="eastAsia" w:eastAsia="仿宋_GB2312"/>
          <w:sz w:val="28"/>
          <w:szCs w:val="28"/>
        </w:rPr>
        <w:t>1</w:t>
      </w:r>
      <w:r>
        <w:rPr>
          <w:rFonts w:hint="eastAsia" w:eastAsia="仿宋_GB2312"/>
          <w:sz w:val="28"/>
          <w:szCs w:val="28"/>
        </w:rPr>
        <w:fldChar w:fldCharType="end"/>
      </w:r>
    </w:p>
    <w:p>
      <w:pPr>
        <w:pStyle w:val="11"/>
        <w:rPr>
          <w:rFonts w:hint="eastAsia" w:eastAsia="仿宋_GB2312"/>
          <w:sz w:val="28"/>
          <w:szCs w:val="28"/>
        </w:rPr>
      </w:pPr>
      <w:r>
        <w:fldChar w:fldCharType="begin"/>
      </w:r>
      <w:r>
        <w:instrText xml:space="preserve"> HYPERLINK \l "_Toc81405629" </w:instrText>
      </w:r>
      <w:r>
        <w:fldChar w:fldCharType="separate"/>
      </w:r>
      <w:r>
        <w:rPr>
          <w:rStyle w:val="16"/>
          <w:rFonts w:hint="eastAsia" w:eastAsia="仿宋_GB2312"/>
          <w:sz w:val="28"/>
          <w:szCs w:val="28"/>
          <w:lang w:eastAsia="zh-CN"/>
        </w:rPr>
        <w:t>三</w:t>
      </w:r>
      <w:r>
        <w:rPr>
          <w:rStyle w:val="16"/>
          <w:rFonts w:eastAsia="仿宋_GB2312"/>
          <w:sz w:val="28"/>
          <w:szCs w:val="28"/>
        </w:rPr>
        <w:t>、</w:t>
      </w:r>
      <w:r>
        <w:rPr>
          <w:rStyle w:val="16"/>
          <w:rFonts w:hint="eastAsia" w:eastAsia="仿宋_GB2312"/>
          <w:sz w:val="28"/>
          <w:szCs w:val="28"/>
        </w:rPr>
        <w:t>机构设置情况</w:t>
      </w:r>
      <w:r>
        <w:rPr>
          <w:rFonts w:eastAsia="仿宋_GB2312"/>
          <w:sz w:val="28"/>
          <w:szCs w:val="28"/>
        </w:rPr>
        <w:tab/>
      </w:r>
      <w:r>
        <w:rPr>
          <w:rFonts w:hint="eastAsia" w:eastAsia="仿宋_GB2312"/>
          <w:sz w:val="28"/>
          <w:szCs w:val="28"/>
          <w:lang w:val="en-US" w:eastAsia="zh-CN"/>
        </w:rPr>
        <w:t>3</w:t>
      </w:r>
      <w:r>
        <w:rPr>
          <w:rFonts w:hint="eastAsia" w:eastAsia="仿宋_GB2312"/>
          <w:sz w:val="28"/>
          <w:szCs w:val="28"/>
        </w:rPr>
        <w:fldChar w:fldCharType="end"/>
      </w:r>
    </w:p>
    <w:p>
      <w:pPr>
        <w:pStyle w:val="10"/>
        <w:rPr>
          <w:rFonts w:ascii="Times New Roman" w:hAnsi="Times New Roman" w:eastAsia="仿宋_GB2312" w:cs="Times New Roman"/>
        </w:rPr>
      </w:pPr>
      <w:r>
        <w:fldChar w:fldCharType="begin"/>
      </w:r>
      <w:r>
        <w:instrText xml:space="preserve"> HYPERLINK \l "_Toc81405630" </w:instrText>
      </w:r>
      <w:r>
        <w:fldChar w:fldCharType="separate"/>
      </w:r>
      <w:r>
        <w:rPr>
          <w:rStyle w:val="16"/>
          <w:rFonts w:ascii="Times New Roman" w:hAnsi="Times New Roman" w:eastAsia="仿宋_GB2312" w:cs="Times New Roman"/>
          <w:b/>
          <w:bCs/>
        </w:rPr>
        <w:t>第二部分 2020年度</w:t>
      </w:r>
      <w:r>
        <w:rPr>
          <w:rStyle w:val="16"/>
          <w:rFonts w:hint="eastAsia" w:ascii="Times New Roman" w:hAnsi="Times New Roman" w:eastAsia="仿宋_GB2312" w:cs="Times New Roman"/>
          <w:b/>
          <w:bCs/>
        </w:rPr>
        <w:t>单位</w:t>
      </w:r>
      <w:r>
        <w:rPr>
          <w:rStyle w:val="16"/>
          <w:rFonts w:ascii="Times New Roman" w:hAnsi="Times New Roman" w:eastAsia="仿宋_GB2312" w:cs="Times New Roman"/>
          <w:b/>
          <w:bCs/>
        </w:rPr>
        <w:t>决算情况说明</w:t>
      </w:r>
      <w:r>
        <w:rPr>
          <w:rFonts w:ascii="Times New Roman" w:hAnsi="Times New Roman" w:eastAsia="仿宋_GB2312" w:cs="Times New Roman"/>
        </w:rPr>
        <w:tab/>
      </w:r>
      <w:r>
        <w:rPr>
          <w:rFonts w:hint="eastAsia" w:ascii="Times New Roman" w:hAnsi="Times New Roman" w:eastAsia="仿宋_GB2312" w:cs="Times New Roman"/>
        </w:rPr>
        <w:t>4</w:t>
      </w:r>
      <w:r>
        <w:rPr>
          <w:rFonts w:hint="eastAsia" w:ascii="Times New Roman" w:hAnsi="Times New Roman" w:eastAsia="仿宋_GB2312" w:cs="Times New Roman"/>
        </w:rPr>
        <w:fldChar w:fldCharType="end"/>
      </w:r>
    </w:p>
    <w:p>
      <w:pPr>
        <w:pStyle w:val="11"/>
        <w:rPr>
          <w:rFonts w:eastAsia="仿宋_GB2312"/>
          <w:sz w:val="28"/>
          <w:szCs w:val="28"/>
        </w:rPr>
      </w:pPr>
      <w:r>
        <w:fldChar w:fldCharType="begin"/>
      </w:r>
      <w:r>
        <w:instrText xml:space="preserve"> HYPERLINK \l "_Toc81405631" </w:instrText>
      </w:r>
      <w:r>
        <w:fldChar w:fldCharType="separate"/>
      </w:r>
      <w:r>
        <w:rPr>
          <w:rStyle w:val="16"/>
          <w:rFonts w:eastAsia="仿宋_GB2312"/>
          <w:kern w:val="44"/>
          <w:sz w:val="28"/>
          <w:szCs w:val="28"/>
        </w:rPr>
        <w:t>一、</w:t>
      </w:r>
      <w:r>
        <w:rPr>
          <w:rStyle w:val="16"/>
          <w:rFonts w:eastAsia="仿宋_GB2312"/>
          <w:sz w:val="28"/>
          <w:szCs w:val="28"/>
        </w:rPr>
        <w:t>收入支出决算总体情况说明</w:t>
      </w:r>
      <w:r>
        <w:rPr>
          <w:rFonts w:eastAsia="仿宋_GB2312"/>
          <w:sz w:val="28"/>
          <w:szCs w:val="28"/>
        </w:rPr>
        <w:tab/>
      </w:r>
      <w:r>
        <w:rPr>
          <w:rFonts w:hint="eastAsia" w:eastAsia="仿宋_GB2312"/>
          <w:sz w:val="28"/>
          <w:szCs w:val="28"/>
        </w:rPr>
        <w:t>4</w:t>
      </w:r>
      <w:r>
        <w:rPr>
          <w:rFonts w:hint="eastAsia" w:eastAsia="仿宋_GB2312"/>
          <w:sz w:val="28"/>
          <w:szCs w:val="28"/>
        </w:rPr>
        <w:fldChar w:fldCharType="end"/>
      </w:r>
    </w:p>
    <w:p>
      <w:pPr>
        <w:pStyle w:val="11"/>
        <w:rPr>
          <w:rFonts w:eastAsia="仿宋_GB2312"/>
          <w:sz w:val="28"/>
          <w:szCs w:val="28"/>
        </w:rPr>
      </w:pPr>
      <w:r>
        <w:fldChar w:fldCharType="begin"/>
      </w:r>
      <w:r>
        <w:instrText xml:space="preserve"> HYPERLINK \l "_Toc81405632" </w:instrText>
      </w:r>
      <w:r>
        <w:fldChar w:fldCharType="separate"/>
      </w:r>
      <w:r>
        <w:rPr>
          <w:rStyle w:val="16"/>
          <w:rFonts w:eastAsia="仿宋_GB2312"/>
          <w:kern w:val="0"/>
          <w:sz w:val="28"/>
          <w:szCs w:val="28"/>
        </w:rPr>
        <w:t>二、</w:t>
      </w:r>
      <w:r>
        <w:rPr>
          <w:rStyle w:val="16"/>
          <w:rFonts w:eastAsia="仿宋_GB2312"/>
          <w:sz w:val="28"/>
          <w:szCs w:val="28"/>
        </w:rPr>
        <w:t>收入决算情况说明</w:t>
      </w:r>
      <w:r>
        <w:rPr>
          <w:rFonts w:eastAsia="仿宋_GB2312"/>
          <w:sz w:val="28"/>
          <w:szCs w:val="28"/>
        </w:rPr>
        <w:tab/>
      </w:r>
      <w:r>
        <w:rPr>
          <w:rFonts w:hint="eastAsia" w:eastAsia="仿宋_GB2312"/>
          <w:sz w:val="28"/>
          <w:szCs w:val="28"/>
        </w:rPr>
        <w:t>4</w:t>
      </w:r>
      <w:r>
        <w:rPr>
          <w:rFonts w:hint="eastAsia" w:eastAsia="仿宋_GB2312"/>
          <w:sz w:val="28"/>
          <w:szCs w:val="28"/>
        </w:rPr>
        <w:fldChar w:fldCharType="end"/>
      </w:r>
    </w:p>
    <w:p>
      <w:pPr>
        <w:pStyle w:val="11"/>
        <w:rPr>
          <w:rFonts w:eastAsia="仿宋_GB2312"/>
          <w:sz w:val="28"/>
          <w:szCs w:val="28"/>
        </w:rPr>
      </w:pPr>
      <w:r>
        <w:fldChar w:fldCharType="begin"/>
      </w:r>
      <w:r>
        <w:instrText xml:space="preserve"> HYPERLINK \l "_Toc81405634" </w:instrText>
      </w:r>
      <w:r>
        <w:fldChar w:fldCharType="separate"/>
      </w:r>
      <w:r>
        <w:rPr>
          <w:rStyle w:val="16"/>
          <w:rFonts w:eastAsia="仿宋_GB2312"/>
          <w:sz w:val="28"/>
          <w:szCs w:val="28"/>
        </w:rPr>
        <w:t>三、支出决算情况说明</w:t>
      </w:r>
      <w:r>
        <w:rPr>
          <w:rFonts w:eastAsia="仿宋_GB2312"/>
          <w:sz w:val="28"/>
          <w:szCs w:val="28"/>
        </w:rPr>
        <w:tab/>
      </w:r>
      <w:r>
        <w:rPr>
          <w:rFonts w:hint="eastAsia" w:eastAsia="仿宋_GB2312"/>
          <w:sz w:val="28"/>
          <w:szCs w:val="28"/>
        </w:rPr>
        <w:t>5</w:t>
      </w:r>
      <w:r>
        <w:rPr>
          <w:rFonts w:hint="eastAsia" w:eastAsia="仿宋_GB2312"/>
          <w:sz w:val="28"/>
          <w:szCs w:val="28"/>
        </w:rPr>
        <w:fldChar w:fldCharType="end"/>
      </w:r>
    </w:p>
    <w:p>
      <w:pPr>
        <w:pStyle w:val="11"/>
        <w:rPr>
          <w:rFonts w:eastAsia="仿宋_GB2312"/>
          <w:sz w:val="28"/>
          <w:szCs w:val="28"/>
        </w:rPr>
      </w:pPr>
      <w:r>
        <w:fldChar w:fldCharType="begin"/>
      </w:r>
      <w:r>
        <w:instrText xml:space="preserve"> HYPERLINK \l "_Toc81405636" </w:instrText>
      </w:r>
      <w:r>
        <w:fldChar w:fldCharType="separate"/>
      </w:r>
      <w:r>
        <w:rPr>
          <w:rStyle w:val="16"/>
          <w:rFonts w:eastAsia="仿宋_GB2312"/>
          <w:sz w:val="28"/>
          <w:szCs w:val="28"/>
        </w:rPr>
        <w:t>四、财政拨款收入支出决算总体情况说明</w:t>
      </w:r>
      <w:r>
        <w:rPr>
          <w:rFonts w:eastAsia="仿宋_GB2312"/>
          <w:sz w:val="28"/>
          <w:szCs w:val="28"/>
        </w:rPr>
        <w:tab/>
      </w:r>
      <w:r>
        <w:rPr>
          <w:rFonts w:hint="eastAsia" w:eastAsia="仿宋_GB2312"/>
          <w:sz w:val="28"/>
          <w:szCs w:val="28"/>
        </w:rPr>
        <w:t>5</w:t>
      </w:r>
      <w:r>
        <w:rPr>
          <w:rFonts w:hint="eastAsia" w:eastAsia="仿宋_GB2312"/>
          <w:sz w:val="28"/>
          <w:szCs w:val="28"/>
        </w:rPr>
        <w:fldChar w:fldCharType="end"/>
      </w:r>
    </w:p>
    <w:p>
      <w:pPr>
        <w:pStyle w:val="11"/>
        <w:rPr>
          <w:rFonts w:eastAsia="仿宋_GB2312"/>
          <w:sz w:val="28"/>
          <w:szCs w:val="28"/>
        </w:rPr>
      </w:pPr>
      <w:r>
        <w:fldChar w:fldCharType="begin"/>
      </w:r>
      <w:r>
        <w:instrText xml:space="preserve"> HYPERLINK \l "_Toc81405637" </w:instrText>
      </w:r>
      <w:r>
        <w:fldChar w:fldCharType="separate"/>
      </w:r>
      <w:r>
        <w:rPr>
          <w:rStyle w:val="16"/>
          <w:rFonts w:eastAsia="仿宋_GB2312"/>
          <w:sz w:val="28"/>
          <w:szCs w:val="28"/>
        </w:rPr>
        <w:t>五、一般公共预算财政拨款支出决算情况说明</w:t>
      </w:r>
      <w:r>
        <w:rPr>
          <w:rFonts w:eastAsia="仿宋_GB2312"/>
          <w:sz w:val="28"/>
          <w:szCs w:val="28"/>
        </w:rPr>
        <w:tab/>
      </w:r>
      <w:r>
        <w:rPr>
          <w:rFonts w:hint="eastAsia" w:eastAsia="仿宋_GB2312"/>
          <w:sz w:val="28"/>
          <w:szCs w:val="28"/>
        </w:rPr>
        <w:t>6</w:t>
      </w:r>
      <w:r>
        <w:rPr>
          <w:rFonts w:hint="eastAsia" w:eastAsia="仿宋_GB2312"/>
          <w:sz w:val="28"/>
          <w:szCs w:val="28"/>
        </w:rPr>
        <w:fldChar w:fldCharType="end"/>
      </w:r>
    </w:p>
    <w:p>
      <w:pPr>
        <w:pStyle w:val="11"/>
        <w:rPr>
          <w:rFonts w:eastAsia="仿宋_GB2312"/>
          <w:sz w:val="28"/>
          <w:szCs w:val="28"/>
        </w:rPr>
      </w:pPr>
      <w:r>
        <w:fldChar w:fldCharType="begin"/>
      </w:r>
      <w:r>
        <w:instrText xml:space="preserve"> HYPERLINK \l "_Toc81405642" </w:instrText>
      </w:r>
      <w:r>
        <w:fldChar w:fldCharType="separate"/>
      </w:r>
      <w:r>
        <w:rPr>
          <w:rStyle w:val="16"/>
          <w:rFonts w:eastAsia="仿宋_GB2312"/>
          <w:sz w:val="28"/>
          <w:szCs w:val="28"/>
        </w:rPr>
        <w:t>六、一般公共预算财政拨款基本支出决算情况说明</w:t>
      </w:r>
      <w:r>
        <w:rPr>
          <w:rFonts w:eastAsia="仿宋_GB2312"/>
          <w:sz w:val="28"/>
          <w:szCs w:val="28"/>
        </w:rPr>
        <w:tab/>
      </w:r>
      <w:r>
        <w:rPr>
          <w:rFonts w:hint="eastAsia" w:eastAsia="仿宋_GB2312"/>
          <w:sz w:val="28"/>
          <w:szCs w:val="28"/>
        </w:rPr>
        <w:t>9</w:t>
      </w:r>
      <w:r>
        <w:rPr>
          <w:rFonts w:hint="eastAsia" w:eastAsia="仿宋_GB2312"/>
          <w:sz w:val="28"/>
          <w:szCs w:val="28"/>
        </w:rPr>
        <w:fldChar w:fldCharType="end"/>
      </w:r>
    </w:p>
    <w:p>
      <w:pPr>
        <w:pStyle w:val="11"/>
        <w:rPr>
          <w:rFonts w:eastAsia="仿宋_GB2312"/>
          <w:sz w:val="28"/>
          <w:szCs w:val="28"/>
        </w:rPr>
      </w:pPr>
      <w:r>
        <w:fldChar w:fldCharType="begin"/>
      </w:r>
      <w:r>
        <w:instrText xml:space="preserve"> HYPERLINK \l "_Toc81405643" </w:instrText>
      </w:r>
      <w:r>
        <w:fldChar w:fldCharType="separate"/>
      </w:r>
      <w:r>
        <w:rPr>
          <w:rStyle w:val="16"/>
          <w:rFonts w:eastAsia="仿宋_GB2312"/>
          <w:sz w:val="28"/>
          <w:szCs w:val="28"/>
        </w:rPr>
        <w:t>七、“三公”经费财政拨款支出决算情况说明</w:t>
      </w:r>
      <w:r>
        <w:rPr>
          <w:rFonts w:eastAsia="仿宋_GB2312"/>
          <w:sz w:val="28"/>
          <w:szCs w:val="28"/>
        </w:rPr>
        <w:tab/>
      </w:r>
      <w:r>
        <w:rPr>
          <w:rFonts w:hint="eastAsia" w:eastAsia="仿宋_GB2312"/>
          <w:sz w:val="28"/>
          <w:szCs w:val="28"/>
        </w:rPr>
        <w:t>9</w:t>
      </w:r>
      <w:r>
        <w:rPr>
          <w:rFonts w:hint="eastAsia" w:eastAsia="仿宋_GB2312"/>
          <w:sz w:val="28"/>
          <w:szCs w:val="28"/>
        </w:rPr>
        <w:fldChar w:fldCharType="end"/>
      </w:r>
    </w:p>
    <w:p>
      <w:pPr>
        <w:pStyle w:val="11"/>
        <w:rPr>
          <w:rFonts w:eastAsia="仿宋_GB2312"/>
          <w:sz w:val="28"/>
          <w:szCs w:val="28"/>
        </w:rPr>
      </w:pPr>
      <w:r>
        <w:fldChar w:fldCharType="begin"/>
      </w:r>
      <w:r>
        <w:instrText xml:space="preserve"> HYPERLINK \l "_Toc81405646" </w:instrText>
      </w:r>
      <w:r>
        <w:fldChar w:fldCharType="separate"/>
      </w:r>
      <w:r>
        <w:rPr>
          <w:rStyle w:val="16"/>
          <w:rFonts w:eastAsia="仿宋_GB2312"/>
          <w:sz w:val="28"/>
          <w:szCs w:val="28"/>
        </w:rPr>
        <w:t>八、政府性基金预算支出决算情况说明</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_Toc81405646 \h </w:instrText>
      </w:r>
      <w:r>
        <w:rPr>
          <w:rFonts w:eastAsia="仿宋_GB2312"/>
          <w:sz w:val="28"/>
          <w:szCs w:val="28"/>
        </w:rPr>
        <w:fldChar w:fldCharType="separate"/>
      </w:r>
      <w:r>
        <w:rPr>
          <w:rFonts w:eastAsia="仿宋_GB2312"/>
          <w:sz w:val="28"/>
          <w:szCs w:val="28"/>
        </w:rPr>
        <w:t>12</w:t>
      </w:r>
      <w:r>
        <w:rPr>
          <w:rFonts w:eastAsia="仿宋_GB2312"/>
          <w:sz w:val="28"/>
          <w:szCs w:val="28"/>
        </w:rPr>
        <w:fldChar w:fldCharType="end"/>
      </w:r>
      <w:r>
        <w:rPr>
          <w:rFonts w:eastAsia="仿宋_GB2312"/>
          <w:sz w:val="28"/>
          <w:szCs w:val="28"/>
        </w:rPr>
        <w:fldChar w:fldCharType="end"/>
      </w:r>
    </w:p>
    <w:p>
      <w:pPr>
        <w:pStyle w:val="11"/>
        <w:rPr>
          <w:rFonts w:eastAsia="仿宋_GB2312"/>
          <w:sz w:val="28"/>
          <w:szCs w:val="28"/>
        </w:rPr>
      </w:pPr>
      <w:r>
        <w:fldChar w:fldCharType="begin"/>
      </w:r>
      <w:r>
        <w:instrText xml:space="preserve"> HYPERLINK \l "_Toc81405647" </w:instrText>
      </w:r>
      <w:r>
        <w:fldChar w:fldCharType="separate"/>
      </w:r>
      <w:r>
        <w:rPr>
          <w:rStyle w:val="16"/>
          <w:rFonts w:eastAsia="仿宋_GB2312"/>
          <w:sz w:val="28"/>
          <w:szCs w:val="28"/>
        </w:rPr>
        <w:t>九、国有资本经营预算支出决算情况说明</w:t>
      </w:r>
      <w:r>
        <w:rPr>
          <w:rFonts w:eastAsia="仿宋_GB2312"/>
          <w:sz w:val="28"/>
          <w:szCs w:val="28"/>
        </w:rPr>
        <w:tab/>
      </w:r>
      <w:r>
        <w:rPr>
          <w:rFonts w:hint="eastAsia" w:eastAsia="仿宋_GB2312"/>
          <w:sz w:val="28"/>
          <w:szCs w:val="28"/>
        </w:rPr>
        <w:t>11</w:t>
      </w:r>
      <w:r>
        <w:rPr>
          <w:rFonts w:hint="eastAsia" w:eastAsia="仿宋_GB2312"/>
          <w:sz w:val="28"/>
          <w:szCs w:val="28"/>
        </w:rPr>
        <w:fldChar w:fldCharType="end"/>
      </w:r>
    </w:p>
    <w:p>
      <w:pPr>
        <w:pStyle w:val="11"/>
        <w:rPr>
          <w:rFonts w:eastAsia="仿宋_GB2312"/>
          <w:sz w:val="28"/>
          <w:szCs w:val="28"/>
        </w:rPr>
      </w:pPr>
      <w:r>
        <w:fldChar w:fldCharType="begin"/>
      </w:r>
      <w:r>
        <w:instrText xml:space="preserve"> HYPERLINK \l "_Toc81405648" </w:instrText>
      </w:r>
      <w:r>
        <w:fldChar w:fldCharType="separate"/>
      </w:r>
      <w:r>
        <w:rPr>
          <w:rStyle w:val="16"/>
          <w:rFonts w:eastAsia="仿宋_GB2312"/>
          <w:sz w:val="28"/>
          <w:szCs w:val="28"/>
        </w:rPr>
        <w:t>十、其他重要事项的情况说明</w:t>
      </w:r>
      <w:r>
        <w:rPr>
          <w:rFonts w:eastAsia="仿宋_GB2312"/>
          <w:sz w:val="28"/>
          <w:szCs w:val="28"/>
        </w:rPr>
        <w:tab/>
      </w:r>
      <w:r>
        <w:rPr>
          <w:rFonts w:hint="eastAsia" w:eastAsia="仿宋_GB2312"/>
          <w:sz w:val="28"/>
          <w:szCs w:val="28"/>
        </w:rPr>
        <w:t>11</w:t>
      </w:r>
      <w:r>
        <w:rPr>
          <w:rFonts w:hint="eastAsia" w:eastAsia="仿宋_GB2312"/>
          <w:sz w:val="28"/>
          <w:szCs w:val="28"/>
        </w:rPr>
        <w:fldChar w:fldCharType="end"/>
      </w:r>
    </w:p>
    <w:p>
      <w:pPr>
        <w:pStyle w:val="10"/>
        <w:rPr>
          <w:rFonts w:ascii="Times New Roman" w:hAnsi="Times New Roman" w:eastAsia="仿宋_GB2312" w:cs="Times New Roman"/>
        </w:rPr>
      </w:pPr>
      <w:r>
        <w:fldChar w:fldCharType="begin"/>
      </w:r>
      <w:r>
        <w:instrText xml:space="preserve"> HYPERLINK \l "_Toc81405653" </w:instrText>
      </w:r>
      <w:r>
        <w:fldChar w:fldCharType="separate"/>
      </w:r>
      <w:r>
        <w:rPr>
          <w:rStyle w:val="16"/>
          <w:rFonts w:ascii="Times New Roman" w:hAnsi="Times New Roman" w:eastAsia="仿宋_GB2312" w:cs="Times New Roman"/>
          <w:b/>
          <w:bCs/>
        </w:rPr>
        <w:t>第三部分</w:t>
      </w:r>
      <w:r>
        <w:rPr>
          <w:rStyle w:val="16"/>
          <w:rFonts w:hint="eastAsia" w:ascii="Times New Roman" w:hAnsi="Times New Roman" w:eastAsia="仿宋_GB2312" w:cs="Times New Roman"/>
          <w:b/>
          <w:bCs/>
        </w:rPr>
        <w:t xml:space="preserve"> </w:t>
      </w:r>
      <w:r>
        <w:rPr>
          <w:rStyle w:val="16"/>
          <w:rFonts w:ascii="Times New Roman" w:hAnsi="Times New Roman" w:eastAsia="仿宋_GB2312" w:cs="Times New Roman"/>
          <w:b/>
          <w:bCs/>
        </w:rPr>
        <w:t>名词解释</w:t>
      </w:r>
      <w:r>
        <w:rPr>
          <w:rFonts w:ascii="Times New Roman" w:hAnsi="Times New Roman" w:eastAsia="仿宋_GB2312" w:cs="Times New Roman"/>
        </w:rPr>
        <w:tab/>
      </w:r>
      <w:r>
        <w:rPr>
          <w:rFonts w:hint="eastAsia" w:ascii="Times New Roman" w:hAnsi="Times New Roman" w:eastAsia="仿宋_GB2312" w:cs="Times New Roman"/>
        </w:rPr>
        <w:t>18</w:t>
      </w:r>
      <w:r>
        <w:rPr>
          <w:rFonts w:hint="eastAsia" w:ascii="Times New Roman" w:hAnsi="Times New Roman" w:eastAsia="仿宋_GB2312" w:cs="Times New Roman"/>
        </w:rPr>
        <w:fldChar w:fldCharType="end"/>
      </w:r>
    </w:p>
    <w:p>
      <w:pPr>
        <w:pStyle w:val="10"/>
        <w:rPr>
          <w:rFonts w:ascii="Times New Roman" w:hAnsi="Times New Roman" w:eastAsia="仿宋_GB2312" w:cs="Times New Roman"/>
        </w:rPr>
      </w:pPr>
      <w:r>
        <w:fldChar w:fldCharType="begin"/>
      </w:r>
      <w:r>
        <w:instrText xml:space="preserve"> HYPERLINK \l "_Toc81405654" </w:instrText>
      </w:r>
      <w:r>
        <w:fldChar w:fldCharType="separate"/>
      </w:r>
      <w:r>
        <w:rPr>
          <w:rStyle w:val="16"/>
          <w:rFonts w:ascii="Times New Roman" w:hAnsi="Times New Roman" w:eastAsia="仿宋_GB2312" w:cs="Times New Roman"/>
          <w:b/>
          <w:bCs/>
        </w:rPr>
        <w:t>第四部分</w:t>
      </w:r>
      <w:r>
        <w:rPr>
          <w:rStyle w:val="16"/>
          <w:rFonts w:hint="eastAsia" w:ascii="Times New Roman" w:hAnsi="Times New Roman" w:eastAsia="仿宋_GB2312" w:cs="Times New Roman"/>
          <w:b/>
          <w:bCs/>
        </w:rPr>
        <w:t xml:space="preserve"> </w:t>
      </w:r>
      <w:r>
        <w:rPr>
          <w:rStyle w:val="16"/>
          <w:rFonts w:ascii="Times New Roman" w:hAnsi="Times New Roman" w:eastAsia="仿宋_GB2312" w:cs="Times New Roman"/>
          <w:b/>
          <w:bCs/>
        </w:rPr>
        <w:t>附件</w:t>
      </w:r>
      <w:r>
        <w:rPr>
          <w:rFonts w:ascii="Times New Roman" w:hAnsi="Times New Roman" w:eastAsia="仿宋_GB2312" w:cs="Times New Roman"/>
        </w:rPr>
        <w:tab/>
      </w:r>
      <w:r>
        <w:rPr>
          <w:rFonts w:hint="eastAsia" w:ascii="Times New Roman" w:hAnsi="Times New Roman" w:eastAsia="仿宋_GB2312" w:cs="Times New Roman"/>
        </w:rPr>
        <w:t>21</w:t>
      </w:r>
      <w:r>
        <w:rPr>
          <w:rFonts w:hint="eastAsia" w:ascii="Times New Roman" w:hAnsi="Times New Roman" w:eastAsia="仿宋_GB2312" w:cs="Times New Roman"/>
        </w:rPr>
        <w:fldChar w:fldCharType="end"/>
      </w:r>
    </w:p>
    <w:p>
      <w:pPr>
        <w:pStyle w:val="10"/>
        <w:rPr>
          <w:rFonts w:ascii="Times New Roman" w:hAnsi="Times New Roman" w:eastAsia="仿宋_GB2312" w:cs="Times New Roman"/>
        </w:rPr>
      </w:pPr>
      <w:r>
        <w:fldChar w:fldCharType="begin"/>
      </w:r>
      <w:r>
        <w:instrText xml:space="preserve"> HYPERLINK \l "_Toc81405655" </w:instrText>
      </w:r>
      <w:r>
        <w:fldChar w:fldCharType="separate"/>
      </w:r>
      <w:r>
        <w:rPr>
          <w:rStyle w:val="16"/>
          <w:rFonts w:ascii="Times New Roman" w:hAnsi="Times New Roman" w:eastAsia="仿宋_GB2312" w:cs="Times New Roman"/>
          <w:b/>
          <w:bCs/>
        </w:rPr>
        <w:t>第五部分</w:t>
      </w:r>
      <w:r>
        <w:rPr>
          <w:rStyle w:val="16"/>
          <w:rFonts w:hint="eastAsia" w:ascii="Times New Roman" w:hAnsi="Times New Roman" w:eastAsia="仿宋_GB2312" w:cs="Times New Roman"/>
          <w:b/>
          <w:bCs/>
        </w:rPr>
        <w:t xml:space="preserve"> </w:t>
      </w:r>
      <w:r>
        <w:rPr>
          <w:rStyle w:val="16"/>
          <w:rFonts w:ascii="Times New Roman" w:hAnsi="Times New Roman" w:eastAsia="仿宋_GB2312" w:cs="Times New Roman"/>
          <w:b/>
          <w:bCs/>
        </w:rPr>
        <w:t>附表</w:t>
      </w:r>
      <w:r>
        <w:rPr>
          <w:rFonts w:ascii="Times New Roman" w:hAnsi="Times New Roman" w:eastAsia="仿宋_GB2312" w:cs="Times New Roman"/>
        </w:rPr>
        <w:tab/>
      </w:r>
      <w:r>
        <w:rPr>
          <w:rFonts w:hint="eastAsia" w:ascii="Times New Roman" w:hAnsi="Times New Roman" w:eastAsia="仿宋_GB2312" w:cs="Times New Roman"/>
        </w:rPr>
        <w:t>25</w:t>
      </w:r>
      <w:r>
        <w:rPr>
          <w:rFonts w:hint="eastAsia" w:ascii="Times New Roman" w:hAnsi="Times New Roman" w:eastAsia="仿宋_GB2312" w:cs="Times New Roman"/>
        </w:rPr>
        <w:fldChar w:fldCharType="end"/>
      </w:r>
    </w:p>
    <w:p>
      <w:pPr>
        <w:pStyle w:val="11"/>
        <w:rPr>
          <w:rFonts w:eastAsia="仿宋_GB2312"/>
          <w:sz w:val="28"/>
          <w:szCs w:val="28"/>
        </w:rPr>
      </w:pPr>
      <w:r>
        <w:fldChar w:fldCharType="begin"/>
      </w:r>
      <w:r>
        <w:instrText xml:space="preserve"> HYPERLINK \l "_Toc81405656" </w:instrText>
      </w:r>
      <w:r>
        <w:fldChar w:fldCharType="separate"/>
      </w:r>
      <w:r>
        <w:rPr>
          <w:rStyle w:val="16"/>
          <w:rFonts w:eastAsia="仿宋_GB2312"/>
          <w:sz w:val="28"/>
          <w:szCs w:val="28"/>
        </w:rPr>
        <w:t>一、收入支出决算总表</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_Toc81405656 \h </w:instrText>
      </w:r>
      <w:r>
        <w:rPr>
          <w:rFonts w:eastAsia="仿宋_GB2312"/>
          <w:sz w:val="28"/>
          <w:szCs w:val="28"/>
        </w:rPr>
        <w:fldChar w:fldCharType="separate"/>
      </w:r>
      <w:r>
        <w:rPr>
          <w:rFonts w:eastAsia="仿宋_GB2312"/>
          <w:sz w:val="28"/>
          <w:szCs w:val="28"/>
        </w:rPr>
        <w:t>27</w:t>
      </w:r>
      <w:r>
        <w:rPr>
          <w:rFonts w:eastAsia="仿宋_GB2312"/>
          <w:sz w:val="28"/>
          <w:szCs w:val="28"/>
        </w:rPr>
        <w:fldChar w:fldCharType="end"/>
      </w:r>
      <w:r>
        <w:rPr>
          <w:rFonts w:eastAsia="仿宋_GB2312"/>
          <w:sz w:val="28"/>
          <w:szCs w:val="28"/>
        </w:rPr>
        <w:fldChar w:fldCharType="end"/>
      </w:r>
    </w:p>
    <w:p>
      <w:pPr>
        <w:pStyle w:val="11"/>
        <w:rPr>
          <w:rFonts w:eastAsia="仿宋_GB2312"/>
          <w:sz w:val="28"/>
          <w:szCs w:val="28"/>
        </w:rPr>
      </w:pPr>
      <w:r>
        <w:fldChar w:fldCharType="begin"/>
      </w:r>
      <w:r>
        <w:instrText xml:space="preserve"> HYPERLINK \l "_Toc81405657" </w:instrText>
      </w:r>
      <w:r>
        <w:fldChar w:fldCharType="separate"/>
      </w:r>
      <w:r>
        <w:rPr>
          <w:rStyle w:val="16"/>
          <w:rFonts w:eastAsia="仿宋_GB2312"/>
          <w:sz w:val="28"/>
          <w:szCs w:val="28"/>
        </w:rPr>
        <w:t>二、收入决算表</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_Toc81405657 \h </w:instrText>
      </w:r>
      <w:r>
        <w:rPr>
          <w:rFonts w:eastAsia="仿宋_GB2312"/>
          <w:sz w:val="28"/>
          <w:szCs w:val="28"/>
        </w:rPr>
        <w:fldChar w:fldCharType="separate"/>
      </w:r>
      <w:r>
        <w:rPr>
          <w:rFonts w:eastAsia="仿宋_GB2312"/>
          <w:sz w:val="28"/>
          <w:szCs w:val="28"/>
        </w:rPr>
        <w:t>27</w:t>
      </w:r>
      <w:r>
        <w:rPr>
          <w:rFonts w:eastAsia="仿宋_GB2312"/>
          <w:sz w:val="28"/>
          <w:szCs w:val="28"/>
        </w:rPr>
        <w:fldChar w:fldCharType="end"/>
      </w:r>
      <w:r>
        <w:rPr>
          <w:rFonts w:eastAsia="仿宋_GB2312"/>
          <w:sz w:val="28"/>
          <w:szCs w:val="28"/>
        </w:rPr>
        <w:fldChar w:fldCharType="end"/>
      </w:r>
    </w:p>
    <w:p>
      <w:pPr>
        <w:pStyle w:val="11"/>
        <w:rPr>
          <w:rFonts w:eastAsia="仿宋_GB2312"/>
          <w:sz w:val="28"/>
          <w:szCs w:val="28"/>
        </w:rPr>
      </w:pPr>
      <w:r>
        <w:fldChar w:fldCharType="begin"/>
      </w:r>
      <w:r>
        <w:instrText xml:space="preserve"> HYPERLINK \l "_Toc81405658" </w:instrText>
      </w:r>
      <w:r>
        <w:fldChar w:fldCharType="separate"/>
      </w:r>
      <w:r>
        <w:rPr>
          <w:rStyle w:val="16"/>
          <w:rFonts w:eastAsia="仿宋_GB2312"/>
          <w:sz w:val="28"/>
          <w:szCs w:val="28"/>
        </w:rPr>
        <w:t>三、支出决算表</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_Toc81405658 \h </w:instrText>
      </w:r>
      <w:r>
        <w:rPr>
          <w:rFonts w:eastAsia="仿宋_GB2312"/>
          <w:sz w:val="28"/>
          <w:szCs w:val="28"/>
        </w:rPr>
        <w:fldChar w:fldCharType="separate"/>
      </w:r>
      <w:r>
        <w:rPr>
          <w:rFonts w:eastAsia="仿宋_GB2312"/>
          <w:sz w:val="28"/>
          <w:szCs w:val="28"/>
        </w:rPr>
        <w:t>27</w:t>
      </w:r>
      <w:r>
        <w:rPr>
          <w:rFonts w:eastAsia="仿宋_GB2312"/>
          <w:sz w:val="28"/>
          <w:szCs w:val="28"/>
        </w:rPr>
        <w:fldChar w:fldCharType="end"/>
      </w:r>
      <w:r>
        <w:rPr>
          <w:rFonts w:eastAsia="仿宋_GB2312"/>
          <w:sz w:val="28"/>
          <w:szCs w:val="28"/>
        </w:rPr>
        <w:fldChar w:fldCharType="end"/>
      </w:r>
    </w:p>
    <w:p>
      <w:pPr>
        <w:pStyle w:val="11"/>
        <w:rPr>
          <w:rFonts w:eastAsia="仿宋_GB2312"/>
          <w:sz w:val="28"/>
          <w:szCs w:val="28"/>
        </w:rPr>
      </w:pPr>
      <w:r>
        <w:fldChar w:fldCharType="begin"/>
      </w:r>
      <w:r>
        <w:instrText xml:space="preserve"> HYPERLINK \l "_Toc81405659" </w:instrText>
      </w:r>
      <w:r>
        <w:fldChar w:fldCharType="separate"/>
      </w:r>
      <w:r>
        <w:rPr>
          <w:rStyle w:val="16"/>
          <w:rFonts w:eastAsia="仿宋_GB2312"/>
          <w:sz w:val="28"/>
          <w:szCs w:val="28"/>
        </w:rPr>
        <w:t>四、财政拨款收入支出决算总表</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_Toc81405659 \h </w:instrText>
      </w:r>
      <w:r>
        <w:rPr>
          <w:rFonts w:eastAsia="仿宋_GB2312"/>
          <w:sz w:val="28"/>
          <w:szCs w:val="28"/>
        </w:rPr>
        <w:fldChar w:fldCharType="separate"/>
      </w:r>
      <w:r>
        <w:rPr>
          <w:rFonts w:eastAsia="仿宋_GB2312"/>
          <w:sz w:val="28"/>
          <w:szCs w:val="28"/>
        </w:rPr>
        <w:t>27</w:t>
      </w:r>
      <w:r>
        <w:rPr>
          <w:rFonts w:eastAsia="仿宋_GB2312"/>
          <w:sz w:val="28"/>
          <w:szCs w:val="28"/>
        </w:rPr>
        <w:fldChar w:fldCharType="end"/>
      </w:r>
      <w:r>
        <w:rPr>
          <w:rFonts w:eastAsia="仿宋_GB2312"/>
          <w:sz w:val="28"/>
          <w:szCs w:val="28"/>
        </w:rPr>
        <w:fldChar w:fldCharType="end"/>
      </w:r>
    </w:p>
    <w:p>
      <w:pPr>
        <w:pStyle w:val="11"/>
        <w:rPr>
          <w:rFonts w:eastAsia="仿宋_GB2312"/>
          <w:sz w:val="28"/>
          <w:szCs w:val="28"/>
        </w:rPr>
      </w:pPr>
      <w:r>
        <w:fldChar w:fldCharType="begin"/>
      </w:r>
      <w:r>
        <w:instrText xml:space="preserve"> HYPERLINK \l "_Toc81405660" </w:instrText>
      </w:r>
      <w:r>
        <w:fldChar w:fldCharType="separate"/>
      </w:r>
      <w:r>
        <w:rPr>
          <w:rStyle w:val="16"/>
          <w:rFonts w:eastAsia="仿宋_GB2312"/>
          <w:sz w:val="28"/>
          <w:szCs w:val="28"/>
        </w:rPr>
        <w:t>五、财政拨款支出决算明细表</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_Toc81405660 \h </w:instrText>
      </w:r>
      <w:r>
        <w:rPr>
          <w:rFonts w:eastAsia="仿宋_GB2312"/>
          <w:sz w:val="28"/>
          <w:szCs w:val="28"/>
        </w:rPr>
        <w:fldChar w:fldCharType="separate"/>
      </w:r>
      <w:r>
        <w:rPr>
          <w:rFonts w:eastAsia="仿宋_GB2312"/>
          <w:sz w:val="28"/>
          <w:szCs w:val="28"/>
        </w:rPr>
        <w:t>27</w:t>
      </w:r>
      <w:r>
        <w:rPr>
          <w:rFonts w:eastAsia="仿宋_GB2312"/>
          <w:sz w:val="28"/>
          <w:szCs w:val="28"/>
        </w:rPr>
        <w:fldChar w:fldCharType="end"/>
      </w:r>
      <w:r>
        <w:rPr>
          <w:rFonts w:eastAsia="仿宋_GB2312"/>
          <w:sz w:val="28"/>
          <w:szCs w:val="28"/>
        </w:rPr>
        <w:fldChar w:fldCharType="end"/>
      </w:r>
    </w:p>
    <w:p>
      <w:pPr>
        <w:pStyle w:val="11"/>
        <w:rPr>
          <w:rFonts w:eastAsia="仿宋_GB2312"/>
          <w:sz w:val="28"/>
          <w:szCs w:val="28"/>
        </w:rPr>
      </w:pPr>
      <w:r>
        <w:fldChar w:fldCharType="begin"/>
      </w:r>
      <w:r>
        <w:instrText xml:space="preserve"> HYPERLINK \l "_Toc81405661" </w:instrText>
      </w:r>
      <w:r>
        <w:fldChar w:fldCharType="separate"/>
      </w:r>
      <w:r>
        <w:rPr>
          <w:rStyle w:val="16"/>
          <w:rFonts w:eastAsia="仿宋_GB2312"/>
          <w:sz w:val="28"/>
          <w:szCs w:val="28"/>
        </w:rPr>
        <w:t>六、一般公共预算财政拨款支出决算表</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_Toc81405661 \h </w:instrText>
      </w:r>
      <w:r>
        <w:rPr>
          <w:rFonts w:eastAsia="仿宋_GB2312"/>
          <w:sz w:val="28"/>
          <w:szCs w:val="28"/>
        </w:rPr>
        <w:fldChar w:fldCharType="separate"/>
      </w:r>
      <w:r>
        <w:rPr>
          <w:rFonts w:eastAsia="仿宋_GB2312"/>
          <w:sz w:val="28"/>
          <w:szCs w:val="28"/>
        </w:rPr>
        <w:t>27</w:t>
      </w:r>
      <w:r>
        <w:rPr>
          <w:rFonts w:eastAsia="仿宋_GB2312"/>
          <w:sz w:val="28"/>
          <w:szCs w:val="28"/>
        </w:rPr>
        <w:fldChar w:fldCharType="end"/>
      </w:r>
      <w:r>
        <w:rPr>
          <w:rFonts w:eastAsia="仿宋_GB2312"/>
          <w:sz w:val="28"/>
          <w:szCs w:val="28"/>
        </w:rPr>
        <w:fldChar w:fldCharType="end"/>
      </w:r>
    </w:p>
    <w:p>
      <w:pPr>
        <w:pStyle w:val="11"/>
        <w:rPr>
          <w:rFonts w:eastAsia="仿宋_GB2312"/>
          <w:sz w:val="28"/>
          <w:szCs w:val="28"/>
        </w:rPr>
      </w:pPr>
      <w:r>
        <w:fldChar w:fldCharType="begin"/>
      </w:r>
      <w:r>
        <w:instrText xml:space="preserve"> HYPERLINK \l "_Toc81405662" </w:instrText>
      </w:r>
      <w:r>
        <w:fldChar w:fldCharType="separate"/>
      </w:r>
      <w:r>
        <w:rPr>
          <w:rStyle w:val="16"/>
          <w:rFonts w:eastAsia="仿宋_GB2312"/>
          <w:sz w:val="28"/>
          <w:szCs w:val="28"/>
        </w:rPr>
        <w:t>七、一般公共预算财政拨款支出决算明细表</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_Toc81405662 \h </w:instrText>
      </w:r>
      <w:r>
        <w:rPr>
          <w:rFonts w:eastAsia="仿宋_GB2312"/>
          <w:sz w:val="28"/>
          <w:szCs w:val="28"/>
        </w:rPr>
        <w:fldChar w:fldCharType="separate"/>
      </w:r>
      <w:r>
        <w:rPr>
          <w:rFonts w:eastAsia="仿宋_GB2312"/>
          <w:sz w:val="28"/>
          <w:szCs w:val="28"/>
        </w:rPr>
        <w:t>27</w:t>
      </w:r>
      <w:r>
        <w:rPr>
          <w:rFonts w:eastAsia="仿宋_GB2312"/>
          <w:sz w:val="28"/>
          <w:szCs w:val="28"/>
        </w:rPr>
        <w:fldChar w:fldCharType="end"/>
      </w:r>
      <w:r>
        <w:rPr>
          <w:rFonts w:eastAsia="仿宋_GB2312"/>
          <w:sz w:val="28"/>
          <w:szCs w:val="28"/>
        </w:rPr>
        <w:fldChar w:fldCharType="end"/>
      </w:r>
    </w:p>
    <w:p>
      <w:pPr>
        <w:pStyle w:val="11"/>
        <w:rPr>
          <w:rFonts w:eastAsia="仿宋_GB2312"/>
          <w:sz w:val="28"/>
          <w:szCs w:val="28"/>
        </w:rPr>
      </w:pPr>
      <w:r>
        <w:fldChar w:fldCharType="begin"/>
      </w:r>
      <w:r>
        <w:instrText xml:space="preserve"> HYPERLINK \l "_Toc81405663" </w:instrText>
      </w:r>
      <w:r>
        <w:fldChar w:fldCharType="separate"/>
      </w:r>
      <w:r>
        <w:rPr>
          <w:rStyle w:val="16"/>
          <w:rFonts w:eastAsia="仿宋_GB2312"/>
          <w:sz w:val="28"/>
          <w:szCs w:val="28"/>
        </w:rPr>
        <w:t>八、一般公共预算财政拨款基本支出决算表</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_Toc81405663 \h </w:instrText>
      </w:r>
      <w:r>
        <w:rPr>
          <w:rFonts w:eastAsia="仿宋_GB2312"/>
          <w:sz w:val="28"/>
          <w:szCs w:val="28"/>
        </w:rPr>
        <w:fldChar w:fldCharType="separate"/>
      </w:r>
      <w:r>
        <w:rPr>
          <w:rFonts w:eastAsia="仿宋_GB2312"/>
          <w:sz w:val="28"/>
          <w:szCs w:val="28"/>
        </w:rPr>
        <w:t>27</w:t>
      </w:r>
      <w:r>
        <w:rPr>
          <w:rFonts w:eastAsia="仿宋_GB2312"/>
          <w:sz w:val="28"/>
          <w:szCs w:val="28"/>
        </w:rPr>
        <w:fldChar w:fldCharType="end"/>
      </w:r>
      <w:r>
        <w:rPr>
          <w:rFonts w:eastAsia="仿宋_GB2312"/>
          <w:sz w:val="28"/>
          <w:szCs w:val="28"/>
        </w:rPr>
        <w:fldChar w:fldCharType="end"/>
      </w:r>
    </w:p>
    <w:p>
      <w:pPr>
        <w:pStyle w:val="11"/>
        <w:rPr>
          <w:rFonts w:eastAsia="仿宋_GB2312"/>
          <w:sz w:val="28"/>
          <w:szCs w:val="28"/>
        </w:rPr>
      </w:pPr>
      <w:r>
        <w:fldChar w:fldCharType="begin"/>
      </w:r>
      <w:r>
        <w:instrText xml:space="preserve"> HYPERLINK \l "_Toc81405664" </w:instrText>
      </w:r>
      <w:r>
        <w:fldChar w:fldCharType="separate"/>
      </w:r>
      <w:r>
        <w:rPr>
          <w:rStyle w:val="16"/>
          <w:rFonts w:eastAsia="仿宋_GB2312"/>
          <w:sz w:val="28"/>
          <w:szCs w:val="28"/>
        </w:rPr>
        <w:t>九、一般公共预算财政拨款项目支出决算表</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_Toc81405664 \h </w:instrText>
      </w:r>
      <w:r>
        <w:rPr>
          <w:rFonts w:eastAsia="仿宋_GB2312"/>
          <w:sz w:val="28"/>
          <w:szCs w:val="28"/>
        </w:rPr>
        <w:fldChar w:fldCharType="separate"/>
      </w:r>
      <w:r>
        <w:rPr>
          <w:rFonts w:eastAsia="仿宋_GB2312"/>
          <w:sz w:val="28"/>
          <w:szCs w:val="28"/>
        </w:rPr>
        <w:t>27</w:t>
      </w:r>
      <w:r>
        <w:rPr>
          <w:rFonts w:eastAsia="仿宋_GB2312"/>
          <w:sz w:val="28"/>
          <w:szCs w:val="28"/>
        </w:rPr>
        <w:fldChar w:fldCharType="end"/>
      </w:r>
      <w:r>
        <w:rPr>
          <w:rFonts w:eastAsia="仿宋_GB2312"/>
          <w:sz w:val="28"/>
          <w:szCs w:val="28"/>
        </w:rPr>
        <w:fldChar w:fldCharType="end"/>
      </w:r>
    </w:p>
    <w:p>
      <w:pPr>
        <w:pStyle w:val="11"/>
        <w:rPr>
          <w:rFonts w:eastAsia="仿宋_GB2312"/>
          <w:sz w:val="28"/>
          <w:szCs w:val="28"/>
        </w:rPr>
      </w:pPr>
      <w:r>
        <w:fldChar w:fldCharType="begin"/>
      </w:r>
      <w:r>
        <w:instrText xml:space="preserve"> HYPERLINK \l "_Toc81405665" </w:instrText>
      </w:r>
      <w:r>
        <w:fldChar w:fldCharType="separate"/>
      </w:r>
      <w:r>
        <w:rPr>
          <w:rStyle w:val="16"/>
          <w:rFonts w:eastAsia="仿宋_GB2312"/>
          <w:sz w:val="28"/>
          <w:szCs w:val="28"/>
        </w:rPr>
        <w:t>十、一般公共预算财政拨款“三公”经费支出决算表</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_Toc81405665 \h </w:instrText>
      </w:r>
      <w:r>
        <w:rPr>
          <w:rFonts w:eastAsia="仿宋_GB2312"/>
          <w:sz w:val="28"/>
          <w:szCs w:val="28"/>
        </w:rPr>
        <w:fldChar w:fldCharType="separate"/>
      </w:r>
      <w:r>
        <w:rPr>
          <w:rFonts w:eastAsia="仿宋_GB2312"/>
          <w:sz w:val="28"/>
          <w:szCs w:val="28"/>
        </w:rPr>
        <w:t>27</w:t>
      </w:r>
      <w:r>
        <w:rPr>
          <w:rFonts w:eastAsia="仿宋_GB2312"/>
          <w:sz w:val="28"/>
          <w:szCs w:val="28"/>
        </w:rPr>
        <w:fldChar w:fldCharType="end"/>
      </w:r>
      <w:r>
        <w:rPr>
          <w:rFonts w:eastAsia="仿宋_GB2312"/>
          <w:sz w:val="28"/>
          <w:szCs w:val="28"/>
        </w:rPr>
        <w:fldChar w:fldCharType="end"/>
      </w:r>
    </w:p>
    <w:p>
      <w:pPr>
        <w:pStyle w:val="11"/>
        <w:rPr>
          <w:rFonts w:eastAsia="仿宋_GB2312"/>
          <w:sz w:val="28"/>
          <w:szCs w:val="28"/>
        </w:rPr>
      </w:pPr>
      <w:r>
        <w:fldChar w:fldCharType="begin"/>
      </w:r>
      <w:r>
        <w:instrText xml:space="preserve"> HYPERLINK \l "_Toc81405666" </w:instrText>
      </w:r>
      <w:r>
        <w:fldChar w:fldCharType="separate"/>
      </w:r>
      <w:r>
        <w:rPr>
          <w:rStyle w:val="16"/>
          <w:rFonts w:eastAsia="仿宋_GB2312"/>
          <w:sz w:val="28"/>
          <w:szCs w:val="28"/>
        </w:rPr>
        <w:t>十一、政府性基金预算财政拨款收入支出决算表</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_Toc81405666 \h </w:instrText>
      </w:r>
      <w:r>
        <w:rPr>
          <w:rFonts w:eastAsia="仿宋_GB2312"/>
          <w:sz w:val="28"/>
          <w:szCs w:val="28"/>
        </w:rPr>
        <w:fldChar w:fldCharType="separate"/>
      </w:r>
      <w:r>
        <w:rPr>
          <w:rFonts w:eastAsia="仿宋_GB2312"/>
          <w:sz w:val="28"/>
          <w:szCs w:val="28"/>
        </w:rPr>
        <w:t>27</w:t>
      </w:r>
      <w:r>
        <w:rPr>
          <w:rFonts w:eastAsia="仿宋_GB2312"/>
          <w:sz w:val="28"/>
          <w:szCs w:val="28"/>
        </w:rPr>
        <w:fldChar w:fldCharType="end"/>
      </w:r>
      <w:r>
        <w:rPr>
          <w:rFonts w:eastAsia="仿宋_GB2312"/>
          <w:sz w:val="28"/>
          <w:szCs w:val="28"/>
        </w:rPr>
        <w:fldChar w:fldCharType="end"/>
      </w:r>
    </w:p>
    <w:p>
      <w:pPr>
        <w:pStyle w:val="11"/>
        <w:rPr>
          <w:rFonts w:eastAsia="仿宋_GB2312"/>
          <w:sz w:val="28"/>
          <w:szCs w:val="28"/>
        </w:rPr>
      </w:pPr>
      <w:r>
        <w:fldChar w:fldCharType="begin"/>
      </w:r>
      <w:r>
        <w:instrText xml:space="preserve"> HYPERLINK \l "_Toc81405667" </w:instrText>
      </w:r>
      <w:r>
        <w:fldChar w:fldCharType="separate"/>
      </w:r>
      <w:r>
        <w:rPr>
          <w:rStyle w:val="16"/>
          <w:rFonts w:eastAsia="仿宋_GB2312"/>
          <w:sz w:val="28"/>
          <w:szCs w:val="28"/>
        </w:rPr>
        <w:t>十二、政府性基金预算财政拨款“三公”经费支出决算表</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_Toc81405667 \h </w:instrText>
      </w:r>
      <w:r>
        <w:rPr>
          <w:rFonts w:eastAsia="仿宋_GB2312"/>
          <w:sz w:val="28"/>
          <w:szCs w:val="28"/>
        </w:rPr>
        <w:fldChar w:fldCharType="separate"/>
      </w:r>
      <w:r>
        <w:rPr>
          <w:rFonts w:eastAsia="仿宋_GB2312"/>
          <w:sz w:val="28"/>
          <w:szCs w:val="28"/>
        </w:rPr>
        <w:t>27</w:t>
      </w:r>
      <w:r>
        <w:rPr>
          <w:rFonts w:eastAsia="仿宋_GB2312"/>
          <w:sz w:val="28"/>
          <w:szCs w:val="28"/>
        </w:rPr>
        <w:fldChar w:fldCharType="end"/>
      </w:r>
      <w:r>
        <w:rPr>
          <w:rFonts w:eastAsia="仿宋_GB2312"/>
          <w:sz w:val="28"/>
          <w:szCs w:val="28"/>
        </w:rPr>
        <w:fldChar w:fldCharType="end"/>
      </w:r>
    </w:p>
    <w:p>
      <w:pPr>
        <w:pStyle w:val="11"/>
        <w:rPr>
          <w:rFonts w:eastAsia="仿宋_GB2312"/>
          <w:sz w:val="28"/>
          <w:szCs w:val="28"/>
        </w:rPr>
      </w:pPr>
      <w:r>
        <w:fldChar w:fldCharType="begin"/>
      </w:r>
      <w:r>
        <w:instrText xml:space="preserve"> HYPERLINK \l "_Toc81405668" </w:instrText>
      </w:r>
      <w:r>
        <w:fldChar w:fldCharType="separate"/>
      </w:r>
      <w:r>
        <w:rPr>
          <w:rStyle w:val="16"/>
          <w:rFonts w:eastAsia="仿宋_GB2312"/>
          <w:sz w:val="28"/>
          <w:szCs w:val="28"/>
        </w:rPr>
        <w:t>十三、国有资本经营预算财政拨款收入支出决算表</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_Toc81405668 \h </w:instrText>
      </w:r>
      <w:r>
        <w:rPr>
          <w:rFonts w:eastAsia="仿宋_GB2312"/>
          <w:sz w:val="28"/>
          <w:szCs w:val="28"/>
        </w:rPr>
        <w:fldChar w:fldCharType="separate"/>
      </w:r>
      <w:r>
        <w:rPr>
          <w:rFonts w:eastAsia="仿宋_GB2312"/>
          <w:sz w:val="28"/>
          <w:szCs w:val="28"/>
        </w:rPr>
        <w:t>27</w:t>
      </w:r>
      <w:r>
        <w:rPr>
          <w:rFonts w:eastAsia="仿宋_GB2312"/>
          <w:sz w:val="28"/>
          <w:szCs w:val="28"/>
        </w:rPr>
        <w:fldChar w:fldCharType="end"/>
      </w:r>
      <w:r>
        <w:rPr>
          <w:rFonts w:eastAsia="仿宋_GB2312"/>
          <w:sz w:val="28"/>
          <w:szCs w:val="28"/>
        </w:rPr>
        <w:fldChar w:fldCharType="end"/>
      </w:r>
    </w:p>
    <w:p>
      <w:pPr>
        <w:pStyle w:val="11"/>
      </w:pPr>
      <w:r>
        <w:fldChar w:fldCharType="begin"/>
      </w:r>
      <w:r>
        <w:instrText xml:space="preserve"> HYPERLINK \l "_Toc81405669" </w:instrText>
      </w:r>
      <w:r>
        <w:fldChar w:fldCharType="separate"/>
      </w:r>
      <w:r>
        <w:rPr>
          <w:rStyle w:val="16"/>
          <w:rFonts w:eastAsia="仿宋_GB2312"/>
          <w:sz w:val="28"/>
          <w:szCs w:val="28"/>
        </w:rPr>
        <w:t>十四、国有资本经营预算财政拨款支出决算表</w:t>
      </w:r>
      <w:r>
        <w:rPr>
          <w:rFonts w:eastAsia="仿宋_GB2312"/>
          <w:sz w:val="28"/>
          <w:szCs w:val="28"/>
        </w:rPr>
        <w:tab/>
      </w:r>
      <w:r>
        <w:rPr>
          <w:rFonts w:hint="eastAsia" w:eastAsia="仿宋_GB2312"/>
          <w:sz w:val="28"/>
          <w:szCs w:val="28"/>
        </w:rPr>
        <w:t>25</w:t>
      </w:r>
      <w:r>
        <w:rPr>
          <w:rFonts w:hint="eastAsia" w:eastAsia="仿宋_GB2312"/>
          <w:sz w:val="28"/>
          <w:szCs w:val="28"/>
        </w:rPr>
        <w:fldChar w:fldCharType="end"/>
      </w:r>
    </w:p>
    <w:p>
      <w:pPr>
        <w:sectPr>
          <w:pgSz w:w="11906" w:h="16838"/>
          <w:pgMar w:top="1440" w:right="1800" w:bottom="1440" w:left="1800" w:header="851" w:footer="992" w:gutter="0"/>
          <w:pgNumType w:start="1"/>
          <w:cols w:space="425" w:num="1"/>
          <w:docGrid w:type="lines" w:linePitch="312" w:charSpace="0"/>
        </w:sectPr>
      </w:pPr>
      <w:r>
        <w:fldChar w:fldCharType="end"/>
      </w:r>
      <w:bookmarkStart w:id="15" w:name="_Toc15377196"/>
      <w:bookmarkStart w:id="16" w:name="_Toc15396599"/>
    </w:p>
    <w:p>
      <w:pPr>
        <w:pStyle w:val="2"/>
        <w:spacing w:before="93"/>
      </w:pPr>
    </w:p>
    <w:p>
      <w:pPr>
        <w:pStyle w:val="3"/>
        <w:jc w:val="center"/>
        <w:rPr>
          <w:rFonts w:eastAsia="黑体"/>
        </w:rPr>
      </w:pPr>
      <w:bookmarkStart w:id="17" w:name="_Toc81405627"/>
      <w:r>
        <w:rPr>
          <w:rFonts w:eastAsia="黑体"/>
          <w:b w:val="0"/>
          <w:bCs w:val="0"/>
        </w:rPr>
        <w:t>第一部分</w:t>
      </w:r>
      <w:r>
        <w:rPr>
          <w:rFonts w:hint="eastAsia" w:eastAsia="黑体"/>
          <w:b w:val="0"/>
          <w:bCs w:val="0"/>
        </w:rPr>
        <w:t xml:space="preserve"> </w:t>
      </w:r>
      <w:r>
        <w:rPr>
          <w:rFonts w:eastAsia="黑体"/>
          <w:b w:val="0"/>
          <w:bCs w:val="0"/>
        </w:rPr>
        <w:t>单位</w:t>
      </w:r>
      <w:r>
        <w:rPr>
          <w:rStyle w:val="17"/>
          <w:rFonts w:eastAsia="黑体"/>
          <w:b w:val="0"/>
          <w:bCs w:val="0"/>
        </w:rPr>
        <w:t>概况</w:t>
      </w:r>
      <w:bookmarkEnd w:id="15"/>
      <w:bookmarkEnd w:id="16"/>
      <w:bookmarkEnd w:id="17"/>
    </w:p>
    <w:p>
      <w:pPr>
        <w:pStyle w:val="4"/>
        <w:spacing w:line="415" w:lineRule="auto"/>
        <w:ind w:firstLine="640" w:firstLineChars="200"/>
        <w:rPr>
          <w:rStyle w:val="18"/>
          <w:rFonts w:ascii="Times New Roman" w:hAnsi="Times New Roman" w:eastAsia="黑体" w:cs="Times New Roman"/>
          <w:b w:val="0"/>
          <w:bCs w:val="0"/>
        </w:rPr>
      </w:pPr>
      <w:bookmarkStart w:id="18" w:name="_Toc81405628"/>
      <w:bookmarkStart w:id="19" w:name="_Toc15377197"/>
      <w:bookmarkStart w:id="20" w:name="_Toc15396600"/>
      <w:r>
        <w:rPr>
          <w:rStyle w:val="18"/>
          <w:rFonts w:ascii="Times New Roman" w:hAnsi="Times New Roman" w:eastAsia="黑体" w:cs="Times New Roman"/>
          <w:b w:val="0"/>
          <w:bCs w:val="0"/>
        </w:rPr>
        <w:t>一、职能简介</w:t>
      </w:r>
      <w:bookmarkEnd w:id="18"/>
    </w:p>
    <w:p>
      <w:pPr>
        <w:ind w:firstLine="640" w:firstLineChars="200"/>
        <w:rPr>
          <w:rFonts w:eastAsia="仿宋_GB2312"/>
        </w:rPr>
      </w:pPr>
      <w:r>
        <w:rPr>
          <w:rFonts w:eastAsia="仿宋_GB2312"/>
          <w:color w:val="000000"/>
          <w:sz w:val="32"/>
          <w:szCs w:val="32"/>
        </w:rPr>
        <w:t>依据国家和我省人事考试法规、政策、规划，制定我省人事考试工作计划和出台各项人事考试政策，组织实施全省公务员、事业单位公开招录（聘）用考试和专业技术人员资格考试，负责考试信息发布、考试报名、命题、制卷、考务组织、阅卷、提供考试成绩查询及统计分析等工作，承担相应考试基础建设和科研工作，负责考试测评理论、方法、手段及应用课题研究等。</w:t>
      </w:r>
    </w:p>
    <w:p>
      <w:pPr>
        <w:pStyle w:val="4"/>
        <w:spacing w:line="415" w:lineRule="auto"/>
        <w:ind w:firstLine="640" w:firstLineChars="200"/>
        <w:rPr>
          <w:rFonts w:ascii="Times New Roman" w:hAnsi="Times New Roman" w:eastAsia="黑体" w:cs="Times New Roman"/>
          <w:b w:val="0"/>
          <w:bCs w:val="0"/>
        </w:rPr>
      </w:pPr>
      <w:bookmarkStart w:id="21" w:name="_Toc81405629"/>
      <w:r>
        <w:rPr>
          <w:rFonts w:ascii="Times New Roman" w:hAnsi="Times New Roman" w:eastAsia="黑体" w:cs="Times New Roman"/>
          <w:b w:val="0"/>
          <w:bCs w:val="0"/>
        </w:rPr>
        <w:t>二、2020年重点工作</w:t>
      </w:r>
      <w:bookmarkEnd w:id="19"/>
      <w:bookmarkEnd w:id="20"/>
      <w:r>
        <w:rPr>
          <w:rFonts w:ascii="Times New Roman" w:hAnsi="Times New Roman" w:eastAsia="黑体" w:cs="Times New Roman"/>
          <w:b w:val="0"/>
          <w:bCs w:val="0"/>
        </w:rPr>
        <w:t>完成情况</w:t>
      </w:r>
      <w:bookmarkEnd w:id="21"/>
    </w:p>
    <w:p>
      <w:pPr>
        <w:spacing w:line="600" w:lineRule="exact"/>
        <w:ind w:firstLine="640" w:firstLineChars="200"/>
        <w:rPr>
          <w:rFonts w:eastAsia="仿宋_GB2312"/>
          <w:color w:val="000000"/>
          <w:sz w:val="32"/>
          <w:szCs w:val="32"/>
        </w:rPr>
      </w:pPr>
      <w:r>
        <w:rPr>
          <w:rFonts w:eastAsia="仿宋_GB2312"/>
          <w:color w:val="000000"/>
          <w:sz w:val="32"/>
          <w:szCs w:val="32"/>
        </w:rPr>
        <w:t>2020年，我省共组织专业技术资格、职（执）业资格和公务员录用等考试共计67项，参考人数110余万人，完成考试296.15万科次，笔试命题制卷33套，面试命题制卷39套，共发放各类资格证书7.2万余本。全年各项人事考试工作总体平稳顺利。</w:t>
      </w:r>
    </w:p>
    <w:p>
      <w:pPr>
        <w:spacing w:line="580" w:lineRule="exact"/>
        <w:ind w:firstLine="642" w:firstLineChars="200"/>
        <w:jc w:val="left"/>
        <w:rPr>
          <w:rFonts w:eastAsia="仿宋_GB2312"/>
          <w:b/>
          <w:bCs/>
          <w:color w:val="000000"/>
          <w:sz w:val="32"/>
          <w:szCs w:val="32"/>
        </w:rPr>
      </w:pPr>
      <w:r>
        <w:rPr>
          <w:rFonts w:eastAsia="仿宋_GB2312"/>
          <w:b/>
          <w:bCs/>
          <w:color w:val="000000"/>
          <w:sz w:val="32"/>
          <w:szCs w:val="32"/>
        </w:rPr>
        <w:t>（一）以风险防控为核心，同步实现安全考试、健康考试</w:t>
      </w:r>
    </w:p>
    <w:p>
      <w:pPr>
        <w:pStyle w:val="12"/>
        <w:ind w:firstLine="642" w:firstLineChars="200"/>
        <w:jc w:val="left"/>
      </w:pPr>
      <w:r>
        <w:t>疫情防控常抓不懈。</w:t>
      </w:r>
      <w:r>
        <w:rPr>
          <w:rFonts w:ascii="Times New Roman" w:hAnsi="Times New Roman" w:eastAsia="仿宋_GB2312" w:cs="Times New Roman"/>
          <w:b w:val="0"/>
          <w:bCs w:val="0"/>
          <w:color w:val="000000"/>
        </w:rPr>
        <w:t>7月，以厅名义会同省委组织部、教育厅、卫健委印发了《四川省2020年上半年公开考试录用公务员笔试期间疫情防控工作指导意见》；委托公安部门共排查出来自中高风险地区或具有境外旅居史的考生1376余名；全省共设置备用隔离考场4000余间，选派医护工作者近5000名，调用救护车近1000辆；全省共启用备用隔离考场12间次，启用备用试卷袋11袋。通过周密部署、严防死守，全省无一例考务工作人员和考生因考试感染新冠肺炎。</w:t>
      </w:r>
    </w:p>
    <w:p>
      <w:pPr>
        <w:spacing w:line="580" w:lineRule="exact"/>
        <w:ind w:firstLine="642" w:firstLineChars="200"/>
        <w:rPr>
          <w:rFonts w:eastAsia="仿宋_GB2312"/>
          <w:color w:val="000000"/>
          <w:sz w:val="32"/>
          <w:szCs w:val="32"/>
        </w:rPr>
      </w:pPr>
      <w:r>
        <w:rPr>
          <w:rFonts w:eastAsia="仿宋_GB2312"/>
          <w:b/>
          <w:bCs/>
          <w:color w:val="000000"/>
          <w:sz w:val="32"/>
          <w:szCs w:val="32"/>
        </w:rPr>
        <w:t>协调联动形成合力。</w:t>
      </w:r>
      <w:r>
        <w:rPr>
          <w:rFonts w:eastAsia="仿宋_GB2312"/>
          <w:color w:val="000000"/>
          <w:sz w:val="32"/>
          <w:szCs w:val="32"/>
        </w:rPr>
        <w:t>积极协调组织、教育、卫健、公安等部门，就考场安排、疫情防控、特殊群体筛查、考试舆情监测、无线电侦测、打击高科技作弊等考务组织中的重难点问题进行协商部署。2020年，全省共取消公务员、事业单位招录（聘）考试违纪考生成绩114人次，取消资格考试违纪考生成绩223人次，违纪人次整体较去年下降52%，考风考纪持续好转。</w:t>
      </w:r>
    </w:p>
    <w:p>
      <w:pPr>
        <w:spacing w:line="580" w:lineRule="exact"/>
        <w:ind w:firstLine="642" w:firstLineChars="200"/>
        <w:jc w:val="left"/>
        <w:rPr>
          <w:rFonts w:eastAsia="仿宋_GB2312"/>
          <w:b/>
          <w:bCs/>
          <w:color w:val="000000"/>
          <w:sz w:val="32"/>
          <w:szCs w:val="32"/>
        </w:rPr>
      </w:pPr>
      <w:r>
        <w:rPr>
          <w:rFonts w:eastAsia="仿宋_GB2312"/>
          <w:b/>
          <w:bCs/>
          <w:color w:val="000000"/>
          <w:sz w:val="32"/>
          <w:szCs w:val="32"/>
        </w:rPr>
        <w:t>（二）以服务考生为根本，推动</w:t>
      </w:r>
      <w:r>
        <w:rPr>
          <w:rFonts w:hint="eastAsia" w:eastAsia="仿宋_GB2312"/>
          <w:b/>
          <w:bCs/>
          <w:color w:val="000000"/>
          <w:sz w:val="32"/>
          <w:szCs w:val="32"/>
        </w:rPr>
        <w:t>“</w:t>
      </w:r>
      <w:r>
        <w:rPr>
          <w:rFonts w:eastAsia="仿宋_GB2312"/>
          <w:b/>
          <w:bCs/>
          <w:color w:val="000000"/>
          <w:sz w:val="32"/>
          <w:szCs w:val="32"/>
        </w:rPr>
        <w:t>温暖人社</w:t>
      </w:r>
      <w:r>
        <w:rPr>
          <w:rFonts w:hint="eastAsia" w:eastAsia="仿宋_GB2312"/>
          <w:b/>
          <w:bCs/>
          <w:color w:val="000000"/>
          <w:sz w:val="32"/>
          <w:szCs w:val="32"/>
        </w:rPr>
        <w:t>”</w:t>
      </w:r>
      <w:r>
        <w:rPr>
          <w:rFonts w:eastAsia="仿宋_GB2312"/>
          <w:b/>
          <w:bCs/>
          <w:color w:val="000000"/>
          <w:sz w:val="32"/>
          <w:szCs w:val="32"/>
        </w:rPr>
        <w:t>落地落实</w:t>
      </w:r>
    </w:p>
    <w:p>
      <w:pPr>
        <w:spacing w:line="580" w:lineRule="exact"/>
        <w:ind w:firstLine="630"/>
        <w:rPr>
          <w:rFonts w:eastAsia="仿宋_GB2312"/>
          <w:color w:val="000000"/>
          <w:sz w:val="32"/>
          <w:szCs w:val="32"/>
        </w:rPr>
      </w:pPr>
      <w:r>
        <w:rPr>
          <w:rFonts w:eastAsia="仿宋_GB2312"/>
          <w:b/>
          <w:bCs/>
          <w:color w:val="000000"/>
          <w:sz w:val="32"/>
          <w:szCs w:val="32"/>
        </w:rPr>
        <w:t>信息宣传不断加强。</w:t>
      </w:r>
      <w:r>
        <w:rPr>
          <w:rFonts w:eastAsia="仿宋_GB2312"/>
          <w:color w:val="000000"/>
          <w:sz w:val="32"/>
          <w:szCs w:val="32"/>
        </w:rPr>
        <w:t>加大宣传力度，通过网站、微信公众号等多种途径及时发布各类考试信息，厅官网“人事考试”专栏发布各类考试信息1000余条，“四川人事考试”微信公众号发布动态50余条,浏览量66万余人次；创新宣传方式，拍摄人事考试“抖音”短视频，增强考生对人事考试工作的了解，引导考生文明参考、诚信参考。</w:t>
      </w:r>
    </w:p>
    <w:p>
      <w:pPr>
        <w:autoSpaceDE w:val="0"/>
        <w:autoSpaceDN w:val="0"/>
        <w:adjustRightInd w:val="0"/>
        <w:spacing w:line="580" w:lineRule="exact"/>
        <w:ind w:firstLine="642" w:firstLineChars="200"/>
        <w:jc w:val="left"/>
        <w:rPr>
          <w:rFonts w:eastAsia="仿宋_GB2312"/>
          <w:color w:val="000000"/>
          <w:sz w:val="32"/>
          <w:szCs w:val="32"/>
        </w:rPr>
      </w:pPr>
      <w:r>
        <w:rPr>
          <w:rFonts w:eastAsia="仿宋_GB2312"/>
          <w:b/>
          <w:bCs/>
          <w:color w:val="000000"/>
          <w:sz w:val="32"/>
          <w:szCs w:val="32"/>
        </w:rPr>
        <w:t>服务方式持续优化。</w:t>
      </w:r>
      <w:r>
        <w:rPr>
          <w:rFonts w:eastAsia="仿宋_GB2312"/>
          <w:color w:val="000000"/>
          <w:sz w:val="32"/>
          <w:szCs w:val="32"/>
        </w:rPr>
        <w:t>人事考试服务事项全面实现“一网通办”</w:t>
      </w:r>
      <w:r>
        <w:rPr>
          <w:rFonts w:hint="eastAsia" w:eastAsia="仿宋_GB2312"/>
          <w:color w:val="000000"/>
          <w:sz w:val="32"/>
          <w:szCs w:val="32"/>
        </w:rPr>
        <w:t>；</w:t>
      </w:r>
      <w:r>
        <w:rPr>
          <w:rFonts w:eastAsia="仿宋_GB2312"/>
          <w:color w:val="000000"/>
          <w:sz w:val="32"/>
          <w:szCs w:val="32"/>
        </w:rPr>
        <w:t>一是全面推行电子发票业务，考生可直接在网站上打印发票；二是研发电子证书管理系统。</w:t>
      </w:r>
    </w:p>
    <w:p>
      <w:pPr>
        <w:spacing w:line="580" w:lineRule="exact"/>
        <w:ind w:firstLine="642" w:firstLineChars="200"/>
        <w:jc w:val="left"/>
        <w:rPr>
          <w:rFonts w:eastAsia="仿宋_GB2312"/>
          <w:b/>
          <w:bCs/>
          <w:color w:val="000000"/>
          <w:sz w:val="32"/>
          <w:szCs w:val="32"/>
        </w:rPr>
      </w:pPr>
      <w:r>
        <w:rPr>
          <w:rFonts w:eastAsia="仿宋_GB2312"/>
          <w:b/>
          <w:bCs/>
          <w:color w:val="000000"/>
          <w:sz w:val="32"/>
          <w:szCs w:val="32"/>
        </w:rPr>
        <w:t>（三）以创新工作为抓手，推动人事考试工作高质量发展</w:t>
      </w:r>
    </w:p>
    <w:p>
      <w:pPr>
        <w:spacing w:line="580" w:lineRule="exact"/>
        <w:ind w:firstLine="642" w:firstLineChars="200"/>
        <w:rPr>
          <w:rFonts w:eastAsia="仿宋_GB2312"/>
          <w:color w:val="000000"/>
          <w:sz w:val="32"/>
          <w:szCs w:val="32"/>
        </w:rPr>
      </w:pPr>
      <w:r>
        <w:rPr>
          <w:rFonts w:eastAsia="仿宋_GB2312"/>
          <w:b/>
          <w:bCs/>
          <w:color w:val="000000"/>
          <w:sz w:val="32"/>
          <w:szCs w:val="32"/>
        </w:rPr>
        <w:t>命题工作取得突破。</w:t>
      </w:r>
      <w:r>
        <w:rPr>
          <w:rFonts w:eastAsia="仿宋_GB2312"/>
          <w:color w:val="000000"/>
          <w:sz w:val="32"/>
          <w:szCs w:val="32"/>
        </w:rPr>
        <w:t>2020年，我省首次实施公务员招录分级分类考试，笔试分省、市县、乡镇三级设考，面试分为省市县机关和乡镇机关两级，综合管理和行政执法两类，结构化面试和无领导小组讨论两种模式。从社会反响来看，内容贴近实际，舆论客观正面，社会反响较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eastAsia="仿宋_GB2312"/>
          <w:color w:val="000000"/>
          <w:sz w:val="32"/>
          <w:szCs w:val="32"/>
        </w:rPr>
      </w:pPr>
      <w:r>
        <w:rPr>
          <w:rFonts w:eastAsia="仿宋_GB2312"/>
          <w:b/>
          <w:bCs/>
          <w:color w:val="000000"/>
          <w:sz w:val="32"/>
          <w:szCs w:val="32"/>
        </w:rPr>
        <w:t>川渝互动有序推进。</w:t>
      </w:r>
      <w:r>
        <w:rPr>
          <w:rFonts w:eastAsia="仿宋_GB2312"/>
          <w:color w:val="000000"/>
          <w:sz w:val="32"/>
          <w:szCs w:val="32"/>
        </w:rPr>
        <w:t>一是建立川渝人事考试命题协作长效机制，全年召开公务员录用考试调研座谈会1次、公务员考试命题交流会2次</w:t>
      </w:r>
      <w:r>
        <w:rPr>
          <w:rFonts w:hint="eastAsia" w:eastAsia="仿宋_GB2312"/>
          <w:color w:val="000000"/>
          <w:sz w:val="32"/>
          <w:szCs w:val="32"/>
        </w:rPr>
        <w:t>，</w:t>
      </w:r>
      <w:r>
        <w:rPr>
          <w:rFonts w:eastAsia="仿宋_GB2312"/>
          <w:color w:val="000000"/>
          <w:sz w:val="32"/>
          <w:szCs w:val="32"/>
        </w:rPr>
        <w:t>互派命、审题工作专家15人次，互派人事考试命题工作人员参与入闱命题工作以及常态化命题、审题工作3次，实现川渝两地命题资源共享，提升了命题专业化能力。二是积极推进资格考试证书查询核验事项“川渝通办”，共同推进双城人事考试服务创新发展。</w:t>
      </w:r>
    </w:p>
    <w:p>
      <w:pPr>
        <w:spacing w:line="600" w:lineRule="exact"/>
        <w:ind w:firstLine="642" w:firstLineChars="200"/>
        <w:rPr>
          <w:rFonts w:eastAsia="仿宋_GB2312"/>
          <w:color w:val="000000"/>
          <w:sz w:val="32"/>
          <w:szCs w:val="32"/>
        </w:rPr>
      </w:pPr>
      <w:r>
        <w:rPr>
          <w:rFonts w:eastAsia="仿宋_GB2312"/>
          <w:b/>
          <w:bCs/>
          <w:color w:val="000000"/>
          <w:sz w:val="32"/>
          <w:szCs w:val="32"/>
        </w:rPr>
        <w:t>技术研发不断创新。</w:t>
      </w:r>
      <w:r>
        <w:rPr>
          <w:rFonts w:eastAsia="仿宋_GB2312"/>
          <w:color w:val="000000"/>
          <w:sz w:val="32"/>
          <w:szCs w:val="32"/>
        </w:rPr>
        <w:t>一是研发推广省市区（县）多级联动协调考务管理信息系统；二是在成绩管理中首次应用区块链技术；三是积极配合人社部考试中心推进人事考试智能客服系统试点工作。</w:t>
      </w:r>
      <w:bookmarkStart w:id="22" w:name="_Toc15396602"/>
      <w:bookmarkStart w:id="23" w:name="_Toc15377204"/>
      <w:bookmarkStart w:id="24" w:name="_Toc81405630"/>
    </w:p>
    <w:p>
      <w:pPr>
        <w:pStyle w:val="4"/>
        <w:spacing w:line="415" w:lineRule="auto"/>
        <w:ind w:firstLine="640" w:firstLineChars="200"/>
        <w:rPr>
          <w:rFonts w:ascii="Times New Roman" w:hAnsi="Times New Roman" w:eastAsia="黑体" w:cs="Times New Roman"/>
          <w:b w:val="0"/>
          <w:bCs w:val="0"/>
        </w:rPr>
      </w:pPr>
      <w:r>
        <w:rPr>
          <w:rFonts w:ascii="Times New Roman" w:hAnsi="Times New Roman" w:eastAsia="黑体" w:cs="Times New Roman"/>
          <w:b w:val="0"/>
          <w:bCs w:val="0"/>
        </w:rPr>
        <w:t>三、机构设置情况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四川省人事考试中心由6个内设部门组成，分别是：综合部、资格考试部、招录考试部、信息技术部、财务部、证书部。</w:t>
      </w:r>
    </w:p>
    <w:p>
      <w:pPr>
        <w:widowControl/>
        <w:spacing w:line="580" w:lineRule="exact"/>
        <w:ind w:firstLine="640" w:firstLineChars="200"/>
        <w:rPr>
          <w:rFonts w:eastAsia="仿宋_GB2312"/>
          <w:color w:val="000000"/>
          <w:sz w:val="32"/>
          <w:szCs w:val="32"/>
        </w:rPr>
      </w:pPr>
    </w:p>
    <w:p>
      <w:pPr>
        <w:pStyle w:val="3"/>
        <w:jc w:val="center"/>
        <w:rPr>
          <w:rFonts w:ascii="黑体" w:hAnsi="黑体" w:eastAsia="黑体"/>
          <w:b w:val="0"/>
        </w:rPr>
      </w:pPr>
      <w:r>
        <w:rPr>
          <w:rFonts w:ascii="黑体" w:hAnsi="黑体" w:eastAsia="黑体"/>
          <w:b w:val="0"/>
        </w:rPr>
        <w:t>第二部</w:t>
      </w:r>
      <w:r>
        <w:rPr>
          <w:rFonts w:hint="eastAsia" w:ascii="黑体" w:hAnsi="黑体" w:eastAsia="黑体"/>
          <w:b w:val="0"/>
        </w:rPr>
        <w:t xml:space="preserve"> </w:t>
      </w:r>
      <w:r>
        <w:rPr>
          <w:rFonts w:ascii="黑体" w:hAnsi="黑体" w:eastAsia="黑体"/>
          <w:b w:val="0"/>
        </w:rPr>
        <w:t>2020年度</w:t>
      </w:r>
      <w:r>
        <w:rPr>
          <w:rFonts w:hint="eastAsia" w:ascii="黑体" w:hAnsi="黑体" w:eastAsia="黑体"/>
          <w:b w:val="0"/>
        </w:rPr>
        <w:t>单位</w:t>
      </w:r>
      <w:r>
        <w:rPr>
          <w:rFonts w:ascii="黑体" w:hAnsi="黑体" w:eastAsia="黑体"/>
          <w:b w:val="0"/>
        </w:rPr>
        <w:t>决算情况说明</w:t>
      </w:r>
      <w:bookmarkEnd w:id="22"/>
      <w:bookmarkEnd w:id="23"/>
      <w:bookmarkEnd w:id="24"/>
      <w:bookmarkStart w:id="25" w:name="_Toc15377205"/>
      <w:bookmarkStart w:id="26" w:name="_Toc15396603"/>
    </w:p>
    <w:p>
      <w:pPr>
        <w:pStyle w:val="4"/>
        <w:spacing w:line="415" w:lineRule="auto"/>
        <w:ind w:firstLine="640" w:firstLineChars="200"/>
        <w:rPr>
          <w:rFonts w:ascii="Times New Roman" w:hAnsi="Times New Roman" w:eastAsia="黑体" w:cs="Times New Roman"/>
          <w:b w:val="0"/>
          <w:bCs w:val="0"/>
          <w:kern w:val="44"/>
          <w:sz w:val="44"/>
          <w:szCs w:val="44"/>
        </w:rPr>
      </w:pPr>
      <w:bookmarkStart w:id="27" w:name="_Toc81405631"/>
      <w:r>
        <w:rPr>
          <w:rStyle w:val="17"/>
          <w:rFonts w:eastAsia="黑体"/>
          <w:b w:val="0"/>
          <w:bCs/>
          <w:sz w:val="32"/>
          <w:szCs w:val="32"/>
        </w:rPr>
        <w:t>一、</w:t>
      </w:r>
      <w:r>
        <w:rPr>
          <w:rFonts w:ascii="Times New Roman" w:hAnsi="Times New Roman" w:eastAsia="黑体" w:cs="Times New Roman"/>
          <w:b w:val="0"/>
          <w:bCs w:val="0"/>
        </w:rPr>
        <w:t>收入支出决算总体情况说明</w:t>
      </w:r>
      <w:bookmarkEnd w:id="25"/>
      <w:bookmarkEnd w:id="26"/>
      <w:bookmarkEnd w:id="27"/>
    </w:p>
    <w:p>
      <w:pPr>
        <w:spacing w:line="600" w:lineRule="exact"/>
        <w:ind w:firstLine="640" w:firstLineChars="200"/>
        <w:rPr>
          <w:rFonts w:eastAsia="仿宋_GB2312"/>
          <w:sz w:val="32"/>
          <w:szCs w:val="32"/>
        </w:rPr>
      </w:pPr>
      <w:r>
        <w:rPr>
          <w:rFonts w:eastAsia="仿宋_GB2312"/>
          <w:sz w:val="32"/>
          <w:szCs w:val="32"/>
        </w:rPr>
        <w:t>2020年度收、支总计18337.7万元。与2019年相比，收、支总计各增加7338.46万元，增长66.72%。主要变动原因是考试规模逐年增大，考务组织成本上升，人事考试中心考务费增加。</w:t>
      </w:r>
    </w:p>
    <w:p>
      <w:pPr>
        <w:pStyle w:val="2"/>
        <w:spacing w:before="93"/>
        <w:rPr>
          <w:rFonts w:ascii="Times New Roman"/>
        </w:rPr>
      </w:pPr>
      <w:r>
        <w:rPr>
          <w:rFonts w:ascii="Times New Roman"/>
        </w:rPr>
        <w:pict>
          <v:shape id="_x0000_i1025" o:spt="75" type="#_x0000_t75" style="height:285.5pt;width:425.8pt;" filled="f" o:preferrelative="t" stroked="f" coordsize="21600,21600">
            <v:path/>
            <v:fill on="f" focussize="0,0"/>
            <v:stroke on="f" joinstyle="miter"/>
            <v:imagedata r:id="rId7" cropleft="-5837f" croptop="-4336f" cropright="-15373f" cropbottom="-2301f" o:title=""/>
            <o:lock v:ext="edit" aspectratio="f"/>
            <w10:wrap type="none"/>
            <w10:anchorlock/>
          </v:shape>
        </w:pict>
      </w:r>
      <w:bookmarkStart w:id="28" w:name="_Toc15377206"/>
      <w:bookmarkStart w:id="29" w:name="_Toc15396604"/>
    </w:p>
    <w:p>
      <w:pPr>
        <w:pStyle w:val="4"/>
        <w:spacing w:line="415" w:lineRule="auto"/>
        <w:ind w:firstLine="600" w:firstLineChars="200"/>
        <w:rPr>
          <w:rFonts w:ascii="Times New Roman" w:hAnsi="Times New Roman" w:eastAsia="黑体" w:cs="Times New Roman"/>
          <w:b w:val="0"/>
          <w:bCs w:val="0"/>
          <w:kern w:val="0"/>
          <w:sz w:val="30"/>
          <w:szCs w:val="30"/>
        </w:rPr>
      </w:pPr>
      <w:bookmarkStart w:id="30" w:name="_Toc81405632"/>
      <w:r>
        <w:rPr>
          <w:rFonts w:ascii="Times New Roman" w:hAnsi="Times New Roman" w:eastAsia="黑体" w:cs="Times New Roman"/>
          <w:b w:val="0"/>
          <w:bCs w:val="0"/>
          <w:kern w:val="0"/>
          <w:sz w:val="30"/>
          <w:szCs w:val="30"/>
        </w:rPr>
        <w:t>二、</w:t>
      </w:r>
      <w:r>
        <w:rPr>
          <w:rFonts w:ascii="Times New Roman" w:hAnsi="Times New Roman" w:eastAsia="黑体" w:cs="Times New Roman"/>
          <w:b w:val="0"/>
          <w:bCs w:val="0"/>
        </w:rPr>
        <w:t>收入决算情况说明</w:t>
      </w:r>
      <w:bookmarkEnd w:id="28"/>
      <w:bookmarkEnd w:id="29"/>
      <w:bookmarkEnd w:id="30"/>
    </w:p>
    <w:p>
      <w:pPr>
        <w:spacing w:line="600" w:lineRule="exact"/>
        <w:ind w:firstLine="640" w:firstLineChars="200"/>
        <w:outlineLvl w:val="1"/>
        <w:rPr>
          <w:rFonts w:eastAsia="仿宋_GB2312"/>
          <w:sz w:val="32"/>
          <w:szCs w:val="32"/>
        </w:rPr>
      </w:pPr>
      <w:bookmarkStart w:id="31" w:name="_Toc81405633"/>
      <w:r>
        <w:rPr>
          <w:rFonts w:eastAsia="仿宋_GB2312"/>
          <w:sz w:val="32"/>
          <w:szCs w:val="32"/>
        </w:rPr>
        <w:t>2020年本年收入合计18337.7万元，其中：一般公共预算财政拨款收入18337.7万元，占100%。</w:t>
      </w:r>
      <w:bookmarkEnd w:id="31"/>
    </w:p>
    <w:p>
      <w:pPr>
        <w:pStyle w:val="2"/>
        <w:spacing w:before="93"/>
        <w:rPr>
          <w:rFonts w:ascii="Times New Roman"/>
        </w:rPr>
      </w:pPr>
    </w:p>
    <w:p>
      <w:pPr>
        <w:pStyle w:val="2"/>
        <w:spacing w:before="93"/>
        <w:jc w:val="center"/>
        <w:rPr>
          <w:rFonts w:ascii="Times New Roman"/>
        </w:rPr>
      </w:pPr>
      <w:r>
        <w:rPr>
          <w:rFonts w:ascii="Times New Roman"/>
        </w:rPr>
        <w:pict>
          <v:shape id="_x0000_i1026" o:spt="75" type="#_x0000_t75" style="height:214.75pt;width:364.95pt;" filled="f" o:preferrelative="t" stroked="f" coordsize="21600,21600"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">
            <v:path/>
            <v:fill on="f" focussize="0,0"/>
            <v:stroke on="f" joinstyle="miter"/>
            <v:imagedata r:id="rId8" cropleft="952f" croptop="1134f" cropright="1632f" cropbottom="680f" o:title=""/>
            <o:lock v:ext="edit" aspectratio="f"/>
            <w10:wrap type="none"/>
            <w10:anchorlock/>
          </v:shape>
        </w:pict>
      </w:r>
    </w:p>
    <w:p>
      <w:pPr>
        <w:pStyle w:val="4"/>
        <w:spacing w:line="415" w:lineRule="auto"/>
        <w:ind w:firstLine="640" w:firstLineChars="200"/>
        <w:rPr>
          <w:rStyle w:val="18"/>
          <w:rFonts w:ascii="Times New Roman" w:hAnsi="Times New Roman" w:eastAsia="黑体" w:cs="Times New Roman"/>
          <w:b/>
          <w:bCs/>
        </w:rPr>
      </w:pPr>
      <w:bookmarkStart w:id="32" w:name="_Toc15377207"/>
      <w:bookmarkStart w:id="33" w:name="_Toc81405634"/>
      <w:bookmarkStart w:id="34" w:name="_Toc15396605"/>
      <w:r>
        <w:rPr>
          <w:rFonts w:ascii="Times New Roman" w:hAnsi="Times New Roman" w:eastAsia="黑体" w:cs="Times New Roman"/>
          <w:b w:val="0"/>
        </w:rPr>
        <w:t>三、支出决算情况说明</w:t>
      </w:r>
      <w:bookmarkEnd w:id="32"/>
      <w:bookmarkEnd w:id="33"/>
      <w:bookmarkEnd w:id="34"/>
    </w:p>
    <w:p>
      <w:pPr>
        <w:spacing w:line="600" w:lineRule="exact"/>
        <w:ind w:firstLine="640" w:firstLineChars="200"/>
        <w:outlineLvl w:val="1"/>
        <w:rPr>
          <w:rFonts w:eastAsia="仿宋_GB2312"/>
          <w:sz w:val="32"/>
          <w:szCs w:val="32"/>
        </w:rPr>
      </w:pPr>
      <w:bookmarkStart w:id="35" w:name="_Toc81405635"/>
      <w:r>
        <w:rPr>
          <w:rFonts w:eastAsia="仿宋_GB2312"/>
          <w:sz w:val="32"/>
          <w:szCs w:val="32"/>
        </w:rPr>
        <w:t>2020年本年支出合计18337.7万元，其中：基本支出327.14万元，占1.78%；项目支出18010.56万元，占98.22%。</w:t>
      </w:r>
      <w:bookmarkEnd w:id="35"/>
    </w:p>
    <w:p>
      <w:pPr>
        <w:pStyle w:val="2"/>
        <w:spacing w:before="93"/>
        <w:rPr>
          <w:rFonts w:ascii="Times New Roman"/>
        </w:rPr>
      </w:pPr>
      <w:r>
        <w:rPr>
          <w:rFonts w:ascii="Times New Roman"/>
        </w:rPr>
        <w:pict>
          <v:shape id="_x0000_i1027" o:spt="75" type="#_x0000_t75" style="height:233.4pt;width:415.85pt;" filled="f" o:preferrelative="t" stroked="f" coordsize="21600,21600">
            <v:path/>
            <v:fill on="f" focussize="0,0"/>
            <v:stroke on="f" joinstyle="miter"/>
            <v:imagedata r:id="rId9" cropbottom="-154f" o:title=""/>
            <o:lock v:ext="edit" aspectratio="f"/>
            <w10:wrap type="none"/>
            <w10:anchorlock/>
          </v:shape>
        </w:pict>
      </w:r>
    </w:p>
    <w:p>
      <w:pPr>
        <w:pStyle w:val="4"/>
        <w:spacing w:line="415" w:lineRule="auto"/>
        <w:ind w:firstLine="640" w:firstLineChars="200"/>
        <w:rPr>
          <w:rFonts w:ascii="Times New Roman" w:hAnsi="Times New Roman" w:eastAsia="黑体" w:cs="Times New Roman"/>
          <w:b w:val="0"/>
        </w:rPr>
      </w:pPr>
      <w:bookmarkStart w:id="36" w:name="_Toc81405636"/>
      <w:bookmarkStart w:id="37" w:name="_Toc15377208"/>
      <w:bookmarkStart w:id="38" w:name="_Toc15396606"/>
      <w:r>
        <w:rPr>
          <w:rFonts w:ascii="Times New Roman" w:hAnsi="Times New Roman" w:eastAsia="黑体" w:cs="Times New Roman"/>
          <w:b w:val="0"/>
        </w:rPr>
        <w:t>四、财政拨款收入支出决算总体情况说明</w:t>
      </w:r>
      <w:bookmarkEnd w:id="36"/>
      <w:bookmarkEnd w:id="37"/>
      <w:bookmarkEnd w:id="38"/>
    </w:p>
    <w:p>
      <w:pPr>
        <w:spacing w:line="600" w:lineRule="exact"/>
        <w:ind w:firstLine="640"/>
        <w:rPr>
          <w:rFonts w:eastAsia="仿宋_GB2312"/>
          <w:sz w:val="32"/>
          <w:szCs w:val="32"/>
        </w:rPr>
      </w:pPr>
      <w:r>
        <w:rPr>
          <w:rFonts w:eastAsia="仿宋_GB2312"/>
          <w:sz w:val="32"/>
          <w:szCs w:val="32"/>
        </w:rPr>
        <w:t>2020年财政拨款收、支总计18337.7万元。与2019年相比，财政拨款收、支总计各增加7338.46万元，增长66.72%。主要变动原因是考试规模逐年增大，考务组织成本上升，人事考试中心考务费增加。</w:t>
      </w:r>
    </w:p>
    <w:p>
      <w:pPr>
        <w:pStyle w:val="2"/>
        <w:spacing w:before="93"/>
        <w:rPr>
          <w:rFonts w:ascii="Times New Roman"/>
        </w:rPr>
      </w:pPr>
      <w:r>
        <w:rPr>
          <w:rFonts w:ascii="Times New Roman"/>
        </w:rPr>
        <w:pict>
          <v:shape id="_x0000_i1028" o:spt="75" type="#_x0000_t75" style="height:290.5pt;width:409.65pt;" filled="f" o:preferrelative="t" stroked="f" coordsize="21600,21600">
            <v:path/>
            <v:fill on="f" focussize="0,0"/>
            <v:stroke on="f" joinstyle="miter"/>
            <v:imagedata r:id="rId10" cropleft="-6732f" croptop="-3077f" cropright="-5464f" cropbottom="-2560f" o:title=""/>
            <o:lock v:ext="edit" aspectratio="f"/>
            <w10:wrap type="none"/>
            <w10:anchorlock/>
          </v:shape>
        </w:pict>
      </w:r>
    </w:p>
    <w:p>
      <w:pPr>
        <w:pStyle w:val="4"/>
        <w:spacing w:line="415" w:lineRule="auto"/>
        <w:ind w:firstLine="640" w:firstLineChars="200"/>
        <w:rPr>
          <w:rFonts w:ascii="Times New Roman" w:hAnsi="Times New Roman" w:eastAsia="黑体" w:cs="Times New Roman"/>
          <w:b w:val="0"/>
          <w:bCs w:val="0"/>
        </w:rPr>
      </w:pPr>
      <w:bookmarkStart w:id="39" w:name="_Toc15396607"/>
      <w:bookmarkStart w:id="40" w:name="_Toc81405637"/>
      <w:bookmarkStart w:id="41" w:name="_Toc15377209"/>
      <w:r>
        <w:rPr>
          <w:rFonts w:ascii="Times New Roman" w:hAnsi="Times New Roman" w:eastAsia="黑体" w:cs="Times New Roman"/>
          <w:b w:val="0"/>
          <w:bCs w:val="0"/>
        </w:rPr>
        <w:t>五、一般公共预算财政拨款支出决算情况说明</w:t>
      </w:r>
      <w:bookmarkEnd w:id="39"/>
      <w:bookmarkEnd w:id="40"/>
      <w:bookmarkEnd w:id="41"/>
    </w:p>
    <w:p>
      <w:pPr>
        <w:spacing w:line="600" w:lineRule="exact"/>
        <w:ind w:firstLine="642" w:firstLineChars="200"/>
        <w:outlineLvl w:val="2"/>
        <w:rPr>
          <w:rFonts w:eastAsia="仿宋_GB2312"/>
          <w:b/>
          <w:bCs/>
          <w:sz w:val="32"/>
          <w:szCs w:val="32"/>
        </w:rPr>
      </w:pPr>
      <w:bookmarkStart w:id="42" w:name="_Toc81405638"/>
      <w:bookmarkStart w:id="43" w:name="_Toc15377210"/>
      <w:r>
        <w:rPr>
          <w:rFonts w:eastAsia="仿宋_GB2312"/>
          <w:b/>
          <w:bCs/>
          <w:sz w:val="32"/>
          <w:szCs w:val="32"/>
        </w:rPr>
        <w:t>（一）一般公共预算财政拨款支出决算总体情况</w:t>
      </w:r>
      <w:bookmarkEnd w:id="42"/>
      <w:bookmarkEnd w:id="43"/>
    </w:p>
    <w:p>
      <w:pPr>
        <w:spacing w:line="600" w:lineRule="exact"/>
        <w:ind w:firstLine="640" w:firstLineChars="200"/>
        <w:rPr>
          <w:rFonts w:eastAsia="仿宋_GB2312"/>
          <w:sz w:val="32"/>
          <w:szCs w:val="32"/>
        </w:rPr>
      </w:pPr>
      <w:r>
        <w:rPr>
          <w:rFonts w:eastAsia="仿宋_GB2312"/>
          <w:sz w:val="32"/>
          <w:szCs w:val="32"/>
        </w:rPr>
        <w:t>2020年一般公共预算财政拨款支出18337.7万元，占本年支出合计的100%。与2019年相比，一般公共预算财政拨款增加7338.46万元，增长66.72%。主要变动原因是考试规模逐年增大，考务组织成本上升，人事考试中心考务费增加。</w:t>
      </w:r>
    </w:p>
    <w:p>
      <w:pPr>
        <w:pStyle w:val="2"/>
        <w:spacing w:before="93"/>
        <w:rPr>
          <w:rFonts w:ascii="Times New Roman"/>
        </w:rPr>
      </w:pPr>
      <w:r>
        <w:rPr>
          <w:rFonts w:ascii="Times New Roman"/>
        </w:rPr>
        <w:pict>
          <v:shape id="_x0000_i1029" o:spt="75" type="#_x0000_t75" style="height:245.8pt;width:405.95pt;" filled="f" o:preferrelative="t" stroked="f" coordsize="21600,21600">
            <v:path/>
            <v:fill on="f" focussize="0,0"/>
            <v:stroke on="f" joinstyle="miter"/>
            <v:imagedata r:id="rId11" cropleft="-7839f" croptop="-2751f" cropright="-4811f" cropbottom="-4119f" o:title=""/>
            <o:lock v:ext="edit" aspectratio="f"/>
            <w10:wrap type="none"/>
            <w10:anchorlock/>
          </v:shape>
        </w:pict>
      </w:r>
    </w:p>
    <w:p>
      <w:pPr>
        <w:spacing w:line="600" w:lineRule="exact"/>
        <w:ind w:firstLine="642" w:firstLineChars="200"/>
        <w:outlineLvl w:val="2"/>
        <w:rPr>
          <w:rFonts w:eastAsia="仿宋_GB2312"/>
          <w:b/>
          <w:bCs/>
          <w:sz w:val="32"/>
          <w:szCs w:val="32"/>
        </w:rPr>
      </w:pPr>
      <w:bookmarkStart w:id="44" w:name="_Toc15377211"/>
      <w:bookmarkStart w:id="45" w:name="_Toc81405639"/>
      <w:r>
        <w:rPr>
          <w:rFonts w:eastAsia="仿宋_GB2312"/>
          <w:b/>
          <w:bCs/>
          <w:sz w:val="32"/>
          <w:szCs w:val="32"/>
        </w:rPr>
        <w:t>（二）一般公共预算财政拨款支出决算结构情况</w:t>
      </w:r>
      <w:bookmarkEnd w:id="44"/>
      <w:bookmarkEnd w:id="45"/>
    </w:p>
    <w:p>
      <w:pPr>
        <w:spacing w:line="600" w:lineRule="exact"/>
        <w:ind w:firstLine="640"/>
        <w:rPr>
          <w:rFonts w:eastAsia="仿宋_GB2312"/>
          <w:b/>
          <w:bCs/>
          <w:sz w:val="32"/>
          <w:szCs w:val="32"/>
        </w:rPr>
      </w:pPr>
      <w:r>
        <w:rPr>
          <w:rFonts w:eastAsia="仿宋_GB2312"/>
          <w:sz w:val="32"/>
          <w:szCs w:val="32"/>
        </w:rPr>
        <w:t>2020年一般公共预算财政拨款支出18337.7万元，主要用于以下方面:</w:t>
      </w:r>
      <w:r>
        <w:rPr>
          <w:rFonts w:eastAsia="仿宋_GB2312"/>
          <w:b/>
          <w:bCs/>
          <w:sz w:val="32"/>
          <w:szCs w:val="32"/>
        </w:rPr>
        <w:t>一般公共服务（类）</w:t>
      </w:r>
      <w:r>
        <w:rPr>
          <w:rFonts w:eastAsia="仿宋_GB2312"/>
          <w:sz w:val="32"/>
          <w:szCs w:val="32"/>
        </w:rPr>
        <w:t>支出18222.31万元，占99.37%；</w:t>
      </w:r>
      <w:r>
        <w:rPr>
          <w:rFonts w:eastAsia="仿宋_GB2312"/>
          <w:b/>
          <w:bCs/>
          <w:sz w:val="32"/>
          <w:szCs w:val="32"/>
        </w:rPr>
        <w:t>教育（类）</w:t>
      </w:r>
      <w:r>
        <w:rPr>
          <w:rFonts w:eastAsia="仿宋_GB2312"/>
          <w:sz w:val="32"/>
          <w:szCs w:val="32"/>
        </w:rPr>
        <w:t>支出0.98万元，占0.01%；</w:t>
      </w:r>
      <w:r>
        <w:rPr>
          <w:rFonts w:eastAsia="仿宋_GB2312"/>
          <w:b/>
          <w:bCs/>
          <w:sz w:val="32"/>
          <w:szCs w:val="32"/>
        </w:rPr>
        <w:t>社会保障和就业（类）</w:t>
      </w:r>
      <w:r>
        <w:rPr>
          <w:rFonts w:eastAsia="仿宋_GB2312"/>
          <w:sz w:val="32"/>
          <w:szCs w:val="32"/>
        </w:rPr>
        <w:t>支出35.66万元，占0.19%；</w:t>
      </w:r>
      <w:r>
        <w:rPr>
          <w:rFonts w:eastAsia="仿宋_GB2312"/>
          <w:b/>
          <w:bCs/>
          <w:sz w:val="32"/>
          <w:szCs w:val="32"/>
        </w:rPr>
        <w:t>卫生健康（类）</w:t>
      </w:r>
      <w:r>
        <w:rPr>
          <w:rFonts w:eastAsia="仿宋_GB2312"/>
          <w:sz w:val="32"/>
          <w:szCs w:val="32"/>
        </w:rPr>
        <w:t>支出36万元，占0.2%；</w:t>
      </w:r>
      <w:r>
        <w:rPr>
          <w:rFonts w:eastAsia="仿宋_GB2312"/>
          <w:b/>
          <w:bCs/>
          <w:sz w:val="32"/>
          <w:szCs w:val="32"/>
        </w:rPr>
        <w:t>住房保障（类）</w:t>
      </w:r>
      <w:r>
        <w:rPr>
          <w:rFonts w:eastAsia="仿宋_GB2312"/>
          <w:sz w:val="32"/>
          <w:szCs w:val="32"/>
        </w:rPr>
        <w:t>支出42.75万元，占0.23%。</w:t>
      </w:r>
    </w:p>
    <w:p>
      <w:pPr>
        <w:pStyle w:val="2"/>
        <w:spacing w:before="93"/>
        <w:rPr>
          <w:rFonts w:ascii="Times New Roman"/>
        </w:rPr>
      </w:pPr>
      <w:r>
        <w:rPr>
          <w:rFonts w:ascii="Times New Roman"/>
        </w:rPr>
        <w:pict>
          <v:shape id="_x0000_i1030" o:spt="75" type="#_x0000_t75" style="height:230.9pt;width:412.15pt;" filled="f" o:preferrelative="t" stroked="f" coordsize="21600,21600">
            <v:path/>
            <v:fill on="f" focussize="0,0"/>
            <v:stroke on="f" joinstyle="miter"/>
            <v:imagedata r:id="rId12" cropbottom="-128f" o:title=""/>
            <o:lock v:ext="edit" aspectratio="f"/>
            <w10:wrap type="none"/>
            <w10:anchorlock/>
          </v:shape>
        </w:pict>
      </w:r>
    </w:p>
    <w:p>
      <w:pPr>
        <w:spacing w:line="600" w:lineRule="exact"/>
        <w:ind w:firstLine="642" w:firstLineChars="200"/>
        <w:outlineLvl w:val="2"/>
        <w:rPr>
          <w:rFonts w:eastAsia="仿宋_GB2312"/>
          <w:b/>
          <w:bCs/>
          <w:sz w:val="32"/>
          <w:szCs w:val="32"/>
        </w:rPr>
      </w:pPr>
      <w:bookmarkStart w:id="46" w:name="_Toc15377212"/>
      <w:bookmarkStart w:id="47" w:name="_Toc81405640"/>
      <w:r>
        <w:rPr>
          <w:rFonts w:eastAsia="仿宋_GB2312"/>
          <w:b/>
          <w:bCs/>
          <w:sz w:val="32"/>
          <w:szCs w:val="32"/>
        </w:rPr>
        <w:t>（三）一般公共预算财政拨款支出决算具体情况</w:t>
      </w:r>
      <w:bookmarkEnd w:id="46"/>
      <w:bookmarkEnd w:id="47"/>
    </w:p>
    <w:p>
      <w:pPr>
        <w:spacing w:line="600" w:lineRule="exact"/>
        <w:ind w:firstLine="642" w:firstLineChars="200"/>
        <w:outlineLvl w:val="2"/>
        <w:rPr>
          <w:rFonts w:eastAsia="仿宋_GB2312"/>
          <w:sz w:val="32"/>
          <w:szCs w:val="32"/>
        </w:rPr>
      </w:pPr>
      <w:bookmarkStart w:id="48" w:name="_Toc81405641"/>
      <w:bookmarkStart w:id="49" w:name="_Toc15377213"/>
      <w:bookmarkStart w:id="50" w:name="_Toc15377444"/>
      <w:bookmarkStart w:id="51" w:name="_Toc15378460"/>
      <w:r>
        <w:rPr>
          <w:rFonts w:eastAsia="仿宋_GB2312"/>
          <w:b/>
          <w:bCs/>
          <w:sz w:val="32"/>
          <w:szCs w:val="32"/>
        </w:rPr>
        <w:t>2020年一般公共预算支出决算数为18337.7万元</w:t>
      </w:r>
      <w:r>
        <w:rPr>
          <w:rFonts w:eastAsia="仿宋_GB2312"/>
          <w:sz w:val="32"/>
          <w:szCs w:val="32"/>
        </w:rPr>
        <w:t>，</w:t>
      </w:r>
      <w:r>
        <w:rPr>
          <w:rStyle w:val="15"/>
          <w:rFonts w:eastAsia="仿宋_GB2312"/>
          <w:sz w:val="32"/>
          <w:szCs w:val="32"/>
        </w:rPr>
        <w:t>完成预算99.17%。其中：</w:t>
      </w:r>
      <w:bookmarkEnd w:id="48"/>
      <w:bookmarkEnd w:id="49"/>
      <w:bookmarkEnd w:id="50"/>
      <w:bookmarkEnd w:id="51"/>
    </w:p>
    <w:p>
      <w:pPr>
        <w:spacing w:line="600" w:lineRule="exact"/>
        <w:ind w:firstLine="642" w:firstLineChars="200"/>
        <w:rPr>
          <w:rStyle w:val="15"/>
          <w:rFonts w:eastAsia="仿宋_GB2312"/>
          <w:b w:val="0"/>
          <w:bCs w:val="0"/>
          <w:sz w:val="32"/>
          <w:szCs w:val="32"/>
        </w:rPr>
      </w:pPr>
      <w:r>
        <w:rPr>
          <w:rStyle w:val="15"/>
          <w:rFonts w:eastAsia="仿宋_GB2312"/>
          <w:sz w:val="32"/>
          <w:szCs w:val="32"/>
        </w:rPr>
        <w:t>1.一般公共服务（类）人力资源事务（款）事业运行（项）:</w:t>
      </w:r>
      <w:r>
        <w:rPr>
          <w:rStyle w:val="15"/>
          <w:rFonts w:eastAsia="仿宋_GB2312"/>
          <w:b w:val="0"/>
          <w:bCs w:val="0"/>
          <w:sz w:val="32"/>
          <w:szCs w:val="32"/>
        </w:rPr>
        <w:t>支出决算为203.29万元，完成预算93.37%，决算数小于预算数的主要原因是</w:t>
      </w:r>
      <w:r>
        <w:rPr>
          <w:rFonts w:eastAsia="仿宋_GB2312"/>
          <w:sz w:val="32"/>
          <w:szCs w:val="32"/>
        </w:rPr>
        <w:t>积极贯彻落实中央八项规定及省委省政府十项规定要求，加强单位日常经费管理</w:t>
      </w:r>
      <w:r>
        <w:rPr>
          <w:rStyle w:val="15"/>
          <w:rFonts w:eastAsia="仿宋_GB2312"/>
          <w:b w:val="0"/>
          <w:bCs w:val="0"/>
          <w:sz w:val="32"/>
          <w:szCs w:val="32"/>
        </w:rPr>
        <w:t>。</w:t>
      </w:r>
    </w:p>
    <w:p>
      <w:pPr>
        <w:spacing w:line="600" w:lineRule="exact"/>
        <w:ind w:firstLine="642" w:firstLineChars="200"/>
        <w:rPr>
          <w:rStyle w:val="15"/>
          <w:rFonts w:eastAsia="仿宋_GB2312"/>
          <w:b w:val="0"/>
          <w:bCs w:val="0"/>
        </w:rPr>
      </w:pPr>
      <w:r>
        <w:rPr>
          <w:rStyle w:val="15"/>
          <w:rFonts w:eastAsia="仿宋_GB2312"/>
          <w:sz w:val="32"/>
          <w:szCs w:val="32"/>
        </w:rPr>
        <w:t>一般公共服务（类）人力资源事务（款）其他人力资源事务支出（项）:</w:t>
      </w:r>
      <w:r>
        <w:rPr>
          <w:rStyle w:val="15"/>
          <w:rFonts w:eastAsia="仿宋_GB2312"/>
          <w:b w:val="0"/>
          <w:bCs w:val="0"/>
          <w:sz w:val="32"/>
          <w:szCs w:val="32"/>
        </w:rPr>
        <w:t>支出决算为18019.02万元，完成预算99.22%，决算数与预算数基本持平。</w:t>
      </w:r>
    </w:p>
    <w:p>
      <w:pPr>
        <w:spacing w:line="600" w:lineRule="exact"/>
        <w:ind w:firstLine="642" w:firstLineChars="200"/>
        <w:rPr>
          <w:rFonts w:eastAsia="仿宋_GB2312"/>
          <w:b/>
          <w:bCs/>
          <w:sz w:val="32"/>
          <w:szCs w:val="32"/>
        </w:rPr>
      </w:pPr>
      <w:r>
        <w:rPr>
          <w:rStyle w:val="15"/>
          <w:rFonts w:eastAsia="仿宋_GB2312"/>
          <w:sz w:val="32"/>
          <w:szCs w:val="32"/>
        </w:rPr>
        <w:t>2.教育（类）进修及培训（款）培训支出（项）:</w:t>
      </w:r>
      <w:r>
        <w:rPr>
          <w:rStyle w:val="15"/>
          <w:rFonts w:eastAsia="仿宋_GB2312"/>
          <w:b w:val="0"/>
          <w:bCs w:val="0"/>
          <w:sz w:val="32"/>
          <w:szCs w:val="32"/>
        </w:rPr>
        <w:t>支出决算为0.98万元，完成预算81.67%，决算数小于预算数的主要原因是</w:t>
      </w:r>
      <w:r>
        <w:rPr>
          <w:rFonts w:eastAsia="仿宋_GB2312"/>
          <w:color w:val="000000"/>
          <w:sz w:val="32"/>
          <w:szCs w:val="32"/>
        </w:rPr>
        <w:t>厉行节约压缩培训规模，</w:t>
      </w:r>
      <w:r>
        <w:rPr>
          <w:rStyle w:val="15"/>
          <w:rFonts w:eastAsia="仿宋_GB2312"/>
          <w:b w:val="0"/>
          <w:bCs w:val="0"/>
          <w:sz w:val="32"/>
          <w:szCs w:val="32"/>
        </w:rPr>
        <w:t>加强培训经费管理。</w:t>
      </w:r>
    </w:p>
    <w:p>
      <w:pPr>
        <w:spacing w:line="600" w:lineRule="exact"/>
        <w:ind w:firstLine="642" w:firstLineChars="200"/>
        <w:rPr>
          <w:rStyle w:val="15"/>
          <w:rFonts w:eastAsia="仿宋_GB2312"/>
          <w:b w:val="0"/>
          <w:bCs w:val="0"/>
          <w:sz w:val="32"/>
          <w:szCs w:val="32"/>
        </w:rPr>
      </w:pPr>
      <w:r>
        <w:rPr>
          <w:rStyle w:val="15"/>
          <w:rFonts w:eastAsia="仿宋_GB2312"/>
          <w:sz w:val="32"/>
          <w:szCs w:val="32"/>
        </w:rPr>
        <w:t>3.社会保障和就业（类）行政事业单位养老支出（款）机关事业单位基本养老保险缴费支出（项）:</w:t>
      </w:r>
      <w:r>
        <w:rPr>
          <w:rStyle w:val="15"/>
          <w:rFonts w:eastAsia="仿宋_GB2312"/>
          <w:b w:val="0"/>
          <w:bCs w:val="0"/>
          <w:sz w:val="32"/>
          <w:szCs w:val="32"/>
        </w:rPr>
        <w:t>支出决算为23.8万元，完成预算99.17%，决算数与预算数基本持平。</w:t>
      </w:r>
    </w:p>
    <w:p>
      <w:pPr>
        <w:spacing w:line="600" w:lineRule="exact"/>
        <w:ind w:firstLine="642" w:firstLineChars="200"/>
        <w:rPr>
          <w:rFonts w:eastAsia="仿宋_GB2312"/>
          <w:sz w:val="32"/>
          <w:szCs w:val="32"/>
        </w:rPr>
      </w:pPr>
      <w:r>
        <w:rPr>
          <w:rStyle w:val="15"/>
          <w:rFonts w:eastAsia="仿宋_GB2312"/>
          <w:sz w:val="32"/>
          <w:szCs w:val="32"/>
        </w:rPr>
        <w:t>社会保障和就业（类）行政事业单位养老支出（款）机关事业单位职业年金缴费支出（项）:</w:t>
      </w:r>
      <w:r>
        <w:rPr>
          <w:rStyle w:val="15"/>
          <w:rFonts w:eastAsia="仿宋_GB2312"/>
          <w:b w:val="0"/>
          <w:bCs w:val="0"/>
          <w:sz w:val="32"/>
          <w:szCs w:val="32"/>
        </w:rPr>
        <w:t>支出决算为11.86万元，完成预算91.23%，决算数与预算数基本持平。</w:t>
      </w:r>
    </w:p>
    <w:p>
      <w:pPr>
        <w:spacing w:line="600" w:lineRule="exact"/>
        <w:ind w:firstLine="642" w:firstLineChars="200"/>
        <w:rPr>
          <w:rFonts w:eastAsia="仿宋_GB2312"/>
          <w:b/>
          <w:bCs/>
          <w:sz w:val="32"/>
          <w:szCs w:val="32"/>
        </w:rPr>
      </w:pPr>
      <w:r>
        <w:rPr>
          <w:rStyle w:val="15"/>
          <w:rFonts w:eastAsia="仿宋_GB2312"/>
          <w:sz w:val="32"/>
          <w:szCs w:val="32"/>
        </w:rPr>
        <w:t>4.</w:t>
      </w:r>
      <w:r>
        <w:rPr>
          <w:rFonts w:eastAsia="仿宋_GB2312"/>
          <w:b/>
          <w:bCs/>
          <w:sz w:val="32"/>
          <w:szCs w:val="32"/>
        </w:rPr>
        <w:t>卫生健康</w:t>
      </w:r>
      <w:r>
        <w:rPr>
          <w:rStyle w:val="15"/>
          <w:rFonts w:eastAsia="仿宋_GB2312"/>
          <w:sz w:val="32"/>
          <w:szCs w:val="32"/>
        </w:rPr>
        <w:t>（类）行政事业单位医疗（款）事业单位医疗（项）:</w:t>
      </w:r>
      <w:r>
        <w:rPr>
          <w:rStyle w:val="15"/>
          <w:rFonts w:eastAsia="仿宋_GB2312"/>
          <w:b w:val="0"/>
          <w:bCs w:val="0"/>
          <w:sz w:val="32"/>
          <w:szCs w:val="32"/>
        </w:rPr>
        <w:t>支出决算为36万元，完成预算100%。</w:t>
      </w:r>
    </w:p>
    <w:p>
      <w:pPr>
        <w:spacing w:line="600" w:lineRule="exact"/>
        <w:ind w:firstLine="642" w:firstLineChars="200"/>
        <w:rPr>
          <w:rFonts w:eastAsia="仿宋_GB2312"/>
          <w:b/>
          <w:bCs/>
          <w:sz w:val="32"/>
          <w:szCs w:val="32"/>
        </w:rPr>
      </w:pPr>
      <w:r>
        <w:rPr>
          <w:rStyle w:val="15"/>
          <w:rFonts w:eastAsia="仿宋_GB2312"/>
          <w:sz w:val="32"/>
          <w:szCs w:val="32"/>
        </w:rPr>
        <w:t>5.</w:t>
      </w:r>
      <w:r>
        <w:rPr>
          <w:rFonts w:eastAsia="仿宋_GB2312"/>
          <w:b/>
          <w:bCs/>
          <w:sz w:val="32"/>
          <w:szCs w:val="32"/>
        </w:rPr>
        <w:t>住房保障</w:t>
      </w:r>
      <w:r>
        <w:rPr>
          <w:rStyle w:val="15"/>
          <w:rFonts w:eastAsia="仿宋_GB2312"/>
          <w:sz w:val="32"/>
          <w:szCs w:val="32"/>
        </w:rPr>
        <w:t>（类）住房改革支出（款）住房公积金（项）:</w:t>
      </w:r>
      <w:r>
        <w:rPr>
          <w:rStyle w:val="15"/>
          <w:rFonts w:eastAsia="仿宋_GB2312"/>
          <w:b w:val="0"/>
          <w:bCs w:val="0"/>
          <w:sz w:val="32"/>
          <w:szCs w:val="32"/>
        </w:rPr>
        <w:t>支出决算为31万元，完成预算100%。</w:t>
      </w:r>
    </w:p>
    <w:p>
      <w:pPr>
        <w:spacing w:line="600" w:lineRule="exact"/>
        <w:ind w:firstLine="642" w:firstLineChars="200"/>
        <w:rPr>
          <w:rFonts w:eastAsia="仿宋_GB2312"/>
          <w:b/>
          <w:bCs/>
          <w:sz w:val="32"/>
          <w:szCs w:val="32"/>
        </w:rPr>
      </w:pPr>
      <w:r>
        <w:rPr>
          <w:rStyle w:val="15"/>
          <w:rFonts w:eastAsia="仿宋_GB2312"/>
          <w:sz w:val="32"/>
          <w:szCs w:val="32"/>
        </w:rPr>
        <w:t>6.</w:t>
      </w:r>
      <w:r>
        <w:rPr>
          <w:rFonts w:eastAsia="仿宋_GB2312"/>
          <w:b/>
          <w:bCs/>
          <w:sz w:val="32"/>
          <w:szCs w:val="32"/>
        </w:rPr>
        <w:t>住房保障</w:t>
      </w:r>
      <w:r>
        <w:rPr>
          <w:rStyle w:val="15"/>
          <w:rFonts w:eastAsia="仿宋_GB2312"/>
          <w:sz w:val="32"/>
          <w:szCs w:val="32"/>
        </w:rPr>
        <w:t>（类）住房改革支出（款）购房补贴（项）:</w:t>
      </w:r>
      <w:r>
        <w:rPr>
          <w:rStyle w:val="15"/>
          <w:rFonts w:eastAsia="仿宋_GB2312"/>
          <w:b w:val="0"/>
          <w:bCs w:val="0"/>
          <w:sz w:val="32"/>
          <w:szCs w:val="32"/>
        </w:rPr>
        <w:t>支出决算为11.75万元，完成预算100%。</w:t>
      </w:r>
    </w:p>
    <w:p>
      <w:pPr>
        <w:pStyle w:val="4"/>
        <w:spacing w:line="415" w:lineRule="auto"/>
        <w:ind w:firstLine="640" w:firstLineChars="200"/>
        <w:rPr>
          <w:rFonts w:ascii="Times New Roman" w:hAnsi="Times New Roman" w:eastAsia="黑体" w:cs="Times New Roman"/>
          <w:b w:val="0"/>
          <w:bCs w:val="0"/>
        </w:rPr>
      </w:pPr>
      <w:bookmarkStart w:id="52" w:name="_Toc15377214"/>
      <w:bookmarkStart w:id="53" w:name="_Toc81405642"/>
      <w:bookmarkStart w:id="54" w:name="_Toc15396608"/>
      <w:r>
        <w:rPr>
          <w:rFonts w:ascii="Times New Roman" w:hAnsi="Times New Roman" w:eastAsia="黑体" w:cs="Times New Roman"/>
          <w:b w:val="0"/>
          <w:bCs w:val="0"/>
        </w:rPr>
        <w:t>六、一般公共预算财政拨款基本支出决算情况说明</w:t>
      </w:r>
      <w:bookmarkEnd w:id="52"/>
      <w:bookmarkEnd w:id="53"/>
      <w:bookmarkEnd w:id="54"/>
      <w:r>
        <w:rPr>
          <w:rFonts w:ascii="Times New Roman" w:hAnsi="Times New Roman" w:eastAsia="黑体" w:cs="Times New Roman"/>
          <w:b w:val="0"/>
          <w:bCs w:val="0"/>
        </w:rPr>
        <w:tab/>
      </w:r>
    </w:p>
    <w:p>
      <w:pPr>
        <w:spacing w:line="600" w:lineRule="exact"/>
        <w:ind w:firstLine="645"/>
        <w:rPr>
          <w:rFonts w:eastAsia="仿宋_GB2312"/>
          <w:sz w:val="32"/>
          <w:szCs w:val="32"/>
        </w:rPr>
      </w:pPr>
      <w:r>
        <w:rPr>
          <w:rFonts w:eastAsia="仿宋_GB2312"/>
          <w:sz w:val="32"/>
          <w:szCs w:val="32"/>
        </w:rPr>
        <w:t>2020年一般公共预算财政拨款基本支出327.14万元，其中：</w:t>
      </w:r>
    </w:p>
    <w:p>
      <w:pPr>
        <w:spacing w:line="600" w:lineRule="exact"/>
        <w:ind w:firstLine="645"/>
        <w:rPr>
          <w:rFonts w:eastAsia="仿宋_GB2312"/>
          <w:sz w:val="32"/>
          <w:szCs w:val="32"/>
        </w:rPr>
      </w:pPr>
      <w:r>
        <w:rPr>
          <w:rFonts w:eastAsia="仿宋_GB2312"/>
          <w:sz w:val="32"/>
          <w:szCs w:val="32"/>
        </w:rPr>
        <w:t>人员经费301.48万元，主要包括：基本工资、津贴补贴、绩效工资、机关事业单位基本养老保险缴费、职业年金缴费、职工基本医疗保险缴费、其他社会保障缴费、住房公积金、其他工资福利支出、奖励金等。</w:t>
      </w:r>
      <w:r>
        <w:rPr>
          <w:rFonts w:eastAsia="仿宋_GB2312"/>
          <w:sz w:val="32"/>
          <w:szCs w:val="32"/>
        </w:rPr>
        <w:br w:type="textWrapping"/>
      </w:r>
      <w:r>
        <w:rPr>
          <w:rFonts w:eastAsia="仿宋_GB2312"/>
          <w:sz w:val="32"/>
          <w:szCs w:val="32"/>
        </w:rPr>
        <w:t>　　公用经费25.66万元，主要包括：办公费、手续费、水费、电费、邮电费、差旅费、会议费、培训费、公务接待费、劳务费、工会经费、福利费、公务用车运行维护费、其他商品和服务支出、办公设备购置、专用设备购置、信息网络及软件购置更新等。</w:t>
      </w:r>
    </w:p>
    <w:p>
      <w:pPr>
        <w:pStyle w:val="4"/>
        <w:spacing w:line="415" w:lineRule="auto"/>
        <w:ind w:firstLine="640" w:firstLineChars="200"/>
        <w:rPr>
          <w:rFonts w:ascii="Times New Roman" w:hAnsi="Times New Roman" w:eastAsia="黑体" w:cs="Times New Roman"/>
          <w:b w:val="0"/>
          <w:bCs w:val="0"/>
        </w:rPr>
      </w:pPr>
      <w:bookmarkStart w:id="55" w:name="_Toc15377215"/>
      <w:bookmarkStart w:id="56" w:name="_Toc15396609"/>
      <w:bookmarkStart w:id="57" w:name="_Toc81405643"/>
      <w:r>
        <w:rPr>
          <w:rFonts w:ascii="Times New Roman" w:hAnsi="Times New Roman" w:eastAsia="黑体" w:cs="Times New Roman"/>
          <w:b w:val="0"/>
          <w:bCs w:val="0"/>
        </w:rPr>
        <w:t>七、“三公”经费财政拨款支出决算情况说明</w:t>
      </w:r>
      <w:bookmarkEnd w:id="55"/>
      <w:bookmarkEnd w:id="56"/>
      <w:bookmarkEnd w:id="57"/>
    </w:p>
    <w:p>
      <w:pPr>
        <w:spacing w:line="600" w:lineRule="exact"/>
        <w:ind w:firstLine="640"/>
        <w:outlineLvl w:val="2"/>
        <w:rPr>
          <w:rFonts w:eastAsia="仿宋_GB2312"/>
          <w:b/>
          <w:bCs/>
          <w:sz w:val="32"/>
          <w:szCs w:val="32"/>
        </w:rPr>
      </w:pPr>
      <w:bookmarkStart w:id="58" w:name="_Toc81405644"/>
      <w:bookmarkStart w:id="59" w:name="_Toc15377216"/>
      <w:r>
        <w:rPr>
          <w:rFonts w:eastAsia="仿宋_GB2312"/>
          <w:b/>
          <w:bCs/>
          <w:sz w:val="32"/>
          <w:szCs w:val="32"/>
        </w:rPr>
        <w:t>（一）“三公”经费财政拨款支出决算总体情况说明</w:t>
      </w:r>
      <w:bookmarkEnd w:id="58"/>
      <w:bookmarkEnd w:id="59"/>
    </w:p>
    <w:p>
      <w:pPr>
        <w:spacing w:line="600" w:lineRule="exact"/>
        <w:ind w:firstLine="640"/>
        <w:rPr>
          <w:rFonts w:eastAsia="仿宋_GB2312"/>
          <w:sz w:val="32"/>
          <w:szCs w:val="32"/>
        </w:rPr>
      </w:pPr>
      <w:r>
        <w:rPr>
          <w:rFonts w:eastAsia="仿宋_GB2312"/>
          <w:sz w:val="32"/>
          <w:szCs w:val="32"/>
        </w:rPr>
        <w:t>2020年“三公”经费财政拨款支出决算为8.46万元，完成预算41.47%，决算数小于预算数的主要原因是单位继续认真贯彻落实中央八项规定及省委省政府十项规定要求，厉行节约，从严控制“三公”经费支出，全年实际支出比预算有所节约。</w:t>
      </w:r>
    </w:p>
    <w:p>
      <w:pPr>
        <w:spacing w:line="600" w:lineRule="exact"/>
        <w:ind w:firstLine="640"/>
        <w:outlineLvl w:val="2"/>
        <w:rPr>
          <w:rFonts w:eastAsia="仿宋_GB2312"/>
          <w:b/>
          <w:bCs/>
          <w:sz w:val="32"/>
          <w:szCs w:val="32"/>
        </w:rPr>
      </w:pPr>
      <w:bookmarkStart w:id="60" w:name="_Toc81405645"/>
      <w:bookmarkStart w:id="61" w:name="_Toc15377217"/>
      <w:r>
        <w:rPr>
          <w:rFonts w:eastAsia="仿宋_GB2312"/>
          <w:b/>
          <w:bCs/>
          <w:sz w:val="32"/>
          <w:szCs w:val="32"/>
        </w:rPr>
        <w:t>（二）“三公”经费财政拨款支出决算具体情况说明</w:t>
      </w:r>
      <w:bookmarkEnd w:id="60"/>
      <w:bookmarkEnd w:id="61"/>
    </w:p>
    <w:p>
      <w:pPr>
        <w:spacing w:line="600" w:lineRule="exact"/>
        <w:ind w:firstLine="640"/>
        <w:rPr>
          <w:rFonts w:eastAsia="仿宋_GB2312"/>
          <w:sz w:val="32"/>
          <w:szCs w:val="32"/>
        </w:rPr>
      </w:pPr>
      <w:r>
        <w:rPr>
          <w:rFonts w:eastAsia="仿宋_GB2312"/>
          <w:sz w:val="32"/>
          <w:szCs w:val="32"/>
        </w:rPr>
        <w:t>2020年“三公”经费财政拨款支出决算中，因公出国（境）费支出决算0万元</w:t>
      </w:r>
      <w:r>
        <w:rPr>
          <w:rFonts w:eastAsia="仿宋"/>
          <w:sz w:val="32"/>
          <w:szCs w:val="32"/>
        </w:rPr>
        <w:t>，占0%</w:t>
      </w:r>
      <w:r>
        <w:rPr>
          <w:rFonts w:eastAsia="仿宋_GB2312"/>
          <w:sz w:val="32"/>
          <w:szCs w:val="32"/>
        </w:rPr>
        <w:t>；公务用车购置及运行维护费支出决算8.22万元，占97.16%；公务接待费支出决算0.24万元，占2.84%。具体情况如下：</w:t>
      </w:r>
    </w:p>
    <w:p>
      <w:pPr>
        <w:pStyle w:val="2"/>
        <w:spacing w:before="93"/>
        <w:rPr>
          <w:rFonts w:ascii="Times New Roman"/>
        </w:rPr>
      </w:pPr>
      <w:r>
        <w:rPr>
          <w:rFonts w:ascii="Times New Roman"/>
        </w:rPr>
        <w:pict>
          <v:shape id="_x0000_i1031" o:spt="75" type="#_x0000_t75" style="height:224.7pt;width:408.4pt;" filled="f" o:preferrelative="t" stroked="f" coordsize="21600,21600">
            <v:path/>
            <v:fill on="f" focussize="0,0"/>
            <v:stroke on="f" joinstyle="miter"/>
            <v:imagedata r:id="rId13" cropbottom="-117f" o:title=""/>
            <o:lock v:ext="edit" aspectratio="f"/>
            <w10:wrap type="none"/>
            <w10:anchorlock/>
          </v:shape>
        </w:pict>
      </w:r>
    </w:p>
    <w:p>
      <w:pPr>
        <w:spacing w:line="560" w:lineRule="exact"/>
        <w:ind w:firstLine="640"/>
        <w:rPr>
          <w:rFonts w:eastAsia="仿宋_GB2312"/>
          <w:b/>
          <w:bCs/>
          <w:sz w:val="32"/>
          <w:szCs w:val="32"/>
        </w:rPr>
      </w:pPr>
      <w:r>
        <w:rPr>
          <w:rFonts w:hint="eastAsia" w:eastAsia="仿宋_GB2312"/>
          <w:b/>
          <w:bCs/>
          <w:sz w:val="32"/>
          <w:szCs w:val="32"/>
        </w:rPr>
        <w:t>1.</w:t>
      </w:r>
      <w:r>
        <w:rPr>
          <w:rFonts w:eastAsia="仿宋_GB2312"/>
          <w:b/>
          <w:bCs/>
          <w:sz w:val="32"/>
          <w:szCs w:val="32"/>
        </w:rPr>
        <w:t>因公出国（境）经费支出</w:t>
      </w:r>
      <w:r>
        <w:rPr>
          <w:rFonts w:eastAsia="仿宋_GB2312"/>
          <w:sz w:val="32"/>
          <w:szCs w:val="32"/>
        </w:rPr>
        <w:t>0万元，</w:t>
      </w:r>
      <w:r>
        <w:rPr>
          <w:rStyle w:val="15"/>
          <w:rFonts w:eastAsia="仿宋"/>
          <w:b w:val="0"/>
          <w:bCs w:val="0"/>
          <w:sz w:val="32"/>
          <w:szCs w:val="32"/>
        </w:rPr>
        <w:t>完成预算100%。</w:t>
      </w:r>
      <w:r>
        <w:rPr>
          <w:rFonts w:eastAsia="仿宋_GB2312"/>
          <w:sz w:val="32"/>
          <w:szCs w:val="32"/>
        </w:rPr>
        <w:t>全年安排因公出国（境）团组0次，出国（境）0人。因公出国（境）支出决算与2019年持平。</w:t>
      </w:r>
    </w:p>
    <w:p>
      <w:pPr>
        <w:spacing w:line="560" w:lineRule="exact"/>
        <w:ind w:firstLine="640"/>
        <w:rPr>
          <w:rFonts w:eastAsia="仿宋_GB2312"/>
          <w:sz w:val="32"/>
          <w:szCs w:val="32"/>
        </w:rPr>
      </w:pPr>
      <w:r>
        <w:rPr>
          <w:rFonts w:eastAsia="仿宋_GB2312"/>
          <w:b/>
          <w:bCs/>
          <w:sz w:val="32"/>
          <w:szCs w:val="32"/>
        </w:rPr>
        <w:t>2</w:t>
      </w:r>
      <w:r>
        <w:rPr>
          <w:rFonts w:hint="eastAsia" w:eastAsia="仿宋_GB2312"/>
          <w:b/>
          <w:bCs/>
          <w:sz w:val="32"/>
          <w:szCs w:val="32"/>
        </w:rPr>
        <w:t>.</w:t>
      </w:r>
      <w:r>
        <w:rPr>
          <w:rFonts w:eastAsia="仿宋_GB2312"/>
          <w:b/>
          <w:bCs/>
          <w:sz w:val="32"/>
          <w:szCs w:val="32"/>
        </w:rPr>
        <w:t>公务用车购置及运行维护费支出</w:t>
      </w:r>
      <w:r>
        <w:rPr>
          <w:rFonts w:eastAsia="仿宋_GB2312"/>
          <w:sz w:val="32"/>
          <w:szCs w:val="32"/>
        </w:rPr>
        <w:t>8.22万元,</w:t>
      </w:r>
      <w:r>
        <w:rPr>
          <w:rStyle w:val="15"/>
          <w:rFonts w:eastAsia="仿宋_GB2312"/>
          <w:b w:val="0"/>
          <w:bCs w:val="0"/>
          <w:sz w:val="32"/>
          <w:szCs w:val="32"/>
        </w:rPr>
        <w:t>完成预算47.24%。</w:t>
      </w:r>
      <w:r>
        <w:rPr>
          <w:rFonts w:eastAsia="仿宋_GB2312"/>
          <w:sz w:val="32"/>
          <w:szCs w:val="32"/>
        </w:rPr>
        <w:t>公务用车购置及运行维护费支出决算比2019年减少8.17万元，下降49.85%。主要原因是2020年公务用车制度改革报废、拍卖2辆公务车。</w:t>
      </w:r>
    </w:p>
    <w:p>
      <w:pPr>
        <w:pStyle w:val="2"/>
        <w:spacing w:beforeLines="0" w:line="560" w:lineRule="exact"/>
        <w:ind w:firstLine="640" w:firstLineChars="200"/>
        <w:rPr>
          <w:rFonts w:ascii="Times New Roman"/>
        </w:rPr>
      </w:pPr>
      <w:r>
        <w:rPr>
          <w:rFonts w:ascii="Times New Roman"/>
          <w:sz w:val="32"/>
          <w:szCs w:val="32"/>
        </w:rPr>
        <w:t>其中：</w:t>
      </w:r>
      <w:r>
        <w:rPr>
          <w:rFonts w:ascii="Times New Roman"/>
          <w:b/>
          <w:bCs/>
          <w:sz w:val="32"/>
          <w:szCs w:val="32"/>
        </w:rPr>
        <w:t>公务用车购置支出</w:t>
      </w:r>
      <w:r>
        <w:rPr>
          <w:rFonts w:ascii="Times New Roman"/>
          <w:sz w:val="32"/>
          <w:szCs w:val="32"/>
        </w:rPr>
        <w:t>0万元。全年按规定更新购置公务用车0辆。截至2020年12月底，单位共有公务用车2辆，其中：轿车1辆、其他用车1辆。</w:t>
      </w:r>
    </w:p>
    <w:p>
      <w:pPr>
        <w:spacing w:line="560" w:lineRule="exact"/>
        <w:ind w:firstLine="640"/>
        <w:rPr>
          <w:rFonts w:eastAsia="仿宋_GB2312"/>
          <w:sz w:val="32"/>
          <w:szCs w:val="32"/>
        </w:rPr>
      </w:pPr>
      <w:r>
        <w:rPr>
          <w:rFonts w:eastAsia="仿宋_GB2312"/>
          <w:b/>
          <w:bCs/>
          <w:sz w:val="32"/>
          <w:szCs w:val="32"/>
        </w:rPr>
        <w:t>公务用车运行维护费支出</w:t>
      </w:r>
      <w:r>
        <w:rPr>
          <w:rFonts w:eastAsia="仿宋_GB2312"/>
          <w:sz w:val="32"/>
          <w:szCs w:val="32"/>
        </w:rPr>
        <w:t>8.22万元。主要用于单位运送人事考试试卷等所需的公务用车燃料费、维修费、过路过桥费、保险费等支出。</w:t>
      </w:r>
    </w:p>
    <w:p>
      <w:pPr>
        <w:spacing w:line="560" w:lineRule="exact"/>
        <w:ind w:firstLine="640"/>
        <w:rPr>
          <w:rFonts w:eastAsia="仿宋_GB2312"/>
          <w:sz w:val="32"/>
          <w:szCs w:val="32"/>
        </w:rPr>
      </w:pPr>
      <w:r>
        <w:rPr>
          <w:rFonts w:eastAsia="仿宋_GB2312"/>
          <w:b/>
          <w:bCs/>
          <w:sz w:val="32"/>
          <w:szCs w:val="32"/>
        </w:rPr>
        <w:t>3.公务接待费支出</w:t>
      </w:r>
      <w:r>
        <w:rPr>
          <w:rFonts w:eastAsia="仿宋_GB2312"/>
          <w:sz w:val="32"/>
          <w:szCs w:val="32"/>
        </w:rPr>
        <w:t>0.24万元，</w:t>
      </w:r>
      <w:r>
        <w:rPr>
          <w:rStyle w:val="15"/>
          <w:rFonts w:eastAsia="仿宋_GB2312"/>
          <w:b w:val="0"/>
          <w:bCs w:val="0"/>
          <w:sz w:val="32"/>
          <w:szCs w:val="32"/>
        </w:rPr>
        <w:t>完成预算8%。</w:t>
      </w:r>
      <w:r>
        <w:rPr>
          <w:rFonts w:eastAsia="仿宋_GB2312"/>
          <w:sz w:val="32"/>
          <w:szCs w:val="32"/>
        </w:rPr>
        <w:t>公务接待费支出决算比2019年减少0.08万元，下降25%。主要原因是受疫情影响，实际公务活动减少。其中：</w:t>
      </w:r>
    </w:p>
    <w:p>
      <w:pPr>
        <w:spacing w:line="560" w:lineRule="exact"/>
        <w:ind w:firstLine="640"/>
        <w:rPr>
          <w:rFonts w:eastAsia="仿宋_GB2312"/>
          <w:sz w:val="32"/>
          <w:szCs w:val="32"/>
        </w:rPr>
      </w:pPr>
      <w:r>
        <w:rPr>
          <w:rFonts w:eastAsia="仿宋_GB2312"/>
          <w:b/>
          <w:bCs/>
          <w:sz w:val="32"/>
          <w:szCs w:val="32"/>
        </w:rPr>
        <w:t>国内公务接待支出</w:t>
      </w:r>
      <w:r>
        <w:rPr>
          <w:rFonts w:eastAsia="仿宋_GB2312"/>
          <w:sz w:val="32"/>
          <w:szCs w:val="32"/>
        </w:rPr>
        <w:t>0.24万元，主要用于上级部门等检查指导调研工作发生的用餐费等接待支出。国内公务接待2批次，10人次（不包括陪同人员），共计支出0.24万元，具体内容包括：接待上级部门来川指导考试考务工作支出0.07万元、人社部来川调研 “三区三州”深度贫困地区人事考试机构信息化工作支出0.17万元。</w:t>
      </w:r>
      <w:bookmarkStart w:id="62" w:name="_Toc15396610"/>
      <w:bookmarkStart w:id="63" w:name="_Toc15377218"/>
    </w:p>
    <w:p>
      <w:pPr>
        <w:pStyle w:val="2"/>
        <w:spacing w:beforeLines="0" w:line="560" w:lineRule="exact"/>
        <w:ind w:firstLine="642" w:firstLineChars="200"/>
        <w:rPr>
          <w:rFonts w:ascii="Times New Roman"/>
          <w:kern w:val="2"/>
          <w:sz w:val="32"/>
          <w:szCs w:val="32"/>
        </w:rPr>
      </w:pPr>
      <w:r>
        <w:rPr>
          <w:rFonts w:ascii="Times New Roman"/>
          <w:b/>
          <w:bCs/>
          <w:kern w:val="2"/>
          <w:sz w:val="32"/>
          <w:szCs w:val="32"/>
        </w:rPr>
        <w:t>外事接待支出</w:t>
      </w:r>
      <w:r>
        <w:rPr>
          <w:rFonts w:ascii="Times New Roman"/>
          <w:kern w:val="2"/>
          <w:sz w:val="32"/>
          <w:szCs w:val="32"/>
        </w:rPr>
        <w:t>0万元，外事接待0批次，0人，共计支出0万元。</w:t>
      </w:r>
    </w:p>
    <w:p>
      <w:pPr>
        <w:pStyle w:val="4"/>
        <w:spacing w:before="0" w:after="0" w:line="560" w:lineRule="exact"/>
        <w:ind w:firstLine="640" w:firstLineChars="200"/>
        <w:rPr>
          <w:rFonts w:ascii="Times New Roman" w:hAnsi="Times New Roman" w:eastAsia="黑体" w:cs="Times New Roman"/>
          <w:b w:val="0"/>
          <w:bCs w:val="0"/>
        </w:rPr>
      </w:pPr>
      <w:bookmarkStart w:id="64" w:name="_Toc81405646"/>
      <w:r>
        <w:rPr>
          <w:rFonts w:ascii="Times New Roman" w:hAnsi="Times New Roman" w:eastAsia="黑体" w:cs="Times New Roman"/>
          <w:b w:val="0"/>
          <w:bCs w:val="0"/>
        </w:rPr>
        <w:t>八、政府性基金预算支出决算情况说明</w:t>
      </w:r>
      <w:bookmarkEnd w:id="62"/>
      <w:bookmarkEnd w:id="63"/>
      <w:bookmarkEnd w:id="64"/>
    </w:p>
    <w:p>
      <w:pPr>
        <w:spacing w:line="560" w:lineRule="exact"/>
        <w:ind w:firstLine="640"/>
        <w:rPr>
          <w:rFonts w:eastAsia="仿宋_GB2312"/>
          <w:sz w:val="32"/>
          <w:szCs w:val="32"/>
        </w:rPr>
      </w:pPr>
      <w:r>
        <w:rPr>
          <w:rFonts w:eastAsia="仿宋_GB2312"/>
          <w:sz w:val="32"/>
          <w:szCs w:val="32"/>
        </w:rPr>
        <w:t>2020年政府性基金预算财政拨款支出0万元。</w:t>
      </w:r>
    </w:p>
    <w:p>
      <w:pPr>
        <w:pStyle w:val="4"/>
        <w:spacing w:before="0" w:after="0" w:line="560" w:lineRule="exact"/>
        <w:ind w:firstLine="640" w:firstLineChars="200"/>
        <w:rPr>
          <w:rFonts w:ascii="Times New Roman" w:hAnsi="Times New Roman" w:eastAsia="黑体" w:cs="Times New Roman"/>
          <w:b w:val="0"/>
          <w:bCs w:val="0"/>
        </w:rPr>
      </w:pPr>
      <w:bookmarkStart w:id="65" w:name="_Toc15377219"/>
      <w:bookmarkStart w:id="66" w:name="_Toc15396611"/>
      <w:bookmarkStart w:id="67" w:name="_Toc81405647"/>
      <w:r>
        <w:rPr>
          <w:rFonts w:ascii="Times New Roman" w:hAnsi="Times New Roman" w:eastAsia="黑体" w:cs="Times New Roman"/>
          <w:b w:val="0"/>
          <w:bCs w:val="0"/>
        </w:rPr>
        <w:t>九、国有资本经营预算支出决算情况说明</w:t>
      </w:r>
      <w:bookmarkEnd w:id="65"/>
      <w:bookmarkEnd w:id="66"/>
      <w:bookmarkEnd w:id="67"/>
    </w:p>
    <w:p>
      <w:pPr>
        <w:spacing w:line="560" w:lineRule="exact"/>
        <w:ind w:firstLine="640"/>
        <w:rPr>
          <w:rFonts w:eastAsia="仿宋_GB2312"/>
          <w:sz w:val="32"/>
          <w:szCs w:val="32"/>
        </w:rPr>
      </w:pPr>
      <w:r>
        <w:rPr>
          <w:rFonts w:eastAsia="仿宋_GB2312"/>
          <w:sz w:val="32"/>
          <w:szCs w:val="32"/>
        </w:rPr>
        <w:t>2020年国有资本经营预算财政拨款支出0万元。</w:t>
      </w:r>
    </w:p>
    <w:p>
      <w:pPr>
        <w:pStyle w:val="4"/>
        <w:spacing w:before="0" w:after="0" w:line="560" w:lineRule="exact"/>
        <w:ind w:firstLine="640" w:firstLineChars="200"/>
        <w:rPr>
          <w:rFonts w:ascii="Times New Roman" w:hAnsi="Times New Roman" w:eastAsia="黑体" w:cs="Times New Roman"/>
          <w:b w:val="0"/>
          <w:bCs w:val="0"/>
        </w:rPr>
      </w:pPr>
      <w:bookmarkStart w:id="68" w:name="_Toc15377221"/>
      <w:bookmarkStart w:id="69" w:name="_Toc81405648"/>
      <w:bookmarkStart w:id="70" w:name="_Toc15396612"/>
      <w:r>
        <w:rPr>
          <w:rFonts w:ascii="Times New Roman" w:hAnsi="Times New Roman" w:eastAsia="黑体" w:cs="Times New Roman"/>
          <w:b w:val="0"/>
          <w:bCs w:val="0"/>
        </w:rPr>
        <w:t>十、其他重要事项的情况说明</w:t>
      </w:r>
      <w:bookmarkEnd w:id="68"/>
      <w:bookmarkEnd w:id="69"/>
      <w:bookmarkEnd w:id="70"/>
    </w:p>
    <w:p>
      <w:pPr>
        <w:spacing w:line="560" w:lineRule="exact"/>
        <w:ind w:firstLine="642" w:firstLineChars="200"/>
        <w:outlineLvl w:val="2"/>
        <w:rPr>
          <w:rFonts w:eastAsia="仿宋_GB2312"/>
          <w:sz w:val="32"/>
          <w:szCs w:val="32"/>
        </w:rPr>
      </w:pPr>
      <w:bookmarkStart w:id="71" w:name="_Toc15377222"/>
      <w:bookmarkStart w:id="72" w:name="_Toc81405649"/>
      <w:r>
        <w:rPr>
          <w:rFonts w:eastAsia="仿宋_GB2312"/>
          <w:b/>
          <w:bCs/>
          <w:sz w:val="32"/>
          <w:szCs w:val="32"/>
        </w:rPr>
        <w:t>（一）机关运行经费支出情况</w:t>
      </w:r>
      <w:bookmarkEnd w:id="71"/>
      <w:bookmarkEnd w:id="72"/>
    </w:p>
    <w:p>
      <w:pPr>
        <w:spacing w:line="560" w:lineRule="exact"/>
        <w:ind w:firstLine="640" w:firstLineChars="200"/>
        <w:rPr>
          <w:rFonts w:eastAsia="仿宋_GB2312"/>
          <w:sz w:val="32"/>
          <w:szCs w:val="32"/>
        </w:rPr>
      </w:pPr>
      <w:r>
        <w:rPr>
          <w:rFonts w:eastAsia="仿宋_GB2312"/>
          <w:sz w:val="32"/>
          <w:szCs w:val="32"/>
        </w:rPr>
        <w:t>省人事考试中心为事业单位，未开支机关运行经费。</w:t>
      </w:r>
    </w:p>
    <w:p>
      <w:pPr>
        <w:autoSpaceDE w:val="0"/>
        <w:autoSpaceDN w:val="0"/>
        <w:adjustRightInd w:val="0"/>
        <w:spacing w:line="560" w:lineRule="exact"/>
        <w:ind w:firstLine="642" w:firstLineChars="200"/>
        <w:jc w:val="left"/>
        <w:outlineLvl w:val="2"/>
        <w:rPr>
          <w:rFonts w:eastAsia="仿宋_GB2312"/>
          <w:b/>
          <w:bCs/>
          <w:sz w:val="32"/>
          <w:szCs w:val="32"/>
        </w:rPr>
      </w:pPr>
      <w:bookmarkStart w:id="73" w:name="_Toc15377223"/>
      <w:bookmarkStart w:id="74" w:name="_Toc81405650"/>
      <w:r>
        <w:rPr>
          <w:rFonts w:eastAsia="仿宋_GB2312"/>
          <w:b/>
          <w:bCs/>
          <w:sz w:val="32"/>
          <w:szCs w:val="32"/>
        </w:rPr>
        <w:t>（二）政府采购支出情况</w:t>
      </w:r>
      <w:bookmarkEnd w:id="73"/>
      <w:bookmarkEnd w:id="74"/>
    </w:p>
    <w:p>
      <w:pPr>
        <w:spacing w:line="560" w:lineRule="exact"/>
        <w:ind w:firstLine="640" w:firstLineChars="200"/>
        <w:rPr>
          <w:rFonts w:eastAsia="仿宋_GB2312"/>
          <w:sz w:val="32"/>
          <w:szCs w:val="32"/>
        </w:rPr>
      </w:pPr>
      <w:r>
        <w:rPr>
          <w:rFonts w:eastAsia="仿宋_GB2312"/>
          <w:sz w:val="32"/>
          <w:szCs w:val="32"/>
        </w:rPr>
        <w:t>2020年，省人事考试中心政府采购支出总额154.46万元，其中：政府采购货物支出5.01万元、政府采购服务支出149.45万元。主要用于办公设备购置，公务用车燃油、保险、维修服务，四川省人事考试报名系统安全、运维服务等。授予中小企业合同金额2.53万元，占政府采购支出总额的1.64%。其中：授予小微企业合同金额0万元，占政府采购支出总额的0%。</w:t>
      </w:r>
    </w:p>
    <w:p>
      <w:pPr>
        <w:autoSpaceDE w:val="0"/>
        <w:autoSpaceDN w:val="0"/>
        <w:adjustRightInd w:val="0"/>
        <w:spacing w:line="560" w:lineRule="exact"/>
        <w:ind w:firstLine="642" w:firstLineChars="200"/>
        <w:jc w:val="left"/>
        <w:outlineLvl w:val="2"/>
        <w:rPr>
          <w:rFonts w:eastAsia="仿宋_GB2312"/>
          <w:b/>
          <w:bCs/>
          <w:sz w:val="32"/>
          <w:szCs w:val="32"/>
        </w:rPr>
      </w:pPr>
      <w:bookmarkStart w:id="75" w:name="_Toc81405651"/>
      <w:bookmarkStart w:id="76" w:name="_Toc15377224"/>
      <w:r>
        <w:rPr>
          <w:rFonts w:eastAsia="仿宋_GB2312"/>
          <w:b/>
          <w:bCs/>
          <w:sz w:val="32"/>
          <w:szCs w:val="32"/>
        </w:rPr>
        <w:t>（三）国有资产占有使用情况</w:t>
      </w:r>
      <w:bookmarkEnd w:id="75"/>
      <w:bookmarkEnd w:id="76"/>
    </w:p>
    <w:p>
      <w:pPr>
        <w:autoSpaceDE w:val="0"/>
        <w:autoSpaceDN w:val="0"/>
        <w:adjustRightInd w:val="0"/>
        <w:spacing w:line="560" w:lineRule="exact"/>
        <w:ind w:firstLine="640" w:firstLineChars="200"/>
        <w:jc w:val="left"/>
        <w:rPr>
          <w:rFonts w:eastAsia="仿宋_GB2312"/>
          <w:sz w:val="32"/>
          <w:szCs w:val="32"/>
        </w:rPr>
      </w:pPr>
      <w:r>
        <w:rPr>
          <w:rFonts w:eastAsia="仿宋_GB2312"/>
          <w:sz w:val="32"/>
          <w:szCs w:val="32"/>
        </w:rPr>
        <w:t>截至2020年12月31日，省人事考试中心共有车辆2辆，其中：其他用车2辆，其他用车主要是用于</w:t>
      </w:r>
      <w:r>
        <w:rPr>
          <w:rFonts w:eastAsia="仿宋_GB2312"/>
          <w:color w:val="000000"/>
          <w:sz w:val="32"/>
          <w:szCs w:val="32"/>
        </w:rPr>
        <w:t>人事考试运送试卷等</w:t>
      </w:r>
      <w:r>
        <w:rPr>
          <w:rFonts w:eastAsia="仿宋_GB2312"/>
          <w:sz w:val="32"/>
          <w:szCs w:val="32"/>
        </w:rPr>
        <w:t>。单价50万元以上通用设备0台（套），单价100万元以上专用设备0台（套）。</w:t>
      </w:r>
    </w:p>
    <w:p>
      <w:pPr>
        <w:autoSpaceDE w:val="0"/>
        <w:autoSpaceDN w:val="0"/>
        <w:adjustRightInd w:val="0"/>
        <w:spacing w:line="560" w:lineRule="exact"/>
        <w:ind w:firstLine="642" w:firstLineChars="200"/>
        <w:jc w:val="left"/>
        <w:outlineLvl w:val="2"/>
        <w:rPr>
          <w:rFonts w:eastAsia="仿宋_GB2312"/>
          <w:b/>
          <w:bCs/>
          <w:sz w:val="32"/>
          <w:szCs w:val="32"/>
        </w:rPr>
      </w:pPr>
      <w:bookmarkStart w:id="77" w:name="_Toc81405652"/>
      <w:r>
        <w:rPr>
          <w:rFonts w:eastAsia="仿宋_GB2312"/>
          <w:b/>
          <w:bCs/>
          <w:sz w:val="32"/>
          <w:szCs w:val="32"/>
        </w:rPr>
        <w:t>（四）预算绩效管理情况</w:t>
      </w:r>
      <w:bookmarkEnd w:id="77"/>
    </w:p>
    <w:p>
      <w:pPr>
        <w:spacing w:line="560" w:lineRule="exact"/>
        <w:ind w:firstLine="640" w:firstLineChars="200"/>
        <w:rPr>
          <w:rFonts w:eastAsia="仿宋_GB2312"/>
          <w:sz w:val="32"/>
          <w:szCs w:val="32"/>
        </w:rPr>
      </w:pPr>
      <w:r>
        <w:rPr>
          <w:rFonts w:eastAsia="仿宋_GB2312"/>
          <w:sz w:val="32"/>
          <w:szCs w:val="32"/>
        </w:rPr>
        <w:t>根据预算绩效管理要求，本单位在2020年度预算编制阶段，对3个项目编制了绩效目标，预算执行过程中，选取3个项目开展绩效监控，年终执行完毕后，对3个项目开展了绩效目标完成情况自评。</w:t>
      </w:r>
    </w:p>
    <w:p>
      <w:pPr>
        <w:spacing w:line="560" w:lineRule="exact"/>
        <w:ind w:firstLine="640" w:firstLineChars="200"/>
        <w:rPr>
          <w:rFonts w:eastAsia="仿宋_GB2312"/>
          <w:sz w:val="32"/>
          <w:szCs w:val="32"/>
        </w:rPr>
      </w:pPr>
      <w:r>
        <w:rPr>
          <w:rFonts w:eastAsia="仿宋_GB2312"/>
          <w:sz w:val="32"/>
          <w:szCs w:val="32"/>
        </w:rPr>
        <w:t>本单位按要求对2020年整体支出开展绩效自评，从评价情况来看，2020年我单位整体支出绩效评价自查自评结果良好，全年项目支出保障了重点工作的开展，绩效目标得到较好实现，绩效管理水平不断提高，绩效指标体系逐渐丰富和完善。</w:t>
      </w:r>
    </w:p>
    <w:p>
      <w:pPr>
        <w:numPr>
          <w:ilvl w:val="0"/>
          <w:numId w:val="1"/>
        </w:numPr>
        <w:spacing w:line="560" w:lineRule="exact"/>
        <w:rPr>
          <w:rFonts w:eastAsia="仿宋_GB2312"/>
          <w:b/>
          <w:bCs/>
          <w:sz w:val="32"/>
          <w:szCs w:val="32"/>
        </w:rPr>
      </w:pPr>
      <w:r>
        <w:rPr>
          <w:rFonts w:eastAsia="仿宋_GB2312"/>
          <w:b/>
          <w:bCs/>
          <w:sz w:val="32"/>
          <w:szCs w:val="32"/>
        </w:rPr>
        <w:t>项目绩效目标完成情况</w:t>
      </w:r>
    </w:p>
    <w:p>
      <w:pPr>
        <w:spacing w:line="560" w:lineRule="exact"/>
        <w:ind w:firstLine="640" w:firstLineChars="200"/>
        <w:rPr>
          <w:rFonts w:eastAsia="仿宋_GB2312"/>
          <w:sz w:val="32"/>
          <w:szCs w:val="32"/>
        </w:rPr>
      </w:pPr>
      <w:r>
        <w:rPr>
          <w:rFonts w:eastAsia="仿宋_GB2312"/>
          <w:sz w:val="32"/>
          <w:szCs w:val="32"/>
        </w:rPr>
        <w:t>本单位在2020年度部门决算中反映“考点工作经费” “信息化建设及运行维护经费” “考试考务费” 3个项目绩效目标实际完成情况。</w:t>
      </w:r>
    </w:p>
    <w:p>
      <w:pPr>
        <w:autoSpaceDE w:val="0"/>
        <w:autoSpaceDN w:val="0"/>
        <w:adjustRightInd w:val="0"/>
        <w:snapToGrid w:val="0"/>
        <w:spacing w:line="560" w:lineRule="exact"/>
        <w:ind w:firstLine="640" w:firstLineChars="200"/>
        <w:rPr>
          <w:rFonts w:eastAsia="仿宋_GB2312"/>
          <w:sz w:val="32"/>
          <w:szCs w:val="32"/>
        </w:rPr>
      </w:pPr>
      <w:r>
        <w:rPr>
          <w:rFonts w:eastAsia="仿宋_GB2312"/>
          <w:sz w:val="32"/>
          <w:szCs w:val="32"/>
        </w:rPr>
        <w:t>（1）考点工作经费项目绩效目标完成情况综述。项目全年预算数1991.28万元，执行年初预算数为1991.28万元，完成预算的100%。通过项目实施，保障了2020年各项人事考试任务安全顺利完成，为</w:t>
      </w:r>
      <w:r>
        <w:rPr>
          <w:rFonts w:eastAsia="仿宋_GB2312"/>
          <w:color w:val="000000"/>
          <w:sz w:val="32"/>
          <w:szCs w:val="32"/>
        </w:rPr>
        <w:t>专业技术资格、职（执）业资格和公务员录用等考试</w:t>
      </w:r>
      <w:r>
        <w:rPr>
          <w:rFonts w:eastAsia="仿宋_GB2312"/>
          <w:sz w:val="32"/>
          <w:szCs w:val="32"/>
        </w:rPr>
        <w:t>选拔人才提供了有力保障。发现的主要问题：目前经济社会发展形势变化较大，开展人事考试的不确定性增大，考试标准提高，给预算、编制执行带来一定不确定性。下一步改进措施：研判形势，提升预算编制时测算的精准性，加快预算执行进度。</w:t>
      </w:r>
    </w:p>
    <w:p>
      <w:pPr>
        <w:spacing w:line="560" w:lineRule="exact"/>
        <w:ind w:firstLine="640" w:firstLineChars="200"/>
        <w:rPr>
          <w:rFonts w:eastAsia="仿宋_GB2312"/>
          <w:sz w:val="32"/>
          <w:szCs w:val="32"/>
        </w:rPr>
      </w:pPr>
      <w:r>
        <w:rPr>
          <w:rFonts w:eastAsia="仿宋_GB2312"/>
          <w:sz w:val="32"/>
          <w:szCs w:val="32"/>
        </w:rPr>
        <w:t>（2）信息化建设及运行维护经费项目绩效目标完成情况综述。项目全年预算数159.72万元，执行数为81.92万元，完成预算的51.29%。通过项目实施，保障了四川省人事考试报名系统稳定安全运行，满足了广大考生网上报名、缴费、查询成绩、准考证打印等需求，为人事考试安全、平稳、顺利完成提供了信息系统保证。发现的主要问题：部分采购项目合同到期时间晚，资金需结转下年支付，影响了预算执行率。下一步改进措施：加强对采购项目的前期论证，合理计划时间进行采购，加快资金支付进度，提高预算执行率。</w:t>
      </w:r>
    </w:p>
    <w:p>
      <w:pPr>
        <w:spacing w:line="560" w:lineRule="exact"/>
        <w:ind w:firstLine="640" w:firstLineChars="200"/>
        <w:rPr>
          <w:rFonts w:eastAsia="仿宋_GB2312"/>
          <w:sz w:val="32"/>
          <w:szCs w:val="32"/>
        </w:rPr>
      </w:pPr>
      <w:r>
        <w:rPr>
          <w:rFonts w:eastAsia="仿宋_GB2312"/>
          <w:sz w:val="32"/>
          <w:szCs w:val="32"/>
        </w:rPr>
        <w:t>（3）考试考务费项目绩效目标完成情况综述。项目全年预算数1950万元，执行数为1914.48万元，完成预算的98.18%。通过项目实施，保障</w:t>
      </w:r>
      <w:r>
        <w:rPr>
          <w:rFonts w:eastAsia="仿宋_GB2312"/>
          <w:color w:val="000000"/>
          <w:sz w:val="32"/>
          <w:szCs w:val="32"/>
        </w:rPr>
        <w:t>专业技术资格、职（执）业资格和公务员录用等</w:t>
      </w:r>
      <w:r>
        <w:rPr>
          <w:rFonts w:eastAsia="仿宋_GB2312"/>
          <w:sz w:val="32"/>
          <w:szCs w:val="32"/>
        </w:rPr>
        <w:t>各项人事考试规范、安全、平稳进行，为选拔合格人才提供了保障。发现的主要问题：预算安排数较实际执行有偏差。下一步改进措施：进一步加强费用测算，提高预算编制准确度。</w:t>
      </w:r>
    </w:p>
    <w:p>
      <w:pPr>
        <w:pStyle w:val="2"/>
        <w:spacing w:before="93"/>
        <w:rPr>
          <w:rFonts w:ascii="Times New Roman"/>
        </w:rPr>
      </w:pPr>
    </w:p>
    <w:p>
      <w:pPr>
        <w:widowControl/>
        <w:jc w:val="center"/>
        <w:rPr>
          <w:rFonts w:eastAsia="仿宋_GB2312"/>
        </w:rPr>
      </w:pPr>
      <w:r>
        <w:rPr>
          <w:rFonts w:eastAsia="仿宋_GB2312"/>
        </w:rPr>
        <w:br w:type="page"/>
      </w:r>
      <w:r>
        <w:rPr>
          <w:rFonts w:eastAsia="方正小标宋简体"/>
          <w:kern w:val="0"/>
          <w:sz w:val="36"/>
          <w:szCs w:val="36"/>
        </w:rPr>
        <w:t>项目绩效目标完成情况表</w:t>
      </w:r>
      <w:r>
        <w:rPr>
          <w:rFonts w:eastAsia="方正小标宋简体"/>
          <w:kern w:val="0"/>
          <w:sz w:val="36"/>
          <w:szCs w:val="36"/>
        </w:rPr>
        <w:br w:type="textWrapping"/>
      </w:r>
      <w:r>
        <w:rPr>
          <w:rFonts w:eastAsia="仿宋_GB2312"/>
          <w:kern w:val="0"/>
          <w:sz w:val="24"/>
          <w:szCs w:val="24"/>
        </w:rPr>
        <w:t>(2020年度)</w:t>
      </w:r>
    </w:p>
    <w:tbl>
      <w:tblPr>
        <w:tblStyle w:val="13"/>
        <w:tblpPr w:leftFromText="180" w:rightFromText="180" w:vertAnchor="text" w:horzAnchor="page" w:tblpXSpec="center" w:tblpY="423"/>
        <w:tblOverlap w:val="never"/>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6"/>
        <w:gridCol w:w="891"/>
        <w:gridCol w:w="1025"/>
        <w:gridCol w:w="210"/>
        <w:gridCol w:w="2552"/>
        <w:gridCol w:w="2024"/>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2782" w:type="dxa"/>
            <w:gridSpan w:val="3"/>
            <w:tcMar>
              <w:top w:w="15" w:type="dxa"/>
              <w:left w:w="15" w:type="dxa"/>
              <w:right w:w="15" w:type="dxa"/>
            </w:tcMar>
            <w:vAlign w:val="center"/>
          </w:tcPr>
          <w:p>
            <w:pPr>
              <w:widowControl/>
              <w:jc w:val="center"/>
              <w:textAlignment w:val="center"/>
              <w:rPr>
                <w:sz w:val="24"/>
                <w:szCs w:val="24"/>
              </w:rPr>
            </w:pPr>
            <w:r>
              <w:rPr>
                <w:kern w:val="0"/>
                <w:sz w:val="24"/>
                <w:szCs w:val="24"/>
              </w:rPr>
              <w:t>项目名称</w:t>
            </w:r>
          </w:p>
        </w:tc>
        <w:tc>
          <w:tcPr>
            <w:tcW w:w="7178" w:type="dxa"/>
            <w:gridSpan w:val="4"/>
            <w:tcMar>
              <w:top w:w="15" w:type="dxa"/>
              <w:left w:w="15" w:type="dxa"/>
              <w:right w:w="15" w:type="dxa"/>
            </w:tcMar>
            <w:vAlign w:val="center"/>
          </w:tcPr>
          <w:p>
            <w:pPr>
              <w:widowControl/>
              <w:jc w:val="center"/>
              <w:textAlignment w:val="center"/>
              <w:rPr>
                <w:sz w:val="24"/>
                <w:szCs w:val="24"/>
              </w:rPr>
            </w:pPr>
            <w:r>
              <w:rPr>
                <w:sz w:val="24"/>
                <w:szCs w:val="24"/>
              </w:rPr>
              <w:t>考点工作经费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2782" w:type="dxa"/>
            <w:gridSpan w:val="3"/>
            <w:tcMar>
              <w:top w:w="15" w:type="dxa"/>
              <w:left w:w="15" w:type="dxa"/>
              <w:right w:w="15" w:type="dxa"/>
            </w:tcMar>
            <w:vAlign w:val="center"/>
          </w:tcPr>
          <w:p>
            <w:pPr>
              <w:widowControl/>
              <w:jc w:val="center"/>
              <w:textAlignment w:val="center"/>
              <w:rPr>
                <w:sz w:val="24"/>
                <w:szCs w:val="24"/>
              </w:rPr>
            </w:pPr>
            <w:r>
              <w:rPr>
                <w:kern w:val="0"/>
                <w:sz w:val="24"/>
                <w:szCs w:val="24"/>
              </w:rPr>
              <w:t>预算单位</w:t>
            </w:r>
          </w:p>
        </w:tc>
        <w:tc>
          <w:tcPr>
            <w:tcW w:w="7178" w:type="dxa"/>
            <w:gridSpan w:val="4"/>
            <w:tcMar>
              <w:top w:w="15" w:type="dxa"/>
              <w:left w:w="15" w:type="dxa"/>
              <w:right w:w="15" w:type="dxa"/>
            </w:tcMar>
            <w:vAlign w:val="center"/>
          </w:tcPr>
          <w:p>
            <w:pPr>
              <w:widowControl/>
              <w:jc w:val="center"/>
              <w:textAlignment w:val="center"/>
              <w:rPr>
                <w:sz w:val="24"/>
                <w:szCs w:val="24"/>
              </w:rPr>
            </w:pPr>
            <w:r>
              <w:rPr>
                <w:sz w:val="24"/>
                <w:szCs w:val="24"/>
              </w:rPr>
              <w:t>四川省人事考试中心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866" w:type="dxa"/>
            <w:vMerge w:val="restart"/>
            <w:tcMar>
              <w:top w:w="15" w:type="dxa"/>
              <w:left w:w="15" w:type="dxa"/>
              <w:right w:w="15" w:type="dxa"/>
            </w:tcMar>
            <w:vAlign w:val="center"/>
          </w:tcPr>
          <w:p>
            <w:pPr>
              <w:widowControl/>
              <w:jc w:val="center"/>
              <w:textAlignment w:val="center"/>
              <w:rPr>
                <w:sz w:val="24"/>
                <w:szCs w:val="24"/>
              </w:rPr>
            </w:pPr>
            <w:r>
              <w:rPr>
                <w:kern w:val="0"/>
                <w:sz w:val="24"/>
                <w:szCs w:val="24"/>
              </w:rPr>
              <w:t>预算执行情况(万元)</w:t>
            </w:r>
          </w:p>
        </w:tc>
        <w:tc>
          <w:tcPr>
            <w:tcW w:w="1916" w:type="dxa"/>
            <w:gridSpan w:val="2"/>
            <w:tcMar>
              <w:top w:w="15" w:type="dxa"/>
              <w:left w:w="15" w:type="dxa"/>
              <w:right w:w="15" w:type="dxa"/>
            </w:tcMar>
            <w:vAlign w:val="center"/>
          </w:tcPr>
          <w:p>
            <w:pPr>
              <w:widowControl/>
              <w:jc w:val="center"/>
              <w:textAlignment w:val="center"/>
              <w:rPr>
                <w:sz w:val="24"/>
                <w:szCs w:val="24"/>
              </w:rPr>
            </w:pPr>
            <w:r>
              <w:rPr>
                <w:kern w:val="0"/>
                <w:sz w:val="24"/>
                <w:szCs w:val="24"/>
              </w:rPr>
              <w:t>预算数:</w:t>
            </w:r>
          </w:p>
        </w:tc>
        <w:tc>
          <w:tcPr>
            <w:tcW w:w="2762" w:type="dxa"/>
            <w:gridSpan w:val="2"/>
            <w:tcMar>
              <w:top w:w="15" w:type="dxa"/>
              <w:left w:w="15" w:type="dxa"/>
              <w:right w:w="15" w:type="dxa"/>
            </w:tcMar>
            <w:vAlign w:val="center"/>
          </w:tcPr>
          <w:p>
            <w:pPr>
              <w:widowControl/>
              <w:jc w:val="center"/>
              <w:textAlignment w:val="center"/>
              <w:rPr>
                <w:sz w:val="24"/>
                <w:szCs w:val="24"/>
              </w:rPr>
            </w:pPr>
            <w:r>
              <w:rPr>
                <w:sz w:val="24"/>
                <w:szCs w:val="24"/>
              </w:rPr>
              <w:t>1991.28</w:t>
            </w:r>
          </w:p>
        </w:tc>
        <w:tc>
          <w:tcPr>
            <w:tcW w:w="2024" w:type="dxa"/>
            <w:tcMar>
              <w:top w:w="15" w:type="dxa"/>
              <w:left w:w="15" w:type="dxa"/>
              <w:right w:w="15" w:type="dxa"/>
            </w:tcMar>
            <w:vAlign w:val="center"/>
          </w:tcPr>
          <w:p>
            <w:pPr>
              <w:widowControl/>
              <w:jc w:val="center"/>
              <w:textAlignment w:val="center"/>
              <w:rPr>
                <w:sz w:val="24"/>
                <w:szCs w:val="24"/>
              </w:rPr>
            </w:pPr>
            <w:r>
              <w:rPr>
                <w:kern w:val="0"/>
                <w:sz w:val="24"/>
                <w:szCs w:val="24"/>
              </w:rPr>
              <w:t>执行数:</w:t>
            </w:r>
          </w:p>
        </w:tc>
        <w:tc>
          <w:tcPr>
            <w:tcW w:w="2392" w:type="dxa"/>
            <w:tcMar>
              <w:top w:w="15" w:type="dxa"/>
              <w:left w:w="15" w:type="dxa"/>
              <w:right w:w="15" w:type="dxa"/>
            </w:tcMar>
            <w:vAlign w:val="center"/>
          </w:tcPr>
          <w:p>
            <w:pPr>
              <w:widowControl/>
              <w:jc w:val="center"/>
              <w:textAlignment w:val="center"/>
              <w:rPr>
                <w:sz w:val="24"/>
                <w:szCs w:val="24"/>
              </w:rPr>
            </w:pPr>
            <w:r>
              <w:rPr>
                <w:sz w:val="24"/>
                <w:szCs w:val="24"/>
              </w:rPr>
              <w:t>1991.28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866" w:type="dxa"/>
            <w:vMerge w:val="continue"/>
            <w:tcMar>
              <w:top w:w="15" w:type="dxa"/>
              <w:left w:w="15" w:type="dxa"/>
              <w:right w:w="15" w:type="dxa"/>
            </w:tcMar>
            <w:vAlign w:val="center"/>
          </w:tcPr>
          <w:p>
            <w:pPr>
              <w:jc w:val="center"/>
              <w:rPr>
                <w:sz w:val="24"/>
                <w:szCs w:val="24"/>
              </w:rPr>
            </w:pPr>
          </w:p>
        </w:tc>
        <w:tc>
          <w:tcPr>
            <w:tcW w:w="1916" w:type="dxa"/>
            <w:gridSpan w:val="2"/>
            <w:tcMar>
              <w:top w:w="15" w:type="dxa"/>
              <w:left w:w="15" w:type="dxa"/>
              <w:right w:w="15" w:type="dxa"/>
            </w:tcMar>
            <w:vAlign w:val="center"/>
          </w:tcPr>
          <w:p>
            <w:pPr>
              <w:widowControl/>
              <w:jc w:val="center"/>
              <w:textAlignment w:val="center"/>
              <w:rPr>
                <w:sz w:val="24"/>
                <w:szCs w:val="24"/>
              </w:rPr>
            </w:pPr>
            <w:r>
              <w:rPr>
                <w:kern w:val="0"/>
                <w:sz w:val="24"/>
                <w:szCs w:val="24"/>
              </w:rPr>
              <w:t>其中-财政拨款:</w:t>
            </w:r>
          </w:p>
        </w:tc>
        <w:tc>
          <w:tcPr>
            <w:tcW w:w="2762" w:type="dxa"/>
            <w:gridSpan w:val="2"/>
            <w:tcMar>
              <w:top w:w="15" w:type="dxa"/>
              <w:left w:w="15" w:type="dxa"/>
              <w:right w:w="15" w:type="dxa"/>
            </w:tcMar>
            <w:vAlign w:val="center"/>
          </w:tcPr>
          <w:p>
            <w:pPr>
              <w:widowControl/>
              <w:jc w:val="center"/>
              <w:textAlignment w:val="center"/>
              <w:rPr>
                <w:sz w:val="24"/>
                <w:szCs w:val="24"/>
              </w:rPr>
            </w:pPr>
            <w:r>
              <w:rPr>
                <w:sz w:val="24"/>
                <w:szCs w:val="24"/>
              </w:rPr>
              <w:t>1991.28</w:t>
            </w:r>
          </w:p>
        </w:tc>
        <w:tc>
          <w:tcPr>
            <w:tcW w:w="2024" w:type="dxa"/>
            <w:tcMar>
              <w:top w:w="15" w:type="dxa"/>
              <w:left w:w="15" w:type="dxa"/>
              <w:right w:w="15" w:type="dxa"/>
            </w:tcMar>
            <w:vAlign w:val="center"/>
          </w:tcPr>
          <w:p>
            <w:pPr>
              <w:widowControl/>
              <w:jc w:val="center"/>
              <w:textAlignment w:val="center"/>
              <w:rPr>
                <w:sz w:val="24"/>
                <w:szCs w:val="24"/>
              </w:rPr>
            </w:pPr>
            <w:r>
              <w:rPr>
                <w:kern w:val="0"/>
                <w:sz w:val="24"/>
                <w:szCs w:val="24"/>
              </w:rPr>
              <w:t>其中-财政拨款:</w:t>
            </w:r>
          </w:p>
        </w:tc>
        <w:tc>
          <w:tcPr>
            <w:tcW w:w="2392" w:type="dxa"/>
            <w:tcMar>
              <w:top w:w="15" w:type="dxa"/>
              <w:left w:w="15" w:type="dxa"/>
              <w:right w:w="15" w:type="dxa"/>
            </w:tcMar>
            <w:vAlign w:val="center"/>
          </w:tcPr>
          <w:p>
            <w:pPr>
              <w:widowControl/>
              <w:jc w:val="center"/>
              <w:textAlignment w:val="center"/>
              <w:rPr>
                <w:sz w:val="24"/>
                <w:szCs w:val="24"/>
              </w:rPr>
            </w:pPr>
            <w:r>
              <w:rPr>
                <w:sz w:val="24"/>
                <w:szCs w:val="24"/>
              </w:rPr>
              <w:t>1991.28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866" w:type="dxa"/>
            <w:vMerge w:val="continue"/>
            <w:tcMar>
              <w:top w:w="15" w:type="dxa"/>
              <w:left w:w="15" w:type="dxa"/>
              <w:right w:w="15" w:type="dxa"/>
            </w:tcMar>
            <w:vAlign w:val="center"/>
          </w:tcPr>
          <w:p>
            <w:pPr>
              <w:jc w:val="center"/>
              <w:rPr>
                <w:sz w:val="24"/>
                <w:szCs w:val="24"/>
              </w:rPr>
            </w:pPr>
          </w:p>
        </w:tc>
        <w:tc>
          <w:tcPr>
            <w:tcW w:w="1916" w:type="dxa"/>
            <w:gridSpan w:val="2"/>
            <w:tcMar>
              <w:top w:w="15" w:type="dxa"/>
              <w:left w:w="15" w:type="dxa"/>
              <w:right w:w="15" w:type="dxa"/>
            </w:tcMar>
            <w:vAlign w:val="center"/>
          </w:tcPr>
          <w:p>
            <w:pPr>
              <w:widowControl/>
              <w:jc w:val="center"/>
              <w:textAlignment w:val="center"/>
              <w:rPr>
                <w:sz w:val="24"/>
                <w:szCs w:val="24"/>
              </w:rPr>
            </w:pPr>
            <w:r>
              <w:rPr>
                <w:kern w:val="0"/>
                <w:sz w:val="24"/>
                <w:szCs w:val="24"/>
              </w:rPr>
              <w:t>其它资金:</w:t>
            </w:r>
          </w:p>
        </w:tc>
        <w:tc>
          <w:tcPr>
            <w:tcW w:w="2762" w:type="dxa"/>
            <w:gridSpan w:val="2"/>
            <w:tcMar>
              <w:top w:w="15" w:type="dxa"/>
              <w:left w:w="15" w:type="dxa"/>
              <w:right w:w="15" w:type="dxa"/>
            </w:tcMar>
            <w:vAlign w:val="center"/>
          </w:tcPr>
          <w:p>
            <w:pPr>
              <w:widowControl/>
              <w:jc w:val="center"/>
              <w:textAlignment w:val="center"/>
              <w:rPr>
                <w:sz w:val="24"/>
                <w:szCs w:val="24"/>
              </w:rPr>
            </w:pPr>
            <w:r>
              <w:rPr>
                <w:sz w:val="24"/>
                <w:szCs w:val="24"/>
              </w:rPr>
              <w:t>0</w:t>
            </w:r>
          </w:p>
        </w:tc>
        <w:tc>
          <w:tcPr>
            <w:tcW w:w="2024" w:type="dxa"/>
            <w:tcMar>
              <w:top w:w="15" w:type="dxa"/>
              <w:left w:w="15" w:type="dxa"/>
              <w:right w:w="15" w:type="dxa"/>
            </w:tcMar>
            <w:vAlign w:val="center"/>
          </w:tcPr>
          <w:p>
            <w:pPr>
              <w:widowControl/>
              <w:jc w:val="center"/>
              <w:textAlignment w:val="center"/>
              <w:rPr>
                <w:sz w:val="24"/>
                <w:szCs w:val="24"/>
              </w:rPr>
            </w:pPr>
            <w:r>
              <w:rPr>
                <w:kern w:val="0"/>
                <w:sz w:val="24"/>
                <w:szCs w:val="24"/>
              </w:rPr>
              <w:t>其它资金:</w:t>
            </w:r>
          </w:p>
        </w:tc>
        <w:tc>
          <w:tcPr>
            <w:tcW w:w="2392" w:type="dxa"/>
            <w:tcMar>
              <w:top w:w="15" w:type="dxa"/>
              <w:left w:w="15" w:type="dxa"/>
              <w:right w:w="15" w:type="dxa"/>
            </w:tcMar>
            <w:vAlign w:val="center"/>
          </w:tcPr>
          <w:p>
            <w:pPr>
              <w:jc w:val="center"/>
              <w:rPr>
                <w:sz w:val="24"/>
                <w:szCs w:val="24"/>
              </w:rPr>
            </w:pPr>
            <w:r>
              <w:rPr>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866" w:type="dxa"/>
            <w:vMerge w:val="restart"/>
            <w:tcMar>
              <w:top w:w="15" w:type="dxa"/>
              <w:left w:w="15" w:type="dxa"/>
              <w:right w:w="15" w:type="dxa"/>
            </w:tcMar>
            <w:vAlign w:val="center"/>
          </w:tcPr>
          <w:p>
            <w:pPr>
              <w:widowControl/>
              <w:jc w:val="center"/>
              <w:textAlignment w:val="center"/>
              <w:rPr>
                <w:sz w:val="24"/>
                <w:szCs w:val="24"/>
              </w:rPr>
            </w:pPr>
            <w:r>
              <w:rPr>
                <w:kern w:val="0"/>
                <w:sz w:val="24"/>
                <w:szCs w:val="24"/>
              </w:rPr>
              <w:t>年度目标完成情况</w:t>
            </w:r>
          </w:p>
        </w:tc>
        <w:tc>
          <w:tcPr>
            <w:tcW w:w="4678" w:type="dxa"/>
            <w:gridSpan w:val="4"/>
            <w:tcMar>
              <w:top w:w="15" w:type="dxa"/>
              <w:left w:w="15" w:type="dxa"/>
              <w:right w:w="15" w:type="dxa"/>
            </w:tcMar>
            <w:vAlign w:val="center"/>
          </w:tcPr>
          <w:p>
            <w:pPr>
              <w:widowControl/>
              <w:jc w:val="center"/>
              <w:textAlignment w:val="center"/>
              <w:rPr>
                <w:sz w:val="24"/>
                <w:szCs w:val="24"/>
              </w:rPr>
            </w:pPr>
            <w:r>
              <w:rPr>
                <w:kern w:val="0"/>
                <w:sz w:val="24"/>
                <w:szCs w:val="24"/>
              </w:rPr>
              <w:t>预期目标</w:t>
            </w:r>
          </w:p>
        </w:tc>
        <w:tc>
          <w:tcPr>
            <w:tcW w:w="4416" w:type="dxa"/>
            <w:gridSpan w:val="2"/>
            <w:tcMar>
              <w:top w:w="15" w:type="dxa"/>
              <w:left w:w="15" w:type="dxa"/>
              <w:right w:w="15" w:type="dxa"/>
            </w:tcMar>
            <w:vAlign w:val="center"/>
          </w:tcPr>
          <w:p>
            <w:pPr>
              <w:widowControl/>
              <w:jc w:val="center"/>
              <w:textAlignment w:val="center"/>
              <w:rPr>
                <w:sz w:val="24"/>
                <w:szCs w:val="24"/>
              </w:rPr>
            </w:pPr>
            <w:r>
              <w:rPr>
                <w:kern w:val="0"/>
                <w:sz w:val="24"/>
                <w:szCs w:val="24"/>
              </w:rPr>
              <w:t>实际完成目标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9" w:hRule="atLeast"/>
          <w:jc w:val="center"/>
        </w:trPr>
        <w:tc>
          <w:tcPr>
            <w:tcW w:w="866" w:type="dxa"/>
            <w:vMerge w:val="continue"/>
            <w:tcMar>
              <w:top w:w="15" w:type="dxa"/>
              <w:left w:w="15" w:type="dxa"/>
              <w:right w:w="15" w:type="dxa"/>
            </w:tcMar>
            <w:vAlign w:val="center"/>
          </w:tcPr>
          <w:p>
            <w:pPr>
              <w:jc w:val="center"/>
              <w:rPr>
                <w:sz w:val="24"/>
                <w:szCs w:val="24"/>
              </w:rPr>
            </w:pPr>
          </w:p>
        </w:tc>
        <w:tc>
          <w:tcPr>
            <w:tcW w:w="4678" w:type="dxa"/>
            <w:gridSpan w:val="4"/>
            <w:tcMar>
              <w:top w:w="15" w:type="dxa"/>
              <w:left w:w="15" w:type="dxa"/>
              <w:right w:w="15" w:type="dxa"/>
            </w:tcMar>
            <w:vAlign w:val="center"/>
          </w:tcPr>
          <w:p>
            <w:pPr>
              <w:widowControl/>
              <w:jc w:val="left"/>
              <w:textAlignment w:val="center"/>
              <w:rPr>
                <w:sz w:val="24"/>
                <w:szCs w:val="24"/>
              </w:rPr>
            </w:pPr>
            <w:r>
              <w:rPr>
                <w:sz w:val="24"/>
                <w:szCs w:val="24"/>
              </w:rPr>
              <w:t>组织21个市州计划开展68项考试（包括落实省委</w:t>
            </w:r>
            <w:r>
              <w:rPr>
                <w:rFonts w:hint="eastAsia"/>
                <w:sz w:val="24"/>
                <w:szCs w:val="24"/>
              </w:rPr>
              <w:t>省</w:t>
            </w:r>
            <w:r>
              <w:rPr>
                <w:sz w:val="24"/>
                <w:szCs w:val="24"/>
              </w:rPr>
              <w:t>政府相关政策，落实三支一扶等政策，参考考生人数预计达120余万人，完成考试科次300余万科次），通过网上发布人事考试招考宣传活动80余次，保证21个市州及省直考点用于租用考场、购买或租用安防设备及聘请监考人员等的考点工作经费，确保顺利完成全年考试任务。</w:t>
            </w:r>
          </w:p>
        </w:tc>
        <w:tc>
          <w:tcPr>
            <w:tcW w:w="4416" w:type="dxa"/>
            <w:gridSpan w:val="2"/>
            <w:tcMar>
              <w:top w:w="15" w:type="dxa"/>
              <w:left w:w="15" w:type="dxa"/>
              <w:right w:w="15" w:type="dxa"/>
            </w:tcMar>
            <w:vAlign w:val="center"/>
          </w:tcPr>
          <w:p>
            <w:pPr>
              <w:widowControl/>
              <w:jc w:val="left"/>
              <w:textAlignment w:val="center"/>
              <w:rPr>
                <w:sz w:val="24"/>
                <w:szCs w:val="24"/>
              </w:rPr>
            </w:pPr>
            <w:r>
              <w:rPr>
                <w:sz w:val="24"/>
                <w:szCs w:val="24"/>
              </w:rPr>
              <w:t>组织21个市州组织了67项考试（包括落实省委</w:t>
            </w:r>
            <w:r>
              <w:rPr>
                <w:rFonts w:hint="eastAsia"/>
                <w:sz w:val="24"/>
                <w:szCs w:val="24"/>
              </w:rPr>
              <w:t>省</w:t>
            </w:r>
            <w:r>
              <w:rPr>
                <w:sz w:val="24"/>
                <w:szCs w:val="24"/>
              </w:rPr>
              <w:t>政府相关政策，落实三支一扶等政策，参考考生人数达110余万人，完成考试科次296.15余万科次），通过网上发布人事考试招考宣传活动80余次，保证21个市州及省直考点用于租用考场、购买或租用安防设备及聘请监考人员等的考点工作经费，确保顺利完成了全年的考试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866" w:type="dxa"/>
            <w:vMerge w:val="restart"/>
            <w:tcMar>
              <w:top w:w="15" w:type="dxa"/>
              <w:left w:w="15" w:type="dxa"/>
              <w:right w:w="15" w:type="dxa"/>
            </w:tcMar>
            <w:vAlign w:val="center"/>
          </w:tcPr>
          <w:p>
            <w:pPr>
              <w:widowControl/>
              <w:jc w:val="center"/>
              <w:textAlignment w:val="center"/>
              <w:rPr>
                <w:sz w:val="24"/>
                <w:szCs w:val="24"/>
              </w:rPr>
            </w:pPr>
            <w:r>
              <w:rPr>
                <w:sz w:val="24"/>
                <w:szCs w:val="24"/>
              </w:rPr>
              <w:t>绩效指标完成情况</w:t>
            </w:r>
          </w:p>
        </w:tc>
        <w:tc>
          <w:tcPr>
            <w:tcW w:w="891" w:type="dxa"/>
            <w:tcMar>
              <w:top w:w="15" w:type="dxa"/>
              <w:left w:w="15" w:type="dxa"/>
              <w:right w:w="15" w:type="dxa"/>
            </w:tcMar>
            <w:vAlign w:val="center"/>
          </w:tcPr>
          <w:p>
            <w:pPr>
              <w:widowControl/>
              <w:jc w:val="center"/>
              <w:textAlignment w:val="center"/>
              <w:rPr>
                <w:sz w:val="24"/>
                <w:szCs w:val="24"/>
              </w:rPr>
            </w:pPr>
            <w:r>
              <w:rPr>
                <w:kern w:val="0"/>
                <w:sz w:val="24"/>
                <w:szCs w:val="24"/>
              </w:rPr>
              <w:t>一级指标</w:t>
            </w:r>
          </w:p>
        </w:tc>
        <w:tc>
          <w:tcPr>
            <w:tcW w:w="1235" w:type="dxa"/>
            <w:gridSpan w:val="2"/>
            <w:tcMar>
              <w:top w:w="15" w:type="dxa"/>
              <w:left w:w="15" w:type="dxa"/>
              <w:right w:w="15" w:type="dxa"/>
            </w:tcMar>
            <w:vAlign w:val="center"/>
          </w:tcPr>
          <w:p>
            <w:pPr>
              <w:widowControl/>
              <w:jc w:val="center"/>
              <w:textAlignment w:val="center"/>
              <w:rPr>
                <w:sz w:val="24"/>
                <w:szCs w:val="24"/>
              </w:rPr>
            </w:pPr>
            <w:r>
              <w:rPr>
                <w:kern w:val="0"/>
                <w:sz w:val="24"/>
                <w:szCs w:val="24"/>
              </w:rPr>
              <w:t>二级指标</w:t>
            </w:r>
          </w:p>
        </w:tc>
        <w:tc>
          <w:tcPr>
            <w:tcW w:w="2552" w:type="dxa"/>
            <w:tcMar>
              <w:top w:w="15" w:type="dxa"/>
              <w:left w:w="15" w:type="dxa"/>
              <w:right w:w="15" w:type="dxa"/>
            </w:tcMar>
            <w:vAlign w:val="center"/>
          </w:tcPr>
          <w:p>
            <w:pPr>
              <w:widowControl/>
              <w:jc w:val="center"/>
              <w:textAlignment w:val="center"/>
              <w:rPr>
                <w:sz w:val="24"/>
                <w:szCs w:val="24"/>
              </w:rPr>
            </w:pPr>
            <w:r>
              <w:rPr>
                <w:kern w:val="0"/>
                <w:sz w:val="24"/>
                <w:szCs w:val="24"/>
              </w:rPr>
              <w:t>三级指标</w:t>
            </w:r>
          </w:p>
        </w:tc>
        <w:tc>
          <w:tcPr>
            <w:tcW w:w="2024" w:type="dxa"/>
            <w:tcMar>
              <w:top w:w="15" w:type="dxa"/>
              <w:left w:w="15" w:type="dxa"/>
              <w:right w:w="15" w:type="dxa"/>
            </w:tcMar>
            <w:vAlign w:val="center"/>
          </w:tcPr>
          <w:p>
            <w:pPr>
              <w:widowControl/>
              <w:jc w:val="center"/>
              <w:textAlignment w:val="center"/>
              <w:rPr>
                <w:sz w:val="24"/>
                <w:szCs w:val="24"/>
              </w:rPr>
            </w:pPr>
            <w:r>
              <w:rPr>
                <w:kern w:val="0"/>
                <w:sz w:val="24"/>
                <w:szCs w:val="24"/>
              </w:rPr>
              <w:t>预期指标值(包含数字及文字描述)</w:t>
            </w:r>
          </w:p>
        </w:tc>
        <w:tc>
          <w:tcPr>
            <w:tcW w:w="2392" w:type="dxa"/>
            <w:tcMar>
              <w:top w:w="15" w:type="dxa"/>
              <w:left w:w="15" w:type="dxa"/>
              <w:right w:w="15" w:type="dxa"/>
            </w:tcMar>
            <w:vAlign w:val="center"/>
          </w:tcPr>
          <w:p>
            <w:pPr>
              <w:widowControl/>
              <w:jc w:val="center"/>
              <w:textAlignment w:val="center"/>
              <w:rPr>
                <w:sz w:val="24"/>
                <w:szCs w:val="24"/>
              </w:rPr>
            </w:pPr>
            <w:r>
              <w:rPr>
                <w:kern w:val="0"/>
                <w:sz w:val="24"/>
                <w:szCs w:val="24"/>
              </w:rPr>
              <w:t>实际完成指标值(包含数字及文字描述)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866" w:type="dxa"/>
            <w:vMerge w:val="continue"/>
            <w:tcMar>
              <w:top w:w="15" w:type="dxa"/>
              <w:left w:w="15" w:type="dxa"/>
              <w:right w:w="15" w:type="dxa"/>
            </w:tcMar>
            <w:vAlign w:val="center"/>
          </w:tcPr>
          <w:p>
            <w:pPr>
              <w:widowControl/>
              <w:jc w:val="center"/>
              <w:textAlignment w:val="center"/>
              <w:rPr>
                <w:sz w:val="24"/>
                <w:szCs w:val="24"/>
              </w:rPr>
            </w:pPr>
          </w:p>
        </w:tc>
        <w:tc>
          <w:tcPr>
            <w:tcW w:w="891" w:type="dxa"/>
            <w:tcMar>
              <w:top w:w="15" w:type="dxa"/>
              <w:left w:w="15" w:type="dxa"/>
              <w:right w:w="15" w:type="dxa"/>
            </w:tcMar>
            <w:vAlign w:val="center"/>
          </w:tcPr>
          <w:p>
            <w:pPr>
              <w:widowControl/>
              <w:jc w:val="center"/>
              <w:textAlignment w:val="center"/>
              <w:rPr>
                <w:sz w:val="24"/>
                <w:szCs w:val="24"/>
              </w:rPr>
            </w:pPr>
            <w:r>
              <w:rPr>
                <w:kern w:val="0"/>
                <w:sz w:val="24"/>
                <w:szCs w:val="24"/>
              </w:rPr>
              <w:t>项目完成指标</w:t>
            </w:r>
          </w:p>
        </w:tc>
        <w:tc>
          <w:tcPr>
            <w:tcW w:w="1235" w:type="dxa"/>
            <w:gridSpan w:val="2"/>
            <w:tcMar>
              <w:top w:w="15" w:type="dxa"/>
              <w:left w:w="15" w:type="dxa"/>
              <w:right w:w="15" w:type="dxa"/>
            </w:tcMar>
            <w:vAlign w:val="center"/>
          </w:tcPr>
          <w:p>
            <w:pPr>
              <w:widowControl/>
              <w:jc w:val="center"/>
              <w:textAlignment w:val="center"/>
              <w:rPr>
                <w:sz w:val="24"/>
                <w:szCs w:val="24"/>
              </w:rPr>
            </w:pPr>
            <w:r>
              <w:rPr>
                <w:sz w:val="24"/>
                <w:szCs w:val="24"/>
              </w:rPr>
              <w:t>数量指标</w:t>
            </w:r>
          </w:p>
        </w:tc>
        <w:tc>
          <w:tcPr>
            <w:tcW w:w="2552" w:type="dxa"/>
            <w:tcMar>
              <w:top w:w="15" w:type="dxa"/>
              <w:left w:w="15" w:type="dxa"/>
              <w:right w:w="15" w:type="dxa"/>
            </w:tcMar>
            <w:vAlign w:val="center"/>
          </w:tcPr>
          <w:p>
            <w:pPr>
              <w:jc w:val="center"/>
              <w:rPr>
                <w:color w:val="000000"/>
                <w:sz w:val="24"/>
                <w:szCs w:val="24"/>
              </w:rPr>
            </w:pPr>
            <w:r>
              <w:rPr>
                <w:color w:val="000000"/>
                <w:sz w:val="24"/>
                <w:szCs w:val="24"/>
              </w:rPr>
              <w:t>发布人事考试招考宣传活动</w:t>
            </w:r>
          </w:p>
        </w:tc>
        <w:tc>
          <w:tcPr>
            <w:tcW w:w="2024" w:type="dxa"/>
            <w:tcMar>
              <w:top w:w="15" w:type="dxa"/>
              <w:left w:w="15" w:type="dxa"/>
              <w:right w:w="15" w:type="dxa"/>
            </w:tcMar>
            <w:vAlign w:val="center"/>
          </w:tcPr>
          <w:p>
            <w:pPr>
              <w:widowControl/>
              <w:jc w:val="center"/>
              <w:textAlignment w:val="center"/>
              <w:rPr>
                <w:sz w:val="24"/>
                <w:szCs w:val="24"/>
              </w:rPr>
            </w:pPr>
            <w:r>
              <w:rPr>
                <w:sz w:val="24"/>
                <w:szCs w:val="24"/>
              </w:rPr>
              <w:t>80 次</w:t>
            </w:r>
          </w:p>
        </w:tc>
        <w:tc>
          <w:tcPr>
            <w:tcW w:w="2392" w:type="dxa"/>
            <w:tcMar>
              <w:top w:w="15" w:type="dxa"/>
              <w:left w:w="15" w:type="dxa"/>
              <w:right w:w="15" w:type="dxa"/>
            </w:tcMar>
            <w:vAlign w:val="center"/>
          </w:tcPr>
          <w:p>
            <w:pPr>
              <w:widowControl/>
              <w:jc w:val="center"/>
              <w:textAlignment w:val="center"/>
              <w:rPr>
                <w:sz w:val="24"/>
                <w:szCs w:val="24"/>
              </w:rPr>
            </w:pPr>
            <w:r>
              <w:rPr>
                <w:sz w:val="24"/>
                <w:szCs w:val="24"/>
              </w:rPr>
              <w:t>80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866" w:type="dxa"/>
            <w:vMerge w:val="continue"/>
            <w:tcMar>
              <w:top w:w="15" w:type="dxa"/>
              <w:left w:w="15" w:type="dxa"/>
              <w:right w:w="15" w:type="dxa"/>
            </w:tcMar>
            <w:vAlign w:val="center"/>
          </w:tcPr>
          <w:p>
            <w:pPr>
              <w:widowControl/>
              <w:jc w:val="center"/>
              <w:textAlignment w:val="center"/>
              <w:rPr>
                <w:sz w:val="24"/>
                <w:szCs w:val="24"/>
              </w:rPr>
            </w:pPr>
          </w:p>
        </w:tc>
        <w:tc>
          <w:tcPr>
            <w:tcW w:w="891" w:type="dxa"/>
            <w:tcMar>
              <w:top w:w="15" w:type="dxa"/>
              <w:left w:w="15" w:type="dxa"/>
              <w:right w:w="15" w:type="dxa"/>
            </w:tcMar>
            <w:vAlign w:val="center"/>
          </w:tcPr>
          <w:p>
            <w:pPr>
              <w:widowControl/>
              <w:jc w:val="center"/>
              <w:textAlignment w:val="center"/>
              <w:rPr>
                <w:sz w:val="24"/>
                <w:szCs w:val="24"/>
              </w:rPr>
            </w:pPr>
            <w:r>
              <w:rPr>
                <w:kern w:val="0"/>
                <w:sz w:val="24"/>
                <w:szCs w:val="24"/>
              </w:rPr>
              <w:t>项目完成指标</w:t>
            </w:r>
          </w:p>
        </w:tc>
        <w:tc>
          <w:tcPr>
            <w:tcW w:w="1235" w:type="dxa"/>
            <w:gridSpan w:val="2"/>
            <w:tcMar>
              <w:top w:w="15" w:type="dxa"/>
              <w:left w:w="15" w:type="dxa"/>
              <w:right w:w="15" w:type="dxa"/>
            </w:tcMar>
            <w:vAlign w:val="center"/>
          </w:tcPr>
          <w:p>
            <w:pPr>
              <w:widowControl/>
              <w:jc w:val="center"/>
              <w:textAlignment w:val="center"/>
              <w:rPr>
                <w:sz w:val="24"/>
                <w:szCs w:val="24"/>
              </w:rPr>
            </w:pPr>
            <w:r>
              <w:rPr>
                <w:sz w:val="24"/>
                <w:szCs w:val="24"/>
              </w:rPr>
              <w:t>数量指标</w:t>
            </w:r>
          </w:p>
        </w:tc>
        <w:tc>
          <w:tcPr>
            <w:tcW w:w="2552" w:type="dxa"/>
            <w:tcMar>
              <w:top w:w="15" w:type="dxa"/>
              <w:left w:w="15" w:type="dxa"/>
              <w:right w:w="15" w:type="dxa"/>
            </w:tcMar>
            <w:vAlign w:val="center"/>
          </w:tcPr>
          <w:p>
            <w:pPr>
              <w:jc w:val="center"/>
              <w:rPr>
                <w:color w:val="000000"/>
                <w:sz w:val="24"/>
                <w:szCs w:val="24"/>
              </w:rPr>
            </w:pPr>
            <w:r>
              <w:rPr>
                <w:color w:val="000000"/>
                <w:sz w:val="24"/>
                <w:szCs w:val="24"/>
              </w:rPr>
              <w:t>完成考试科次数</w:t>
            </w:r>
          </w:p>
        </w:tc>
        <w:tc>
          <w:tcPr>
            <w:tcW w:w="2024" w:type="dxa"/>
            <w:tcMar>
              <w:top w:w="15" w:type="dxa"/>
              <w:left w:w="15" w:type="dxa"/>
              <w:right w:w="15" w:type="dxa"/>
            </w:tcMar>
            <w:vAlign w:val="center"/>
          </w:tcPr>
          <w:p>
            <w:pPr>
              <w:widowControl/>
              <w:jc w:val="center"/>
              <w:textAlignment w:val="center"/>
              <w:rPr>
                <w:sz w:val="24"/>
                <w:szCs w:val="24"/>
              </w:rPr>
            </w:pPr>
            <w:r>
              <w:rPr>
                <w:sz w:val="24"/>
                <w:szCs w:val="24"/>
              </w:rPr>
              <w:t>300万科次</w:t>
            </w:r>
          </w:p>
        </w:tc>
        <w:tc>
          <w:tcPr>
            <w:tcW w:w="2392" w:type="dxa"/>
            <w:tcMar>
              <w:top w:w="15" w:type="dxa"/>
              <w:left w:w="15" w:type="dxa"/>
              <w:right w:w="15" w:type="dxa"/>
            </w:tcMar>
            <w:vAlign w:val="center"/>
          </w:tcPr>
          <w:p>
            <w:pPr>
              <w:widowControl/>
              <w:jc w:val="center"/>
              <w:textAlignment w:val="center"/>
              <w:rPr>
                <w:sz w:val="24"/>
                <w:szCs w:val="24"/>
              </w:rPr>
            </w:pPr>
            <w:r>
              <w:rPr>
                <w:sz w:val="24"/>
                <w:szCs w:val="24"/>
              </w:rPr>
              <w:t>296.15万科次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866" w:type="dxa"/>
            <w:vMerge w:val="continue"/>
            <w:tcMar>
              <w:top w:w="15" w:type="dxa"/>
              <w:left w:w="15" w:type="dxa"/>
              <w:right w:w="15" w:type="dxa"/>
            </w:tcMar>
            <w:vAlign w:val="center"/>
          </w:tcPr>
          <w:p>
            <w:pPr>
              <w:widowControl/>
              <w:jc w:val="center"/>
              <w:textAlignment w:val="center"/>
              <w:rPr>
                <w:sz w:val="24"/>
                <w:szCs w:val="24"/>
              </w:rPr>
            </w:pPr>
          </w:p>
        </w:tc>
        <w:tc>
          <w:tcPr>
            <w:tcW w:w="891" w:type="dxa"/>
            <w:tcMar>
              <w:top w:w="15" w:type="dxa"/>
              <w:left w:w="15" w:type="dxa"/>
              <w:right w:w="15" w:type="dxa"/>
            </w:tcMar>
            <w:vAlign w:val="center"/>
          </w:tcPr>
          <w:p>
            <w:pPr>
              <w:widowControl/>
              <w:jc w:val="center"/>
              <w:textAlignment w:val="center"/>
              <w:rPr>
                <w:sz w:val="24"/>
                <w:szCs w:val="24"/>
              </w:rPr>
            </w:pPr>
            <w:r>
              <w:rPr>
                <w:kern w:val="0"/>
                <w:sz w:val="24"/>
                <w:szCs w:val="24"/>
              </w:rPr>
              <w:t>项目完成指标</w:t>
            </w:r>
          </w:p>
        </w:tc>
        <w:tc>
          <w:tcPr>
            <w:tcW w:w="1235" w:type="dxa"/>
            <w:gridSpan w:val="2"/>
            <w:tcMar>
              <w:top w:w="15" w:type="dxa"/>
              <w:left w:w="15" w:type="dxa"/>
              <w:right w:w="15" w:type="dxa"/>
            </w:tcMar>
            <w:vAlign w:val="center"/>
          </w:tcPr>
          <w:p>
            <w:pPr>
              <w:widowControl/>
              <w:jc w:val="center"/>
              <w:textAlignment w:val="center"/>
              <w:rPr>
                <w:sz w:val="24"/>
                <w:szCs w:val="24"/>
              </w:rPr>
            </w:pPr>
            <w:r>
              <w:rPr>
                <w:sz w:val="24"/>
                <w:szCs w:val="24"/>
              </w:rPr>
              <w:t>质量指标</w:t>
            </w:r>
          </w:p>
        </w:tc>
        <w:tc>
          <w:tcPr>
            <w:tcW w:w="2552" w:type="dxa"/>
            <w:tcMar>
              <w:top w:w="15" w:type="dxa"/>
              <w:left w:w="15" w:type="dxa"/>
              <w:right w:w="15" w:type="dxa"/>
            </w:tcMar>
            <w:vAlign w:val="center"/>
          </w:tcPr>
          <w:p>
            <w:pPr>
              <w:widowControl/>
              <w:jc w:val="center"/>
              <w:textAlignment w:val="center"/>
              <w:rPr>
                <w:sz w:val="24"/>
                <w:szCs w:val="24"/>
              </w:rPr>
            </w:pPr>
            <w:r>
              <w:rPr>
                <w:color w:val="000000"/>
                <w:sz w:val="24"/>
                <w:szCs w:val="24"/>
              </w:rPr>
              <w:t>覆盖考生人数</w:t>
            </w:r>
          </w:p>
        </w:tc>
        <w:tc>
          <w:tcPr>
            <w:tcW w:w="2024" w:type="dxa"/>
            <w:tcMar>
              <w:top w:w="15" w:type="dxa"/>
              <w:left w:w="15" w:type="dxa"/>
              <w:right w:w="15" w:type="dxa"/>
            </w:tcMar>
            <w:vAlign w:val="center"/>
          </w:tcPr>
          <w:p>
            <w:pPr>
              <w:widowControl/>
              <w:jc w:val="center"/>
              <w:textAlignment w:val="center"/>
              <w:rPr>
                <w:sz w:val="24"/>
                <w:szCs w:val="24"/>
              </w:rPr>
            </w:pPr>
            <w:r>
              <w:rPr>
                <w:sz w:val="24"/>
                <w:szCs w:val="24"/>
              </w:rPr>
              <w:t>120万</w:t>
            </w:r>
          </w:p>
        </w:tc>
        <w:tc>
          <w:tcPr>
            <w:tcW w:w="2392" w:type="dxa"/>
            <w:tcMar>
              <w:top w:w="15" w:type="dxa"/>
              <w:left w:w="15" w:type="dxa"/>
              <w:right w:w="15" w:type="dxa"/>
            </w:tcMar>
            <w:vAlign w:val="center"/>
          </w:tcPr>
          <w:p>
            <w:pPr>
              <w:widowControl/>
              <w:jc w:val="center"/>
              <w:textAlignment w:val="center"/>
              <w:rPr>
                <w:sz w:val="24"/>
                <w:szCs w:val="24"/>
              </w:rPr>
            </w:pPr>
            <w:r>
              <w:rPr>
                <w:sz w:val="24"/>
                <w:szCs w:val="24"/>
              </w:rPr>
              <w:t>110万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9" w:hRule="atLeast"/>
          <w:jc w:val="center"/>
        </w:trPr>
        <w:tc>
          <w:tcPr>
            <w:tcW w:w="866" w:type="dxa"/>
            <w:vMerge w:val="continue"/>
            <w:tcMar>
              <w:top w:w="15" w:type="dxa"/>
              <w:left w:w="15" w:type="dxa"/>
              <w:right w:w="15" w:type="dxa"/>
            </w:tcMar>
            <w:vAlign w:val="center"/>
          </w:tcPr>
          <w:p>
            <w:pPr>
              <w:widowControl/>
              <w:jc w:val="center"/>
              <w:textAlignment w:val="center"/>
              <w:rPr>
                <w:sz w:val="24"/>
                <w:szCs w:val="24"/>
              </w:rPr>
            </w:pPr>
          </w:p>
        </w:tc>
        <w:tc>
          <w:tcPr>
            <w:tcW w:w="891" w:type="dxa"/>
            <w:tcMar>
              <w:top w:w="15" w:type="dxa"/>
              <w:left w:w="15" w:type="dxa"/>
              <w:right w:w="15" w:type="dxa"/>
            </w:tcMar>
            <w:vAlign w:val="center"/>
          </w:tcPr>
          <w:p>
            <w:pPr>
              <w:widowControl/>
              <w:jc w:val="center"/>
              <w:textAlignment w:val="center"/>
              <w:rPr>
                <w:sz w:val="24"/>
                <w:szCs w:val="24"/>
              </w:rPr>
            </w:pPr>
            <w:r>
              <w:rPr>
                <w:kern w:val="0"/>
                <w:sz w:val="24"/>
                <w:szCs w:val="24"/>
              </w:rPr>
              <w:t>效益指标</w:t>
            </w:r>
          </w:p>
        </w:tc>
        <w:tc>
          <w:tcPr>
            <w:tcW w:w="1235" w:type="dxa"/>
            <w:gridSpan w:val="2"/>
            <w:tcMar>
              <w:top w:w="15" w:type="dxa"/>
              <w:left w:w="15" w:type="dxa"/>
              <w:right w:w="15" w:type="dxa"/>
            </w:tcMar>
            <w:vAlign w:val="center"/>
          </w:tcPr>
          <w:p>
            <w:pPr>
              <w:jc w:val="center"/>
              <w:rPr>
                <w:color w:val="000000"/>
                <w:sz w:val="24"/>
                <w:szCs w:val="24"/>
              </w:rPr>
            </w:pPr>
            <w:r>
              <w:rPr>
                <w:color w:val="000000"/>
                <w:sz w:val="24"/>
                <w:szCs w:val="24"/>
              </w:rPr>
              <w:t>可持续影响指标</w:t>
            </w:r>
          </w:p>
          <w:p>
            <w:pPr>
              <w:widowControl/>
              <w:jc w:val="center"/>
              <w:textAlignment w:val="center"/>
              <w:rPr>
                <w:sz w:val="24"/>
                <w:szCs w:val="24"/>
              </w:rPr>
            </w:pPr>
          </w:p>
        </w:tc>
        <w:tc>
          <w:tcPr>
            <w:tcW w:w="2552" w:type="dxa"/>
            <w:tcMar>
              <w:top w:w="15" w:type="dxa"/>
              <w:left w:w="15" w:type="dxa"/>
              <w:right w:w="15" w:type="dxa"/>
            </w:tcMar>
            <w:vAlign w:val="center"/>
          </w:tcPr>
          <w:p>
            <w:pPr>
              <w:widowControl/>
              <w:jc w:val="center"/>
              <w:textAlignment w:val="center"/>
              <w:rPr>
                <w:sz w:val="24"/>
                <w:szCs w:val="24"/>
              </w:rPr>
            </w:pPr>
            <w:r>
              <w:rPr>
                <w:sz w:val="24"/>
                <w:szCs w:val="24"/>
              </w:rPr>
              <w:t>对各市（州）考点的考试考务工作的保障作用</w:t>
            </w:r>
          </w:p>
        </w:tc>
        <w:tc>
          <w:tcPr>
            <w:tcW w:w="2024" w:type="dxa"/>
            <w:tcMar>
              <w:top w:w="15" w:type="dxa"/>
              <w:left w:w="15" w:type="dxa"/>
              <w:right w:w="15" w:type="dxa"/>
            </w:tcMar>
            <w:vAlign w:val="center"/>
          </w:tcPr>
          <w:p>
            <w:pPr>
              <w:widowControl/>
              <w:jc w:val="left"/>
              <w:textAlignment w:val="center"/>
              <w:rPr>
                <w:sz w:val="24"/>
                <w:szCs w:val="24"/>
              </w:rPr>
            </w:pPr>
            <w:r>
              <w:rPr>
                <w:sz w:val="24"/>
                <w:szCs w:val="24"/>
              </w:rPr>
              <w:t>通过安排考点工作专项经费，为各市州完成各项人事考试工作保障必要的成本性支出需求，为全省参加人事考试的考生提供规范、公平、公正的考试条件，促进考试安全组织实施。</w:t>
            </w:r>
          </w:p>
        </w:tc>
        <w:tc>
          <w:tcPr>
            <w:tcW w:w="2392" w:type="dxa"/>
            <w:tcMar>
              <w:top w:w="15" w:type="dxa"/>
              <w:left w:w="15" w:type="dxa"/>
              <w:right w:w="15" w:type="dxa"/>
            </w:tcMar>
            <w:vAlign w:val="center"/>
          </w:tcPr>
          <w:p>
            <w:pPr>
              <w:widowControl/>
              <w:jc w:val="center"/>
              <w:textAlignment w:val="center"/>
              <w:rPr>
                <w:sz w:val="24"/>
                <w:szCs w:val="24"/>
              </w:rPr>
            </w:pPr>
            <w:r>
              <w:rPr>
                <w:sz w:val="24"/>
                <w:szCs w:val="24"/>
              </w:rPr>
              <w:t>通过安排考点工作专项经费，为各市州完成各项人事考试工作保障了必要的成本性支出需求，为全省参加人事考试的考生提供了规范、公平、公正的考试条件，促进了考试安全组织实施。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jc w:val="center"/>
        </w:trPr>
        <w:tc>
          <w:tcPr>
            <w:tcW w:w="866" w:type="dxa"/>
            <w:vMerge w:val="continue"/>
            <w:tcMar>
              <w:top w:w="15" w:type="dxa"/>
              <w:left w:w="15" w:type="dxa"/>
              <w:right w:w="15" w:type="dxa"/>
            </w:tcMar>
            <w:vAlign w:val="center"/>
          </w:tcPr>
          <w:p>
            <w:pPr>
              <w:widowControl/>
              <w:jc w:val="center"/>
              <w:textAlignment w:val="center"/>
              <w:rPr>
                <w:sz w:val="24"/>
                <w:szCs w:val="24"/>
              </w:rPr>
            </w:pPr>
          </w:p>
        </w:tc>
        <w:tc>
          <w:tcPr>
            <w:tcW w:w="891" w:type="dxa"/>
            <w:tcMar>
              <w:top w:w="15" w:type="dxa"/>
              <w:left w:w="15" w:type="dxa"/>
              <w:right w:w="15" w:type="dxa"/>
            </w:tcMar>
            <w:vAlign w:val="center"/>
          </w:tcPr>
          <w:p>
            <w:pPr>
              <w:widowControl/>
              <w:jc w:val="center"/>
              <w:textAlignment w:val="center"/>
              <w:rPr>
                <w:sz w:val="24"/>
                <w:szCs w:val="24"/>
              </w:rPr>
            </w:pPr>
            <w:r>
              <w:rPr>
                <w:kern w:val="0"/>
                <w:sz w:val="24"/>
                <w:szCs w:val="24"/>
              </w:rPr>
              <w:t>满意度指标</w:t>
            </w:r>
          </w:p>
        </w:tc>
        <w:tc>
          <w:tcPr>
            <w:tcW w:w="1235" w:type="dxa"/>
            <w:gridSpan w:val="2"/>
            <w:tcMar>
              <w:top w:w="15" w:type="dxa"/>
              <w:left w:w="15" w:type="dxa"/>
              <w:right w:w="15" w:type="dxa"/>
            </w:tcMar>
            <w:vAlign w:val="center"/>
          </w:tcPr>
          <w:p>
            <w:pPr>
              <w:jc w:val="center"/>
              <w:rPr>
                <w:sz w:val="24"/>
                <w:szCs w:val="24"/>
              </w:rPr>
            </w:pPr>
            <w:r>
              <w:rPr>
                <w:color w:val="000000"/>
                <w:sz w:val="24"/>
                <w:szCs w:val="24"/>
              </w:rPr>
              <w:t>满意度指标</w:t>
            </w:r>
          </w:p>
        </w:tc>
        <w:tc>
          <w:tcPr>
            <w:tcW w:w="2552" w:type="dxa"/>
            <w:tcMar>
              <w:top w:w="15" w:type="dxa"/>
              <w:left w:w="15" w:type="dxa"/>
              <w:right w:w="15" w:type="dxa"/>
            </w:tcMar>
            <w:vAlign w:val="center"/>
          </w:tcPr>
          <w:p>
            <w:pPr>
              <w:jc w:val="center"/>
              <w:rPr>
                <w:sz w:val="24"/>
                <w:szCs w:val="24"/>
              </w:rPr>
            </w:pPr>
            <w:r>
              <w:rPr>
                <w:color w:val="000000"/>
                <w:sz w:val="24"/>
                <w:szCs w:val="24"/>
              </w:rPr>
              <w:t>市（州）考试机构满意度</w:t>
            </w:r>
          </w:p>
        </w:tc>
        <w:tc>
          <w:tcPr>
            <w:tcW w:w="2024" w:type="dxa"/>
            <w:tcMar>
              <w:top w:w="15" w:type="dxa"/>
              <w:left w:w="15" w:type="dxa"/>
              <w:right w:w="15" w:type="dxa"/>
            </w:tcMar>
            <w:vAlign w:val="center"/>
          </w:tcPr>
          <w:p>
            <w:pPr>
              <w:widowControl/>
              <w:jc w:val="center"/>
              <w:textAlignment w:val="center"/>
              <w:rPr>
                <w:sz w:val="24"/>
                <w:szCs w:val="24"/>
              </w:rPr>
            </w:pPr>
            <w:r>
              <w:rPr>
                <w:sz w:val="24"/>
                <w:szCs w:val="24"/>
              </w:rPr>
              <w:t>大于90%</w:t>
            </w:r>
          </w:p>
        </w:tc>
        <w:tc>
          <w:tcPr>
            <w:tcW w:w="2392" w:type="dxa"/>
            <w:tcMar>
              <w:top w:w="15" w:type="dxa"/>
              <w:left w:w="15" w:type="dxa"/>
              <w:right w:w="15" w:type="dxa"/>
            </w:tcMar>
            <w:vAlign w:val="center"/>
          </w:tcPr>
          <w:p>
            <w:pPr>
              <w:widowControl/>
              <w:jc w:val="center"/>
              <w:textAlignment w:val="center"/>
              <w:rPr>
                <w:sz w:val="24"/>
                <w:szCs w:val="24"/>
              </w:rPr>
            </w:pPr>
            <w:r>
              <w:rPr>
                <w:sz w:val="24"/>
                <w:szCs w:val="24"/>
              </w:rPr>
              <w:t>大于90%</w:t>
            </w:r>
          </w:p>
        </w:tc>
      </w:tr>
    </w:tbl>
    <w:p>
      <w:pPr>
        <w:pStyle w:val="2"/>
        <w:spacing w:before="93"/>
        <w:rPr>
          <w:rFonts w:ascii="Times New Roman"/>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9960"/>
      </w:tblGrid>
      <w:tr>
        <w:tblPrEx>
          <w:tblCellMar>
            <w:top w:w="0" w:type="dxa"/>
            <w:left w:w="0" w:type="dxa"/>
            <w:bottom w:w="0" w:type="dxa"/>
            <w:right w:w="0" w:type="dxa"/>
          </w:tblCellMar>
        </w:tblPrEx>
        <w:trPr>
          <w:trHeight w:val="1034" w:hRule="atLeast"/>
          <w:jc w:val="center"/>
        </w:trPr>
        <w:tc>
          <w:tcPr>
            <w:tcW w:w="9960" w:type="dxa"/>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sz w:val="24"/>
                <w:szCs w:val="24"/>
              </w:rPr>
            </w:pPr>
          </w:p>
        </w:tc>
      </w:tr>
    </w:tbl>
    <w:p>
      <w:pPr>
        <w:pStyle w:val="2"/>
        <w:spacing w:before="93"/>
        <w:rPr>
          <w:rFonts w:ascii="Times New Roman"/>
        </w:rPr>
      </w:pPr>
    </w:p>
    <w:p>
      <w:pPr>
        <w:widowControl/>
        <w:jc w:val="center"/>
      </w:pPr>
      <w:r>
        <w:br w:type="page"/>
      </w:r>
      <w:r>
        <w:rPr>
          <w:rFonts w:eastAsia="方正小标宋简体"/>
          <w:kern w:val="0"/>
          <w:sz w:val="36"/>
          <w:szCs w:val="36"/>
        </w:rPr>
        <w:t>项目绩效目标完成情况表</w:t>
      </w:r>
      <w:r>
        <w:rPr>
          <w:rFonts w:eastAsia="方正小标宋简体"/>
          <w:kern w:val="0"/>
          <w:sz w:val="36"/>
          <w:szCs w:val="36"/>
        </w:rPr>
        <w:br w:type="textWrapping"/>
      </w:r>
      <w:r>
        <w:rPr>
          <w:rFonts w:eastAsia="仿宋_GB2312"/>
          <w:kern w:val="0"/>
          <w:sz w:val="24"/>
          <w:szCs w:val="24"/>
        </w:rPr>
        <w:t>(2020年度)</w:t>
      </w: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866"/>
        <w:gridCol w:w="1276"/>
        <w:gridCol w:w="640"/>
        <w:gridCol w:w="635"/>
        <w:gridCol w:w="2552"/>
        <w:gridCol w:w="1599"/>
        <w:gridCol w:w="244"/>
        <w:gridCol w:w="2148"/>
      </w:tblGrid>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项目名称</w:t>
            </w:r>
          </w:p>
        </w:tc>
        <w:tc>
          <w:tcPr>
            <w:tcW w:w="717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信息化建设及运行维护经费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预算单位</w:t>
            </w:r>
          </w:p>
        </w:tc>
        <w:tc>
          <w:tcPr>
            <w:tcW w:w="717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四川省人事考试中心</w:t>
            </w:r>
          </w:p>
        </w:tc>
      </w:tr>
      <w:tr>
        <w:tblPrEx>
          <w:tblCellMar>
            <w:top w:w="0" w:type="dxa"/>
            <w:left w:w="0" w:type="dxa"/>
            <w:bottom w:w="0" w:type="dxa"/>
            <w:right w:w="0" w:type="dxa"/>
          </w:tblCellMar>
        </w:tblPrEx>
        <w:trPr>
          <w:trHeight w:val="455"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预算执行情况(万元)</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预算数:</w:t>
            </w:r>
          </w:p>
        </w:tc>
        <w:tc>
          <w:tcPr>
            <w:tcW w:w="31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159.72</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执行数:</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81.92</w:t>
            </w:r>
          </w:p>
        </w:tc>
      </w:tr>
      <w:tr>
        <w:tblPrEx>
          <w:tblCellMar>
            <w:top w:w="0" w:type="dxa"/>
            <w:left w:w="0" w:type="dxa"/>
            <w:bottom w:w="0" w:type="dxa"/>
            <w:right w:w="0" w:type="dxa"/>
          </w:tblCellMar>
        </w:tblPrEx>
        <w:trPr>
          <w:trHeight w:val="276"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szCs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其中-财政拨款:</w:t>
            </w:r>
          </w:p>
        </w:tc>
        <w:tc>
          <w:tcPr>
            <w:tcW w:w="31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159.72</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其中-财政拨款:</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81.92</w:t>
            </w:r>
          </w:p>
        </w:tc>
      </w:tr>
      <w:tr>
        <w:tblPrEx>
          <w:tblCellMar>
            <w:top w:w="0" w:type="dxa"/>
            <w:left w:w="0" w:type="dxa"/>
            <w:bottom w:w="0" w:type="dxa"/>
            <w:right w:w="0" w:type="dxa"/>
          </w:tblCellMar>
        </w:tblPrEx>
        <w:trPr>
          <w:trHeight w:val="420"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szCs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其它资金:</w:t>
            </w:r>
          </w:p>
        </w:tc>
        <w:tc>
          <w:tcPr>
            <w:tcW w:w="31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0</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其它资金:</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szCs w:val="24"/>
              </w:rPr>
            </w:pPr>
            <w:r>
              <w:rPr>
                <w:sz w:val="24"/>
                <w:szCs w:val="24"/>
              </w:rPr>
              <w:t>0</w:t>
            </w:r>
          </w:p>
        </w:tc>
      </w:tr>
      <w:tr>
        <w:tblPrEx>
          <w:tblCellMar>
            <w:top w:w="0" w:type="dxa"/>
            <w:left w:w="0" w:type="dxa"/>
            <w:bottom w:w="0" w:type="dxa"/>
            <w:right w:w="0" w:type="dxa"/>
          </w:tblCellMar>
        </w:tblPrEx>
        <w:trPr>
          <w:trHeight w:val="276"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年度目标完成情况</w:t>
            </w:r>
          </w:p>
        </w:tc>
        <w:tc>
          <w:tcPr>
            <w:tcW w:w="510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预期目标</w:t>
            </w:r>
          </w:p>
        </w:tc>
        <w:tc>
          <w:tcPr>
            <w:tcW w:w="399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实际完成目标</w:t>
            </w:r>
          </w:p>
        </w:tc>
      </w:tr>
      <w:tr>
        <w:tblPrEx>
          <w:tblCellMar>
            <w:top w:w="0" w:type="dxa"/>
            <w:left w:w="0" w:type="dxa"/>
            <w:bottom w:w="0" w:type="dxa"/>
            <w:right w:w="0" w:type="dxa"/>
          </w:tblCellMar>
        </w:tblPrEx>
        <w:trPr>
          <w:trHeight w:val="1159"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szCs w:val="24"/>
              </w:rPr>
            </w:pPr>
          </w:p>
        </w:tc>
        <w:tc>
          <w:tcPr>
            <w:tcW w:w="510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sz w:val="24"/>
                <w:szCs w:val="24"/>
              </w:rPr>
            </w:pPr>
            <w:r>
              <w:rPr>
                <w:sz w:val="24"/>
                <w:szCs w:val="24"/>
              </w:rPr>
              <w:t>定期对网站进行漏洞扫描和压力测试，对网络进行安全管理，提升网站抵御黑客攻击能力，确保考生信息、考试成绩、证书等信息的准确和安全；保证接口衔接的连续性，避免发生服务中断、重要信息系统不能正常使用等情况，确保安全、平稳、顺利完成各项考试任务。</w:t>
            </w:r>
          </w:p>
        </w:tc>
        <w:tc>
          <w:tcPr>
            <w:tcW w:w="399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sz w:val="24"/>
                <w:szCs w:val="24"/>
              </w:rPr>
            </w:pPr>
            <w:r>
              <w:rPr>
                <w:sz w:val="24"/>
                <w:szCs w:val="24"/>
              </w:rPr>
              <w:t xml:space="preserve">    2020年四川省人事考试网平稳运行，已达到预期目标。</w:t>
            </w:r>
          </w:p>
        </w:tc>
      </w:tr>
      <w:tr>
        <w:tblPrEx>
          <w:tblCellMar>
            <w:top w:w="0" w:type="dxa"/>
            <w:left w:w="0" w:type="dxa"/>
            <w:bottom w:w="0" w:type="dxa"/>
            <w:right w:w="0" w:type="dxa"/>
          </w:tblCellMar>
        </w:tblPrEx>
        <w:trPr>
          <w:trHeight w:val="670" w:hRule="atLeast"/>
          <w:jc w:val="center"/>
        </w:trPr>
        <w:tc>
          <w:tcPr>
            <w:tcW w:w="86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绩效指标完成情况</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一级指标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二级指标</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三级指标</w:t>
            </w:r>
          </w:p>
        </w:tc>
        <w:tc>
          <w:tcPr>
            <w:tcW w:w="18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预期指标值(包含数字及文字描述)</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实际完成指标值(包含数字及文字描述)</w:t>
            </w:r>
          </w:p>
        </w:tc>
      </w:tr>
      <w:tr>
        <w:tblPrEx>
          <w:tblCellMar>
            <w:top w:w="0" w:type="dxa"/>
            <w:left w:w="0" w:type="dxa"/>
            <w:bottom w:w="0" w:type="dxa"/>
            <w:right w:w="0" w:type="dxa"/>
          </w:tblCellMar>
        </w:tblPrEx>
        <w:trPr>
          <w:trHeight w:val="55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数量指标</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szCs w:val="24"/>
              </w:rPr>
            </w:pPr>
            <w:r>
              <w:rPr>
                <w:color w:val="000000"/>
                <w:sz w:val="24"/>
                <w:szCs w:val="24"/>
              </w:rPr>
              <w:t>完成人事考试网站安全服务</w:t>
            </w:r>
          </w:p>
        </w:tc>
        <w:tc>
          <w:tcPr>
            <w:tcW w:w="18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FF0000"/>
                <w:sz w:val="24"/>
                <w:szCs w:val="24"/>
              </w:rPr>
            </w:pPr>
            <w:r>
              <w:rPr>
                <w:sz w:val="24"/>
                <w:szCs w:val="24"/>
              </w:rPr>
              <w:t>1年</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1年</w:t>
            </w:r>
          </w:p>
        </w:tc>
      </w:tr>
      <w:tr>
        <w:tblPrEx>
          <w:tblCellMar>
            <w:top w:w="0" w:type="dxa"/>
            <w:left w:w="0" w:type="dxa"/>
            <w:bottom w:w="0" w:type="dxa"/>
            <w:right w:w="0" w:type="dxa"/>
          </w:tblCellMar>
        </w:tblPrEx>
        <w:trPr>
          <w:trHeight w:val="703"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数量指标</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szCs w:val="24"/>
              </w:rPr>
            </w:pPr>
            <w:r>
              <w:rPr>
                <w:color w:val="000000"/>
                <w:sz w:val="24"/>
                <w:szCs w:val="24"/>
              </w:rPr>
              <w:t>完成人事考试网运维服务</w:t>
            </w:r>
          </w:p>
        </w:tc>
        <w:tc>
          <w:tcPr>
            <w:tcW w:w="18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1年</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1年</w:t>
            </w:r>
          </w:p>
        </w:tc>
      </w:tr>
      <w:tr>
        <w:tblPrEx>
          <w:tblCellMar>
            <w:top w:w="0" w:type="dxa"/>
            <w:left w:w="0" w:type="dxa"/>
            <w:bottom w:w="0" w:type="dxa"/>
            <w:right w:w="0" w:type="dxa"/>
          </w:tblCellMar>
        </w:tblPrEx>
        <w:trPr>
          <w:trHeight w:val="686"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数量指标</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szCs w:val="24"/>
              </w:rPr>
            </w:pPr>
            <w:r>
              <w:rPr>
                <w:color w:val="000000"/>
                <w:sz w:val="24"/>
                <w:szCs w:val="24"/>
              </w:rPr>
              <w:t>完成人事考试网升级</w:t>
            </w:r>
          </w:p>
        </w:tc>
        <w:tc>
          <w:tcPr>
            <w:tcW w:w="18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1年</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1年</w:t>
            </w:r>
          </w:p>
        </w:tc>
      </w:tr>
      <w:tr>
        <w:tblPrEx>
          <w:tblCellMar>
            <w:top w:w="0" w:type="dxa"/>
            <w:left w:w="0" w:type="dxa"/>
            <w:bottom w:w="0" w:type="dxa"/>
            <w:right w:w="0" w:type="dxa"/>
          </w:tblCellMar>
        </w:tblPrEx>
        <w:trPr>
          <w:trHeight w:val="555"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kern w:val="0"/>
                <w:sz w:val="24"/>
                <w:szCs w:val="24"/>
              </w:rPr>
            </w:pPr>
            <w:r>
              <w:rPr>
                <w:kern w:val="0"/>
                <w:sz w:val="24"/>
                <w:szCs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数量指标</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szCs w:val="24"/>
              </w:rPr>
            </w:pPr>
            <w:r>
              <w:rPr>
                <w:color w:val="000000"/>
                <w:sz w:val="24"/>
                <w:szCs w:val="24"/>
              </w:rPr>
              <w:t>完善人事考试指挥中心会议系统</w:t>
            </w:r>
          </w:p>
        </w:tc>
        <w:tc>
          <w:tcPr>
            <w:tcW w:w="18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2次</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2次</w:t>
            </w:r>
          </w:p>
        </w:tc>
      </w:tr>
      <w:tr>
        <w:tblPrEx>
          <w:tblCellMar>
            <w:top w:w="0" w:type="dxa"/>
            <w:left w:w="0" w:type="dxa"/>
            <w:bottom w:w="0" w:type="dxa"/>
            <w:right w:w="0" w:type="dxa"/>
          </w:tblCellMar>
        </w:tblPrEx>
        <w:trPr>
          <w:trHeight w:val="679"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数量指标</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szCs w:val="24"/>
              </w:rPr>
            </w:pPr>
            <w:r>
              <w:rPr>
                <w:color w:val="000000"/>
                <w:sz w:val="24"/>
                <w:szCs w:val="24"/>
              </w:rPr>
              <w:t>完成人事考试指挥中心维护服务</w:t>
            </w:r>
          </w:p>
        </w:tc>
        <w:tc>
          <w:tcPr>
            <w:tcW w:w="18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1年</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1年</w:t>
            </w:r>
          </w:p>
        </w:tc>
      </w:tr>
      <w:tr>
        <w:tblPrEx>
          <w:tblCellMar>
            <w:top w:w="0" w:type="dxa"/>
            <w:left w:w="0" w:type="dxa"/>
            <w:bottom w:w="0" w:type="dxa"/>
            <w:right w:w="0" w:type="dxa"/>
          </w:tblCellMar>
        </w:tblPrEx>
        <w:trPr>
          <w:trHeight w:val="536"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szCs w:val="24"/>
              </w:rPr>
            </w:pPr>
            <w:r>
              <w:rPr>
                <w:color w:val="000000"/>
                <w:sz w:val="24"/>
                <w:szCs w:val="24"/>
              </w:rPr>
              <w:t>时效指标</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szCs w:val="24"/>
              </w:rPr>
            </w:pPr>
            <w:r>
              <w:rPr>
                <w:color w:val="000000"/>
                <w:sz w:val="24"/>
                <w:szCs w:val="24"/>
              </w:rPr>
              <w:t>安全服务时效</w:t>
            </w:r>
          </w:p>
        </w:tc>
        <w:tc>
          <w:tcPr>
            <w:tcW w:w="18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1年</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1年</w:t>
            </w:r>
          </w:p>
        </w:tc>
      </w:tr>
      <w:tr>
        <w:tblPrEx>
          <w:tblCellMar>
            <w:top w:w="0" w:type="dxa"/>
            <w:left w:w="0" w:type="dxa"/>
            <w:bottom w:w="0" w:type="dxa"/>
            <w:right w:w="0" w:type="dxa"/>
          </w:tblCellMar>
        </w:tblPrEx>
        <w:trPr>
          <w:trHeight w:val="975"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效益指标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szCs w:val="24"/>
              </w:rPr>
            </w:pPr>
            <w:r>
              <w:rPr>
                <w:color w:val="000000"/>
                <w:sz w:val="24"/>
                <w:szCs w:val="24"/>
              </w:rPr>
              <w:t>可持续影响指标</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szCs w:val="24"/>
              </w:rPr>
            </w:pPr>
            <w:r>
              <w:rPr>
                <w:color w:val="000000"/>
                <w:sz w:val="24"/>
                <w:szCs w:val="24"/>
              </w:rPr>
              <w:t>对全省各类人事考试工作的促进作用</w:t>
            </w:r>
          </w:p>
        </w:tc>
        <w:tc>
          <w:tcPr>
            <w:tcW w:w="18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szCs w:val="24"/>
              </w:rPr>
            </w:pPr>
            <w:r>
              <w:rPr>
                <w:color w:val="000000"/>
                <w:sz w:val="24"/>
                <w:szCs w:val="24"/>
              </w:rPr>
              <w:t>确保各项人事考试公平、公开、公正、安全地进行</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已达到预期目标</w:t>
            </w:r>
          </w:p>
        </w:tc>
      </w:tr>
      <w:tr>
        <w:tblPrEx>
          <w:tblCellMar>
            <w:top w:w="0" w:type="dxa"/>
            <w:left w:w="0" w:type="dxa"/>
            <w:bottom w:w="0" w:type="dxa"/>
            <w:right w:w="0" w:type="dxa"/>
          </w:tblCellMar>
        </w:tblPrEx>
        <w:trPr>
          <w:trHeight w:val="1050" w:hRule="atLeast"/>
          <w:jc w:val="center"/>
        </w:trPr>
        <w:tc>
          <w:tcPr>
            <w:tcW w:w="86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满意度指标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szCs w:val="24"/>
              </w:rPr>
            </w:pPr>
            <w:r>
              <w:rPr>
                <w:color w:val="000000"/>
                <w:sz w:val="24"/>
                <w:szCs w:val="24"/>
              </w:rPr>
              <w:t>满意度指标</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szCs w:val="24"/>
              </w:rPr>
            </w:pPr>
            <w:r>
              <w:rPr>
                <w:color w:val="000000"/>
                <w:sz w:val="24"/>
                <w:szCs w:val="24"/>
              </w:rPr>
              <w:t>服务对象满意度</w:t>
            </w:r>
          </w:p>
        </w:tc>
        <w:tc>
          <w:tcPr>
            <w:tcW w:w="18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szCs w:val="24"/>
              </w:rPr>
            </w:pPr>
            <w:r>
              <w:rPr>
                <w:color w:val="000000"/>
                <w:sz w:val="24"/>
                <w:szCs w:val="24"/>
              </w:rPr>
              <w:t>大于90%</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95</w:t>
            </w:r>
            <w:r>
              <w:rPr>
                <w:color w:val="000000"/>
                <w:sz w:val="24"/>
                <w:szCs w:val="24"/>
              </w:rPr>
              <w:t>%</w:t>
            </w:r>
          </w:p>
        </w:tc>
      </w:tr>
    </w:tbl>
    <w:p>
      <w:pPr>
        <w:pStyle w:val="2"/>
        <w:spacing w:before="93"/>
      </w:pPr>
    </w:p>
    <w:p>
      <w:pPr>
        <w:pStyle w:val="2"/>
        <w:spacing w:before="93" w:line="360" w:lineRule="exact"/>
        <w:jc w:val="center"/>
        <w:rPr>
          <w:rFonts w:ascii="Times New Roman"/>
        </w:rPr>
      </w:pPr>
      <w:r>
        <w:rPr>
          <w:rFonts w:ascii="Times New Roman" w:eastAsia="方正小标宋简体"/>
          <w:sz w:val="36"/>
          <w:szCs w:val="36"/>
        </w:rPr>
        <w:br w:type="page"/>
      </w:r>
      <w:r>
        <w:rPr>
          <w:rFonts w:ascii="Times New Roman" w:eastAsia="方正小标宋简体"/>
          <w:sz w:val="36"/>
          <w:szCs w:val="36"/>
        </w:rPr>
        <w:t>项目绩效目标完成情况表</w:t>
      </w:r>
      <w:r>
        <w:rPr>
          <w:rFonts w:ascii="Times New Roman" w:eastAsia="方正小标宋简体"/>
          <w:sz w:val="36"/>
          <w:szCs w:val="36"/>
        </w:rPr>
        <w:br w:type="textWrapping"/>
      </w:r>
      <w:r>
        <w:rPr>
          <w:rFonts w:ascii="Times New Roman"/>
        </w:rPr>
        <w:t>(2020年度)</w:t>
      </w: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866"/>
        <w:gridCol w:w="891"/>
        <w:gridCol w:w="1025"/>
        <w:gridCol w:w="352"/>
        <w:gridCol w:w="2268"/>
        <w:gridCol w:w="2166"/>
        <w:gridCol w:w="2392"/>
      </w:tblGrid>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考试考务费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四川省人事考试中心</w:t>
            </w:r>
          </w:p>
        </w:tc>
      </w:tr>
      <w:tr>
        <w:tblPrEx>
          <w:tblCellMar>
            <w:top w:w="0" w:type="dxa"/>
            <w:left w:w="0" w:type="dxa"/>
            <w:bottom w:w="0" w:type="dxa"/>
            <w:right w:w="0" w:type="dxa"/>
          </w:tblCellMar>
        </w:tblPrEx>
        <w:trPr>
          <w:trHeight w:val="382"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预算执行情况(万元)</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预算数:</w:t>
            </w:r>
          </w:p>
        </w:tc>
        <w:tc>
          <w:tcPr>
            <w:tcW w:w="26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szCs w:val="24"/>
              </w:rPr>
            </w:pPr>
            <w:r>
              <w:rPr>
                <w:color w:val="000000"/>
                <w:sz w:val="24"/>
                <w:szCs w:val="24"/>
              </w:rPr>
              <w:t>1950</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1914.48</w:t>
            </w:r>
          </w:p>
        </w:tc>
      </w:tr>
      <w:tr>
        <w:tblPrEx>
          <w:tblCellMar>
            <w:top w:w="0" w:type="dxa"/>
            <w:left w:w="0" w:type="dxa"/>
            <w:bottom w:w="0" w:type="dxa"/>
            <w:right w:w="0" w:type="dxa"/>
          </w:tblCellMar>
        </w:tblPrEx>
        <w:trPr>
          <w:trHeight w:val="410"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szCs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其中-财政拨款:</w:t>
            </w:r>
          </w:p>
        </w:tc>
        <w:tc>
          <w:tcPr>
            <w:tcW w:w="26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szCs w:val="24"/>
              </w:rPr>
            </w:pPr>
            <w:r>
              <w:rPr>
                <w:color w:val="000000"/>
                <w:sz w:val="24"/>
                <w:szCs w:val="24"/>
              </w:rPr>
              <w:t>1950</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1914.48</w:t>
            </w:r>
          </w:p>
        </w:tc>
      </w:tr>
      <w:tr>
        <w:tblPrEx>
          <w:tblCellMar>
            <w:top w:w="0" w:type="dxa"/>
            <w:left w:w="0" w:type="dxa"/>
            <w:bottom w:w="0" w:type="dxa"/>
            <w:right w:w="0" w:type="dxa"/>
          </w:tblCellMar>
        </w:tblPrEx>
        <w:trPr>
          <w:trHeight w:val="251"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szCs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其它资金:</w:t>
            </w:r>
          </w:p>
        </w:tc>
        <w:tc>
          <w:tcPr>
            <w:tcW w:w="26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sz w:val="24"/>
                <w:szCs w:val="24"/>
              </w:rPr>
              <w:t>0</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szCs w:val="24"/>
              </w:rPr>
            </w:pPr>
            <w:r>
              <w:rPr>
                <w:sz w:val="24"/>
                <w:szCs w:val="24"/>
              </w:rPr>
              <w:t>0</w:t>
            </w:r>
          </w:p>
        </w:tc>
      </w:tr>
      <w:tr>
        <w:tblPrEx>
          <w:tblCellMar>
            <w:top w:w="0" w:type="dxa"/>
            <w:left w:w="0" w:type="dxa"/>
            <w:bottom w:w="0" w:type="dxa"/>
            <w:right w:w="0" w:type="dxa"/>
          </w:tblCellMar>
        </w:tblPrEx>
        <w:trPr>
          <w:trHeight w:val="276"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年度目标完成情况</w:t>
            </w:r>
          </w:p>
        </w:tc>
        <w:tc>
          <w:tcPr>
            <w:tcW w:w="45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预期目标</w:t>
            </w:r>
          </w:p>
        </w:tc>
        <w:tc>
          <w:tcPr>
            <w:tcW w:w="45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szCs w:val="24"/>
              </w:rPr>
            </w:pPr>
            <w:r>
              <w:rPr>
                <w:kern w:val="0"/>
                <w:sz w:val="24"/>
                <w:szCs w:val="24"/>
              </w:rPr>
              <w:t>实际完成目标</w:t>
            </w:r>
          </w:p>
        </w:tc>
      </w:tr>
      <w:tr>
        <w:tblPrEx>
          <w:tblCellMar>
            <w:top w:w="0" w:type="dxa"/>
            <w:left w:w="0" w:type="dxa"/>
            <w:bottom w:w="0" w:type="dxa"/>
            <w:right w:w="0" w:type="dxa"/>
          </w:tblCellMar>
        </w:tblPrEx>
        <w:trPr>
          <w:trHeight w:val="2104" w:hRule="atLeast"/>
          <w:jc w:val="center"/>
        </w:trPr>
        <w:tc>
          <w:tcPr>
            <w:tcW w:w="866"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sz w:val="24"/>
                <w:szCs w:val="24"/>
              </w:rPr>
            </w:pPr>
          </w:p>
        </w:tc>
        <w:tc>
          <w:tcPr>
            <w:tcW w:w="4536" w:type="dxa"/>
            <w:gridSpan w:val="4"/>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sz w:val="24"/>
                <w:szCs w:val="24"/>
              </w:rPr>
            </w:pPr>
            <w:r>
              <w:rPr>
                <w:sz w:val="24"/>
                <w:szCs w:val="24"/>
              </w:rPr>
              <w:t xml:space="preserve">    2020年考试计划，组织各类考试68项（参考考生人数预计达120万人，完成考试科次数预计300余万科次），命题数量8次，阅卷数量9次，印刷试卷200万份，网上发布人事考试招考宣传活动80余次，发放各类资格证书20余万册，确保全面完成全年人事考试任务。</w:t>
            </w:r>
          </w:p>
        </w:tc>
        <w:tc>
          <w:tcPr>
            <w:tcW w:w="4558"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sz w:val="24"/>
                <w:szCs w:val="24"/>
              </w:rPr>
            </w:pPr>
            <w:r>
              <w:rPr>
                <w:sz w:val="24"/>
                <w:szCs w:val="24"/>
              </w:rPr>
              <w:t>2020年，我省共组织考试67项，参考考生人数达110余万人，完成考试科次296.15余万科次。命题数量11次，笔试命题制卷33套，面试命题制卷39套。阅卷数量25次、印刷试卷345万份，网上发布人事相关信息80余次，发放证书7.2万本。</w:t>
            </w:r>
          </w:p>
        </w:tc>
      </w:tr>
      <w:tr>
        <w:tblPrEx>
          <w:tblCellMar>
            <w:top w:w="0" w:type="dxa"/>
            <w:left w:w="0" w:type="dxa"/>
            <w:bottom w:w="0" w:type="dxa"/>
            <w:right w:w="0" w:type="dxa"/>
          </w:tblCellMar>
        </w:tblPrEx>
        <w:trPr>
          <w:trHeight w:val="1042" w:hRule="atLeast"/>
          <w:jc w:val="center"/>
        </w:trPr>
        <w:tc>
          <w:tcPr>
            <w:tcW w:w="86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sz w:val="24"/>
                <w:szCs w:val="24"/>
              </w:rPr>
              <w:t>绩效指标完成情况</w:t>
            </w:r>
          </w:p>
        </w:tc>
        <w:tc>
          <w:tcPr>
            <w:tcW w:w="8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kern w:val="0"/>
                <w:sz w:val="24"/>
                <w:szCs w:val="24"/>
              </w:rPr>
              <w:t>一级指标</w:t>
            </w:r>
          </w:p>
        </w:tc>
        <w:tc>
          <w:tcPr>
            <w:tcW w:w="137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kern w:val="0"/>
                <w:sz w:val="24"/>
                <w:szCs w:val="24"/>
              </w:rPr>
              <w:t>二级指标</w:t>
            </w:r>
          </w:p>
        </w:tc>
        <w:tc>
          <w:tcPr>
            <w:tcW w:w="226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kern w:val="0"/>
                <w:sz w:val="24"/>
                <w:szCs w:val="24"/>
              </w:rPr>
              <w:t>三级指标</w:t>
            </w:r>
          </w:p>
        </w:tc>
        <w:tc>
          <w:tcPr>
            <w:tcW w:w="2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kern w:val="0"/>
                <w:sz w:val="24"/>
                <w:szCs w:val="24"/>
              </w:rPr>
              <w:t>预期指标值(包含数字及文字描述)</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kern w:val="0"/>
                <w:sz w:val="24"/>
                <w:szCs w:val="24"/>
              </w:rPr>
              <w:t>实际完成指标值(包含数字及文字描述)</w:t>
            </w:r>
          </w:p>
        </w:tc>
      </w:tr>
      <w:tr>
        <w:tblPrEx>
          <w:tblCellMar>
            <w:top w:w="0" w:type="dxa"/>
            <w:left w:w="0" w:type="dxa"/>
            <w:bottom w:w="0" w:type="dxa"/>
            <w:right w:w="0" w:type="dxa"/>
          </w:tblCellMar>
        </w:tblPrEx>
        <w:trPr>
          <w:trHeight w:val="677" w:hRule="atLeast"/>
          <w:jc w:val="center"/>
        </w:trPr>
        <w:tc>
          <w:tcPr>
            <w:tcW w:w="86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p>
        </w:tc>
        <w:tc>
          <w:tcPr>
            <w:tcW w:w="8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kern w:val="0"/>
                <w:sz w:val="24"/>
                <w:szCs w:val="24"/>
              </w:rPr>
              <w:t>项目完成指标</w:t>
            </w:r>
          </w:p>
        </w:tc>
        <w:tc>
          <w:tcPr>
            <w:tcW w:w="137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sz w:val="24"/>
                <w:szCs w:val="24"/>
              </w:rPr>
              <w:t>数量指标</w:t>
            </w:r>
          </w:p>
        </w:tc>
        <w:tc>
          <w:tcPr>
            <w:tcW w:w="226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000000"/>
                <w:sz w:val="24"/>
                <w:szCs w:val="24"/>
              </w:rPr>
            </w:pPr>
            <w:r>
              <w:rPr>
                <w:color w:val="000000"/>
                <w:sz w:val="24"/>
                <w:szCs w:val="24"/>
              </w:rPr>
              <w:t>发布人事考试招考宣传活动</w:t>
            </w:r>
          </w:p>
        </w:tc>
        <w:tc>
          <w:tcPr>
            <w:tcW w:w="2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highlight w:val="yellow"/>
              </w:rPr>
            </w:pPr>
            <w:r>
              <w:rPr>
                <w:sz w:val="24"/>
                <w:szCs w:val="24"/>
              </w:rPr>
              <w:t>80</w:t>
            </w:r>
            <w:r>
              <w:rPr>
                <w:rFonts w:hint="eastAsia"/>
                <w:sz w:val="24"/>
                <w:szCs w:val="24"/>
              </w:rPr>
              <w:t>次</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highlight w:val="yellow"/>
              </w:rPr>
            </w:pPr>
            <w:r>
              <w:rPr>
                <w:sz w:val="24"/>
                <w:szCs w:val="24"/>
              </w:rPr>
              <w:t>8</w:t>
            </w:r>
            <w:r>
              <w:rPr>
                <w:rFonts w:hint="eastAsia"/>
                <w:sz w:val="24"/>
                <w:szCs w:val="24"/>
              </w:rPr>
              <w:t>0次</w:t>
            </w:r>
          </w:p>
        </w:tc>
      </w:tr>
      <w:tr>
        <w:tblPrEx>
          <w:tblCellMar>
            <w:top w:w="0" w:type="dxa"/>
            <w:left w:w="0" w:type="dxa"/>
            <w:bottom w:w="0" w:type="dxa"/>
            <w:right w:w="0" w:type="dxa"/>
          </w:tblCellMar>
        </w:tblPrEx>
        <w:trPr>
          <w:trHeight w:val="687" w:hRule="atLeast"/>
          <w:jc w:val="center"/>
        </w:trPr>
        <w:tc>
          <w:tcPr>
            <w:tcW w:w="86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p>
        </w:tc>
        <w:tc>
          <w:tcPr>
            <w:tcW w:w="8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kern w:val="0"/>
                <w:sz w:val="24"/>
                <w:szCs w:val="24"/>
              </w:rPr>
              <w:t>项目完成指标</w:t>
            </w:r>
          </w:p>
        </w:tc>
        <w:tc>
          <w:tcPr>
            <w:tcW w:w="137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sz w:val="24"/>
                <w:szCs w:val="24"/>
              </w:rPr>
              <w:t>数量指标</w:t>
            </w:r>
          </w:p>
        </w:tc>
        <w:tc>
          <w:tcPr>
            <w:tcW w:w="226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000000"/>
                <w:sz w:val="24"/>
                <w:szCs w:val="24"/>
              </w:rPr>
            </w:pPr>
            <w:r>
              <w:rPr>
                <w:color w:val="000000"/>
                <w:sz w:val="24"/>
                <w:szCs w:val="24"/>
              </w:rPr>
              <w:t>命题数量</w:t>
            </w:r>
          </w:p>
        </w:tc>
        <w:tc>
          <w:tcPr>
            <w:tcW w:w="2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sz w:val="24"/>
                <w:szCs w:val="24"/>
              </w:rPr>
              <w:t>8次</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sz w:val="24"/>
                <w:szCs w:val="24"/>
              </w:rPr>
              <w:t>11次</w:t>
            </w:r>
          </w:p>
        </w:tc>
      </w:tr>
      <w:tr>
        <w:tblPrEx>
          <w:tblCellMar>
            <w:top w:w="0" w:type="dxa"/>
            <w:left w:w="0" w:type="dxa"/>
            <w:bottom w:w="0" w:type="dxa"/>
            <w:right w:w="0" w:type="dxa"/>
          </w:tblCellMar>
        </w:tblPrEx>
        <w:trPr>
          <w:trHeight w:val="605" w:hRule="atLeast"/>
          <w:jc w:val="center"/>
        </w:trPr>
        <w:tc>
          <w:tcPr>
            <w:tcW w:w="86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p>
        </w:tc>
        <w:tc>
          <w:tcPr>
            <w:tcW w:w="8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kern w:val="0"/>
                <w:sz w:val="24"/>
                <w:szCs w:val="24"/>
              </w:rPr>
              <w:t>项目完成指标</w:t>
            </w:r>
          </w:p>
        </w:tc>
        <w:tc>
          <w:tcPr>
            <w:tcW w:w="137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sz w:val="24"/>
                <w:szCs w:val="24"/>
              </w:rPr>
              <w:t>数量指标</w:t>
            </w:r>
          </w:p>
        </w:tc>
        <w:tc>
          <w:tcPr>
            <w:tcW w:w="226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000000"/>
                <w:sz w:val="24"/>
                <w:szCs w:val="24"/>
              </w:rPr>
            </w:pPr>
            <w:r>
              <w:rPr>
                <w:color w:val="000000"/>
                <w:sz w:val="24"/>
                <w:szCs w:val="24"/>
              </w:rPr>
              <w:t>印刷试卷</w:t>
            </w:r>
          </w:p>
        </w:tc>
        <w:tc>
          <w:tcPr>
            <w:tcW w:w="2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sz w:val="24"/>
                <w:szCs w:val="24"/>
              </w:rPr>
              <w:t>200万份</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sz w:val="24"/>
                <w:szCs w:val="24"/>
              </w:rPr>
              <w:t>345万份</w:t>
            </w:r>
          </w:p>
        </w:tc>
      </w:tr>
      <w:tr>
        <w:tblPrEx>
          <w:tblCellMar>
            <w:top w:w="0" w:type="dxa"/>
            <w:left w:w="0" w:type="dxa"/>
            <w:bottom w:w="0" w:type="dxa"/>
            <w:right w:w="0" w:type="dxa"/>
          </w:tblCellMar>
        </w:tblPrEx>
        <w:trPr>
          <w:trHeight w:val="551" w:hRule="atLeast"/>
          <w:jc w:val="center"/>
        </w:trPr>
        <w:tc>
          <w:tcPr>
            <w:tcW w:w="86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p>
        </w:tc>
        <w:tc>
          <w:tcPr>
            <w:tcW w:w="8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kern w:val="0"/>
                <w:sz w:val="24"/>
                <w:szCs w:val="24"/>
              </w:rPr>
            </w:pPr>
            <w:r>
              <w:rPr>
                <w:kern w:val="0"/>
                <w:sz w:val="24"/>
                <w:szCs w:val="24"/>
              </w:rPr>
              <w:t>项目完成指标</w:t>
            </w:r>
          </w:p>
        </w:tc>
        <w:tc>
          <w:tcPr>
            <w:tcW w:w="137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sz w:val="24"/>
                <w:szCs w:val="24"/>
              </w:rPr>
              <w:t>数量指标</w:t>
            </w:r>
          </w:p>
        </w:tc>
        <w:tc>
          <w:tcPr>
            <w:tcW w:w="226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000000"/>
                <w:sz w:val="24"/>
                <w:szCs w:val="24"/>
              </w:rPr>
            </w:pPr>
            <w:r>
              <w:rPr>
                <w:color w:val="000000"/>
                <w:sz w:val="24"/>
                <w:szCs w:val="24"/>
              </w:rPr>
              <w:t>发放证书</w:t>
            </w:r>
          </w:p>
        </w:tc>
        <w:tc>
          <w:tcPr>
            <w:tcW w:w="2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sz w:val="24"/>
                <w:szCs w:val="24"/>
              </w:rPr>
              <w:t>20万册</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sz w:val="24"/>
                <w:szCs w:val="24"/>
              </w:rPr>
              <w:t>7.2万册</w:t>
            </w:r>
          </w:p>
        </w:tc>
      </w:tr>
      <w:tr>
        <w:tblPrEx>
          <w:tblCellMar>
            <w:top w:w="0" w:type="dxa"/>
            <w:left w:w="0" w:type="dxa"/>
            <w:bottom w:w="0" w:type="dxa"/>
            <w:right w:w="0" w:type="dxa"/>
          </w:tblCellMar>
        </w:tblPrEx>
        <w:trPr>
          <w:trHeight w:val="675" w:hRule="atLeast"/>
          <w:jc w:val="center"/>
        </w:trPr>
        <w:tc>
          <w:tcPr>
            <w:tcW w:w="86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p>
        </w:tc>
        <w:tc>
          <w:tcPr>
            <w:tcW w:w="8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kern w:val="0"/>
                <w:sz w:val="24"/>
                <w:szCs w:val="24"/>
              </w:rPr>
              <w:t>项目完成指标</w:t>
            </w:r>
          </w:p>
        </w:tc>
        <w:tc>
          <w:tcPr>
            <w:tcW w:w="137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sz w:val="24"/>
                <w:szCs w:val="24"/>
              </w:rPr>
              <w:t>数量指标</w:t>
            </w:r>
          </w:p>
        </w:tc>
        <w:tc>
          <w:tcPr>
            <w:tcW w:w="226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000000"/>
                <w:sz w:val="24"/>
                <w:szCs w:val="24"/>
              </w:rPr>
            </w:pPr>
            <w:r>
              <w:rPr>
                <w:color w:val="000000"/>
                <w:sz w:val="24"/>
                <w:szCs w:val="24"/>
              </w:rPr>
              <w:t>阅卷数量</w:t>
            </w:r>
          </w:p>
        </w:tc>
        <w:tc>
          <w:tcPr>
            <w:tcW w:w="2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sz w:val="24"/>
                <w:szCs w:val="24"/>
              </w:rPr>
              <w:t>9次</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sz w:val="24"/>
                <w:szCs w:val="24"/>
              </w:rPr>
              <w:t>25次</w:t>
            </w:r>
          </w:p>
        </w:tc>
      </w:tr>
      <w:tr>
        <w:tblPrEx>
          <w:tblCellMar>
            <w:top w:w="0" w:type="dxa"/>
            <w:left w:w="0" w:type="dxa"/>
            <w:bottom w:w="0" w:type="dxa"/>
            <w:right w:w="0" w:type="dxa"/>
          </w:tblCellMar>
        </w:tblPrEx>
        <w:trPr>
          <w:trHeight w:val="591" w:hRule="atLeast"/>
          <w:jc w:val="center"/>
        </w:trPr>
        <w:tc>
          <w:tcPr>
            <w:tcW w:w="86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p>
        </w:tc>
        <w:tc>
          <w:tcPr>
            <w:tcW w:w="8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kern w:val="0"/>
                <w:sz w:val="24"/>
                <w:szCs w:val="24"/>
              </w:rPr>
              <w:t>项目完成指标</w:t>
            </w:r>
          </w:p>
        </w:tc>
        <w:tc>
          <w:tcPr>
            <w:tcW w:w="137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000000"/>
                <w:sz w:val="24"/>
                <w:szCs w:val="24"/>
              </w:rPr>
            </w:pPr>
            <w:r>
              <w:rPr>
                <w:color w:val="000000"/>
                <w:sz w:val="24"/>
                <w:szCs w:val="24"/>
              </w:rPr>
              <w:t>质量指标</w:t>
            </w:r>
          </w:p>
        </w:tc>
        <w:tc>
          <w:tcPr>
            <w:tcW w:w="226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000000"/>
                <w:sz w:val="24"/>
                <w:szCs w:val="24"/>
              </w:rPr>
            </w:pPr>
            <w:r>
              <w:rPr>
                <w:color w:val="000000"/>
                <w:sz w:val="24"/>
                <w:szCs w:val="24"/>
              </w:rPr>
              <w:t>命题合格验收率</w:t>
            </w:r>
          </w:p>
        </w:tc>
        <w:tc>
          <w:tcPr>
            <w:tcW w:w="2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sz w:val="24"/>
                <w:szCs w:val="24"/>
              </w:rPr>
              <w:t>100%</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sz w:val="24"/>
                <w:szCs w:val="24"/>
              </w:rPr>
              <w:t>100%</w:t>
            </w:r>
          </w:p>
        </w:tc>
      </w:tr>
      <w:tr>
        <w:tblPrEx>
          <w:tblCellMar>
            <w:top w:w="0" w:type="dxa"/>
            <w:left w:w="0" w:type="dxa"/>
            <w:bottom w:w="0" w:type="dxa"/>
            <w:right w:w="0" w:type="dxa"/>
          </w:tblCellMar>
        </w:tblPrEx>
        <w:trPr>
          <w:trHeight w:val="1264" w:hRule="atLeast"/>
          <w:jc w:val="center"/>
        </w:trPr>
        <w:tc>
          <w:tcPr>
            <w:tcW w:w="86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p>
        </w:tc>
        <w:tc>
          <w:tcPr>
            <w:tcW w:w="8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kern w:val="0"/>
                <w:sz w:val="24"/>
                <w:szCs w:val="24"/>
              </w:rPr>
              <w:t>效益指标</w:t>
            </w:r>
          </w:p>
        </w:tc>
        <w:tc>
          <w:tcPr>
            <w:tcW w:w="137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000000"/>
                <w:sz w:val="24"/>
                <w:szCs w:val="24"/>
              </w:rPr>
            </w:pPr>
            <w:r>
              <w:rPr>
                <w:color w:val="000000"/>
                <w:sz w:val="24"/>
                <w:szCs w:val="24"/>
              </w:rPr>
              <w:t>可持续影响指标</w:t>
            </w:r>
          </w:p>
        </w:tc>
        <w:tc>
          <w:tcPr>
            <w:tcW w:w="226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000000"/>
                <w:sz w:val="24"/>
                <w:szCs w:val="24"/>
              </w:rPr>
            </w:pPr>
            <w:r>
              <w:rPr>
                <w:color w:val="000000"/>
                <w:sz w:val="24"/>
                <w:szCs w:val="24"/>
              </w:rPr>
              <w:t>对专业技术资格、职（执）业资格和公务员录用等考试的保障作用</w:t>
            </w:r>
          </w:p>
        </w:tc>
        <w:tc>
          <w:tcPr>
            <w:tcW w:w="2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000000"/>
                <w:sz w:val="24"/>
                <w:szCs w:val="24"/>
              </w:rPr>
            </w:pPr>
            <w:r>
              <w:rPr>
                <w:color w:val="000000"/>
                <w:sz w:val="24"/>
                <w:szCs w:val="24"/>
              </w:rPr>
              <w:t>确保专业技术资格、职（执）业资格和公务员录用等考试规范、安全、平稳进行，为选拔合格人才提供保障</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sz w:val="24"/>
                <w:szCs w:val="24"/>
              </w:rPr>
              <w:t>已达到预期目标</w:t>
            </w:r>
          </w:p>
        </w:tc>
      </w:tr>
      <w:tr>
        <w:tblPrEx>
          <w:tblCellMar>
            <w:top w:w="0" w:type="dxa"/>
            <w:left w:w="0" w:type="dxa"/>
            <w:bottom w:w="0" w:type="dxa"/>
            <w:right w:w="0" w:type="dxa"/>
          </w:tblCellMar>
        </w:tblPrEx>
        <w:trPr>
          <w:trHeight w:val="461" w:hRule="atLeast"/>
          <w:jc w:val="center"/>
        </w:trPr>
        <w:tc>
          <w:tcPr>
            <w:tcW w:w="86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p>
        </w:tc>
        <w:tc>
          <w:tcPr>
            <w:tcW w:w="8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kern w:val="0"/>
                <w:sz w:val="24"/>
                <w:szCs w:val="24"/>
              </w:rPr>
              <w:t>满意度指标</w:t>
            </w:r>
          </w:p>
        </w:tc>
        <w:tc>
          <w:tcPr>
            <w:tcW w:w="137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000000"/>
                <w:sz w:val="24"/>
                <w:szCs w:val="24"/>
              </w:rPr>
            </w:pPr>
            <w:r>
              <w:rPr>
                <w:color w:val="000000"/>
                <w:sz w:val="24"/>
                <w:szCs w:val="24"/>
              </w:rPr>
              <w:t>满意度指标</w:t>
            </w:r>
          </w:p>
        </w:tc>
        <w:tc>
          <w:tcPr>
            <w:tcW w:w="226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000000"/>
                <w:sz w:val="24"/>
                <w:szCs w:val="24"/>
              </w:rPr>
            </w:pPr>
            <w:r>
              <w:rPr>
                <w:color w:val="000000"/>
                <w:sz w:val="24"/>
                <w:szCs w:val="24"/>
              </w:rPr>
              <w:t>阅卷及命（审）题专家满意度</w:t>
            </w:r>
          </w:p>
        </w:tc>
        <w:tc>
          <w:tcPr>
            <w:tcW w:w="2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000000"/>
                <w:sz w:val="24"/>
                <w:szCs w:val="24"/>
              </w:rPr>
            </w:pPr>
            <w:r>
              <w:rPr>
                <w:color w:val="000000"/>
                <w:sz w:val="24"/>
                <w:szCs w:val="24"/>
              </w:rPr>
              <w:t>大于95%</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sz w:val="24"/>
                <w:szCs w:val="24"/>
              </w:rPr>
            </w:pPr>
            <w:r>
              <w:rPr>
                <w:color w:val="000000"/>
                <w:sz w:val="24"/>
                <w:szCs w:val="24"/>
              </w:rPr>
              <w:t>大于95%</w:t>
            </w:r>
          </w:p>
        </w:tc>
      </w:tr>
    </w:tbl>
    <w:p>
      <w:pPr>
        <w:pStyle w:val="2"/>
        <w:spacing w:before="93"/>
        <w:rPr>
          <w:rFonts w:ascii="Times New Roman"/>
        </w:rPr>
      </w:pPr>
    </w:p>
    <w:p>
      <w:pPr>
        <w:pStyle w:val="2"/>
        <w:spacing w:before="93"/>
        <w:jc w:val="center"/>
        <w:rPr>
          <w:rFonts w:ascii="Times New Roman"/>
          <w:b/>
          <w:bCs/>
        </w:rPr>
      </w:pPr>
      <w:r>
        <w:rPr>
          <w:rFonts w:ascii="Times New Roman" w:eastAsia="方正小标宋简体"/>
          <w:sz w:val="36"/>
          <w:szCs w:val="36"/>
        </w:rPr>
        <w:br w:type="page"/>
      </w:r>
    </w:p>
    <w:p>
      <w:pPr>
        <w:pStyle w:val="2"/>
        <w:spacing w:before="93"/>
        <w:ind w:firstLine="642" w:firstLineChars="200"/>
        <w:rPr>
          <w:rFonts w:ascii="Times New Roman"/>
          <w:b/>
          <w:bCs/>
          <w:sz w:val="32"/>
          <w:szCs w:val="32"/>
        </w:rPr>
      </w:pPr>
      <w:r>
        <w:rPr>
          <w:rFonts w:ascii="Times New Roman"/>
          <w:b/>
          <w:bCs/>
          <w:sz w:val="32"/>
          <w:szCs w:val="32"/>
        </w:rPr>
        <w:t>2.单位绩效评价结果</w:t>
      </w:r>
    </w:p>
    <w:p>
      <w:pPr>
        <w:spacing w:line="580" w:lineRule="exact"/>
        <w:ind w:firstLine="640" w:firstLineChars="200"/>
        <w:rPr>
          <w:rFonts w:eastAsia="仿宋_GB2312"/>
          <w:sz w:val="32"/>
          <w:szCs w:val="32"/>
        </w:rPr>
      </w:pPr>
      <w:r>
        <w:rPr>
          <w:rFonts w:eastAsia="仿宋_GB2312"/>
          <w:sz w:val="32"/>
          <w:szCs w:val="32"/>
        </w:rPr>
        <w:t>本单位自行组织对考点工作经费项目开展了绩效评价，《2020年考点工作经费项目支出绩效自评报告》见附件（第四部分）。</w:t>
      </w:r>
    </w:p>
    <w:p>
      <w:pPr>
        <w:pStyle w:val="2"/>
        <w:spacing w:before="93"/>
        <w:rPr>
          <w:rFonts w:ascii="Times New Roman"/>
        </w:rPr>
      </w:pPr>
      <w:r>
        <w:rPr>
          <w:rFonts w:ascii="Times New Roman"/>
        </w:rPr>
        <w:br w:type="page"/>
      </w:r>
    </w:p>
    <w:p>
      <w:pPr>
        <w:pStyle w:val="3"/>
        <w:jc w:val="center"/>
        <w:rPr>
          <w:rFonts w:eastAsia="黑体"/>
          <w:b w:val="0"/>
          <w:bCs w:val="0"/>
        </w:rPr>
      </w:pPr>
      <w:bookmarkStart w:id="78" w:name="_Toc15377225"/>
      <w:bookmarkStart w:id="79" w:name="_Toc15396613"/>
      <w:bookmarkStart w:id="80" w:name="_Toc81405653"/>
      <w:r>
        <w:rPr>
          <w:rFonts w:eastAsia="黑体"/>
          <w:b w:val="0"/>
          <w:bCs w:val="0"/>
        </w:rPr>
        <w:t>第三部分</w:t>
      </w:r>
      <w:r>
        <w:rPr>
          <w:rFonts w:hint="eastAsia" w:eastAsia="黑体"/>
          <w:b w:val="0"/>
          <w:bCs w:val="0"/>
        </w:rPr>
        <w:t xml:space="preserve"> </w:t>
      </w:r>
      <w:r>
        <w:rPr>
          <w:rFonts w:eastAsia="黑体"/>
          <w:b w:val="0"/>
          <w:bCs w:val="0"/>
        </w:rPr>
        <w:t>名词解释</w:t>
      </w:r>
      <w:bookmarkEnd w:id="78"/>
      <w:bookmarkEnd w:id="79"/>
      <w:bookmarkEnd w:id="80"/>
    </w:p>
    <w:p>
      <w:pPr>
        <w:spacing w:line="600" w:lineRule="exact"/>
        <w:jc w:val="left"/>
        <w:rPr>
          <w:rFonts w:eastAsia="仿宋_GB2312"/>
          <w:b/>
          <w:bCs/>
          <w:color w:val="000000"/>
          <w:sz w:val="44"/>
          <w:szCs w:val="44"/>
        </w:rPr>
      </w:pPr>
    </w:p>
    <w:p>
      <w:pPr>
        <w:pStyle w:val="2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1.财政拨款收入：指单位从同级财政部门取得的财政预算资金。</w:t>
      </w:r>
    </w:p>
    <w:p>
      <w:pPr>
        <w:pStyle w:val="27"/>
        <w:spacing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2.事业收入：指事业单位开展专业业务活动及辅助活动取得的收入。</w:t>
      </w:r>
    </w:p>
    <w:p>
      <w:pPr>
        <w:pStyle w:val="27"/>
        <w:spacing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3.经营收入：指事业单位在专业业务活动及其辅助活动之外开展非独立核算经营活动取得的收入。</w:t>
      </w:r>
    </w:p>
    <w:p>
      <w:pPr>
        <w:pStyle w:val="27"/>
        <w:spacing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4.其他收入：指单位取得的除上述收入以外的各项收入。主要是利息收入等。</w:t>
      </w:r>
    </w:p>
    <w:p>
      <w:pPr>
        <w:pStyle w:val="27"/>
        <w:spacing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5.使用非财政拨款结余：指事业单位使用以前年度积累的非财政拨款结余弥补当年收支差额的金额。</w:t>
      </w:r>
    </w:p>
    <w:p>
      <w:pPr>
        <w:pStyle w:val="27"/>
        <w:spacing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6.年初结转和结余：指以前年度尚未完成、结转到本年按有关规定继续使用的资金。</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Times New Roman" w:hAnsi="Times New Roman" w:eastAsia="仿宋_GB2312" w:cs="Times New Roman"/>
          <w:kern w:val="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eastAsia="仿宋_GB2312"/>
          <w:color w:val="000000"/>
          <w:sz w:val="32"/>
          <w:szCs w:val="32"/>
        </w:rPr>
      </w:pPr>
      <w:r>
        <w:rPr>
          <w:rFonts w:hint="eastAsia" w:eastAsia="仿宋_GB2312"/>
          <w:color w:val="000000"/>
          <w:sz w:val="32"/>
          <w:szCs w:val="32"/>
        </w:rPr>
        <w:t>9</w:t>
      </w:r>
      <w:r>
        <w:rPr>
          <w:rFonts w:eastAsia="仿宋_GB2312"/>
          <w:color w:val="000000"/>
          <w:sz w:val="32"/>
          <w:szCs w:val="32"/>
        </w:rPr>
        <w:t>.一般公共服务（类）人力资源事务（款）事业运行（项）：指用于事业单位基本支出。</w:t>
      </w:r>
    </w:p>
    <w:p>
      <w:pPr>
        <w:ind w:firstLine="640" w:firstLineChars="200"/>
        <w:rPr>
          <w:rFonts w:eastAsia="仿宋_GB2312"/>
          <w:color w:val="000000"/>
          <w:sz w:val="32"/>
          <w:szCs w:val="32"/>
        </w:rPr>
      </w:pPr>
      <w:r>
        <w:rPr>
          <w:rFonts w:hint="eastAsia" w:eastAsia="仿宋_GB2312"/>
          <w:color w:val="000000"/>
          <w:sz w:val="32"/>
          <w:szCs w:val="32"/>
        </w:rPr>
        <w:t>10</w:t>
      </w:r>
      <w:r>
        <w:rPr>
          <w:rFonts w:eastAsia="仿宋_GB2312"/>
          <w:color w:val="000000"/>
          <w:sz w:val="32"/>
          <w:szCs w:val="32"/>
        </w:rPr>
        <w:t>.一般公共服务（类）人力资源事务（款）其他人力资源事务支出（项）：指其他人力资源事务方面的支出。</w:t>
      </w:r>
    </w:p>
    <w:p>
      <w:pPr>
        <w:ind w:firstLine="640" w:firstLineChars="200"/>
        <w:rPr>
          <w:rFonts w:eastAsia="仿宋_GB2312"/>
          <w:color w:val="000000"/>
          <w:sz w:val="32"/>
          <w:szCs w:val="32"/>
        </w:rPr>
      </w:pPr>
      <w:r>
        <w:rPr>
          <w:rFonts w:hint="eastAsia" w:eastAsia="仿宋_GB2312"/>
          <w:color w:val="000000"/>
          <w:sz w:val="32"/>
          <w:szCs w:val="32"/>
        </w:rPr>
        <w:t>11</w:t>
      </w:r>
      <w:r>
        <w:rPr>
          <w:rFonts w:eastAsia="仿宋_GB2312"/>
          <w:color w:val="000000"/>
          <w:sz w:val="32"/>
          <w:szCs w:val="32"/>
        </w:rPr>
        <w:t>.教育（类）进修及培训（款）培训支出（项）：指</w:t>
      </w:r>
      <w:r>
        <w:rPr>
          <w:rFonts w:eastAsia="仿宋_GB2312"/>
          <w:sz w:val="32"/>
          <w:szCs w:val="32"/>
        </w:rPr>
        <w:t>单位安排的用于培训的支出</w:t>
      </w:r>
      <w:r>
        <w:rPr>
          <w:rFonts w:eastAsia="仿宋_GB2312"/>
          <w:color w:val="000000"/>
          <w:sz w:val="32"/>
          <w:szCs w:val="32"/>
        </w:rPr>
        <w:t>。</w:t>
      </w:r>
    </w:p>
    <w:p>
      <w:pPr>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2</w:t>
      </w:r>
      <w:r>
        <w:rPr>
          <w:rFonts w:eastAsia="仿宋_GB2312"/>
          <w:color w:val="000000"/>
          <w:sz w:val="32"/>
          <w:szCs w:val="32"/>
        </w:rPr>
        <w:t>.社会保障和就业（类）行政事业单位养老支出（款）机关事业单位基本养老保险缴费支出（项）：指机关事业单位实施养老保险制度由单位缴纳的基本养老保险费支出。</w:t>
      </w:r>
    </w:p>
    <w:p>
      <w:pPr>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3</w:t>
      </w:r>
      <w:r>
        <w:rPr>
          <w:rFonts w:eastAsia="仿宋_GB2312"/>
          <w:color w:val="000000"/>
          <w:sz w:val="32"/>
          <w:szCs w:val="32"/>
        </w:rPr>
        <w:t>.社会保障和就业（类）行政事业单位养老支出（款）机关事业单位职业年金缴费支出（项）：指机关事业单位实施养老保险制度由单位实际缴纳的职业年金支出。</w:t>
      </w:r>
    </w:p>
    <w:p>
      <w:pPr>
        <w:pStyle w:val="2"/>
        <w:spacing w:before="93"/>
        <w:rPr>
          <w:rFonts w:ascii="Times New Roman"/>
          <w:color w:val="000000"/>
          <w:kern w:val="2"/>
          <w:sz w:val="32"/>
          <w:szCs w:val="32"/>
        </w:rPr>
      </w:pPr>
      <w:r>
        <w:rPr>
          <w:rFonts w:hint="eastAsia" w:ascii="Times New Roman"/>
          <w:color w:val="000000"/>
          <w:kern w:val="2"/>
          <w:sz w:val="32"/>
          <w:szCs w:val="32"/>
        </w:rPr>
        <w:t xml:space="preserve">    </w:t>
      </w:r>
      <w:r>
        <w:rPr>
          <w:rFonts w:ascii="Times New Roman"/>
          <w:color w:val="000000"/>
          <w:kern w:val="2"/>
          <w:sz w:val="32"/>
          <w:szCs w:val="32"/>
        </w:rPr>
        <w:t>1</w:t>
      </w:r>
      <w:r>
        <w:rPr>
          <w:rFonts w:hint="eastAsia" w:ascii="Times New Roman"/>
          <w:color w:val="000000"/>
          <w:kern w:val="2"/>
          <w:sz w:val="32"/>
          <w:szCs w:val="32"/>
        </w:rPr>
        <w:t>4</w:t>
      </w:r>
      <w:r>
        <w:rPr>
          <w:rFonts w:ascii="Times New Roman"/>
          <w:color w:val="000000"/>
          <w:kern w:val="2"/>
          <w:sz w:val="32"/>
          <w:szCs w:val="32"/>
        </w:rPr>
        <w:t>.卫生健康（类）行政事业单位医疗（款）事业单位医疗（项）：</w:t>
      </w:r>
      <w:r>
        <w:rPr>
          <w:rFonts w:ascii="Times New Roman"/>
          <w:color w:val="000000"/>
          <w:sz w:val="32"/>
          <w:szCs w:val="32"/>
        </w:rPr>
        <w:t>指财政部门安排的事业单位基本医疗保险缴费经费。</w:t>
      </w:r>
    </w:p>
    <w:p>
      <w:pPr>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5</w:t>
      </w:r>
      <w:r>
        <w:rPr>
          <w:rFonts w:eastAsia="仿宋_GB2312"/>
          <w:color w:val="000000"/>
          <w:sz w:val="32"/>
          <w:szCs w:val="32"/>
        </w:rPr>
        <w:t>.住房保障（类）住房改革支出（款）住房公积金（项）：指行政事业单位按人力资源社会保障部、财政部规定的基本工资和津贴补贴以及规定比例为职工缴纳的住房公积金。</w:t>
      </w:r>
    </w:p>
    <w:p>
      <w:pPr>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6</w:t>
      </w:r>
      <w:r>
        <w:rPr>
          <w:rFonts w:eastAsia="仿宋_GB2312"/>
          <w:color w:val="000000"/>
          <w:sz w:val="32"/>
          <w:szCs w:val="32"/>
        </w:rPr>
        <w:t>.住房保障（类）住房改革支出（款）购房补贴（项）：指按房改政策规定，行政事业单位向符合条件职工发放的用于购买住房的补贴。</w:t>
      </w:r>
    </w:p>
    <w:p>
      <w:pPr>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7</w:t>
      </w:r>
      <w:r>
        <w:rPr>
          <w:rFonts w:eastAsia="仿宋_GB2312"/>
          <w:color w:val="000000"/>
          <w:sz w:val="32"/>
          <w:szCs w:val="32"/>
        </w:rPr>
        <w:t>.基本支出：指为保障机构正常运转、完成日常工作任务而发生的人员支出和公用支出。</w:t>
      </w:r>
    </w:p>
    <w:p>
      <w:pPr>
        <w:pStyle w:val="2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.项目支出：指在基本支出之外为完成特定行政任务和事业发展目标所发生的支出。</w:t>
      </w:r>
    </w:p>
    <w:p>
      <w:pPr>
        <w:pStyle w:val="2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.经营支出：指事业单位在专业业务活动及其辅助活动之外开展非独立核算经营活动发生的支出。</w:t>
      </w:r>
    </w:p>
    <w:p>
      <w:pPr>
        <w:pStyle w:val="27"/>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bookmarkStart w:id="81" w:name="_Toc15396614"/>
      <w:bookmarkStart w:id="82" w:name="_Toc15377226"/>
    </w:p>
    <w:p>
      <w:pPr>
        <w:pStyle w:val="3"/>
        <w:jc w:val="center"/>
        <w:rPr>
          <w:rFonts w:eastAsia="黑体"/>
          <w:b w:val="0"/>
          <w:bCs w:val="0"/>
          <w:color w:val="000000"/>
          <w:kern w:val="0"/>
          <w:sz w:val="32"/>
          <w:szCs w:val="32"/>
        </w:rPr>
      </w:pPr>
      <w:r>
        <w:rPr>
          <w:sz w:val="32"/>
          <w:szCs w:val="32"/>
        </w:rPr>
        <w:br w:type="page"/>
      </w:r>
      <w:bookmarkStart w:id="83" w:name="_Toc81405654"/>
      <w:r>
        <w:rPr>
          <w:rFonts w:eastAsia="黑体"/>
          <w:b w:val="0"/>
          <w:bCs w:val="0"/>
          <w:color w:val="000000"/>
        </w:rPr>
        <w:t>第</w:t>
      </w:r>
      <w:r>
        <w:rPr>
          <w:rFonts w:eastAsia="黑体"/>
          <w:b w:val="0"/>
          <w:bCs w:val="0"/>
        </w:rPr>
        <w:t>四部分</w:t>
      </w:r>
      <w:r>
        <w:rPr>
          <w:rFonts w:hint="eastAsia" w:eastAsia="黑体"/>
          <w:b w:val="0"/>
          <w:bCs w:val="0"/>
        </w:rPr>
        <w:t xml:space="preserve"> </w:t>
      </w:r>
      <w:r>
        <w:rPr>
          <w:rFonts w:eastAsia="黑体"/>
          <w:b w:val="0"/>
          <w:bCs w:val="0"/>
        </w:rPr>
        <w:t>附件</w:t>
      </w:r>
      <w:bookmarkEnd w:id="81"/>
      <w:bookmarkEnd w:id="83"/>
    </w:p>
    <w:p>
      <w:pPr>
        <w:spacing w:line="580" w:lineRule="exact"/>
        <w:rPr>
          <w:rFonts w:eastAsia="仿宋_GB2312"/>
          <w:sz w:val="32"/>
          <w:szCs w:val="32"/>
        </w:rPr>
      </w:pPr>
    </w:p>
    <w:p>
      <w:pPr>
        <w:spacing w:line="600" w:lineRule="exact"/>
        <w:jc w:val="center"/>
        <w:rPr>
          <w:rFonts w:eastAsia="方正小标宋简体"/>
          <w:kern w:val="0"/>
          <w:sz w:val="44"/>
          <w:szCs w:val="44"/>
          <w:lang w:val="zh-CN"/>
        </w:rPr>
      </w:pPr>
      <w:r>
        <w:rPr>
          <w:rFonts w:eastAsia="方正小标宋简体"/>
          <w:kern w:val="0"/>
          <w:sz w:val="44"/>
          <w:szCs w:val="44"/>
          <w:lang w:val="zh-CN"/>
        </w:rPr>
        <w:t>2020年考点工作经费项目支出绩效</w:t>
      </w:r>
    </w:p>
    <w:p>
      <w:pPr>
        <w:spacing w:line="600" w:lineRule="exact"/>
        <w:jc w:val="center"/>
        <w:rPr>
          <w:rFonts w:eastAsia="方正小标宋简体"/>
          <w:kern w:val="0"/>
          <w:sz w:val="44"/>
          <w:szCs w:val="44"/>
          <w:lang w:val="zh-CN"/>
        </w:rPr>
      </w:pPr>
      <w:r>
        <w:rPr>
          <w:rFonts w:eastAsia="方正小标宋简体"/>
          <w:kern w:val="0"/>
          <w:sz w:val="44"/>
          <w:szCs w:val="44"/>
          <w:lang w:val="zh-CN"/>
        </w:rPr>
        <w:t>自评报告</w:t>
      </w:r>
    </w:p>
    <w:p>
      <w:pPr>
        <w:spacing w:line="600" w:lineRule="exact"/>
        <w:ind w:firstLine="640"/>
        <w:jc w:val="center"/>
        <w:rPr>
          <w:rFonts w:eastAsia="仿宋_GB2312"/>
          <w:sz w:val="32"/>
          <w:szCs w:val="32"/>
          <w:lang w:val="zh-CN"/>
        </w:rPr>
      </w:pPr>
    </w:p>
    <w:p>
      <w:pPr>
        <w:adjustRightInd w:val="0"/>
        <w:snapToGrid w:val="0"/>
        <w:spacing w:line="600" w:lineRule="exact"/>
        <w:ind w:firstLine="720"/>
        <w:rPr>
          <w:rFonts w:eastAsia="黑体"/>
          <w:sz w:val="32"/>
          <w:szCs w:val="32"/>
          <w:lang w:val="zh-CN"/>
        </w:rPr>
      </w:pPr>
      <w:r>
        <w:rPr>
          <w:rFonts w:eastAsia="黑体"/>
          <w:sz w:val="32"/>
          <w:szCs w:val="32"/>
        </w:rPr>
        <w:t>一、</w:t>
      </w:r>
      <w:r>
        <w:rPr>
          <w:rFonts w:eastAsia="黑体"/>
          <w:sz w:val="32"/>
          <w:szCs w:val="32"/>
          <w:lang w:val="zh-CN"/>
        </w:rPr>
        <w:t>项目概况</w:t>
      </w:r>
    </w:p>
    <w:p>
      <w:pPr>
        <w:adjustRightInd w:val="0"/>
        <w:snapToGrid w:val="0"/>
        <w:spacing w:line="600" w:lineRule="exact"/>
        <w:ind w:firstLine="640" w:firstLineChars="200"/>
        <w:rPr>
          <w:rFonts w:eastAsia="仿宋_GB2312"/>
          <w:sz w:val="32"/>
          <w:szCs w:val="32"/>
          <w:lang w:val="zh-CN"/>
        </w:rPr>
      </w:pPr>
      <w:r>
        <w:rPr>
          <w:rFonts w:eastAsia="仿宋_GB2312"/>
          <w:sz w:val="32"/>
          <w:szCs w:val="32"/>
          <w:lang w:val="zh-CN"/>
        </w:rPr>
        <w:t>考点工作经费是指由省级财政预算安排，用于确保各市（州）人事考试机构顺利组织实施各类人事考试工作的专项资金。拨付考点工作经费遵循“合理分配、规范使用；注重绩效、专款专用”的原则。</w:t>
      </w:r>
    </w:p>
    <w:p>
      <w:pPr>
        <w:tabs>
          <w:tab w:val="left" w:pos="3885"/>
        </w:tabs>
        <w:snapToGrid w:val="0"/>
        <w:spacing w:line="600" w:lineRule="exact"/>
        <w:ind w:firstLine="642" w:firstLineChars="200"/>
        <w:jc w:val="left"/>
        <w:rPr>
          <w:rFonts w:eastAsia="仿宋_GB2312"/>
          <w:sz w:val="32"/>
          <w:szCs w:val="32"/>
          <w:lang w:val="zh-CN"/>
        </w:rPr>
      </w:pPr>
      <w:r>
        <w:rPr>
          <w:rFonts w:eastAsia="仿宋_GB2312"/>
          <w:b/>
          <w:bCs/>
          <w:sz w:val="32"/>
          <w:szCs w:val="32"/>
          <w:lang w:val="zh-CN"/>
        </w:rPr>
        <w:t>（一）项目资金申报及批复情况</w:t>
      </w:r>
    </w:p>
    <w:p>
      <w:pPr>
        <w:tabs>
          <w:tab w:val="left" w:pos="3885"/>
        </w:tabs>
        <w:snapToGrid w:val="0"/>
        <w:spacing w:line="600" w:lineRule="exact"/>
        <w:ind w:firstLine="640" w:firstLineChars="200"/>
        <w:jc w:val="left"/>
        <w:rPr>
          <w:rFonts w:eastAsia="仿宋_GB2312"/>
          <w:sz w:val="32"/>
          <w:szCs w:val="32"/>
          <w:lang w:val="zh-CN"/>
        </w:rPr>
      </w:pPr>
      <w:r>
        <w:rPr>
          <w:rFonts w:eastAsia="仿宋_GB2312"/>
          <w:sz w:val="32"/>
          <w:szCs w:val="32"/>
          <w:lang w:val="zh-CN"/>
        </w:rPr>
        <w:t>2020年考点工作经费年初预算1991.28万元，全部拨付各市（州）及省直考区用于各项人事考试考务组织工作，符合资金管理办法等相关规定。</w:t>
      </w:r>
    </w:p>
    <w:p>
      <w:pPr>
        <w:adjustRightInd w:val="0"/>
        <w:snapToGrid w:val="0"/>
        <w:spacing w:line="600" w:lineRule="exact"/>
        <w:ind w:firstLine="720"/>
        <w:rPr>
          <w:rFonts w:eastAsia="仿宋_GB2312"/>
          <w:sz w:val="32"/>
          <w:szCs w:val="32"/>
          <w:lang w:val="zh-CN"/>
        </w:rPr>
      </w:pPr>
      <w:r>
        <w:rPr>
          <w:rFonts w:eastAsia="仿宋_GB2312"/>
          <w:b/>
          <w:bCs/>
          <w:sz w:val="32"/>
          <w:szCs w:val="32"/>
          <w:lang w:val="zh-CN"/>
        </w:rPr>
        <w:t>（二）项目绩效目标</w:t>
      </w:r>
    </w:p>
    <w:p>
      <w:pPr>
        <w:tabs>
          <w:tab w:val="left" w:pos="3885"/>
        </w:tabs>
        <w:snapToGrid w:val="0"/>
        <w:spacing w:line="600" w:lineRule="exact"/>
        <w:ind w:firstLine="630"/>
        <w:jc w:val="left"/>
        <w:rPr>
          <w:rFonts w:eastAsia="仿宋_GB2312"/>
          <w:sz w:val="32"/>
          <w:szCs w:val="32"/>
          <w:lang w:val="zh-CN"/>
        </w:rPr>
      </w:pPr>
      <w:r>
        <w:rPr>
          <w:rFonts w:eastAsia="仿宋_GB2312"/>
          <w:sz w:val="32"/>
          <w:szCs w:val="32"/>
          <w:lang w:val="zh-CN"/>
        </w:rPr>
        <w:t>2020年组织21个市（州）计划开展68项考试（包括落实相关政策，落实三支一扶考试政策，参考考生人数预计达120余万人，完成考试科次300余万科次），通过网上发布发布人事考试招考宣传活动80余次，保证21个市（州）及省直考点用于租用考场、购买或租用安防设备及聘请监考人员等的考点工作经费，确保顺利完成全年考试任务。</w:t>
      </w:r>
    </w:p>
    <w:p>
      <w:pPr>
        <w:tabs>
          <w:tab w:val="left" w:pos="3885"/>
        </w:tabs>
        <w:snapToGrid w:val="0"/>
        <w:spacing w:line="600" w:lineRule="exact"/>
        <w:ind w:firstLine="630"/>
        <w:jc w:val="left"/>
        <w:rPr>
          <w:rFonts w:eastAsia="仿宋_GB2312"/>
          <w:sz w:val="32"/>
          <w:szCs w:val="32"/>
          <w:lang w:val="zh-CN"/>
        </w:rPr>
      </w:pPr>
      <w:r>
        <w:rPr>
          <w:rFonts w:eastAsia="仿宋_GB2312"/>
          <w:sz w:val="32"/>
          <w:szCs w:val="32"/>
          <w:lang w:val="zh-CN"/>
        </w:rPr>
        <w:t>2020年年初设置了三项完成指标，其中两项为数量指标（1.发布发布人事考试招考宣传活动80余次，2.完成考试科次数300万科次），一项为质量指标（覆盖考生人数120万人）；一项效益指标为可持续影响指标〔对各市（州）考点的考试考务工作的保障作用〕；一项满意度指标〔市（州）考试机构满意度大于90%〕。</w:t>
      </w:r>
    </w:p>
    <w:p>
      <w:pPr>
        <w:adjustRightInd w:val="0"/>
        <w:snapToGrid w:val="0"/>
        <w:spacing w:line="600" w:lineRule="exact"/>
        <w:ind w:firstLine="720"/>
        <w:rPr>
          <w:rFonts w:eastAsia="仿宋_GB2312"/>
          <w:sz w:val="32"/>
          <w:szCs w:val="32"/>
          <w:lang w:val="zh-CN"/>
        </w:rPr>
      </w:pPr>
      <w:r>
        <w:rPr>
          <w:rFonts w:eastAsia="仿宋_GB2312"/>
          <w:b/>
          <w:bCs/>
          <w:sz w:val="32"/>
          <w:szCs w:val="32"/>
          <w:lang w:val="zh-CN"/>
        </w:rPr>
        <w:t>（三）项目资金申报相符性</w:t>
      </w:r>
    </w:p>
    <w:p>
      <w:pPr>
        <w:pStyle w:val="2"/>
        <w:spacing w:before="93" w:line="600" w:lineRule="exact"/>
        <w:rPr>
          <w:rFonts w:ascii="Times New Roman"/>
          <w:lang w:val="zh-CN"/>
        </w:rPr>
      </w:pPr>
      <w:r>
        <w:rPr>
          <w:rFonts w:ascii="Times New Roman"/>
          <w:sz w:val="32"/>
          <w:szCs w:val="32"/>
          <w:lang w:val="zh-CN"/>
        </w:rPr>
        <w:t xml:space="preserve">     2020年度考点工作经费申报内容与具体实施内容相符、申报目标合理可行。</w:t>
      </w:r>
    </w:p>
    <w:p>
      <w:pPr>
        <w:adjustRightInd w:val="0"/>
        <w:snapToGrid w:val="0"/>
        <w:spacing w:line="600" w:lineRule="exact"/>
        <w:ind w:firstLine="720"/>
        <w:rPr>
          <w:rFonts w:eastAsia="黑体"/>
          <w:sz w:val="32"/>
          <w:szCs w:val="32"/>
        </w:rPr>
      </w:pPr>
      <w:r>
        <w:rPr>
          <w:rFonts w:eastAsia="黑体"/>
          <w:sz w:val="32"/>
          <w:szCs w:val="32"/>
        </w:rPr>
        <w:t>二、项目实施及管理情况</w:t>
      </w:r>
    </w:p>
    <w:p>
      <w:pPr>
        <w:adjustRightInd w:val="0"/>
        <w:snapToGrid w:val="0"/>
        <w:spacing w:line="600" w:lineRule="exact"/>
        <w:ind w:firstLine="720"/>
        <w:rPr>
          <w:rFonts w:eastAsia="仿宋_GB2312"/>
          <w:b/>
          <w:bCs/>
          <w:sz w:val="32"/>
          <w:szCs w:val="32"/>
          <w:lang w:val="zh-CN"/>
        </w:rPr>
      </w:pPr>
      <w:r>
        <w:rPr>
          <w:rFonts w:eastAsia="仿宋_GB2312"/>
          <w:sz w:val="32"/>
          <w:szCs w:val="32"/>
          <w:lang w:val="zh-CN"/>
        </w:rPr>
        <w:tab/>
      </w:r>
      <w:r>
        <w:rPr>
          <w:rFonts w:eastAsia="仿宋_GB2312"/>
          <w:b/>
          <w:bCs/>
          <w:sz w:val="32"/>
          <w:szCs w:val="32"/>
          <w:lang w:val="zh-CN"/>
        </w:rPr>
        <w:t>（一）资金计划、到位及使用情况</w:t>
      </w:r>
    </w:p>
    <w:p>
      <w:pPr>
        <w:adjustRightInd w:val="0"/>
        <w:snapToGrid w:val="0"/>
        <w:spacing w:line="600" w:lineRule="exact"/>
        <w:ind w:firstLine="720"/>
        <w:rPr>
          <w:rFonts w:eastAsia="仿宋_GB2312"/>
          <w:sz w:val="32"/>
          <w:szCs w:val="32"/>
          <w:lang w:val="zh-CN"/>
        </w:rPr>
      </w:pPr>
      <w:r>
        <w:rPr>
          <w:rFonts w:eastAsia="仿宋_GB2312"/>
          <w:sz w:val="32"/>
          <w:szCs w:val="32"/>
          <w:lang w:val="zh-CN"/>
        </w:rPr>
        <w:t>1．资金计划及到位</w:t>
      </w:r>
    </w:p>
    <w:p>
      <w:pPr>
        <w:adjustRightInd w:val="0"/>
        <w:snapToGrid w:val="0"/>
        <w:spacing w:line="600" w:lineRule="exact"/>
        <w:ind w:firstLine="720"/>
        <w:rPr>
          <w:rFonts w:eastAsia="仿宋_GB2312"/>
          <w:sz w:val="32"/>
          <w:szCs w:val="32"/>
          <w:lang w:val="zh-CN"/>
        </w:rPr>
      </w:pPr>
      <w:r>
        <w:rPr>
          <w:rFonts w:eastAsia="仿宋_GB2312"/>
          <w:color w:val="000000"/>
          <w:kern w:val="0"/>
          <w:sz w:val="32"/>
          <w:szCs w:val="32"/>
          <w:shd w:val="clear" w:color="auto" w:fill="FFFFFF"/>
        </w:rPr>
        <w:t>2020年考点工作经费</w:t>
      </w:r>
      <w:r>
        <w:rPr>
          <w:rFonts w:eastAsia="仿宋_GB2312"/>
          <w:sz w:val="32"/>
          <w:szCs w:val="32"/>
          <w:lang w:val="zh-CN"/>
        </w:rPr>
        <w:t>1991.28</w:t>
      </w:r>
      <w:r>
        <w:rPr>
          <w:rFonts w:eastAsia="仿宋_GB2312"/>
          <w:color w:val="000000"/>
          <w:kern w:val="0"/>
          <w:sz w:val="32"/>
          <w:szCs w:val="32"/>
          <w:shd w:val="clear" w:color="auto" w:fill="FFFFFF"/>
        </w:rPr>
        <w:t>万元。资金到位率为100%。</w:t>
      </w:r>
    </w:p>
    <w:p>
      <w:pPr>
        <w:adjustRightInd w:val="0"/>
        <w:snapToGrid w:val="0"/>
        <w:spacing w:line="600" w:lineRule="exact"/>
        <w:ind w:firstLine="720"/>
        <w:rPr>
          <w:rFonts w:eastAsia="仿宋_GB2312"/>
          <w:sz w:val="32"/>
          <w:szCs w:val="32"/>
          <w:lang w:val="zh-CN"/>
        </w:rPr>
      </w:pPr>
      <w:r>
        <w:rPr>
          <w:rFonts w:eastAsia="仿宋_GB2312"/>
          <w:sz w:val="32"/>
          <w:szCs w:val="32"/>
          <w:lang w:val="zh-CN"/>
        </w:rPr>
        <w:t>2．资金使用</w:t>
      </w:r>
    </w:p>
    <w:p>
      <w:pPr>
        <w:adjustRightInd w:val="0"/>
        <w:snapToGrid w:val="0"/>
        <w:spacing w:line="600" w:lineRule="exact"/>
        <w:ind w:firstLine="720"/>
        <w:rPr>
          <w:rFonts w:eastAsia="仿宋_GB2312"/>
          <w:sz w:val="32"/>
          <w:szCs w:val="32"/>
          <w:lang w:val="zh-CN"/>
        </w:rPr>
      </w:pPr>
      <w:r>
        <w:rPr>
          <w:rFonts w:eastAsia="仿宋_GB2312"/>
          <w:sz w:val="32"/>
          <w:szCs w:val="32"/>
          <w:lang w:val="zh-CN"/>
        </w:rPr>
        <w:t>2020年考点工作经费实际支出1991.28万元。根据《四川省人事考试考点工作经费核拨管理办法（试行）》规定，考点工作经费按照各市（州）人事考试机构组织考试的科次数计算拨付，资金开支范围主要为各市（州）为组织考试而产生的租用考场、购买租用安防设备及聘请监考人员等费用。考点工作经费支付依据合规合法，资金支付与预算相符。</w:t>
      </w:r>
    </w:p>
    <w:p>
      <w:pPr>
        <w:adjustRightInd w:val="0"/>
        <w:snapToGrid w:val="0"/>
        <w:spacing w:line="600" w:lineRule="exact"/>
        <w:ind w:firstLine="720"/>
        <w:rPr>
          <w:rFonts w:eastAsia="仿宋_GB2312"/>
          <w:b/>
          <w:bCs/>
          <w:sz w:val="32"/>
          <w:szCs w:val="32"/>
          <w:lang w:val="zh-CN"/>
        </w:rPr>
      </w:pPr>
      <w:r>
        <w:rPr>
          <w:rFonts w:eastAsia="仿宋_GB2312"/>
          <w:b/>
          <w:bCs/>
          <w:sz w:val="32"/>
          <w:szCs w:val="32"/>
          <w:lang w:val="zh-CN"/>
        </w:rPr>
        <w:t>（二）项目财务管理情况</w:t>
      </w:r>
    </w:p>
    <w:p>
      <w:pPr>
        <w:adjustRightInd w:val="0"/>
        <w:snapToGrid w:val="0"/>
        <w:spacing w:line="600" w:lineRule="exact"/>
        <w:ind w:firstLine="720"/>
        <w:rPr>
          <w:rFonts w:eastAsia="仿宋_GB2312"/>
          <w:sz w:val="32"/>
          <w:szCs w:val="32"/>
          <w:lang w:val="zh-CN"/>
        </w:rPr>
      </w:pPr>
      <w:r>
        <w:rPr>
          <w:rFonts w:eastAsia="仿宋_GB2312"/>
          <w:sz w:val="32"/>
          <w:szCs w:val="32"/>
          <w:lang w:val="zh-CN"/>
        </w:rPr>
        <w:t>根据《中华人民共和国预算法》等要求，四川省人力资源和社会保障厅制定了《四川省人事考试考点工作经费核拨管理办法（试行）》，资金支出严格依据相关财务制度和《四川省人事考试考点工作经费核拨管理办法（试行）》规定的标准和要求</w:t>
      </w:r>
      <w:r>
        <w:rPr>
          <w:rFonts w:hint="eastAsia" w:eastAsia="仿宋_GB2312"/>
          <w:sz w:val="32"/>
          <w:szCs w:val="32"/>
          <w:lang w:val="zh-CN"/>
        </w:rPr>
        <w:t>执行</w:t>
      </w:r>
      <w:r>
        <w:rPr>
          <w:rFonts w:eastAsia="仿宋_GB2312"/>
          <w:sz w:val="32"/>
          <w:szCs w:val="32"/>
          <w:lang w:val="zh-CN"/>
        </w:rPr>
        <w:t>，不存在资金截留、挤占和挪用现象。</w:t>
      </w:r>
    </w:p>
    <w:p>
      <w:pPr>
        <w:adjustRightInd w:val="0"/>
        <w:snapToGrid w:val="0"/>
        <w:spacing w:line="600" w:lineRule="exact"/>
        <w:ind w:firstLine="720"/>
        <w:rPr>
          <w:rFonts w:eastAsia="仿宋_GB2312"/>
          <w:b/>
          <w:bCs/>
          <w:sz w:val="32"/>
          <w:szCs w:val="32"/>
          <w:lang w:val="zh-CN"/>
        </w:rPr>
      </w:pPr>
      <w:r>
        <w:rPr>
          <w:rFonts w:eastAsia="仿宋_GB2312"/>
          <w:b/>
          <w:bCs/>
          <w:sz w:val="32"/>
          <w:szCs w:val="32"/>
          <w:lang w:val="zh-CN"/>
        </w:rPr>
        <w:t>（三）项目组织实施情况</w:t>
      </w:r>
    </w:p>
    <w:p>
      <w:pPr>
        <w:adjustRightInd w:val="0"/>
        <w:snapToGrid w:val="0"/>
        <w:spacing w:line="600" w:lineRule="exact"/>
        <w:ind w:firstLine="720"/>
        <w:rPr>
          <w:rFonts w:eastAsia="仿宋_GB2312"/>
          <w:color w:val="000000"/>
          <w:kern w:val="0"/>
          <w:sz w:val="32"/>
          <w:szCs w:val="32"/>
          <w:shd w:val="clear" w:color="auto" w:fill="FFFFFF"/>
        </w:rPr>
      </w:pPr>
      <w:r>
        <w:rPr>
          <w:rFonts w:eastAsia="仿宋_GB2312"/>
          <w:color w:val="000000"/>
          <w:kern w:val="0"/>
          <w:sz w:val="32"/>
          <w:szCs w:val="32"/>
          <w:shd w:val="clear" w:color="auto" w:fill="FFFFFF"/>
        </w:rPr>
        <w:t>省人事考试中心负责研究制定考点工作经费管理办法，指导各市（州）落实相关规定。市（州）人事考试机构严格按照省人力资源和社会保障厅、省财政厅《关于印发〈四川省人事考试考务费支出管理暂行办法〉的通知》（川人社办发〔2017〕933号）规定的支出项目使用经费。</w:t>
      </w:r>
    </w:p>
    <w:p>
      <w:pPr>
        <w:adjustRightInd w:val="0"/>
        <w:snapToGrid w:val="0"/>
        <w:spacing w:line="600" w:lineRule="exact"/>
        <w:ind w:firstLine="720"/>
        <w:rPr>
          <w:rFonts w:eastAsia="仿宋_GB2312"/>
          <w:sz w:val="32"/>
          <w:szCs w:val="32"/>
          <w:lang w:val="zh-CN"/>
        </w:rPr>
      </w:pPr>
      <w:r>
        <w:rPr>
          <w:rFonts w:eastAsia="黑体"/>
          <w:sz w:val="32"/>
          <w:szCs w:val="32"/>
        </w:rPr>
        <w:t>三、项目绩效情况</w:t>
      </w:r>
      <w:r>
        <w:rPr>
          <w:rFonts w:eastAsia="仿宋_GB2312"/>
          <w:sz w:val="32"/>
          <w:szCs w:val="32"/>
          <w:lang w:val="zh-CN"/>
        </w:rPr>
        <w:tab/>
      </w:r>
    </w:p>
    <w:p>
      <w:pPr>
        <w:adjustRightInd w:val="0"/>
        <w:snapToGrid w:val="0"/>
        <w:spacing w:line="600" w:lineRule="exact"/>
        <w:ind w:firstLine="720"/>
        <w:rPr>
          <w:rFonts w:eastAsia="仿宋_GB2312"/>
          <w:b/>
          <w:bCs/>
          <w:sz w:val="32"/>
          <w:szCs w:val="32"/>
          <w:lang w:val="zh-CN"/>
        </w:rPr>
      </w:pPr>
      <w:r>
        <w:rPr>
          <w:rFonts w:eastAsia="仿宋_GB2312"/>
          <w:b/>
          <w:bCs/>
          <w:sz w:val="32"/>
          <w:szCs w:val="32"/>
          <w:lang w:val="zh-CN"/>
        </w:rPr>
        <w:t>（一）项目完成情况</w:t>
      </w:r>
    </w:p>
    <w:p>
      <w:pPr>
        <w:tabs>
          <w:tab w:val="left" w:pos="3885"/>
        </w:tabs>
        <w:snapToGrid w:val="0"/>
        <w:spacing w:line="600" w:lineRule="exact"/>
        <w:ind w:firstLine="630"/>
        <w:jc w:val="left"/>
        <w:rPr>
          <w:rFonts w:eastAsia="仿宋_GB2312"/>
          <w:sz w:val="32"/>
          <w:szCs w:val="32"/>
          <w:lang w:val="zh-CN"/>
        </w:rPr>
      </w:pPr>
      <w:r>
        <w:rPr>
          <w:rFonts w:eastAsia="仿宋_GB2312"/>
          <w:sz w:val="32"/>
          <w:szCs w:val="32"/>
          <w:lang w:val="zh-CN"/>
        </w:rPr>
        <w:t>2020年完成了各项指标。发布人事考试招考宣传活动80余次，完成考试科次数296.15万科次，覆盖考生人数110万人。</w:t>
      </w:r>
    </w:p>
    <w:p>
      <w:pPr>
        <w:adjustRightInd w:val="0"/>
        <w:snapToGrid w:val="0"/>
        <w:spacing w:line="600" w:lineRule="exact"/>
        <w:ind w:firstLine="720"/>
        <w:rPr>
          <w:rFonts w:eastAsia="仿宋_GB2312"/>
          <w:sz w:val="32"/>
          <w:szCs w:val="32"/>
          <w:lang w:val="zh-CN"/>
        </w:rPr>
      </w:pPr>
      <w:r>
        <w:rPr>
          <w:rFonts w:eastAsia="仿宋_GB2312"/>
          <w:b/>
          <w:bCs/>
          <w:sz w:val="32"/>
          <w:szCs w:val="32"/>
          <w:lang w:val="zh-CN"/>
        </w:rPr>
        <w:t>（二）项目效益情况</w:t>
      </w:r>
    </w:p>
    <w:p>
      <w:pPr>
        <w:tabs>
          <w:tab w:val="left" w:pos="3885"/>
        </w:tabs>
        <w:snapToGrid w:val="0"/>
        <w:spacing w:line="600" w:lineRule="exact"/>
        <w:ind w:firstLine="630"/>
        <w:jc w:val="left"/>
        <w:rPr>
          <w:rFonts w:eastAsia="仿宋_GB2312"/>
          <w:sz w:val="32"/>
          <w:szCs w:val="32"/>
          <w:lang w:val="zh-CN"/>
        </w:rPr>
      </w:pPr>
      <w:r>
        <w:rPr>
          <w:rFonts w:eastAsia="仿宋_GB2312"/>
          <w:sz w:val="32"/>
          <w:szCs w:val="32"/>
          <w:lang w:val="zh-CN"/>
        </w:rPr>
        <w:t>通过安排考点工作专项经费，为各市</w:t>
      </w:r>
      <w:r>
        <w:rPr>
          <w:rFonts w:hint="eastAsia" w:eastAsia="仿宋_GB2312"/>
          <w:sz w:val="32"/>
          <w:szCs w:val="32"/>
          <w:lang w:val="zh-CN"/>
        </w:rPr>
        <w:t>（</w:t>
      </w:r>
      <w:r>
        <w:rPr>
          <w:rFonts w:eastAsia="仿宋_GB2312"/>
          <w:sz w:val="32"/>
          <w:szCs w:val="32"/>
          <w:lang w:val="zh-CN"/>
        </w:rPr>
        <w:t>州</w:t>
      </w:r>
      <w:r>
        <w:rPr>
          <w:rFonts w:hint="eastAsia" w:eastAsia="仿宋_GB2312"/>
          <w:sz w:val="32"/>
          <w:szCs w:val="32"/>
          <w:lang w:val="zh-CN"/>
        </w:rPr>
        <w:t>）</w:t>
      </w:r>
      <w:r>
        <w:rPr>
          <w:rFonts w:eastAsia="仿宋_GB2312"/>
          <w:sz w:val="32"/>
          <w:szCs w:val="32"/>
          <w:lang w:val="zh-CN"/>
        </w:rPr>
        <w:t>完成各项人事考试工作提供必要的成本性支出，为全省参加人事考试的考生提供规范、公平、公正的考试条件，促进考试安全组织实施，切实保障了各考区的考试考务工作的顺利开展（效益指标）。市（州）考试机构满意度大于</w:t>
      </w:r>
      <w:r>
        <w:rPr>
          <w:rFonts w:hint="eastAsia" w:eastAsia="仿宋_GB2312"/>
          <w:sz w:val="32"/>
          <w:szCs w:val="32"/>
          <w:lang w:val="zh-CN"/>
        </w:rPr>
        <w:t>90</w:t>
      </w:r>
      <w:r>
        <w:rPr>
          <w:rFonts w:eastAsia="仿宋_GB2312"/>
          <w:sz w:val="32"/>
          <w:szCs w:val="32"/>
          <w:lang w:val="zh-CN"/>
        </w:rPr>
        <w:t>%（满意度指标）。</w:t>
      </w:r>
    </w:p>
    <w:p>
      <w:pPr>
        <w:adjustRightInd w:val="0"/>
        <w:snapToGrid w:val="0"/>
        <w:spacing w:line="600" w:lineRule="exact"/>
        <w:ind w:firstLine="720"/>
        <w:rPr>
          <w:rFonts w:eastAsia="黑体"/>
          <w:sz w:val="32"/>
          <w:szCs w:val="32"/>
        </w:rPr>
      </w:pPr>
      <w:r>
        <w:rPr>
          <w:rFonts w:eastAsia="黑体"/>
          <w:sz w:val="32"/>
          <w:szCs w:val="32"/>
        </w:rPr>
        <w:t>四、问题及建议</w:t>
      </w:r>
    </w:p>
    <w:p>
      <w:pPr>
        <w:pStyle w:val="2"/>
        <w:spacing w:before="93" w:line="600" w:lineRule="exact"/>
        <w:ind w:firstLine="642" w:firstLineChars="200"/>
        <w:rPr>
          <w:rFonts w:ascii="Times New Roman"/>
        </w:rPr>
      </w:pPr>
      <w:r>
        <w:rPr>
          <w:rFonts w:ascii="Times New Roman"/>
          <w:b/>
          <w:bCs/>
          <w:sz w:val="32"/>
          <w:szCs w:val="32"/>
          <w:lang w:val="zh-CN"/>
        </w:rPr>
        <w:t>（一）存在的问题</w:t>
      </w:r>
    </w:p>
    <w:p>
      <w:pPr>
        <w:snapToGrid w:val="0"/>
        <w:spacing w:line="600" w:lineRule="exact"/>
        <w:ind w:firstLine="640" w:firstLineChars="200"/>
        <w:rPr>
          <w:rFonts w:eastAsia="仿宋_GB2312"/>
          <w:sz w:val="32"/>
          <w:szCs w:val="32"/>
          <w:lang w:val="zh-CN"/>
        </w:rPr>
      </w:pPr>
      <w:r>
        <w:rPr>
          <w:rFonts w:eastAsia="仿宋_GB2312"/>
          <w:sz w:val="32"/>
          <w:szCs w:val="32"/>
          <w:lang w:val="zh-CN"/>
        </w:rPr>
        <w:t>发现的主要问题：目前经济社会发展形势变化较大，开展人事考试的不确定性增大，考试标准提高，给预算、编制执行带来一定不确定性。</w:t>
      </w:r>
    </w:p>
    <w:p>
      <w:pPr>
        <w:snapToGrid w:val="0"/>
        <w:spacing w:line="600" w:lineRule="exact"/>
        <w:ind w:firstLine="642" w:firstLineChars="200"/>
        <w:rPr>
          <w:rFonts w:eastAsia="仿宋_GB2312"/>
          <w:b/>
          <w:bCs/>
          <w:sz w:val="32"/>
          <w:szCs w:val="32"/>
          <w:lang w:val="zh-CN"/>
        </w:rPr>
      </w:pPr>
      <w:r>
        <w:rPr>
          <w:rFonts w:eastAsia="仿宋_GB2312"/>
          <w:b/>
          <w:bCs/>
          <w:sz w:val="32"/>
          <w:szCs w:val="32"/>
          <w:lang w:val="zh-CN"/>
        </w:rPr>
        <w:t>（二）相关建议</w:t>
      </w:r>
    </w:p>
    <w:p>
      <w:pPr>
        <w:snapToGrid w:val="0"/>
        <w:spacing w:line="600" w:lineRule="exact"/>
        <w:ind w:firstLine="640" w:firstLineChars="200"/>
        <w:rPr>
          <w:rFonts w:eastAsia="仿宋_GB2312"/>
          <w:sz w:val="32"/>
          <w:szCs w:val="32"/>
          <w:lang w:val="zh-CN"/>
        </w:rPr>
      </w:pPr>
      <w:r>
        <w:rPr>
          <w:rFonts w:eastAsia="仿宋_GB2312"/>
          <w:sz w:val="32"/>
          <w:szCs w:val="32"/>
          <w:lang w:val="zh-CN"/>
        </w:rPr>
        <w:t>研判形势，提升预算编制时测算的精准性，加快预算执行进度。</w:t>
      </w:r>
      <w:bookmarkStart w:id="84" w:name="_Toc15396618"/>
    </w:p>
    <w:p>
      <w:pPr>
        <w:pStyle w:val="2"/>
        <w:spacing w:before="93"/>
        <w:rPr>
          <w:rFonts w:ascii="Times New Roman"/>
          <w:lang w:val="zh-CN"/>
        </w:rPr>
      </w:pPr>
    </w:p>
    <w:p>
      <w:pPr>
        <w:pStyle w:val="3"/>
        <w:jc w:val="center"/>
        <w:rPr>
          <w:rFonts w:eastAsia="黑体"/>
          <w:b w:val="0"/>
          <w:bCs w:val="0"/>
          <w:color w:val="000000"/>
        </w:rPr>
      </w:pPr>
      <w:r>
        <w:rPr>
          <w:rFonts w:eastAsia="仿宋_GB2312"/>
          <w:lang w:val="zh-CN"/>
        </w:rPr>
        <w:br w:type="page"/>
      </w:r>
      <w:bookmarkStart w:id="85" w:name="_Toc81405655"/>
      <w:r>
        <w:rPr>
          <w:rFonts w:eastAsia="黑体"/>
          <w:b w:val="0"/>
          <w:bCs w:val="0"/>
          <w:color w:val="000000"/>
        </w:rPr>
        <w:t>第</w:t>
      </w:r>
      <w:r>
        <w:rPr>
          <w:rFonts w:eastAsia="黑体"/>
          <w:b w:val="0"/>
          <w:bCs w:val="0"/>
        </w:rPr>
        <w:t>五部分</w:t>
      </w:r>
      <w:r>
        <w:rPr>
          <w:rFonts w:hint="eastAsia" w:eastAsia="黑体"/>
          <w:b w:val="0"/>
          <w:bCs w:val="0"/>
        </w:rPr>
        <w:t xml:space="preserve"> </w:t>
      </w:r>
      <w:r>
        <w:rPr>
          <w:rFonts w:eastAsia="黑体"/>
          <w:b w:val="0"/>
          <w:bCs w:val="0"/>
        </w:rPr>
        <w:t>附表</w:t>
      </w:r>
      <w:bookmarkEnd w:id="82"/>
      <w:bookmarkEnd w:id="84"/>
      <w:bookmarkEnd w:id="85"/>
      <w:bookmarkStart w:id="86" w:name="_Toc15396619"/>
    </w:p>
    <w:p>
      <w:pPr>
        <w:pStyle w:val="4"/>
        <w:rPr>
          <w:rFonts w:ascii="Times New Roman" w:hAnsi="Times New Roman" w:eastAsia="仿宋_GB2312" w:cs="Times New Roman"/>
          <w:color w:val="000000"/>
        </w:rPr>
      </w:pPr>
      <w:bookmarkStart w:id="87" w:name="_Toc81405656"/>
      <w:r>
        <w:rPr>
          <w:rFonts w:ascii="Times New Roman" w:hAnsi="Times New Roman" w:eastAsia="仿宋_GB2312" w:cs="Times New Roman"/>
          <w:b w:val="0"/>
          <w:bCs w:val="0"/>
          <w:color w:val="000000"/>
        </w:rPr>
        <w:t>一、收</w:t>
      </w:r>
      <w:r>
        <w:rPr>
          <w:rStyle w:val="18"/>
          <w:rFonts w:ascii="Times New Roman" w:hAnsi="Times New Roman" w:eastAsia="仿宋_GB2312" w:cs="Times New Roman"/>
          <w:b w:val="0"/>
          <w:bCs w:val="0"/>
        </w:rPr>
        <w:t>入支出决算总表</w:t>
      </w:r>
      <w:bookmarkEnd w:id="86"/>
      <w:bookmarkEnd w:id="87"/>
    </w:p>
    <w:p>
      <w:pPr>
        <w:pStyle w:val="4"/>
        <w:rPr>
          <w:rFonts w:ascii="Times New Roman" w:hAnsi="Times New Roman" w:eastAsia="仿宋_GB2312" w:cs="Times New Roman"/>
          <w:color w:val="000000"/>
        </w:rPr>
      </w:pPr>
      <w:bookmarkStart w:id="88" w:name="_Toc81405657"/>
      <w:bookmarkStart w:id="89" w:name="_Toc15396620"/>
      <w:r>
        <w:rPr>
          <w:rFonts w:ascii="Times New Roman" w:hAnsi="Times New Roman" w:eastAsia="仿宋_GB2312" w:cs="Times New Roman"/>
          <w:b w:val="0"/>
          <w:bCs w:val="0"/>
          <w:color w:val="000000"/>
        </w:rPr>
        <w:t>二、收</w:t>
      </w:r>
      <w:r>
        <w:rPr>
          <w:rStyle w:val="18"/>
          <w:rFonts w:ascii="Times New Roman" w:hAnsi="Times New Roman" w:eastAsia="仿宋_GB2312" w:cs="Times New Roman"/>
          <w:b w:val="0"/>
          <w:bCs w:val="0"/>
        </w:rPr>
        <w:t>入决算表</w:t>
      </w:r>
      <w:bookmarkEnd w:id="88"/>
      <w:bookmarkEnd w:id="89"/>
    </w:p>
    <w:p>
      <w:pPr>
        <w:pStyle w:val="4"/>
        <w:rPr>
          <w:rFonts w:ascii="Times New Roman" w:hAnsi="Times New Roman" w:eastAsia="仿宋_GB2312" w:cs="Times New Roman"/>
          <w:color w:val="000000"/>
        </w:rPr>
      </w:pPr>
      <w:bookmarkStart w:id="90" w:name="_Toc15396621"/>
      <w:bookmarkStart w:id="91" w:name="_Toc81405658"/>
      <w:r>
        <w:rPr>
          <w:rStyle w:val="18"/>
          <w:rFonts w:ascii="Times New Roman" w:hAnsi="Times New Roman" w:eastAsia="仿宋_GB2312" w:cs="Times New Roman"/>
          <w:b w:val="0"/>
          <w:bCs w:val="0"/>
        </w:rPr>
        <w:t>三、</w:t>
      </w:r>
      <w:r>
        <w:rPr>
          <w:rFonts w:ascii="Times New Roman" w:hAnsi="Times New Roman" w:eastAsia="仿宋_GB2312" w:cs="Times New Roman"/>
          <w:b w:val="0"/>
          <w:bCs w:val="0"/>
          <w:color w:val="000000"/>
        </w:rPr>
        <w:t>支</w:t>
      </w:r>
      <w:r>
        <w:rPr>
          <w:rStyle w:val="18"/>
          <w:rFonts w:ascii="Times New Roman" w:hAnsi="Times New Roman" w:eastAsia="仿宋_GB2312" w:cs="Times New Roman"/>
          <w:b w:val="0"/>
          <w:bCs w:val="0"/>
        </w:rPr>
        <w:t>出决算表</w:t>
      </w:r>
      <w:bookmarkEnd w:id="90"/>
      <w:bookmarkEnd w:id="91"/>
    </w:p>
    <w:p>
      <w:pPr>
        <w:pStyle w:val="4"/>
        <w:rPr>
          <w:rFonts w:ascii="Times New Roman" w:hAnsi="Times New Roman" w:eastAsia="仿宋_GB2312" w:cs="Times New Roman"/>
          <w:b w:val="0"/>
          <w:bCs w:val="0"/>
          <w:color w:val="000000"/>
        </w:rPr>
      </w:pPr>
      <w:bookmarkStart w:id="92" w:name="_Toc81405659"/>
      <w:bookmarkStart w:id="93" w:name="_Toc15396622"/>
      <w:r>
        <w:rPr>
          <w:rStyle w:val="18"/>
          <w:rFonts w:ascii="Times New Roman" w:hAnsi="Times New Roman" w:eastAsia="仿宋_GB2312" w:cs="Times New Roman"/>
          <w:b w:val="0"/>
          <w:bCs w:val="0"/>
        </w:rPr>
        <w:t>四、</w:t>
      </w:r>
      <w:r>
        <w:rPr>
          <w:rFonts w:ascii="Times New Roman" w:hAnsi="Times New Roman" w:eastAsia="仿宋_GB2312" w:cs="Times New Roman"/>
          <w:b w:val="0"/>
          <w:bCs w:val="0"/>
          <w:color w:val="000000"/>
        </w:rPr>
        <w:t>财</w:t>
      </w:r>
      <w:r>
        <w:rPr>
          <w:rStyle w:val="18"/>
          <w:rFonts w:ascii="Times New Roman" w:hAnsi="Times New Roman" w:eastAsia="仿宋_GB2312" w:cs="Times New Roman"/>
          <w:b w:val="0"/>
          <w:bCs w:val="0"/>
        </w:rPr>
        <w:t>政拨款收入支出决算总表</w:t>
      </w:r>
      <w:bookmarkEnd w:id="92"/>
      <w:bookmarkEnd w:id="93"/>
    </w:p>
    <w:p>
      <w:pPr>
        <w:pStyle w:val="4"/>
        <w:rPr>
          <w:rStyle w:val="18"/>
          <w:rFonts w:ascii="Times New Roman" w:hAnsi="Times New Roman" w:eastAsia="仿宋_GB2312" w:cs="Times New Roman"/>
          <w:b w:val="0"/>
          <w:bCs w:val="0"/>
        </w:rPr>
      </w:pPr>
      <w:bookmarkStart w:id="94" w:name="_Toc81405660"/>
      <w:bookmarkStart w:id="95" w:name="_Toc15396623"/>
      <w:r>
        <w:rPr>
          <w:rStyle w:val="18"/>
          <w:rFonts w:ascii="Times New Roman" w:hAnsi="Times New Roman" w:eastAsia="仿宋_GB2312" w:cs="Times New Roman"/>
          <w:b w:val="0"/>
          <w:bCs w:val="0"/>
        </w:rPr>
        <w:t>五、</w:t>
      </w:r>
      <w:r>
        <w:rPr>
          <w:rFonts w:ascii="Times New Roman" w:hAnsi="Times New Roman" w:eastAsia="仿宋_GB2312" w:cs="Times New Roman"/>
          <w:b w:val="0"/>
          <w:bCs w:val="0"/>
          <w:color w:val="000000"/>
        </w:rPr>
        <w:t>财</w:t>
      </w:r>
      <w:r>
        <w:rPr>
          <w:rStyle w:val="18"/>
          <w:rFonts w:ascii="Times New Roman" w:hAnsi="Times New Roman" w:eastAsia="仿宋_GB2312" w:cs="Times New Roman"/>
          <w:b w:val="0"/>
          <w:bCs w:val="0"/>
        </w:rPr>
        <w:t>政拨款支出决算明细表</w:t>
      </w:r>
      <w:bookmarkEnd w:id="94"/>
      <w:bookmarkEnd w:id="95"/>
      <w:bookmarkStart w:id="96" w:name="_Toc15396624"/>
    </w:p>
    <w:p>
      <w:pPr>
        <w:pStyle w:val="4"/>
        <w:rPr>
          <w:rFonts w:ascii="Times New Roman" w:hAnsi="Times New Roman" w:eastAsia="仿宋_GB2312" w:cs="Times New Roman"/>
          <w:color w:val="000000"/>
        </w:rPr>
      </w:pPr>
      <w:bookmarkStart w:id="97" w:name="_Toc81405661"/>
      <w:r>
        <w:rPr>
          <w:rStyle w:val="18"/>
          <w:rFonts w:ascii="Times New Roman" w:hAnsi="Times New Roman" w:eastAsia="仿宋_GB2312" w:cs="Times New Roman"/>
          <w:b w:val="0"/>
          <w:bCs w:val="0"/>
        </w:rPr>
        <w:t>六、</w:t>
      </w:r>
      <w:r>
        <w:rPr>
          <w:rFonts w:ascii="Times New Roman" w:hAnsi="Times New Roman" w:eastAsia="仿宋_GB2312" w:cs="Times New Roman"/>
          <w:b w:val="0"/>
          <w:bCs w:val="0"/>
          <w:color w:val="000000"/>
        </w:rPr>
        <w:t>一</w:t>
      </w:r>
      <w:r>
        <w:rPr>
          <w:rStyle w:val="18"/>
          <w:rFonts w:ascii="Times New Roman" w:hAnsi="Times New Roman" w:eastAsia="仿宋_GB2312" w:cs="Times New Roman"/>
          <w:b w:val="0"/>
          <w:bCs w:val="0"/>
        </w:rPr>
        <w:t>般公共预算财政拨款支出决算表</w:t>
      </w:r>
      <w:bookmarkEnd w:id="96"/>
      <w:bookmarkEnd w:id="97"/>
    </w:p>
    <w:p>
      <w:pPr>
        <w:pStyle w:val="4"/>
        <w:rPr>
          <w:rFonts w:ascii="Times New Roman" w:hAnsi="Times New Roman" w:eastAsia="仿宋_GB2312" w:cs="Times New Roman"/>
          <w:color w:val="000000"/>
        </w:rPr>
      </w:pPr>
      <w:bookmarkStart w:id="98" w:name="_Toc15396625"/>
      <w:bookmarkStart w:id="99" w:name="_Toc81405662"/>
      <w:r>
        <w:rPr>
          <w:rStyle w:val="18"/>
          <w:rFonts w:ascii="Times New Roman" w:hAnsi="Times New Roman" w:eastAsia="仿宋_GB2312" w:cs="Times New Roman"/>
          <w:b w:val="0"/>
          <w:bCs w:val="0"/>
        </w:rPr>
        <w:t>七、</w:t>
      </w:r>
      <w:r>
        <w:rPr>
          <w:rFonts w:ascii="Times New Roman" w:hAnsi="Times New Roman" w:eastAsia="仿宋_GB2312" w:cs="Times New Roman"/>
          <w:b w:val="0"/>
          <w:bCs w:val="0"/>
          <w:color w:val="000000"/>
        </w:rPr>
        <w:t>一</w:t>
      </w:r>
      <w:r>
        <w:rPr>
          <w:rStyle w:val="18"/>
          <w:rFonts w:ascii="Times New Roman" w:hAnsi="Times New Roman" w:eastAsia="仿宋_GB2312" w:cs="Times New Roman"/>
          <w:b w:val="0"/>
          <w:bCs w:val="0"/>
        </w:rPr>
        <w:t>般公共预算财政拨款支出决算明细表</w:t>
      </w:r>
      <w:bookmarkEnd w:id="98"/>
      <w:bookmarkEnd w:id="99"/>
    </w:p>
    <w:p>
      <w:pPr>
        <w:pStyle w:val="4"/>
        <w:rPr>
          <w:rFonts w:ascii="Times New Roman" w:hAnsi="Times New Roman" w:eastAsia="仿宋_GB2312" w:cs="Times New Roman"/>
          <w:color w:val="000000"/>
        </w:rPr>
      </w:pPr>
      <w:bookmarkStart w:id="100" w:name="_Toc81405663"/>
      <w:bookmarkStart w:id="101" w:name="_Toc15396626"/>
      <w:r>
        <w:rPr>
          <w:rStyle w:val="18"/>
          <w:rFonts w:ascii="Times New Roman" w:hAnsi="Times New Roman" w:eastAsia="仿宋_GB2312" w:cs="Times New Roman"/>
          <w:b w:val="0"/>
          <w:bCs w:val="0"/>
        </w:rPr>
        <w:t>八、</w:t>
      </w:r>
      <w:r>
        <w:rPr>
          <w:rFonts w:ascii="Times New Roman" w:hAnsi="Times New Roman" w:eastAsia="仿宋_GB2312" w:cs="Times New Roman"/>
          <w:b w:val="0"/>
          <w:bCs w:val="0"/>
          <w:color w:val="000000"/>
        </w:rPr>
        <w:t>一</w:t>
      </w:r>
      <w:r>
        <w:rPr>
          <w:rStyle w:val="18"/>
          <w:rFonts w:ascii="Times New Roman" w:hAnsi="Times New Roman" w:eastAsia="仿宋_GB2312" w:cs="Times New Roman"/>
          <w:b w:val="0"/>
          <w:bCs w:val="0"/>
        </w:rPr>
        <w:t>般公共预算财政拨款基本支出决算表</w:t>
      </w:r>
      <w:bookmarkEnd w:id="100"/>
      <w:bookmarkEnd w:id="101"/>
    </w:p>
    <w:p>
      <w:pPr>
        <w:pStyle w:val="4"/>
        <w:rPr>
          <w:rFonts w:ascii="Times New Roman" w:hAnsi="Times New Roman" w:eastAsia="仿宋_GB2312" w:cs="Times New Roman"/>
          <w:color w:val="000000"/>
        </w:rPr>
      </w:pPr>
      <w:bookmarkStart w:id="102" w:name="_Toc81405664"/>
      <w:bookmarkStart w:id="103" w:name="_Toc15396627"/>
      <w:r>
        <w:rPr>
          <w:rStyle w:val="18"/>
          <w:rFonts w:ascii="Times New Roman" w:hAnsi="Times New Roman" w:eastAsia="仿宋_GB2312" w:cs="Times New Roman"/>
          <w:b w:val="0"/>
          <w:bCs w:val="0"/>
        </w:rPr>
        <w:t>九、</w:t>
      </w:r>
      <w:r>
        <w:rPr>
          <w:rFonts w:ascii="Times New Roman" w:hAnsi="Times New Roman" w:eastAsia="仿宋_GB2312" w:cs="Times New Roman"/>
          <w:b w:val="0"/>
          <w:bCs w:val="0"/>
          <w:color w:val="000000"/>
        </w:rPr>
        <w:t>一</w:t>
      </w:r>
      <w:r>
        <w:rPr>
          <w:rStyle w:val="18"/>
          <w:rFonts w:ascii="Times New Roman" w:hAnsi="Times New Roman" w:eastAsia="仿宋_GB2312" w:cs="Times New Roman"/>
          <w:b w:val="0"/>
          <w:bCs w:val="0"/>
        </w:rPr>
        <w:t>般公共预算财政拨款项目支出决算表</w:t>
      </w:r>
      <w:bookmarkEnd w:id="102"/>
      <w:bookmarkEnd w:id="103"/>
    </w:p>
    <w:p>
      <w:pPr>
        <w:pStyle w:val="4"/>
        <w:rPr>
          <w:rFonts w:ascii="Times New Roman" w:hAnsi="Times New Roman" w:eastAsia="仿宋_GB2312" w:cs="Times New Roman"/>
          <w:color w:val="000000"/>
        </w:rPr>
      </w:pPr>
      <w:bookmarkStart w:id="104" w:name="_Toc81405665"/>
      <w:bookmarkStart w:id="105" w:name="_Toc15396628"/>
      <w:r>
        <w:rPr>
          <w:rStyle w:val="18"/>
          <w:rFonts w:ascii="Times New Roman" w:hAnsi="Times New Roman" w:eastAsia="仿宋_GB2312" w:cs="Times New Roman"/>
          <w:b w:val="0"/>
          <w:bCs w:val="0"/>
        </w:rPr>
        <w:t>十、</w:t>
      </w:r>
      <w:r>
        <w:rPr>
          <w:rFonts w:ascii="Times New Roman" w:hAnsi="Times New Roman" w:eastAsia="仿宋_GB2312" w:cs="Times New Roman"/>
          <w:b w:val="0"/>
          <w:bCs w:val="0"/>
          <w:color w:val="000000"/>
        </w:rPr>
        <w:t>一</w:t>
      </w:r>
      <w:r>
        <w:rPr>
          <w:rStyle w:val="18"/>
          <w:rFonts w:ascii="Times New Roman" w:hAnsi="Times New Roman" w:eastAsia="仿宋_GB2312" w:cs="Times New Roman"/>
          <w:b w:val="0"/>
          <w:bCs w:val="0"/>
        </w:rPr>
        <w:t>般公共预算财政拨款“三公”经费支出决算表</w:t>
      </w:r>
      <w:bookmarkEnd w:id="104"/>
      <w:bookmarkEnd w:id="105"/>
    </w:p>
    <w:p>
      <w:pPr>
        <w:pStyle w:val="4"/>
        <w:rPr>
          <w:rFonts w:ascii="Times New Roman" w:hAnsi="Times New Roman" w:eastAsia="仿宋_GB2312" w:cs="Times New Roman"/>
          <w:color w:val="000000"/>
        </w:rPr>
      </w:pPr>
      <w:bookmarkStart w:id="106" w:name="_Toc15396629"/>
      <w:bookmarkStart w:id="107" w:name="_Toc81405666"/>
      <w:r>
        <w:rPr>
          <w:rStyle w:val="18"/>
          <w:rFonts w:ascii="Times New Roman" w:hAnsi="Times New Roman" w:eastAsia="仿宋_GB2312" w:cs="Times New Roman"/>
          <w:b w:val="0"/>
          <w:bCs w:val="0"/>
        </w:rPr>
        <w:t>十一、</w:t>
      </w:r>
      <w:r>
        <w:rPr>
          <w:rFonts w:ascii="Times New Roman" w:hAnsi="Times New Roman" w:eastAsia="仿宋_GB2312" w:cs="Times New Roman"/>
          <w:b w:val="0"/>
          <w:bCs w:val="0"/>
          <w:color w:val="000000"/>
        </w:rPr>
        <w:t>政</w:t>
      </w:r>
      <w:r>
        <w:rPr>
          <w:rStyle w:val="18"/>
          <w:rFonts w:ascii="Times New Roman" w:hAnsi="Times New Roman" w:eastAsia="仿宋_GB2312" w:cs="Times New Roman"/>
          <w:b w:val="0"/>
          <w:bCs w:val="0"/>
        </w:rPr>
        <w:t>府性基金预算财政拨款收入支出决算表</w:t>
      </w:r>
      <w:bookmarkEnd w:id="106"/>
      <w:bookmarkEnd w:id="107"/>
    </w:p>
    <w:p>
      <w:pPr>
        <w:pStyle w:val="4"/>
        <w:rPr>
          <w:rFonts w:ascii="Times New Roman" w:hAnsi="Times New Roman" w:eastAsia="仿宋_GB2312" w:cs="Times New Roman"/>
          <w:color w:val="000000"/>
        </w:rPr>
      </w:pPr>
      <w:bookmarkStart w:id="108" w:name="_Toc15396630"/>
      <w:bookmarkStart w:id="109" w:name="_Toc81405667"/>
      <w:r>
        <w:rPr>
          <w:rStyle w:val="18"/>
          <w:rFonts w:ascii="Times New Roman" w:hAnsi="Times New Roman" w:eastAsia="仿宋_GB2312" w:cs="Times New Roman"/>
          <w:b w:val="0"/>
          <w:bCs w:val="0"/>
        </w:rPr>
        <w:t>十二、</w:t>
      </w:r>
      <w:r>
        <w:rPr>
          <w:rFonts w:ascii="Times New Roman" w:hAnsi="Times New Roman" w:eastAsia="仿宋_GB2312" w:cs="Times New Roman"/>
          <w:b w:val="0"/>
          <w:bCs w:val="0"/>
          <w:color w:val="000000"/>
        </w:rPr>
        <w:t>政</w:t>
      </w:r>
      <w:r>
        <w:rPr>
          <w:rStyle w:val="18"/>
          <w:rFonts w:ascii="Times New Roman" w:hAnsi="Times New Roman" w:eastAsia="仿宋_GB2312" w:cs="Times New Roman"/>
          <w:b w:val="0"/>
          <w:bCs w:val="0"/>
        </w:rPr>
        <w:t>府性基金预算财政拨款“三公”经费支出决算表</w:t>
      </w:r>
      <w:bookmarkEnd w:id="108"/>
      <w:bookmarkEnd w:id="109"/>
    </w:p>
    <w:p>
      <w:pPr>
        <w:pStyle w:val="4"/>
        <w:rPr>
          <w:rStyle w:val="18"/>
          <w:rFonts w:ascii="Times New Roman" w:hAnsi="Times New Roman" w:eastAsia="仿宋_GB2312" w:cs="Times New Roman"/>
          <w:b w:val="0"/>
          <w:bCs w:val="0"/>
        </w:rPr>
      </w:pPr>
      <w:bookmarkStart w:id="110" w:name="_Toc81405668"/>
      <w:bookmarkStart w:id="111" w:name="_Toc15396631"/>
      <w:r>
        <w:rPr>
          <w:rStyle w:val="18"/>
          <w:rFonts w:ascii="Times New Roman" w:hAnsi="Times New Roman" w:eastAsia="仿宋_GB2312" w:cs="Times New Roman"/>
          <w:b w:val="0"/>
          <w:bCs w:val="0"/>
        </w:rPr>
        <w:t>十三、</w:t>
      </w:r>
      <w:r>
        <w:rPr>
          <w:rFonts w:ascii="Times New Roman" w:hAnsi="Times New Roman" w:eastAsia="仿宋_GB2312" w:cs="Times New Roman"/>
          <w:b w:val="0"/>
          <w:bCs w:val="0"/>
          <w:color w:val="000000"/>
        </w:rPr>
        <w:t>国</w:t>
      </w:r>
      <w:r>
        <w:rPr>
          <w:rStyle w:val="18"/>
          <w:rFonts w:ascii="Times New Roman" w:hAnsi="Times New Roman" w:eastAsia="仿宋_GB2312" w:cs="Times New Roman"/>
          <w:b w:val="0"/>
          <w:bCs w:val="0"/>
        </w:rPr>
        <w:t>有资本经营预算财政拨款收入支出决算表</w:t>
      </w:r>
      <w:bookmarkEnd w:id="110"/>
      <w:bookmarkEnd w:id="111"/>
    </w:p>
    <w:p>
      <w:pPr>
        <w:rPr>
          <w:rFonts w:eastAsia="仿宋_GB2312"/>
        </w:rPr>
      </w:pPr>
      <w:bookmarkStart w:id="112" w:name="_Toc81405669"/>
      <w:r>
        <w:rPr>
          <w:rStyle w:val="18"/>
          <w:rFonts w:ascii="Times New Roman" w:hAnsi="Times New Roman" w:eastAsia="仿宋_GB2312" w:cs="Times New Roman"/>
          <w:b w:val="0"/>
          <w:bCs w:val="0"/>
        </w:rPr>
        <w:t>十四、国有资本经营预算财政拨款支出决算表</w:t>
      </w:r>
      <w:bookmarkEnd w:id="112"/>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sz w:val="28"/>
        <w:szCs w:val="28"/>
      </w:rPr>
    </w:pPr>
    <w:r>
      <w:rPr>
        <w:rFonts w:hint="eastAsia" w:ascii="宋体" w:hAnsi="宋体"/>
        <w:sz w:val="28"/>
        <w:szCs w:val="28"/>
      </w:rPr>
      <w:t>—</w:t>
    </w:r>
    <w:sdt>
      <w:sdtPr>
        <w:id w:val="21662570"/>
        <w:docPartObj>
          <w:docPartGallery w:val="AutoText"/>
        </w:docPartObj>
      </w:sdtPr>
      <w:sdtEndPr>
        <w:rPr>
          <w:rFonts w:ascii="宋体" w:hAnsi="宋体"/>
          <w:sz w:val="28"/>
          <w:szCs w:val="28"/>
        </w:rPr>
      </w:sdtEndPr>
      <w:sdtContent>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ascii="宋体" w:hAnsi="宋体"/>
        <w:sz w:val="28"/>
        <w:szCs w:val="28"/>
      </w:rPr>
      <w:t>—</w:t>
    </w:r>
    <w:sdt>
      <w:sdtPr>
        <w:id w:val="21662547"/>
        <w:docPartObj>
          <w:docPartGallery w:val="AutoText"/>
        </w:docPartObj>
      </w:sdtPr>
      <w:sdtEndPr>
        <w:rPr>
          <w:rFonts w:ascii="宋体" w:hAnsi="宋体"/>
          <w:sz w:val="28"/>
          <w:szCs w:val="28"/>
        </w:rPr>
      </w:sdtEndPr>
      <w:sdtContent>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364AD7"/>
    <w:multiLevelType w:val="multilevel"/>
    <w:tmpl w:val="28364AD7"/>
    <w:lvl w:ilvl="0" w:tentative="0">
      <w:start w:val="1"/>
      <w:numFmt w:val="decimal"/>
      <w:lvlText w:val="%1."/>
      <w:lvlJc w:val="left"/>
      <w:pPr>
        <w:ind w:left="1003" w:hanging="3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420"/>
  <w:doNotHyphenateCaps/>
  <w:evenAndOddHeaders w:val="true"/>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1361C"/>
    <w:rsid w:val="000222C6"/>
    <w:rsid w:val="0002549F"/>
    <w:rsid w:val="000468DB"/>
    <w:rsid w:val="00047A6C"/>
    <w:rsid w:val="00054D2C"/>
    <w:rsid w:val="0005522C"/>
    <w:rsid w:val="0006487A"/>
    <w:rsid w:val="00065F8F"/>
    <w:rsid w:val="000679B7"/>
    <w:rsid w:val="00070A43"/>
    <w:rsid w:val="00070A76"/>
    <w:rsid w:val="000768F2"/>
    <w:rsid w:val="00084049"/>
    <w:rsid w:val="000844FC"/>
    <w:rsid w:val="0008624A"/>
    <w:rsid w:val="000912EA"/>
    <w:rsid w:val="0009184B"/>
    <w:rsid w:val="00094236"/>
    <w:rsid w:val="0009593C"/>
    <w:rsid w:val="00097322"/>
    <w:rsid w:val="00097F77"/>
    <w:rsid w:val="000A6A92"/>
    <w:rsid w:val="000B047F"/>
    <w:rsid w:val="000B3CBF"/>
    <w:rsid w:val="000B5923"/>
    <w:rsid w:val="000B5A48"/>
    <w:rsid w:val="000B6FF3"/>
    <w:rsid w:val="000C2A16"/>
    <w:rsid w:val="000C3467"/>
    <w:rsid w:val="000C3CA6"/>
    <w:rsid w:val="000D1267"/>
    <w:rsid w:val="000D1624"/>
    <w:rsid w:val="000D1D50"/>
    <w:rsid w:val="000D5782"/>
    <w:rsid w:val="000E6613"/>
    <w:rsid w:val="000E7119"/>
    <w:rsid w:val="000E7208"/>
    <w:rsid w:val="000F2126"/>
    <w:rsid w:val="000F2A12"/>
    <w:rsid w:val="000F42C3"/>
    <w:rsid w:val="000F5688"/>
    <w:rsid w:val="00101C59"/>
    <w:rsid w:val="00102B8D"/>
    <w:rsid w:val="00107526"/>
    <w:rsid w:val="001140E8"/>
    <w:rsid w:val="00114E9B"/>
    <w:rsid w:val="00116E03"/>
    <w:rsid w:val="00124B42"/>
    <w:rsid w:val="001303A9"/>
    <w:rsid w:val="00142216"/>
    <w:rsid w:val="00144D6A"/>
    <w:rsid w:val="0014729F"/>
    <w:rsid w:val="00151B46"/>
    <w:rsid w:val="00157BAB"/>
    <w:rsid w:val="001654D1"/>
    <w:rsid w:val="001729AD"/>
    <w:rsid w:val="00174518"/>
    <w:rsid w:val="0018106D"/>
    <w:rsid w:val="00181387"/>
    <w:rsid w:val="0018621F"/>
    <w:rsid w:val="001877A7"/>
    <w:rsid w:val="00191536"/>
    <w:rsid w:val="00196687"/>
    <w:rsid w:val="00196A8C"/>
    <w:rsid w:val="001B212A"/>
    <w:rsid w:val="001C0962"/>
    <w:rsid w:val="001C2EC6"/>
    <w:rsid w:val="001D10C5"/>
    <w:rsid w:val="001D7531"/>
    <w:rsid w:val="001E737D"/>
    <w:rsid w:val="001F0592"/>
    <w:rsid w:val="001F7506"/>
    <w:rsid w:val="002006CD"/>
    <w:rsid w:val="00202B36"/>
    <w:rsid w:val="00204B7A"/>
    <w:rsid w:val="00204CDE"/>
    <w:rsid w:val="0021101A"/>
    <w:rsid w:val="00220536"/>
    <w:rsid w:val="0022108C"/>
    <w:rsid w:val="002212B1"/>
    <w:rsid w:val="00235629"/>
    <w:rsid w:val="00242C09"/>
    <w:rsid w:val="00250952"/>
    <w:rsid w:val="00254E10"/>
    <w:rsid w:val="00260C38"/>
    <w:rsid w:val="002616C0"/>
    <w:rsid w:val="0026315D"/>
    <w:rsid w:val="00264092"/>
    <w:rsid w:val="00264E6C"/>
    <w:rsid w:val="00265372"/>
    <w:rsid w:val="002662AA"/>
    <w:rsid w:val="002701AF"/>
    <w:rsid w:val="00277388"/>
    <w:rsid w:val="0028046B"/>
    <w:rsid w:val="00280496"/>
    <w:rsid w:val="00294DC9"/>
    <w:rsid w:val="00295495"/>
    <w:rsid w:val="002A31DE"/>
    <w:rsid w:val="002B2613"/>
    <w:rsid w:val="002C2E7F"/>
    <w:rsid w:val="002C5E49"/>
    <w:rsid w:val="002D31C8"/>
    <w:rsid w:val="002D6D05"/>
    <w:rsid w:val="002F1818"/>
    <w:rsid w:val="002F567B"/>
    <w:rsid w:val="00302782"/>
    <w:rsid w:val="00305FAB"/>
    <w:rsid w:val="00310050"/>
    <w:rsid w:val="003216A9"/>
    <w:rsid w:val="0032232C"/>
    <w:rsid w:val="00327B7F"/>
    <w:rsid w:val="00335A74"/>
    <w:rsid w:val="003374AF"/>
    <w:rsid w:val="00342FEA"/>
    <w:rsid w:val="00364B18"/>
    <w:rsid w:val="0036561B"/>
    <w:rsid w:val="0037013F"/>
    <w:rsid w:val="00380C92"/>
    <w:rsid w:val="00397C9F"/>
    <w:rsid w:val="003A484F"/>
    <w:rsid w:val="003A4883"/>
    <w:rsid w:val="003B0BE0"/>
    <w:rsid w:val="003B0C1B"/>
    <w:rsid w:val="003B2499"/>
    <w:rsid w:val="003B688C"/>
    <w:rsid w:val="003C0291"/>
    <w:rsid w:val="003C39AE"/>
    <w:rsid w:val="003C6446"/>
    <w:rsid w:val="003C66E1"/>
    <w:rsid w:val="003C7B60"/>
    <w:rsid w:val="003D0C0F"/>
    <w:rsid w:val="003D1FB2"/>
    <w:rsid w:val="003D66DA"/>
    <w:rsid w:val="003E1310"/>
    <w:rsid w:val="003E2212"/>
    <w:rsid w:val="003E6CF8"/>
    <w:rsid w:val="003E6F55"/>
    <w:rsid w:val="003F477C"/>
    <w:rsid w:val="004005DD"/>
    <w:rsid w:val="00406254"/>
    <w:rsid w:val="00410509"/>
    <w:rsid w:val="004223DE"/>
    <w:rsid w:val="0043080E"/>
    <w:rsid w:val="00434489"/>
    <w:rsid w:val="00435A20"/>
    <w:rsid w:val="00437085"/>
    <w:rsid w:val="00442AAD"/>
    <w:rsid w:val="00443880"/>
    <w:rsid w:val="004464F4"/>
    <w:rsid w:val="0045354A"/>
    <w:rsid w:val="00454D46"/>
    <w:rsid w:val="00454FE6"/>
    <w:rsid w:val="004576A6"/>
    <w:rsid w:val="004619FB"/>
    <w:rsid w:val="00467A36"/>
    <w:rsid w:val="00471401"/>
    <w:rsid w:val="00473F31"/>
    <w:rsid w:val="0048113C"/>
    <w:rsid w:val="0048263A"/>
    <w:rsid w:val="00486B8C"/>
    <w:rsid w:val="00487E5D"/>
    <w:rsid w:val="004A711F"/>
    <w:rsid w:val="004B199D"/>
    <w:rsid w:val="004B4690"/>
    <w:rsid w:val="004B6300"/>
    <w:rsid w:val="004C5CC3"/>
    <w:rsid w:val="004C6C61"/>
    <w:rsid w:val="004D2565"/>
    <w:rsid w:val="004D6F4A"/>
    <w:rsid w:val="004E0A2D"/>
    <w:rsid w:val="004E206B"/>
    <w:rsid w:val="004E2176"/>
    <w:rsid w:val="004E5DB4"/>
    <w:rsid w:val="004E6DF7"/>
    <w:rsid w:val="004F0725"/>
    <w:rsid w:val="004F0FBD"/>
    <w:rsid w:val="004F5564"/>
    <w:rsid w:val="004F6D36"/>
    <w:rsid w:val="005016DB"/>
    <w:rsid w:val="00505A47"/>
    <w:rsid w:val="00512FDA"/>
    <w:rsid w:val="00513C0E"/>
    <w:rsid w:val="00516B52"/>
    <w:rsid w:val="00520DA0"/>
    <w:rsid w:val="00521050"/>
    <w:rsid w:val="00524BDC"/>
    <w:rsid w:val="00551C06"/>
    <w:rsid w:val="005537B4"/>
    <w:rsid w:val="00556DF7"/>
    <w:rsid w:val="00561F3A"/>
    <w:rsid w:val="00566374"/>
    <w:rsid w:val="005664BB"/>
    <w:rsid w:val="00566FFA"/>
    <w:rsid w:val="0057481D"/>
    <w:rsid w:val="005764DF"/>
    <w:rsid w:val="0058486E"/>
    <w:rsid w:val="00585B33"/>
    <w:rsid w:val="00587B37"/>
    <w:rsid w:val="0059014D"/>
    <w:rsid w:val="0059522E"/>
    <w:rsid w:val="005952E5"/>
    <w:rsid w:val="00596906"/>
    <w:rsid w:val="00597299"/>
    <w:rsid w:val="005A1B2A"/>
    <w:rsid w:val="005A275D"/>
    <w:rsid w:val="005B175F"/>
    <w:rsid w:val="005B5C64"/>
    <w:rsid w:val="005B6E46"/>
    <w:rsid w:val="005C5337"/>
    <w:rsid w:val="005C6BD0"/>
    <w:rsid w:val="005D069C"/>
    <w:rsid w:val="005D1C8B"/>
    <w:rsid w:val="005D468D"/>
    <w:rsid w:val="005D5CED"/>
    <w:rsid w:val="005D7F05"/>
    <w:rsid w:val="005E040A"/>
    <w:rsid w:val="005E1DB3"/>
    <w:rsid w:val="005F1A4C"/>
    <w:rsid w:val="00600777"/>
    <w:rsid w:val="006047F4"/>
    <w:rsid w:val="00605688"/>
    <w:rsid w:val="00606C10"/>
    <w:rsid w:val="006070AF"/>
    <w:rsid w:val="00607E6C"/>
    <w:rsid w:val="006101B1"/>
    <w:rsid w:val="00614997"/>
    <w:rsid w:val="00614E44"/>
    <w:rsid w:val="0062270A"/>
    <w:rsid w:val="00622830"/>
    <w:rsid w:val="00623DA0"/>
    <w:rsid w:val="00626276"/>
    <w:rsid w:val="00630AEF"/>
    <w:rsid w:val="006325F8"/>
    <w:rsid w:val="00633463"/>
    <w:rsid w:val="00634C9A"/>
    <w:rsid w:val="00641637"/>
    <w:rsid w:val="00643869"/>
    <w:rsid w:val="006440E4"/>
    <w:rsid w:val="006549F3"/>
    <w:rsid w:val="0066343B"/>
    <w:rsid w:val="00664777"/>
    <w:rsid w:val="00665A2F"/>
    <w:rsid w:val="00671A63"/>
    <w:rsid w:val="006748A4"/>
    <w:rsid w:val="00675DF8"/>
    <w:rsid w:val="00681A31"/>
    <w:rsid w:val="00683E73"/>
    <w:rsid w:val="0069459E"/>
    <w:rsid w:val="0069511E"/>
    <w:rsid w:val="006A3141"/>
    <w:rsid w:val="006A3BA2"/>
    <w:rsid w:val="006A5E34"/>
    <w:rsid w:val="006B2422"/>
    <w:rsid w:val="006B2B9A"/>
    <w:rsid w:val="006B4C59"/>
    <w:rsid w:val="006C1937"/>
    <w:rsid w:val="006C75B1"/>
    <w:rsid w:val="006C7B45"/>
    <w:rsid w:val="006D7974"/>
    <w:rsid w:val="006F020C"/>
    <w:rsid w:val="006F24CA"/>
    <w:rsid w:val="00711294"/>
    <w:rsid w:val="00712416"/>
    <w:rsid w:val="007127B7"/>
    <w:rsid w:val="00714C06"/>
    <w:rsid w:val="0071798E"/>
    <w:rsid w:val="007416B6"/>
    <w:rsid w:val="00741CB0"/>
    <w:rsid w:val="0074284D"/>
    <w:rsid w:val="00746F48"/>
    <w:rsid w:val="0075404D"/>
    <w:rsid w:val="0076182A"/>
    <w:rsid w:val="00767B7E"/>
    <w:rsid w:val="00775060"/>
    <w:rsid w:val="007770C3"/>
    <w:rsid w:val="00784D24"/>
    <w:rsid w:val="00785FBA"/>
    <w:rsid w:val="00786E4A"/>
    <w:rsid w:val="007875EB"/>
    <w:rsid w:val="00787C16"/>
    <w:rsid w:val="0079426B"/>
    <w:rsid w:val="007A4D01"/>
    <w:rsid w:val="007A67DB"/>
    <w:rsid w:val="007A76DA"/>
    <w:rsid w:val="007B2E5E"/>
    <w:rsid w:val="007C52F9"/>
    <w:rsid w:val="007C7C06"/>
    <w:rsid w:val="007D1682"/>
    <w:rsid w:val="007D312A"/>
    <w:rsid w:val="007D3F19"/>
    <w:rsid w:val="007D45AF"/>
    <w:rsid w:val="007E0E88"/>
    <w:rsid w:val="007E12C7"/>
    <w:rsid w:val="007E23B0"/>
    <w:rsid w:val="007E23E5"/>
    <w:rsid w:val="007E2581"/>
    <w:rsid w:val="007F00D2"/>
    <w:rsid w:val="007F1991"/>
    <w:rsid w:val="007F2C2F"/>
    <w:rsid w:val="007F55FC"/>
    <w:rsid w:val="007F5665"/>
    <w:rsid w:val="00800112"/>
    <w:rsid w:val="0080714A"/>
    <w:rsid w:val="00813348"/>
    <w:rsid w:val="00815AF8"/>
    <w:rsid w:val="00817C6B"/>
    <w:rsid w:val="008223BB"/>
    <w:rsid w:val="00824A49"/>
    <w:rsid w:val="008253BB"/>
    <w:rsid w:val="008314BE"/>
    <w:rsid w:val="0083706E"/>
    <w:rsid w:val="008408F6"/>
    <w:rsid w:val="008423A5"/>
    <w:rsid w:val="00850625"/>
    <w:rsid w:val="00853718"/>
    <w:rsid w:val="00855221"/>
    <w:rsid w:val="00860645"/>
    <w:rsid w:val="00865740"/>
    <w:rsid w:val="00871F71"/>
    <w:rsid w:val="00872FD8"/>
    <w:rsid w:val="00885AF4"/>
    <w:rsid w:val="008939CD"/>
    <w:rsid w:val="00897B73"/>
    <w:rsid w:val="008A632A"/>
    <w:rsid w:val="008B768C"/>
    <w:rsid w:val="008C09AD"/>
    <w:rsid w:val="008C4259"/>
    <w:rsid w:val="008C4DB1"/>
    <w:rsid w:val="008C4EAF"/>
    <w:rsid w:val="008C5176"/>
    <w:rsid w:val="008C7FD0"/>
    <w:rsid w:val="008D11B4"/>
    <w:rsid w:val="008D7A4C"/>
    <w:rsid w:val="008E1820"/>
    <w:rsid w:val="008E1DE7"/>
    <w:rsid w:val="008E707C"/>
    <w:rsid w:val="00900411"/>
    <w:rsid w:val="00900B08"/>
    <w:rsid w:val="00902155"/>
    <w:rsid w:val="00902FA3"/>
    <w:rsid w:val="00906E91"/>
    <w:rsid w:val="009073FD"/>
    <w:rsid w:val="00920002"/>
    <w:rsid w:val="00920D06"/>
    <w:rsid w:val="00923564"/>
    <w:rsid w:val="0092392E"/>
    <w:rsid w:val="00926F0B"/>
    <w:rsid w:val="00927962"/>
    <w:rsid w:val="009315F9"/>
    <w:rsid w:val="00933499"/>
    <w:rsid w:val="00935C98"/>
    <w:rsid w:val="00936A67"/>
    <w:rsid w:val="00940FBA"/>
    <w:rsid w:val="009413E8"/>
    <w:rsid w:val="00946444"/>
    <w:rsid w:val="00946945"/>
    <w:rsid w:val="00950925"/>
    <w:rsid w:val="00951248"/>
    <w:rsid w:val="0095152F"/>
    <w:rsid w:val="00954C49"/>
    <w:rsid w:val="00955E37"/>
    <w:rsid w:val="0097099F"/>
    <w:rsid w:val="00971664"/>
    <w:rsid w:val="00971997"/>
    <w:rsid w:val="00971A37"/>
    <w:rsid w:val="00971FFC"/>
    <w:rsid w:val="0098408A"/>
    <w:rsid w:val="00985E11"/>
    <w:rsid w:val="0098660A"/>
    <w:rsid w:val="009931C3"/>
    <w:rsid w:val="009A07B0"/>
    <w:rsid w:val="009B0E0B"/>
    <w:rsid w:val="009B2C43"/>
    <w:rsid w:val="009B436F"/>
    <w:rsid w:val="009B4EAE"/>
    <w:rsid w:val="009B7573"/>
    <w:rsid w:val="009B7874"/>
    <w:rsid w:val="009C1C0A"/>
    <w:rsid w:val="009C22F4"/>
    <w:rsid w:val="009C2A4B"/>
    <w:rsid w:val="009C2E98"/>
    <w:rsid w:val="009D3447"/>
    <w:rsid w:val="009D4711"/>
    <w:rsid w:val="009D4BC6"/>
    <w:rsid w:val="009D6FF6"/>
    <w:rsid w:val="009E6F59"/>
    <w:rsid w:val="009F1185"/>
    <w:rsid w:val="009F18CD"/>
    <w:rsid w:val="009F2A13"/>
    <w:rsid w:val="009F5A01"/>
    <w:rsid w:val="009F7527"/>
    <w:rsid w:val="00A04EB0"/>
    <w:rsid w:val="00A0711F"/>
    <w:rsid w:val="00A075EC"/>
    <w:rsid w:val="00A13215"/>
    <w:rsid w:val="00A13CC1"/>
    <w:rsid w:val="00A16847"/>
    <w:rsid w:val="00A237AC"/>
    <w:rsid w:val="00A237D8"/>
    <w:rsid w:val="00A268C4"/>
    <w:rsid w:val="00A307CD"/>
    <w:rsid w:val="00A309E9"/>
    <w:rsid w:val="00A30D61"/>
    <w:rsid w:val="00A331C8"/>
    <w:rsid w:val="00A405A8"/>
    <w:rsid w:val="00A40A00"/>
    <w:rsid w:val="00A4142F"/>
    <w:rsid w:val="00A422EB"/>
    <w:rsid w:val="00A45BB7"/>
    <w:rsid w:val="00A56DF2"/>
    <w:rsid w:val="00A56E6E"/>
    <w:rsid w:val="00A56F3F"/>
    <w:rsid w:val="00A60E23"/>
    <w:rsid w:val="00A67AB5"/>
    <w:rsid w:val="00A733B2"/>
    <w:rsid w:val="00A741C2"/>
    <w:rsid w:val="00A826F3"/>
    <w:rsid w:val="00A82BE2"/>
    <w:rsid w:val="00A83D25"/>
    <w:rsid w:val="00A85AA3"/>
    <w:rsid w:val="00A91760"/>
    <w:rsid w:val="00A93B00"/>
    <w:rsid w:val="00A93C21"/>
    <w:rsid w:val="00A96DBD"/>
    <w:rsid w:val="00AB64C9"/>
    <w:rsid w:val="00AC3C6A"/>
    <w:rsid w:val="00AD5620"/>
    <w:rsid w:val="00AD656B"/>
    <w:rsid w:val="00AD7C1B"/>
    <w:rsid w:val="00AE01E3"/>
    <w:rsid w:val="00AE16BA"/>
    <w:rsid w:val="00AE1EBE"/>
    <w:rsid w:val="00AF32A9"/>
    <w:rsid w:val="00AF5B24"/>
    <w:rsid w:val="00AF775D"/>
    <w:rsid w:val="00B03C9D"/>
    <w:rsid w:val="00B060AE"/>
    <w:rsid w:val="00B10517"/>
    <w:rsid w:val="00B1083B"/>
    <w:rsid w:val="00B14E76"/>
    <w:rsid w:val="00B161B8"/>
    <w:rsid w:val="00B2048C"/>
    <w:rsid w:val="00B310B9"/>
    <w:rsid w:val="00B3230D"/>
    <w:rsid w:val="00B35DC3"/>
    <w:rsid w:val="00B35F3F"/>
    <w:rsid w:val="00B36CBB"/>
    <w:rsid w:val="00B425E0"/>
    <w:rsid w:val="00B440AA"/>
    <w:rsid w:val="00B44B70"/>
    <w:rsid w:val="00B53C56"/>
    <w:rsid w:val="00B57DAF"/>
    <w:rsid w:val="00B619F4"/>
    <w:rsid w:val="00B631D5"/>
    <w:rsid w:val="00B67113"/>
    <w:rsid w:val="00B77008"/>
    <w:rsid w:val="00B77EA6"/>
    <w:rsid w:val="00B81598"/>
    <w:rsid w:val="00B841F1"/>
    <w:rsid w:val="00B944D6"/>
    <w:rsid w:val="00BA7BB7"/>
    <w:rsid w:val="00BB4DF0"/>
    <w:rsid w:val="00BB589C"/>
    <w:rsid w:val="00BB5DE7"/>
    <w:rsid w:val="00BB73B8"/>
    <w:rsid w:val="00BC289F"/>
    <w:rsid w:val="00BC2D50"/>
    <w:rsid w:val="00BC5361"/>
    <w:rsid w:val="00BC5460"/>
    <w:rsid w:val="00BC6012"/>
    <w:rsid w:val="00BC6B50"/>
    <w:rsid w:val="00BD0E25"/>
    <w:rsid w:val="00BD4D92"/>
    <w:rsid w:val="00BE3327"/>
    <w:rsid w:val="00BE53F9"/>
    <w:rsid w:val="00BF26C1"/>
    <w:rsid w:val="00BF5BD6"/>
    <w:rsid w:val="00C03E31"/>
    <w:rsid w:val="00C04DE7"/>
    <w:rsid w:val="00C060E1"/>
    <w:rsid w:val="00C33E72"/>
    <w:rsid w:val="00C354B2"/>
    <w:rsid w:val="00C35554"/>
    <w:rsid w:val="00C36E04"/>
    <w:rsid w:val="00C42709"/>
    <w:rsid w:val="00C533CC"/>
    <w:rsid w:val="00C5751C"/>
    <w:rsid w:val="00C61BFC"/>
    <w:rsid w:val="00C62B85"/>
    <w:rsid w:val="00C65438"/>
    <w:rsid w:val="00C73B8C"/>
    <w:rsid w:val="00C75FDB"/>
    <w:rsid w:val="00C76EBB"/>
    <w:rsid w:val="00C87FD8"/>
    <w:rsid w:val="00C91163"/>
    <w:rsid w:val="00C912A6"/>
    <w:rsid w:val="00C91381"/>
    <w:rsid w:val="00C91CBB"/>
    <w:rsid w:val="00C92FB2"/>
    <w:rsid w:val="00CA3356"/>
    <w:rsid w:val="00CA5393"/>
    <w:rsid w:val="00CB14E8"/>
    <w:rsid w:val="00CB4E70"/>
    <w:rsid w:val="00CC09B6"/>
    <w:rsid w:val="00CC22E8"/>
    <w:rsid w:val="00CC666F"/>
    <w:rsid w:val="00CD090D"/>
    <w:rsid w:val="00CD1E3F"/>
    <w:rsid w:val="00CE3B62"/>
    <w:rsid w:val="00CE44F6"/>
    <w:rsid w:val="00CE49DA"/>
    <w:rsid w:val="00CE51C1"/>
    <w:rsid w:val="00CE6A29"/>
    <w:rsid w:val="00CE7B61"/>
    <w:rsid w:val="00CF284D"/>
    <w:rsid w:val="00D00095"/>
    <w:rsid w:val="00D0175A"/>
    <w:rsid w:val="00D114F0"/>
    <w:rsid w:val="00D14D02"/>
    <w:rsid w:val="00D20620"/>
    <w:rsid w:val="00D21900"/>
    <w:rsid w:val="00D254F7"/>
    <w:rsid w:val="00D26091"/>
    <w:rsid w:val="00D2685C"/>
    <w:rsid w:val="00D274A1"/>
    <w:rsid w:val="00D32F65"/>
    <w:rsid w:val="00D345E0"/>
    <w:rsid w:val="00D34E7C"/>
    <w:rsid w:val="00D35489"/>
    <w:rsid w:val="00D36AFE"/>
    <w:rsid w:val="00D404E7"/>
    <w:rsid w:val="00D42BBA"/>
    <w:rsid w:val="00D51276"/>
    <w:rsid w:val="00D62B96"/>
    <w:rsid w:val="00D7035F"/>
    <w:rsid w:val="00D741E7"/>
    <w:rsid w:val="00D8468B"/>
    <w:rsid w:val="00D9646A"/>
    <w:rsid w:val="00DA634F"/>
    <w:rsid w:val="00DA65AC"/>
    <w:rsid w:val="00DB1913"/>
    <w:rsid w:val="00DB3F67"/>
    <w:rsid w:val="00DB40E3"/>
    <w:rsid w:val="00DC17F8"/>
    <w:rsid w:val="00DC1A0D"/>
    <w:rsid w:val="00DC410D"/>
    <w:rsid w:val="00DC5A81"/>
    <w:rsid w:val="00DC6330"/>
    <w:rsid w:val="00DC68CA"/>
    <w:rsid w:val="00DC7CBA"/>
    <w:rsid w:val="00DD73B7"/>
    <w:rsid w:val="00DD7B10"/>
    <w:rsid w:val="00DE3F33"/>
    <w:rsid w:val="00DE5239"/>
    <w:rsid w:val="00DE7C16"/>
    <w:rsid w:val="00DF1CAB"/>
    <w:rsid w:val="00DF28BC"/>
    <w:rsid w:val="00DF34B9"/>
    <w:rsid w:val="00E01053"/>
    <w:rsid w:val="00E051E0"/>
    <w:rsid w:val="00E07ACF"/>
    <w:rsid w:val="00E154D6"/>
    <w:rsid w:val="00E22E85"/>
    <w:rsid w:val="00E23BE5"/>
    <w:rsid w:val="00E30428"/>
    <w:rsid w:val="00E3221F"/>
    <w:rsid w:val="00E331A1"/>
    <w:rsid w:val="00E33202"/>
    <w:rsid w:val="00E336A9"/>
    <w:rsid w:val="00E472B1"/>
    <w:rsid w:val="00E50624"/>
    <w:rsid w:val="00E568DF"/>
    <w:rsid w:val="00E574F8"/>
    <w:rsid w:val="00E61E3E"/>
    <w:rsid w:val="00E64269"/>
    <w:rsid w:val="00E64D11"/>
    <w:rsid w:val="00E76DFE"/>
    <w:rsid w:val="00E82267"/>
    <w:rsid w:val="00E82871"/>
    <w:rsid w:val="00E853CE"/>
    <w:rsid w:val="00E867B6"/>
    <w:rsid w:val="00E9036B"/>
    <w:rsid w:val="00EA010F"/>
    <w:rsid w:val="00EA4861"/>
    <w:rsid w:val="00EB05F0"/>
    <w:rsid w:val="00EB569F"/>
    <w:rsid w:val="00EC0706"/>
    <w:rsid w:val="00EC7559"/>
    <w:rsid w:val="00ED1B63"/>
    <w:rsid w:val="00ED3C1F"/>
    <w:rsid w:val="00ED4085"/>
    <w:rsid w:val="00ED420E"/>
    <w:rsid w:val="00ED6FBE"/>
    <w:rsid w:val="00EE01C8"/>
    <w:rsid w:val="00EE2F57"/>
    <w:rsid w:val="00EE30AF"/>
    <w:rsid w:val="00EE60DE"/>
    <w:rsid w:val="00EE6FDC"/>
    <w:rsid w:val="00EF4376"/>
    <w:rsid w:val="00EF4C34"/>
    <w:rsid w:val="00EF77C6"/>
    <w:rsid w:val="00F05438"/>
    <w:rsid w:val="00F07599"/>
    <w:rsid w:val="00F10967"/>
    <w:rsid w:val="00F1361C"/>
    <w:rsid w:val="00F156F0"/>
    <w:rsid w:val="00F160C7"/>
    <w:rsid w:val="00F169DB"/>
    <w:rsid w:val="00F2408F"/>
    <w:rsid w:val="00F240E9"/>
    <w:rsid w:val="00F259CA"/>
    <w:rsid w:val="00F34C63"/>
    <w:rsid w:val="00F34F8A"/>
    <w:rsid w:val="00F36D8F"/>
    <w:rsid w:val="00F417B1"/>
    <w:rsid w:val="00F42AFD"/>
    <w:rsid w:val="00F44194"/>
    <w:rsid w:val="00F45853"/>
    <w:rsid w:val="00F55F2A"/>
    <w:rsid w:val="00F602DF"/>
    <w:rsid w:val="00F700D1"/>
    <w:rsid w:val="00F754A1"/>
    <w:rsid w:val="00F81FD9"/>
    <w:rsid w:val="00F841AA"/>
    <w:rsid w:val="00F84A94"/>
    <w:rsid w:val="00F87E96"/>
    <w:rsid w:val="00F9511C"/>
    <w:rsid w:val="00FA23E8"/>
    <w:rsid w:val="00FB3759"/>
    <w:rsid w:val="00FB55FE"/>
    <w:rsid w:val="00FB61B8"/>
    <w:rsid w:val="00FC177B"/>
    <w:rsid w:val="00FC3347"/>
    <w:rsid w:val="00FC6AA6"/>
    <w:rsid w:val="00FC7C57"/>
    <w:rsid w:val="00FD14FE"/>
    <w:rsid w:val="00FD39E9"/>
    <w:rsid w:val="00FD3CC1"/>
    <w:rsid w:val="00FF1E02"/>
    <w:rsid w:val="00FF30B4"/>
    <w:rsid w:val="00FF67C4"/>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 w:val="8FFF9AB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8"/>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99"/>
    <w:pPr>
      <w:spacing w:beforeLines="30"/>
    </w:pPr>
    <w:rPr>
      <w:rFonts w:ascii="仿宋_GB2312" w:eastAsia="仿宋_GB2312"/>
      <w:kern w:val="0"/>
      <w:sz w:val="24"/>
      <w:szCs w:val="24"/>
    </w:rPr>
  </w:style>
  <w:style w:type="paragraph" w:styleId="6">
    <w:name w:val="toc 3"/>
    <w:basedOn w:val="1"/>
    <w:next w:val="1"/>
    <w:semiHidden/>
    <w:qFormat/>
    <w:uiPriority w:val="99"/>
    <w:pPr>
      <w:tabs>
        <w:tab w:val="right" w:leader="dot" w:pos="8296"/>
      </w:tabs>
      <w:ind w:left="840" w:leftChars="400"/>
    </w:pPr>
  </w:style>
  <w:style w:type="paragraph" w:styleId="7">
    <w:name w:val="Balloon Text"/>
    <w:basedOn w:val="1"/>
    <w:link w:val="21"/>
    <w:semiHidden/>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1">
    <w:name w:val="toc 2"/>
    <w:basedOn w:val="1"/>
    <w:next w:val="1"/>
    <w:semiHidden/>
    <w:qFormat/>
    <w:uiPriority w:val="99"/>
    <w:pPr>
      <w:tabs>
        <w:tab w:val="right" w:leader="dot" w:pos="8296"/>
      </w:tabs>
      <w:ind w:left="420" w:leftChars="200"/>
    </w:pPr>
  </w:style>
  <w:style w:type="paragraph" w:styleId="12">
    <w:name w:val="Title"/>
    <w:basedOn w:val="1"/>
    <w:next w:val="1"/>
    <w:link w:val="32"/>
    <w:qFormat/>
    <w:uiPriority w:val="0"/>
    <w:pPr>
      <w:spacing w:before="240" w:after="60"/>
      <w:jc w:val="center"/>
      <w:outlineLvl w:val="0"/>
    </w:pPr>
    <w:rPr>
      <w:rFonts w:asciiTheme="majorHAnsi" w:hAnsiTheme="majorHAnsi" w:cstheme="majorBidi"/>
      <w:b/>
      <w:bCs/>
      <w:sz w:val="32"/>
      <w:szCs w:val="32"/>
    </w:rPr>
  </w:style>
  <w:style w:type="character" w:styleId="15">
    <w:name w:val="Strong"/>
    <w:qFormat/>
    <w:uiPriority w:val="99"/>
    <w:rPr>
      <w:b/>
      <w:bCs/>
    </w:rPr>
  </w:style>
  <w:style w:type="character" w:styleId="16">
    <w:name w:val="Hyperlink"/>
    <w:qFormat/>
    <w:uiPriority w:val="99"/>
    <w:rPr>
      <w:color w:val="0000FF"/>
      <w:u w:val="single"/>
    </w:rPr>
  </w:style>
  <w:style w:type="character" w:customStyle="1" w:styleId="17">
    <w:name w:val="标题 1 Char"/>
    <w:link w:val="3"/>
    <w:qFormat/>
    <w:locked/>
    <w:uiPriority w:val="99"/>
    <w:rPr>
      <w:rFonts w:ascii="Times New Roman" w:hAnsi="Times New Roman" w:cs="Times New Roman"/>
      <w:b/>
      <w:bCs/>
      <w:kern w:val="44"/>
      <w:sz w:val="44"/>
      <w:szCs w:val="44"/>
    </w:rPr>
  </w:style>
  <w:style w:type="character" w:customStyle="1" w:styleId="18">
    <w:name w:val="标题 2 Char"/>
    <w:link w:val="4"/>
    <w:qFormat/>
    <w:locked/>
    <w:uiPriority w:val="99"/>
    <w:rPr>
      <w:rFonts w:ascii="Cambria" w:hAnsi="Cambria" w:eastAsia="宋体" w:cs="Cambria"/>
      <w:b/>
      <w:bCs/>
      <w:kern w:val="2"/>
      <w:sz w:val="32"/>
      <w:szCs w:val="32"/>
    </w:rPr>
  </w:style>
  <w:style w:type="character" w:customStyle="1" w:styleId="19">
    <w:name w:val="标题 3 Char"/>
    <w:link w:val="5"/>
    <w:qFormat/>
    <w:locked/>
    <w:uiPriority w:val="99"/>
    <w:rPr>
      <w:rFonts w:ascii="Times New Roman" w:hAnsi="Times New Roman" w:cs="Times New Roman"/>
      <w:b/>
      <w:bCs/>
      <w:kern w:val="2"/>
      <w:sz w:val="32"/>
      <w:szCs w:val="32"/>
    </w:rPr>
  </w:style>
  <w:style w:type="character" w:customStyle="1" w:styleId="20">
    <w:name w:val="Body Text Char"/>
    <w:semiHidden/>
    <w:qFormat/>
    <w:locked/>
    <w:uiPriority w:val="99"/>
    <w:rPr>
      <w:rFonts w:ascii="Times New Roman" w:hAnsi="Times New Roman" w:cs="Times New Roman"/>
      <w:sz w:val="24"/>
      <w:szCs w:val="24"/>
    </w:rPr>
  </w:style>
  <w:style w:type="character" w:customStyle="1" w:styleId="21">
    <w:name w:val="批注框文本 Char"/>
    <w:link w:val="7"/>
    <w:semiHidden/>
    <w:qFormat/>
    <w:locked/>
    <w:uiPriority w:val="99"/>
    <w:rPr>
      <w:rFonts w:ascii="Times New Roman" w:hAnsi="Times New Roman" w:cs="Times New Roman"/>
      <w:kern w:val="2"/>
      <w:sz w:val="18"/>
      <w:szCs w:val="18"/>
    </w:rPr>
  </w:style>
  <w:style w:type="character" w:customStyle="1" w:styleId="22">
    <w:name w:val="Footer Char"/>
    <w:semiHidden/>
    <w:qFormat/>
    <w:locked/>
    <w:uiPriority w:val="99"/>
    <w:rPr>
      <w:rFonts w:ascii="Times New Roman" w:hAnsi="Times New Roman" w:cs="Times New Roman"/>
      <w:sz w:val="18"/>
      <w:szCs w:val="18"/>
    </w:rPr>
  </w:style>
  <w:style w:type="character" w:customStyle="1" w:styleId="23">
    <w:name w:val="Header Char"/>
    <w:semiHidden/>
    <w:qFormat/>
    <w:locked/>
    <w:uiPriority w:val="99"/>
    <w:rPr>
      <w:rFonts w:ascii="Times New Roman" w:hAnsi="Times New Roman" w:cs="Times New Roman"/>
      <w:sz w:val="18"/>
      <w:szCs w:val="18"/>
    </w:rPr>
  </w:style>
  <w:style w:type="character" w:customStyle="1" w:styleId="24">
    <w:name w:val="页眉 Char"/>
    <w:link w:val="9"/>
    <w:semiHidden/>
    <w:qFormat/>
    <w:locked/>
    <w:uiPriority w:val="99"/>
    <w:rPr>
      <w:sz w:val="18"/>
      <w:szCs w:val="18"/>
    </w:rPr>
  </w:style>
  <w:style w:type="character" w:customStyle="1" w:styleId="25">
    <w:name w:val="页脚 Char"/>
    <w:link w:val="8"/>
    <w:qFormat/>
    <w:locked/>
    <w:uiPriority w:val="99"/>
    <w:rPr>
      <w:sz w:val="18"/>
      <w:szCs w:val="18"/>
    </w:rPr>
  </w:style>
  <w:style w:type="character" w:customStyle="1" w:styleId="26">
    <w:name w:val="正文文本 Char"/>
    <w:link w:val="2"/>
    <w:qFormat/>
    <w:locked/>
    <w:uiPriority w:val="99"/>
    <w:rPr>
      <w:rFonts w:ascii="仿宋_GB2312" w:hAnsi="Times New Roman" w:eastAsia="仿宋_GB2312" w:cs="仿宋_GB2312"/>
      <w:sz w:val="24"/>
      <w:szCs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99"/>
    <w:pPr>
      <w:ind w:firstLine="420" w:firstLineChars="200"/>
    </w:pPr>
  </w:style>
  <w:style w:type="paragraph" w:customStyle="1" w:styleId="29">
    <w:name w:val="TOC 标题1"/>
    <w:basedOn w:val="3"/>
    <w:next w:val="1"/>
    <w:qFormat/>
    <w:uiPriority w:val="39"/>
    <w:pPr>
      <w:widowControl/>
      <w:spacing w:before="480" w:after="0" w:line="276" w:lineRule="auto"/>
      <w:jc w:val="left"/>
      <w:outlineLvl w:val="9"/>
    </w:pPr>
    <w:rPr>
      <w:rFonts w:ascii="Cambria" w:hAnsi="Cambria" w:cs="Cambria"/>
      <w:color w:val="365F91"/>
      <w:kern w:val="0"/>
      <w:sz w:val="28"/>
      <w:szCs w:val="28"/>
    </w:rPr>
  </w:style>
  <w:style w:type="paragraph" w:customStyle="1" w:styleId="30">
    <w:name w:val="TOC 标题2"/>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1">
    <w:name w:val="TOC Heading"/>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32">
    <w:name w:val="标题 Char"/>
    <w:basedOn w:val="14"/>
    <w:link w:val="12"/>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29</Pages>
  <Words>1864</Words>
  <Characters>10625</Characters>
  <Lines>88</Lines>
  <Paragraphs>24</Paragraphs>
  <TotalTime>2</TotalTime>
  <ScaleCrop>false</ScaleCrop>
  <LinksUpToDate>false</LinksUpToDate>
  <CharactersWithSpaces>12465</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user</cp:lastModifiedBy>
  <cp:lastPrinted>2021-09-09T15:24:00Z</cp:lastPrinted>
  <dcterms:modified xsi:type="dcterms:W3CDTF">2022-11-14T10:29:15Z</dcterms:modified>
  <dc:title>四川省***</dc:title>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