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关于四川省人力资源和社会保障厅</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（规划财务处）预决算公开的说明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厅下设预算单位313901—四川省人力资源和社会保障厅（规划财务处），系为与厅机关自身人员、项目等支出区分，核算四川省专业技术人才队伍建设资金、四川省博士后专项资金、“天府学者”特聘专家岗位资助经费等专项支出，而设立的虚拟预算单位，非独立法人机构。除上述项目支出外，无相关人员、运转项目等经费支出。上述项目相关预决算情况已在人力资源社会保障厅部门预决算公开中反映。</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yNDg1N2ZkZTE3YzVkNDA1ODdmMTI2NzNhMjQzZGYifQ=="/>
  </w:docVars>
  <w:rsids>
    <w:rsidRoot w:val="7BF4FFFA"/>
    <w:rsid w:val="481B60EA"/>
    <w:rsid w:val="717F0668"/>
    <w:rsid w:val="7BF4FFFA"/>
    <w:rsid w:val="DE69DD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233</Words>
  <Characters>242</Characters>
  <Lines>0</Lines>
  <Paragraphs>0</Paragraphs>
  <TotalTime>9</TotalTime>
  <ScaleCrop>false</ScaleCrop>
  <LinksUpToDate>false</LinksUpToDate>
  <CharactersWithSpaces>342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2022-07-26T23:32:00Z</dcterms:created>
  <dc:creator>user</dc:creator>
  <cp:lastModifiedBy>WPS_1602144768</cp:lastModifiedBy>
  <cp:lastPrinted>2022-07-26T17:12:00Z</cp:lastPrinted>
  <dcterms:modified xsi:type="dcterms:W3CDTF">2022-07-29T02:07:38Z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D4D99C2A9F4D40EEB165A7F92126C070</vt:lpwstr>
  </property>
</Properties>
</file>