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1300" w:lineRule="exact"/>
        <w:jc w:val="center"/>
        <w:outlineLvl w:val="0"/>
        <w:rPr>
          <w:rFonts w:ascii="方正小标宋简体" w:hAnsi="宋体" w:eastAsia="方正小标宋简体"/>
          <w:sz w:val="72"/>
          <w:szCs w:val="72"/>
        </w:rPr>
      </w:pPr>
      <w:bookmarkStart w:id="1" w:name="_Toc15396597"/>
      <w:bookmarkStart w:id="2" w:name="_Toc15396475"/>
      <w:bookmarkStart w:id="3" w:name="_Toc15377425"/>
      <w:bookmarkStart w:id="4" w:name="_Toc15377193"/>
      <w:bookmarkStart w:id="5" w:name="_Toc15378441"/>
      <w:bookmarkStart w:id="6" w:name="_Toc81680704"/>
      <w:r>
        <w:rPr>
          <w:rFonts w:ascii="黑体" w:hAnsi="黑体" w:eastAsia="黑体" w:cs="黑体"/>
          <w:sz w:val="72"/>
          <w:szCs w:val="72"/>
        </w:rPr>
        <w:t>2020</w:t>
      </w:r>
      <w:r>
        <w:rPr>
          <w:rFonts w:hint="eastAsia" w:ascii="方正小标宋简体" w:hAnsi="宋体" w:eastAsia="方正小标宋简体" w:cs="方正小标宋简体"/>
          <w:sz w:val="72"/>
          <w:szCs w:val="72"/>
        </w:rPr>
        <w:t>年度</w:t>
      </w:r>
      <w:bookmarkEnd w:id="1"/>
      <w:bookmarkEnd w:id="2"/>
      <w:bookmarkEnd w:id="3"/>
      <w:bookmarkEnd w:id="4"/>
      <w:bookmarkEnd w:id="5"/>
      <w:bookmarkEnd w:id="6"/>
    </w:p>
    <w:p>
      <w:pPr>
        <w:adjustRightInd w:val="0"/>
        <w:snapToGrid w:val="0"/>
        <w:spacing w:line="1300" w:lineRule="exact"/>
        <w:jc w:val="center"/>
        <w:outlineLvl w:val="0"/>
        <w:rPr>
          <w:rFonts w:ascii="方正小标宋简体" w:hAnsi="宋体" w:eastAsia="方正小标宋简体"/>
          <w:sz w:val="72"/>
          <w:szCs w:val="72"/>
        </w:rPr>
      </w:pPr>
      <w:bookmarkStart w:id="7" w:name="_Toc81680705"/>
      <w:bookmarkStart w:id="8" w:name="_Toc15396476"/>
      <w:bookmarkStart w:id="9" w:name="_Toc15396598"/>
      <w:bookmarkStart w:id="10" w:name="_Toc15377426"/>
      <w:bookmarkStart w:id="11" w:name="_Toc15377194"/>
      <w:bookmarkStart w:id="12" w:name="_Toc15378442"/>
      <w:r>
        <w:rPr>
          <w:rFonts w:hint="eastAsia" w:ascii="方正小标宋简体" w:hAnsi="宋体" w:eastAsia="方正小标宋简体" w:cs="方正小标宋简体"/>
          <w:spacing w:val="-20"/>
          <w:sz w:val="72"/>
          <w:szCs w:val="72"/>
        </w:rPr>
        <w:t>四川省</w:t>
      </w:r>
      <w:bookmarkEnd w:id="0"/>
      <w:bookmarkStart w:id="13" w:name="_Toc15306268"/>
      <w:r>
        <w:rPr>
          <w:rFonts w:hint="eastAsia" w:ascii="方正小标宋简体" w:hAnsi="宋体" w:eastAsia="方正小标宋简体" w:cs="方正小标宋简体"/>
          <w:spacing w:val="-20"/>
          <w:sz w:val="72"/>
          <w:szCs w:val="72"/>
        </w:rPr>
        <w:t>人力资源和社会保</w:t>
      </w:r>
      <w:r>
        <w:rPr>
          <w:rFonts w:hint="eastAsia" w:ascii="方正小标宋简体" w:hAnsi="宋体" w:eastAsia="方正小标宋简体" w:cs="方正小标宋简体"/>
          <w:sz w:val="72"/>
          <w:szCs w:val="72"/>
        </w:rPr>
        <w:t>障科学研究所</w:t>
      </w:r>
      <w:bookmarkEnd w:id="7"/>
    </w:p>
    <w:p>
      <w:pPr>
        <w:adjustRightInd w:val="0"/>
        <w:snapToGrid w:val="0"/>
        <w:spacing w:line="1300" w:lineRule="exact"/>
        <w:jc w:val="center"/>
        <w:outlineLvl w:val="0"/>
        <w:rPr>
          <w:rFonts w:ascii="方正小标宋简体" w:hAnsi="宋体" w:eastAsia="方正小标宋简体"/>
          <w:sz w:val="72"/>
          <w:szCs w:val="72"/>
        </w:rPr>
      </w:pPr>
      <w:bookmarkStart w:id="14" w:name="_Toc81680706"/>
      <w:r>
        <w:rPr>
          <w:rFonts w:hint="eastAsia" w:ascii="方正小标宋简体" w:hAnsi="宋体" w:eastAsia="方正小标宋简体" w:cs="方正小标宋简体"/>
          <w:sz w:val="72"/>
          <w:szCs w:val="72"/>
        </w:rPr>
        <w:t>单位决算</w:t>
      </w:r>
      <w:bookmarkEnd w:id="8"/>
      <w:bookmarkEnd w:id="9"/>
      <w:bookmarkEnd w:id="10"/>
      <w:bookmarkEnd w:id="11"/>
      <w:bookmarkEnd w:id="12"/>
      <w:bookmarkEnd w:id="13"/>
      <w:bookmarkEnd w:id="14"/>
    </w:p>
    <w:p>
      <w:pPr>
        <w:pStyle w:val="2"/>
        <w:spacing w:before="93"/>
        <w:jc w:val="center"/>
        <w:rPr>
          <w:rFonts w:cs="Times New Roman"/>
        </w:rPr>
      </w:pPr>
      <w:r>
        <w:rPr>
          <w:rFonts w:cs="Times New Roman"/>
        </w:rPr>
        <w:br w:type="page"/>
      </w:r>
    </w:p>
    <w:p>
      <w:pPr>
        <w:pStyle w:val="2"/>
        <w:spacing w:before="93"/>
        <w:jc w:val="center"/>
        <w:rPr>
          <w:rFonts w:ascii="黑体" w:hAnsi="黑体" w:eastAsia="黑体" w:cs="Times New Roman"/>
          <w:sz w:val="48"/>
          <w:szCs w:val="48"/>
        </w:rPr>
      </w:pPr>
      <w:r>
        <w:rPr>
          <w:rFonts w:hint="eastAsia" w:ascii="黑体" w:hAnsi="黑体" w:eastAsia="黑体" w:cs="黑体"/>
          <w:sz w:val="48"/>
          <w:szCs w:val="48"/>
        </w:rPr>
        <w:t>目录</w:t>
      </w:r>
    </w:p>
    <w:p>
      <w:pPr>
        <w:widowControl/>
        <w:jc w:val="center"/>
        <w:rPr>
          <w:rFonts w:ascii="黑体" w:hAnsi="黑体" w:eastAsia="黑体"/>
          <w:sz w:val="28"/>
          <w:szCs w:val="28"/>
        </w:rPr>
      </w:pPr>
    </w:p>
    <w:p>
      <w:pPr>
        <w:pStyle w:val="10"/>
        <w:rPr>
          <w:rFonts w:cs="Times New Roman"/>
        </w:rPr>
      </w:pPr>
      <w:bookmarkStart w:id="114" w:name="_GoBack"/>
      <w:bookmarkEnd w:id="114"/>
      <w:r>
        <w:rPr>
          <w:rFonts w:hint="eastAsia"/>
        </w:rPr>
        <w:t>公开时间：</w:t>
      </w:r>
      <w:r>
        <w:t>2021</w:t>
      </w:r>
      <w:r>
        <w:rPr>
          <w:rFonts w:hint="eastAsia"/>
        </w:rPr>
        <w:t>年</w:t>
      </w:r>
      <w:r>
        <w:t>9</w:t>
      </w:r>
      <w:r>
        <w:rPr>
          <w:rFonts w:hint="eastAsia"/>
        </w:rPr>
        <w:t>月</w:t>
      </w:r>
      <w:r>
        <w:t>10</w:t>
      </w:r>
      <w:r>
        <w:rPr>
          <w:rFonts w:hint="eastAsia"/>
        </w:rPr>
        <w:t>日</w:t>
      </w:r>
      <w:r>
        <w:fldChar w:fldCharType="begin"/>
      </w:r>
      <w:r>
        <w:instrText xml:space="preserve"> TOC \o "1-3" \h \z \u </w:instrText>
      </w:r>
      <w:r>
        <w:fldChar w:fldCharType="separate"/>
      </w:r>
    </w:p>
    <w:p>
      <w:pPr>
        <w:pStyle w:val="10"/>
        <w:rPr>
          <w:rFonts w:cs="Times New Roman"/>
        </w:rPr>
      </w:pPr>
      <w:r>
        <w:fldChar w:fldCharType="begin"/>
      </w:r>
      <w:r>
        <w:instrText xml:space="preserve"> HYPERLINK \l "_Toc81680707" </w:instrText>
      </w:r>
      <w:r>
        <w:fldChar w:fldCharType="separate"/>
      </w:r>
      <w:r>
        <w:rPr>
          <w:rStyle w:val="16"/>
          <w:rFonts w:hint="eastAsia"/>
          <w:b/>
          <w:bCs/>
        </w:rPr>
        <w:t>第一部分</w:t>
      </w:r>
      <w:r>
        <w:rPr>
          <w:rStyle w:val="16"/>
          <w:b/>
          <w:bCs/>
        </w:rPr>
        <w:t xml:space="preserve"> </w:t>
      </w:r>
      <w:r>
        <w:rPr>
          <w:rStyle w:val="16"/>
          <w:rFonts w:hint="eastAsia"/>
          <w:b/>
          <w:bCs/>
        </w:rPr>
        <w:t>单位概况</w:t>
      </w:r>
      <w:r>
        <w:rPr>
          <w:rFonts w:cs="Times New Roman"/>
        </w:rPr>
        <w:tab/>
      </w:r>
      <w:r>
        <w:fldChar w:fldCharType="begin"/>
      </w:r>
      <w:r>
        <w:instrText xml:space="preserve"> PAGEREF _Toc81680707 \h </w:instrText>
      </w:r>
      <w:r>
        <w:fldChar w:fldCharType="separate"/>
      </w:r>
      <w:r>
        <w:t>1</w:t>
      </w:r>
      <w:r>
        <w:fldChar w:fldCharType="end"/>
      </w:r>
      <w:r>
        <w:fldChar w:fldCharType="end"/>
      </w:r>
    </w:p>
    <w:p>
      <w:pPr>
        <w:pStyle w:val="12"/>
        <w:ind w:left="31680"/>
        <w:rPr>
          <w:rFonts w:ascii="仿宋" w:hAnsi="仿宋" w:eastAsia="仿宋"/>
          <w:sz w:val="28"/>
          <w:szCs w:val="28"/>
        </w:rPr>
      </w:pPr>
      <w:r>
        <w:fldChar w:fldCharType="begin"/>
      </w:r>
      <w:r>
        <w:instrText xml:space="preserve"> HYPERLINK \l "_Toc81680708" </w:instrText>
      </w:r>
      <w:r>
        <w:fldChar w:fldCharType="separate"/>
      </w:r>
      <w:r>
        <w:rPr>
          <w:rStyle w:val="16"/>
          <w:rFonts w:hint="eastAsia" w:ascii="仿宋" w:hAnsi="仿宋" w:eastAsia="仿宋" w:cs="仿宋"/>
          <w:sz w:val="28"/>
          <w:szCs w:val="28"/>
        </w:rPr>
        <w:t>一、职能简介</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_Toc81680708 \h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cs="仿宋"/>
          <w:sz w:val="28"/>
          <w:szCs w:val="28"/>
        </w:rPr>
      </w:pPr>
      <w:r>
        <w:fldChar w:fldCharType="begin"/>
      </w:r>
      <w:r>
        <w:instrText xml:space="preserve"> HYPERLINK \l "_Toc81680710" </w:instrText>
      </w:r>
      <w:r>
        <w:fldChar w:fldCharType="separate"/>
      </w:r>
      <w:r>
        <w:rPr>
          <w:rStyle w:val="16"/>
          <w:rFonts w:hint="eastAsia" w:ascii="仿宋" w:hAnsi="仿宋" w:eastAsia="仿宋" w:cs="仿宋"/>
          <w:sz w:val="28"/>
          <w:szCs w:val="28"/>
        </w:rPr>
        <w:t>二、</w:t>
      </w:r>
      <w:r>
        <w:rPr>
          <w:rStyle w:val="16"/>
          <w:rFonts w:ascii="仿宋" w:hAnsi="仿宋" w:eastAsia="仿宋" w:cs="仿宋"/>
          <w:sz w:val="28"/>
          <w:szCs w:val="28"/>
        </w:rPr>
        <w:t>2020</w:t>
      </w:r>
      <w:r>
        <w:rPr>
          <w:rStyle w:val="16"/>
          <w:rFonts w:hint="eastAsia" w:ascii="仿宋" w:hAnsi="仿宋" w:eastAsia="仿宋" w:cs="仿宋"/>
          <w:sz w:val="28"/>
          <w:szCs w:val="28"/>
        </w:rPr>
        <w:t>年重点工作完成情况</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_Toc81680710 \h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cs="仿宋"/>
          <w:sz w:val="28"/>
          <w:szCs w:val="28"/>
        </w:rPr>
      </w:pPr>
      <w:r>
        <w:fldChar w:fldCharType="begin"/>
      </w:r>
      <w:r>
        <w:instrText xml:space="preserve"> HYPERLINK \l "_Toc81680710" </w:instrText>
      </w:r>
      <w:r>
        <w:fldChar w:fldCharType="separate"/>
      </w:r>
      <w:r>
        <w:rPr>
          <w:rStyle w:val="16"/>
          <w:rFonts w:hint="eastAsia" w:ascii="仿宋" w:hAnsi="仿宋" w:eastAsia="仿宋" w:cs="仿宋"/>
          <w:sz w:val="28"/>
          <w:szCs w:val="28"/>
          <w:lang w:eastAsia="zh-CN"/>
        </w:rPr>
        <w:t>三</w:t>
      </w:r>
      <w:r>
        <w:rPr>
          <w:rStyle w:val="16"/>
          <w:rFonts w:hint="eastAsia" w:ascii="仿宋" w:hAnsi="仿宋" w:eastAsia="仿宋" w:cs="仿宋"/>
          <w:sz w:val="28"/>
          <w:szCs w:val="28"/>
        </w:rPr>
        <w:t>、</w:t>
      </w:r>
      <w:r>
        <w:rPr>
          <w:rStyle w:val="16"/>
          <w:rFonts w:hint="eastAsia" w:ascii="仿宋" w:hAnsi="仿宋" w:eastAsia="仿宋" w:cs="仿宋"/>
          <w:sz w:val="28"/>
          <w:szCs w:val="28"/>
          <w:lang w:eastAsia="zh-CN"/>
        </w:rPr>
        <w:t>机构设置</w:t>
      </w:r>
      <w:r>
        <w:rPr>
          <w:rStyle w:val="16"/>
          <w:rFonts w:hint="eastAsia" w:ascii="仿宋" w:hAnsi="仿宋" w:eastAsia="仿宋" w:cs="仿宋"/>
          <w:sz w:val="28"/>
          <w:szCs w:val="28"/>
        </w:rPr>
        <w:t>情况</w:t>
      </w:r>
      <w:r>
        <w:rPr>
          <w:rFonts w:ascii="仿宋" w:hAnsi="仿宋" w:eastAsia="仿宋"/>
          <w:sz w:val="28"/>
          <w:szCs w:val="28"/>
        </w:rPr>
        <w:tab/>
      </w:r>
      <w:r>
        <w:rPr>
          <w:rFonts w:hint="eastAsia" w:ascii="仿宋" w:hAnsi="仿宋" w:eastAsia="仿宋" w:cs="仿宋"/>
          <w:sz w:val="28"/>
          <w:szCs w:val="28"/>
          <w:lang w:val="en-US" w:eastAsia="zh-CN"/>
        </w:rPr>
        <w:t>3</w:t>
      </w:r>
      <w:r>
        <w:rPr>
          <w:rFonts w:ascii="仿宋" w:hAnsi="仿宋" w:eastAsia="仿宋" w:cs="仿宋"/>
          <w:sz w:val="28"/>
          <w:szCs w:val="28"/>
        </w:rPr>
        <w:fldChar w:fldCharType="end"/>
      </w:r>
    </w:p>
    <w:p>
      <w:pPr>
        <w:pStyle w:val="10"/>
        <w:rPr>
          <w:rFonts w:cs="Times New Roman"/>
        </w:rPr>
      </w:pPr>
      <w:r>
        <w:fldChar w:fldCharType="begin"/>
      </w:r>
      <w:r>
        <w:instrText xml:space="preserve"> HYPERLINK \l "_Toc81680711" </w:instrText>
      </w:r>
      <w:r>
        <w:fldChar w:fldCharType="separate"/>
      </w:r>
      <w:r>
        <w:rPr>
          <w:rStyle w:val="16"/>
          <w:rFonts w:hint="eastAsia"/>
          <w:b/>
          <w:bCs/>
        </w:rPr>
        <w:t>第二部分</w:t>
      </w:r>
      <w:r>
        <w:rPr>
          <w:rStyle w:val="16"/>
          <w:b/>
          <w:bCs/>
        </w:rPr>
        <w:t xml:space="preserve"> 2020</w:t>
      </w:r>
      <w:r>
        <w:rPr>
          <w:rStyle w:val="16"/>
          <w:rFonts w:hint="eastAsia"/>
          <w:b/>
          <w:bCs/>
        </w:rPr>
        <w:t>年度单位决算情况说明</w:t>
      </w:r>
      <w:r>
        <w:rPr>
          <w:rFonts w:cs="Times New Roman"/>
        </w:rPr>
        <w:tab/>
      </w:r>
      <w:r>
        <w:fldChar w:fldCharType="begin"/>
      </w:r>
      <w:r>
        <w:instrText xml:space="preserve"> PAGEREF _Toc81680711 \h </w:instrText>
      </w:r>
      <w:r>
        <w:fldChar w:fldCharType="separate"/>
      </w:r>
      <w:r>
        <w:t>4</w:t>
      </w:r>
      <w:r>
        <w:fldChar w:fldCharType="end"/>
      </w:r>
      <w:r>
        <w:fldChar w:fldCharType="end"/>
      </w:r>
    </w:p>
    <w:p>
      <w:pPr>
        <w:pStyle w:val="12"/>
        <w:ind w:left="31680"/>
        <w:rPr>
          <w:rFonts w:ascii="仿宋" w:hAnsi="仿宋" w:eastAsia="仿宋"/>
          <w:sz w:val="28"/>
          <w:szCs w:val="28"/>
        </w:rPr>
      </w:pPr>
      <w:r>
        <w:fldChar w:fldCharType="begin"/>
      </w:r>
      <w:r>
        <w:instrText xml:space="preserve"> HYPERLINK \l "_Toc81680712" </w:instrText>
      </w:r>
      <w:r>
        <w:fldChar w:fldCharType="separate"/>
      </w:r>
      <w:r>
        <w:rPr>
          <w:rStyle w:val="16"/>
          <w:rFonts w:hint="eastAsia" w:ascii="仿宋" w:hAnsi="仿宋" w:eastAsia="仿宋" w:cs="仿宋"/>
          <w:sz w:val="28"/>
          <w:szCs w:val="28"/>
        </w:rPr>
        <w:t>一、收入支出决算总体情况说明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_Toc81680712 \h </w:instrText>
      </w:r>
      <w:r>
        <w:rPr>
          <w:rFonts w:ascii="仿宋" w:hAnsi="仿宋" w:eastAsia="仿宋" w:cs="仿宋"/>
          <w:sz w:val="28"/>
          <w:szCs w:val="28"/>
        </w:rPr>
        <w:fldChar w:fldCharType="separate"/>
      </w:r>
      <w:r>
        <w:rPr>
          <w:rFonts w:ascii="仿宋" w:hAnsi="仿宋" w:eastAsia="仿宋" w:cs="仿宋"/>
          <w:sz w:val="28"/>
          <w:szCs w:val="28"/>
        </w:rPr>
        <w:t>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"_Toc81680713" </w:instrText>
      </w:r>
      <w:r>
        <w:fldChar w:fldCharType="separate"/>
      </w:r>
      <w:r>
        <w:rPr>
          <w:rStyle w:val="16"/>
          <w:rFonts w:hint="eastAsia" w:ascii="仿宋" w:hAnsi="仿宋" w:eastAsia="仿宋" w:cs="仿宋"/>
          <w:sz w:val="28"/>
          <w:szCs w:val="28"/>
        </w:rPr>
        <w:t>二、收入决算情况说明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_Toc81680713 \h </w:instrText>
      </w:r>
      <w:r>
        <w:rPr>
          <w:rFonts w:ascii="仿宋" w:hAnsi="仿宋" w:eastAsia="仿宋" w:cs="仿宋"/>
          <w:sz w:val="28"/>
          <w:szCs w:val="28"/>
        </w:rPr>
        <w:fldChar w:fldCharType="separate"/>
      </w:r>
      <w:r>
        <w:rPr>
          <w:rFonts w:ascii="仿宋" w:hAnsi="仿宋" w:eastAsia="仿宋" w:cs="仿宋"/>
          <w:sz w:val="28"/>
          <w:szCs w:val="28"/>
        </w:rPr>
        <w:t>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"_Toc81680715" </w:instrText>
      </w:r>
      <w:r>
        <w:fldChar w:fldCharType="separate"/>
      </w:r>
      <w:r>
        <w:rPr>
          <w:rStyle w:val="16"/>
          <w:rFonts w:hint="eastAsia" w:ascii="仿宋" w:hAnsi="仿宋" w:eastAsia="仿宋" w:cs="仿宋"/>
          <w:sz w:val="28"/>
          <w:szCs w:val="28"/>
        </w:rPr>
        <w:t>三、支出决算情况说明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_Toc81680715 \h </w:instrText>
      </w:r>
      <w:r>
        <w:rPr>
          <w:rFonts w:ascii="仿宋" w:hAnsi="仿宋" w:eastAsia="仿宋" w:cs="仿宋"/>
          <w:sz w:val="28"/>
          <w:szCs w:val="28"/>
        </w:rPr>
        <w:fldChar w:fldCharType="separate"/>
      </w:r>
      <w:r>
        <w:rPr>
          <w:rFonts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"_Toc81680717" </w:instrText>
      </w:r>
      <w:r>
        <w:fldChar w:fldCharType="separate"/>
      </w:r>
      <w:r>
        <w:rPr>
          <w:rStyle w:val="16"/>
          <w:rFonts w:hint="eastAsia" w:ascii="仿宋" w:hAnsi="仿宋" w:eastAsia="仿宋" w:cs="仿宋"/>
          <w:sz w:val="28"/>
          <w:szCs w:val="28"/>
        </w:rPr>
        <w:t>四、财政拨款收入支出决算总体情况说明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_Toc81680717 \h </w:instrText>
      </w:r>
      <w:r>
        <w:rPr>
          <w:rFonts w:ascii="仿宋" w:hAnsi="仿宋" w:eastAsia="仿宋" w:cs="仿宋"/>
          <w:sz w:val="28"/>
          <w:szCs w:val="28"/>
        </w:rPr>
        <w:fldChar w:fldCharType="separate"/>
      </w:r>
      <w:r>
        <w:rPr>
          <w:rFonts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"_Toc81680718" </w:instrText>
      </w:r>
      <w:r>
        <w:fldChar w:fldCharType="separate"/>
      </w:r>
      <w:r>
        <w:rPr>
          <w:rStyle w:val="16"/>
          <w:rFonts w:hint="eastAsia" w:ascii="仿宋" w:hAnsi="仿宋" w:eastAsia="仿宋" w:cs="仿宋"/>
          <w:sz w:val="28"/>
          <w:szCs w:val="28"/>
        </w:rPr>
        <w:t>五、</w:t>
      </w:r>
      <w:r>
        <w:rPr>
          <w:rStyle w:val="16"/>
          <w:rFonts w:hint="eastAsia" w:ascii="仿宋" w:hAnsi="仿宋" w:eastAsia="仿宋" w:cs="仿宋"/>
          <w:b/>
          <w:bCs/>
          <w:sz w:val="28"/>
          <w:szCs w:val="28"/>
        </w:rPr>
        <w:t>一</w:t>
      </w:r>
      <w:r>
        <w:rPr>
          <w:rStyle w:val="16"/>
          <w:rFonts w:hint="eastAsia" w:ascii="仿宋" w:hAnsi="仿宋" w:eastAsia="仿宋" w:cs="仿宋"/>
          <w:sz w:val="28"/>
          <w:szCs w:val="28"/>
        </w:rPr>
        <w:t>般公共预算财政拨款支出决算情况说明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_Toc81680718 \h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"_Toc81680723" </w:instrText>
      </w:r>
      <w:r>
        <w:fldChar w:fldCharType="separate"/>
      </w:r>
      <w:r>
        <w:rPr>
          <w:rStyle w:val="16"/>
          <w:rFonts w:hint="eastAsia" w:ascii="仿宋" w:hAnsi="仿宋" w:eastAsia="仿宋" w:cs="仿宋"/>
          <w:sz w:val="28"/>
          <w:szCs w:val="28"/>
        </w:rPr>
        <w:t>六、</w:t>
      </w:r>
      <w:r>
        <w:rPr>
          <w:rStyle w:val="16"/>
          <w:rFonts w:hint="eastAsia" w:ascii="仿宋" w:hAnsi="仿宋" w:eastAsia="仿宋" w:cs="仿宋"/>
          <w:b/>
          <w:bCs/>
          <w:sz w:val="28"/>
          <w:szCs w:val="28"/>
        </w:rPr>
        <w:t>一</w:t>
      </w:r>
      <w:r>
        <w:rPr>
          <w:rStyle w:val="16"/>
          <w:rFonts w:hint="eastAsia" w:ascii="仿宋" w:hAnsi="仿宋" w:eastAsia="仿宋" w:cs="仿宋"/>
          <w:sz w:val="28"/>
          <w:szCs w:val="28"/>
        </w:rPr>
        <w:t>般公共预算财政拨款基本支出决算情况说明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_Toc81680723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"_Toc81680724" </w:instrText>
      </w:r>
      <w:r>
        <w:fldChar w:fldCharType="separate"/>
      </w:r>
      <w:r>
        <w:rPr>
          <w:rStyle w:val="16"/>
          <w:rFonts w:hint="eastAsia" w:ascii="仿宋" w:hAnsi="仿宋" w:eastAsia="仿宋" w:cs="仿宋"/>
          <w:sz w:val="28"/>
          <w:szCs w:val="28"/>
        </w:rPr>
        <w:t>七、“三公”经费财政拨款支出决算情况说明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_Toc81680724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"_Toc81680727" </w:instrText>
      </w:r>
      <w:r>
        <w:fldChar w:fldCharType="separate"/>
      </w:r>
      <w:r>
        <w:rPr>
          <w:rStyle w:val="16"/>
          <w:rFonts w:hint="eastAsia" w:ascii="仿宋" w:hAnsi="仿宋" w:eastAsia="仿宋" w:cs="仿宋"/>
          <w:sz w:val="28"/>
          <w:szCs w:val="28"/>
        </w:rPr>
        <w:t>八、政府性基金预算支出决算情况说明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_Toc81680727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"_Toc81680728" </w:instrText>
      </w:r>
      <w:r>
        <w:fldChar w:fldCharType="separate"/>
      </w:r>
      <w:r>
        <w:rPr>
          <w:rStyle w:val="16"/>
          <w:rFonts w:hint="eastAsia" w:ascii="仿宋" w:hAnsi="仿宋" w:eastAsia="仿宋" w:cs="仿宋"/>
          <w:sz w:val="28"/>
          <w:szCs w:val="28"/>
        </w:rPr>
        <w:t>九、国有资本经营预算支出决算情况说明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_Toc81680728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"_Toc81680729" </w:instrText>
      </w:r>
      <w:r>
        <w:fldChar w:fldCharType="separate"/>
      </w:r>
      <w:r>
        <w:rPr>
          <w:rStyle w:val="16"/>
          <w:rFonts w:hint="eastAsia" w:ascii="仿宋" w:hAnsi="仿宋" w:eastAsia="仿宋" w:cs="仿宋"/>
          <w:sz w:val="28"/>
          <w:szCs w:val="28"/>
        </w:rPr>
        <w:t>十、其他重要事项的情况说明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_Toc81680729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"_Toc81680734" </w:instrText>
      </w:r>
      <w:r>
        <w:fldChar w:fldCharType="separate"/>
      </w:r>
      <w:r>
        <w:rPr>
          <w:rStyle w:val="16"/>
          <w:rFonts w:hint="eastAsia"/>
          <w:b/>
          <w:bCs/>
          <w:kern w:val="44"/>
        </w:rPr>
        <w:t>第三部分</w:t>
      </w:r>
      <w:r>
        <w:rPr>
          <w:rStyle w:val="16"/>
          <w:b/>
          <w:bCs/>
        </w:rPr>
        <w:t xml:space="preserve"> </w:t>
      </w:r>
      <w:r>
        <w:rPr>
          <w:rStyle w:val="16"/>
          <w:rFonts w:hint="eastAsia"/>
          <w:b/>
          <w:bCs/>
        </w:rPr>
        <w:t>名</w:t>
      </w:r>
      <w:r>
        <w:rPr>
          <w:rStyle w:val="16"/>
          <w:rFonts w:hint="eastAsia"/>
          <w:b/>
          <w:bCs/>
          <w:kern w:val="44"/>
        </w:rPr>
        <w:t>词解释</w:t>
      </w:r>
      <w:r>
        <w:rPr>
          <w:rFonts w:cs="Times New Roman"/>
        </w:rPr>
        <w:tab/>
      </w:r>
      <w:r>
        <w:fldChar w:fldCharType="begin"/>
      </w:r>
      <w:r>
        <w:instrText xml:space="preserve"> PAGEREF _Toc81680734 \h </w:instrText>
      </w:r>
      <w:r>
        <w:fldChar w:fldCharType="separate"/>
      </w:r>
      <w:r>
        <w:t>12</w:t>
      </w:r>
      <w:r>
        <w:fldChar w:fldCharType="end"/>
      </w:r>
      <w:r>
        <w:fldChar w:fldCharType="end"/>
      </w:r>
    </w:p>
    <w:p>
      <w:pPr>
        <w:pStyle w:val="10"/>
        <w:rPr>
          <w:rFonts w:cs="Times New Roman"/>
        </w:rPr>
      </w:pPr>
      <w:r>
        <w:fldChar w:fldCharType="begin"/>
      </w:r>
      <w:r>
        <w:instrText xml:space="preserve"> HYPERLINK \l "_Toc81680735" </w:instrText>
      </w:r>
      <w:r>
        <w:fldChar w:fldCharType="separate"/>
      </w:r>
      <w:r>
        <w:rPr>
          <w:rStyle w:val="16"/>
          <w:rFonts w:hint="eastAsia"/>
          <w:b/>
          <w:bCs/>
        </w:rPr>
        <w:t>第</w:t>
      </w:r>
      <w:r>
        <w:rPr>
          <w:rStyle w:val="16"/>
          <w:rFonts w:hint="eastAsia"/>
          <w:b/>
          <w:bCs/>
          <w:kern w:val="44"/>
        </w:rPr>
        <w:t>四部分</w:t>
      </w:r>
      <w:r>
        <w:rPr>
          <w:rStyle w:val="16"/>
          <w:b/>
          <w:bCs/>
          <w:kern w:val="44"/>
        </w:rPr>
        <w:t xml:space="preserve"> </w:t>
      </w:r>
      <w:r>
        <w:rPr>
          <w:rStyle w:val="16"/>
          <w:rFonts w:hint="eastAsia"/>
          <w:b/>
          <w:bCs/>
          <w:kern w:val="44"/>
        </w:rPr>
        <w:t>附件</w:t>
      </w:r>
      <w:r>
        <w:rPr>
          <w:rFonts w:cs="Times New Roman"/>
        </w:rPr>
        <w:tab/>
      </w:r>
      <w:r>
        <w:fldChar w:fldCharType="begin"/>
      </w:r>
      <w:r>
        <w:instrText xml:space="preserve"> PAGEREF _Toc81680735 \h </w:instrText>
      </w:r>
      <w:r>
        <w:fldChar w:fldCharType="separate"/>
      </w:r>
      <w:r>
        <w:t>15</w:t>
      </w:r>
      <w:r>
        <w:fldChar w:fldCharType="end"/>
      </w:r>
      <w:r>
        <w:fldChar w:fldCharType="end"/>
      </w:r>
    </w:p>
    <w:p>
      <w:pPr>
        <w:pStyle w:val="10"/>
        <w:rPr>
          <w:rFonts w:cs="Times New Roman"/>
        </w:rPr>
      </w:pPr>
      <w:r>
        <w:fldChar w:fldCharType="begin"/>
      </w:r>
      <w:r>
        <w:instrText xml:space="preserve"> HYPERLINK \l "_Toc81680736" </w:instrText>
      </w:r>
      <w:r>
        <w:fldChar w:fldCharType="separate"/>
      </w:r>
      <w:r>
        <w:rPr>
          <w:rStyle w:val="16"/>
          <w:rFonts w:hint="eastAsia"/>
          <w:b/>
          <w:bCs/>
        </w:rPr>
        <w:t>第</w:t>
      </w:r>
      <w:r>
        <w:rPr>
          <w:rStyle w:val="16"/>
          <w:rFonts w:hint="eastAsia"/>
          <w:b/>
          <w:bCs/>
          <w:kern w:val="44"/>
        </w:rPr>
        <w:t>五部分</w:t>
      </w:r>
      <w:r>
        <w:rPr>
          <w:rStyle w:val="16"/>
          <w:b/>
          <w:bCs/>
          <w:kern w:val="44"/>
        </w:rPr>
        <w:t xml:space="preserve"> </w:t>
      </w:r>
      <w:r>
        <w:rPr>
          <w:rStyle w:val="16"/>
          <w:rFonts w:hint="eastAsia"/>
          <w:b/>
          <w:bCs/>
          <w:kern w:val="44"/>
        </w:rPr>
        <w:t>附表</w:t>
      </w:r>
      <w:r>
        <w:rPr>
          <w:rFonts w:cs="Times New Roman"/>
        </w:rPr>
        <w:tab/>
      </w:r>
      <w:r>
        <w:fldChar w:fldCharType="begin"/>
      </w:r>
      <w:r>
        <w:instrText xml:space="preserve"> PAGEREF _Toc81680736 \h </w:instrText>
      </w:r>
      <w:r>
        <w:fldChar w:fldCharType="separate"/>
      </w:r>
      <w:r>
        <w:t>16</w:t>
      </w:r>
      <w:r>
        <w:fldChar w:fldCharType="end"/>
      </w:r>
      <w:r>
        <w:fldChar w:fldCharType="end"/>
      </w:r>
    </w:p>
    <w:p>
      <w:pPr>
        <w:pStyle w:val="12"/>
        <w:ind w:left="31680"/>
        <w:rPr>
          <w:rFonts w:ascii="仿宋" w:hAnsi="仿宋" w:eastAsia="仿宋"/>
          <w:sz w:val="28"/>
          <w:szCs w:val="28"/>
        </w:rPr>
      </w:pPr>
      <w:r>
        <w:fldChar w:fldCharType="begin"/>
      </w:r>
      <w:r>
        <w:instrText xml:space="preserve"> HYPERLINK \l "_Toc81680737" </w:instrText>
      </w:r>
      <w:r>
        <w:fldChar w:fldCharType="separate"/>
      </w:r>
      <w:r>
        <w:rPr>
          <w:rStyle w:val="16"/>
          <w:rFonts w:hint="eastAsia" w:ascii="仿宋" w:hAnsi="仿宋" w:eastAsia="仿宋" w:cs="仿宋"/>
          <w:sz w:val="28"/>
          <w:szCs w:val="28"/>
        </w:rPr>
        <w:t>一、收入支出决算总表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_Toc81680737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"_Toc81680738" </w:instrText>
      </w:r>
      <w:r>
        <w:fldChar w:fldCharType="separate"/>
      </w:r>
      <w:r>
        <w:rPr>
          <w:rStyle w:val="16"/>
          <w:rFonts w:hint="eastAsia" w:ascii="仿宋" w:hAnsi="仿宋" w:eastAsia="仿宋" w:cs="仿宋"/>
          <w:sz w:val="28"/>
          <w:szCs w:val="28"/>
        </w:rPr>
        <w:t>二、收入决算表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_Toc81680738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"_Toc81680739" </w:instrText>
      </w:r>
      <w:r>
        <w:fldChar w:fldCharType="separate"/>
      </w:r>
      <w:r>
        <w:rPr>
          <w:rStyle w:val="16"/>
          <w:rFonts w:hint="eastAsia" w:ascii="仿宋" w:hAnsi="仿宋" w:eastAsia="仿宋" w:cs="仿宋"/>
          <w:sz w:val="28"/>
          <w:szCs w:val="28"/>
        </w:rPr>
        <w:t>三、支出决算表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_Toc81680739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"_Toc81680740" </w:instrText>
      </w:r>
      <w:r>
        <w:fldChar w:fldCharType="separate"/>
      </w:r>
      <w:r>
        <w:rPr>
          <w:rStyle w:val="16"/>
          <w:rFonts w:hint="eastAsia" w:ascii="仿宋" w:hAnsi="仿宋" w:eastAsia="仿宋" w:cs="仿宋"/>
          <w:sz w:val="28"/>
          <w:szCs w:val="28"/>
        </w:rPr>
        <w:t>四、财政拨款收入支出决算总表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_Toc81680740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"_Toc81680741" </w:instrText>
      </w:r>
      <w:r>
        <w:fldChar w:fldCharType="separate"/>
      </w:r>
      <w:r>
        <w:rPr>
          <w:rStyle w:val="16"/>
          <w:rFonts w:hint="eastAsia" w:ascii="仿宋" w:hAnsi="仿宋" w:eastAsia="仿宋" w:cs="仿宋"/>
          <w:sz w:val="28"/>
          <w:szCs w:val="28"/>
        </w:rPr>
        <w:t>五、财政拨款支出决算明细表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_Toc81680741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"_Toc81680742" </w:instrText>
      </w:r>
      <w:r>
        <w:fldChar w:fldCharType="separate"/>
      </w:r>
      <w:r>
        <w:rPr>
          <w:rStyle w:val="16"/>
          <w:rFonts w:hint="eastAsia" w:ascii="仿宋" w:hAnsi="仿宋" w:eastAsia="仿宋" w:cs="仿宋"/>
          <w:sz w:val="28"/>
          <w:szCs w:val="28"/>
        </w:rPr>
        <w:t>六、一般公共预算财政拨款支出决算表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_Toc81680742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"_Toc81680743" </w:instrText>
      </w:r>
      <w:r>
        <w:fldChar w:fldCharType="separate"/>
      </w:r>
      <w:r>
        <w:rPr>
          <w:rStyle w:val="16"/>
          <w:rFonts w:hint="eastAsia" w:ascii="仿宋" w:hAnsi="仿宋" w:eastAsia="仿宋" w:cs="仿宋"/>
          <w:sz w:val="28"/>
          <w:szCs w:val="28"/>
        </w:rPr>
        <w:t>七、一般公共预算财政拨款支出决算明细表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_Toc81680743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"_Toc81680744" </w:instrText>
      </w:r>
      <w:r>
        <w:fldChar w:fldCharType="separate"/>
      </w:r>
      <w:r>
        <w:rPr>
          <w:rStyle w:val="16"/>
          <w:rFonts w:hint="eastAsia" w:ascii="仿宋" w:hAnsi="仿宋" w:eastAsia="仿宋" w:cs="仿宋"/>
          <w:sz w:val="28"/>
          <w:szCs w:val="28"/>
        </w:rPr>
        <w:t>八、一般公共预算财政拨款基本支出决算表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_Toc81680744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"_Toc81680745" </w:instrText>
      </w:r>
      <w:r>
        <w:fldChar w:fldCharType="separate"/>
      </w:r>
      <w:r>
        <w:rPr>
          <w:rStyle w:val="16"/>
          <w:rFonts w:hint="eastAsia" w:ascii="仿宋" w:hAnsi="仿宋" w:eastAsia="仿宋" w:cs="仿宋"/>
          <w:sz w:val="28"/>
          <w:szCs w:val="28"/>
        </w:rPr>
        <w:t>九、一般公共预算财政拨款项目支出决算表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_Toc81680745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"_Toc81680746" </w:instrText>
      </w:r>
      <w:r>
        <w:fldChar w:fldCharType="separate"/>
      </w:r>
      <w:r>
        <w:rPr>
          <w:rStyle w:val="16"/>
          <w:rFonts w:hint="eastAsia" w:ascii="仿宋" w:hAnsi="仿宋" w:eastAsia="仿宋" w:cs="仿宋"/>
          <w:sz w:val="28"/>
          <w:szCs w:val="28"/>
        </w:rPr>
        <w:t>十、一般公共预算财政拨款“三公”经费支出决算表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_Toc81680746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"_Toc81680747" </w:instrText>
      </w:r>
      <w:r>
        <w:fldChar w:fldCharType="separate"/>
      </w:r>
      <w:r>
        <w:rPr>
          <w:rStyle w:val="16"/>
          <w:rFonts w:hint="eastAsia" w:ascii="仿宋" w:hAnsi="仿宋" w:eastAsia="仿宋" w:cs="仿宋"/>
          <w:sz w:val="28"/>
          <w:szCs w:val="28"/>
        </w:rPr>
        <w:t>十一、政府性基金预算财政拨款收入支出决算表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_Toc81680747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"_Toc81680748" </w:instrText>
      </w:r>
      <w:r>
        <w:fldChar w:fldCharType="separate"/>
      </w:r>
      <w:r>
        <w:rPr>
          <w:rStyle w:val="16"/>
          <w:rFonts w:hint="eastAsia" w:ascii="仿宋" w:hAnsi="仿宋" w:eastAsia="仿宋" w:cs="仿宋"/>
          <w:sz w:val="28"/>
          <w:szCs w:val="28"/>
        </w:rPr>
        <w:t>十二、政府性基金预算财政拨款“三公”经费支出决算表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_Toc81680748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仿宋" w:hAnsi="仿宋" w:eastAsia="仿宋"/>
          <w:sz w:val="28"/>
          <w:szCs w:val="28"/>
        </w:rPr>
      </w:pPr>
      <w:r>
        <w:fldChar w:fldCharType="begin"/>
      </w:r>
      <w:r>
        <w:instrText xml:space="preserve"> HYPERLINK \l "_Toc81680749" </w:instrText>
      </w:r>
      <w:r>
        <w:fldChar w:fldCharType="separate"/>
      </w:r>
      <w:r>
        <w:rPr>
          <w:rStyle w:val="16"/>
          <w:rFonts w:hint="eastAsia" w:ascii="仿宋" w:hAnsi="仿宋" w:eastAsia="仿宋" w:cs="仿宋"/>
          <w:sz w:val="28"/>
          <w:szCs w:val="28"/>
        </w:rPr>
        <w:t>十三、国有资本经营预算财政拨款收入支出决算表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_Toc81680749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ind w:left="31680"/>
        <w:rPr>
          <w:rFonts w:ascii="Calibri" w:hAnsi="Calibri" w:cs="Calibri"/>
        </w:rPr>
      </w:pPr>
      <w:r>
        <w:fldChar w:fldCharType="begin"/>
      </w:r>
      <w:r>
        <w:instrText xml:space="preserve"> HYPERLINK \l "_Toc81680750" </w:instrText>
      </w:r>
      <w:r>
        <w:fldChar w:fldCharType="separate"/>
      </w:r>
      <w:r>
        <w:rPr>
          <w:rStyle w:val="16"/>
          <w:rFonts w:hint="eastAsia" w:ascii="仿宋" w:hAnsi="仿宋" w:eastAsia="仿宋" w:cs="仿宋"/>
          <w:sz w:val="28"/>
          <w:szCs w:val="28"/>
        </w:rPr>
        <w:t>十四、国有资本经营预算财政拨款支出决算表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_Toc81680750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r>
        <w:fldChar w:fldCharType="end"/>
      </w:r>
    </w:p>
    <w:p/>
    <w:p>
      <w:pPr>
        <w:widowControl/>
        <w:spacing w:line="440" w:lineRule="exact"/>
        <w:jc w:val="left"/>
        <w:rPr>
          <w:rFonts w:ascii="仿宋" w:hAnsi="仿宋" w:eastAsia="仿宋"/>
          <w:kern w:val="44"/>
          <w:sz w:val="24"/>
          <w:szCs w:val="24"/>
        </w:rPr>
        <w:sectPr>
          <w:headerReference r:id="rId3" w:type="default"/>
          <w:pgSz w:w="11906" w:h="16838"/>
          <w:pgMar w:top="1440" w:right="1800" w:bottom="1440" w:left="1800" w:header="851" w:footer="992" w:gutter="0"/>
          <w:cols w:space="425" w:num="1"/>
          <w:docGrid w:type="lines" w:linePitch="312" w:charSpace="0"/>
        </w:sectPr>
      </w:pPr>
      <w:bookmarkStart w:id="15" w:name="_Toc15396599"/>
      <w:bookmarkStart w:id="16" w:name="_Toc15377196"/>
    </w:p>
    <w:p>
      <w:pPr>
        <w:pStyle w:val="3"/>
        <w:jc w:val="center"/>
        <w:rPr>
          <w:rFonts w:ascii="黑体" w:hAnsi="黑体" w:eastAsia="黑体"/>
        </w:rPr>
      </w:pPr>
      <w:bookmarkStart w:id="17" w:name="_Toc81680707"/>
      <w:r>
        <w:rPr>
          <w:rFonts w:hint="eastAsia" w:ascii="黑体" w:hAnsi="黑体" w:eastAsia="黑体" w:cs="黑体"/>
          <w:b w:val="0"/>
          <w:bCs w:val="0"/>
        </w:rPr>
        <w:t>第一部分</w:t>
      </w:r>
      <w:r>
        <w:rPr>
          <w:rFonts w:ascii="黑体" w:hAnsi="黑体" w:eastAsia="黑体" w:cs="黑体"/>
          <w:b w:val="0"/>
          <w:bCs w:val="0"/>
        </w:rPr>
        <w:t xml:space="preserve"> </w:t>
      </w:r>
      <w:r>
        <w:rPr>
          <w:rFonts w:hint="eastAsia" w:ascii="黑体" w:hAnsi="黑体" w:eastAsia="黑体" w:cs="黑体"/>
          <w:b w:val="0"/>
          <w:bCs w:val="0"/>
        </w:rPr>
        <w:t>单位</w:t>
      </w:r>
      <w:r>
        <w:rPr>
          <w:rStyle w:val="17"/>
          <w:rFonts w:hint="eastAsia" w:ascii="黑体" w:hAnsi="黑体" w:eastAsia="黑体" w:cs="黑体"/>
          <w:b w:val="0"/>
          <w:bCs w:val="0"/>
        </w:rPr>
        <w:t>概况</w:t>
      </w:r>
      <w:bookmarkEnd w:id="15"/>
      <w:bookmarkEnd w:id="16"/>
      <w:bookmarkEnd w:id="17"/>
    </w:p>
    <w:p>
      <w:pPr>
        <w:pStyle w:val="4"/>
        <w:numPr>
          <w:ilvl w:val="0"/>
          <w:numId w:val="1"/>
        </w:numPr>
        <w:spacing w:line="415" w:lineRule="auto"/>
        <w:ind w:firstLine="640" w:firstLineChars="200"/>
        <w:rPr>
          <w:rStyle w:val="18"/>
          <w:rFonts w:ascii="黑体" w:hAnsi="黑体" w:eastAsia="黑体" w:cs="Times New Roman"/>
          <w:b w:val="0"/>
          <w:bCs w:val="0"/>
        </w:rPr>
      </w:pPr>
      <w:bookmarkStart w:id="18" w:name="_Toc81680708"/>
      <w:bookmarkStart w:id="19" w:name="_Toc15377197"/>
      <w:bookmarkStart w:id="20" w:name="_Toc15396600"/>
      <w:r>
        <w:rPr>
          <w:rStyle w:val="18"/>
          <w:rFonts w:hint="eastAsia" w:ascii="黑体" w:hAnsi="黑体" w:eastAsia="黑体" w:cs="黑体"/>
          <w:b w:val="0"/>
          <w:bCs w:val="0"/>
        </w:rPr>
        <w:t>职能简介</w:t>
      </w:r>
      <w:bookmarkEnd w:id="18"/>
    </w:p>
    <w:p>
      <w:pPr>
        <w:pStyle w:val="2"/>
        <w:adjustRightInd w:val="0"/>
        <w:snapToGrid w:val="0"/>
        <w:spacing w:before="93" w:line="600" w:lineRule="exact"/>
        <w:ind w:firstLine="640" w:firstLineChars="200"/>
        <w:outlineLvl w:val="2"/>
        <w:rPr>
          <w:rFonts w:ascii="仿宋" w:hAnsi="仿宋" w:eastAsia="仿宋" w:cs="Times New Roman"/>
          <w:color w:val="000000"/>
          <w:sz w:val="32"/>
          <w:szCs w:val="32"/>
        </w:rPr>
      </w:pPr>
      <w:bookmarkStart w:id="21" w:name="_Toc81680709"/>
      <w:r>
        <w:rPr>
          <w:rFonts w:hint="eastAsia" w:ascii="仿宋" w:hAnsi="仿宋" w:eastAsia="仿宋" w:cs="仿宋"/>
          <w:sz w:val="32"/>
          <w:szCs w:val="32"/>
          <w:shd w:val="clear" w:color="auto" w:fill="FFFFFF"/>
          <w:lang w:val="zh-CN"/>
        </w:rPr>
        <w:t>从事人力资源和社会保障科学研究，为决策机关提供依据，开展劳动和社会保障科学的宣传、教育、培训、咨询等服务。</w:t>
      </w:r>
      <w:bookmarkEnd w:id="21"/>
    </w:p>
    <w:p>
      <w:pPr>
        <w:pStyle w:val="4"/>
        <w:numPr>
          <w:ilvl w:val="0"/>
          <w:numId w:val="1"/>
        </w:numPr>
        <w:spacing w:line="415" w:lineRule="auto"/>
        <w:ind w:firstLine="640" w:firstLineChars="200"/>
        <w:rPr>
          <w:rFonts w:ascii="黑体" w:hAnsi="黑体" w:eastAsia="黑体" w:cs="Times New Roman"/>
          <w:b w:val="0"/>
          <w:bCs w:val="0"/>
        </w:rPr>
      </w:pPr>
      <w:bookmarkStart w:id="22" w:name="_Toc81680710"/>
      <w:bookmarkStart w:id="23" w:name="_Toc81680718"/>
      <w:bookmarkStart w:id="24" w:name="_Toc15396607"/>
      <w:bookmarkStart w:id="25" w:name="_Toc15377209"/>
      <w:bookmarkStart w:id="26" w:name="_Toc15377211"/>
      <w:bookmarkStart w:id="27" w:name="_Toc81680720"/>
      <w:r>
        <w:rPr>
          <w:rFonts w:ascii="黑体" w:hAnsi="黑体" w:eastAsia="黑体" w:cs="黑体"/>
          <w:b w:val="0"/>
          <w:bCs w:val="0"/>
        </w:rPr>
        <w:t>2020</w:t>
      </w:r>
      <w:r>
        <w:rPr>
          <w:rFonts w:hint="eastAsia" w:ascii="黑体" w:hAnsi="黑体" w:eastAsia="黑体" w:cs="黑体"/>
          <w:b w:val="0"/>
          <w:bCs w:val="0"/>
        </w:rPr>
        <w:t>年重点工作</w:t>
      </w:r>
      <w:bookmarkEnd w:id="19"/>
      <w:bookmarkEnd w:id="20"/>
      <w:r>
        <w:rPr>
          <w:rFonts w:hint="eastAsia" w:ascii="黑体" w:hAnsi="黑体" w:eastAsia="黑体" w:cs="黑体"/>
          <w:b w:val="0"/>
          <w:bCs w:val="0"/>
        </w:rPr>
        <w:t>完成情况</w:t>
      </w:r>
      <w:bookmarkEnd w:id="22"/>
    </w:p>
    <w:p>
      <w:pPr>
        <w:ind w:firstLine="642" w:firstLineChars="200"/>
        <w:rPr>
          <w:rFonts w:ascii="仿宋" w:hAnsi="仿宋" w:eastAsia="仿宋"/>
          <w:b/>
          <w:bCs/>
          <w:color w:val="000000"/>
          <w:kern w:val="0"/>
          <w:sz w:val="32"/>
          <w:szCs w:val="32"/>
        </w:rPr>
      </w:pPr>
      <w:r>
        <w:rPr>
          <w:rFonts w:hint="eastAsia" w:ascii="仿宋" w:hAnsi="仿宋" w:eastAsia="仿宋" w:cs="仿宋"/>
          <w:b/>
          <w:bCs/>
          <w:color w:val="000000"/>
          <w:kern w:val="0"/>
          <w:sz w:val="32"/>
          <w:szCs w:val="32"/>
        </w:rPr>
        <w:t>（一）围绕疫情防控积极开展人社领域的课题研究。</w:t>
      </w:r>
      <w:r>
        <w:rPr>
          <w:rFonts w:hint="eastAsia" w:ascii="仿宋" w:hAnsi="仿宋" w:eastAsia="仿宋" w:cs="仿宋"/>
          <w:color w:val="000000"/>
          <w:kern w:val="0"/>
          <w:sz w:val="32"/>
          <w:szCs w:val="32"/>
        </w:rPr>
        <w:t>年初牵头负责开展《疫情对我省就业影响的分析及应对措施》研究。积极参与中国劳科院组织开展的“新冠肺炎疫情对人社领域的影响与对策研究”。</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月，按照省委政研室关于开展疫情防控实践内部理论研究的要求，及时组织完成并报送了《疫情防控下稳定就业和强化社会保障实践与认识》成果。为了进一步研究分析肺炎疫情对就业的影响，按照厅主要领导的指示，委托省社科院承担《新冠肺炎疫情对四川省就业的影响》专题研究，为研究制定有关就业政策提供了参政依据。</w:t>
      </w:r>
    </w:p>
    <w:p>
      <w:pPr>
        <w:ind w:firstLine="642" w:firstLineChars="200"/>
        <w:rPr>
          <w:rFonts w:ascii="仿宋" w:hAnsi="仿宋" w:eastAsia="仿宋"/>
          <w:color w:val="000000"/>
          <w:kern w:val="0"/>
          <w:sz w:val="32"/>
          <w:szCs w:val="32"/>
        </w:rPr>
      </w:pPr>
      <w:r>
        <w:rPr>
          <w:rFonts w:hint="eastAsia" w:ascii="仿宋" w:hAnsi="仿宋" w:eastAsia="仿宋" w:cs="仿宋"/>
          <w:b/>
          <w:bCs/>
          <w:color w:val="000000"/>
          <w:kern w:val="0"/>
          <w:sz w:val="32"/>
          <w:szCs w:val="32"/>
        </w:rPr>
        <w:t>（二）围绕省委、省政府和厅主要领导关注的重点问题开展重点课题研究。</w:t>
      </w:r>
      <w:r>
        <w:rPr>
          <w:rFonts w:hint="eastAsia" w:ascii="仿宋" w:hAnsi="仿宋" w:eastAsia="仿宋" w:cs="仿宋"/>
          <w:color w:val="000000"/>
          <w:kern w:val="0"/>
          <w:sz w:val="32"/>
          <w:szCs w:val="32"/>
        </w:rPr>
        <w:t>一是在省委书记彭清华主持召开的四川省“十四五”规划编制社会事业和民生领域专家代表座谈会上，饶风同志就我省社会保险事业发展问题及建议进行汇报。二是按照省委彭清华书记批示，开展《推动新经济发展促进新形态就业》研究工作。三是按照曹立军副省长指示，开展《当前形势下稳定重点群体就业研究》，作为省领导</w:t>
      </w:r>
      <w:r>
        <w:rPr>
          <w:rFonts w:ascii="仿宋" w:hAnsi="仿宋" w:eastAsia="仿宋" w:cs="仿宋"/>
          <w:color w:val="000000"/>
          <w:kern w:val="0"/>
          <w:sz w:val="32"/>
          <w:szCs w:val="32"/>
        </w:rPr>
        <w:t>2020</w:t>
      </w:r>
      <w:r>
        <w:rPr>
          <w:rFonts w:hint="eastAsia" w:ascii="仿宋" w:hAnsi="仿宋" w:eastAsia="仿宋" w:cs="仿宋"/>
          <w:color w:val="000000"/>
          <w:kern w:val="0"/>
          <w:sz w:val="32"/>
          <w:szCs w:val="32"/>
        </w:rPr>
        <w:t>年度政务调研课题。四是组织开展《四川省健全职业技能培训体系研究》，作为胡斌厅长报省政府的年度政务调研课题。五是开展《四川省人力资源服务业与现代产业协同发展研究》。六是开展《四川省社会保险费减免降缓政策实施效果评估研究》。</w:t>
      </w:r>
    </w:p>
    <w:p>
      <w:pPr>
        <w:ind w:firstLine="642" w:firstLineChars="200"/>
        <w:rPr>
          <w:rFonts w:ascii="仿宋" w:hAnsi="仿宋" w:eastAsia="仿宋"/>
          <w:b/>
          <w:bCs/>
          <w:color w:val="000000"/>
          <w:kern w:val="0"/>
          <w:sz w:val="32"/>
          <w:szCs w:val="32"/>
        </w:rPr>
      </w:pPr>
      <w:r>
        <w:rPr>
          <w:rFonts w:hint="eastAsia" w:ascii="仿宋" w:hAnsi="仿宋" w:eastAsia="仿宋" w:cs="仿宋"/>
          <w:b/>
          <w:bCs/>
          <w:color w:val="000000"/>
          <w:kern w:val="0"/>
          <w:sz w:val="32"/>
          <w:szCs w:val="32"/>
        </w:rPr>
        <w:t>（三）认真完成部属两院合作课题。</w:t>
      </w:r>
      <w:r>
        <w:rPr>
          <w:rFonts w:hint="eastAsia" w:ascii="仿宋" w:hAnsi="仿宋" w:eastAsia="仿宋" w:cs="仿宋"/>
          <w:color w:val="000000"/>
          <w:kern w:val="0"/>
          <w:sz w:val="32"/>
          <w:szCs w:val="32"/>
        </w:rPr>
        <w:t>今年与中国劳动保障科学研究和中国人事科学研究院开展的合作课题有三项：《完善科研事业单位人才收入分配政策研究》《社保法颁布十周年四川省实施情况研究》《技工院校学生培训需求调查研究》。</w:t>
      </w:r>
    </w:p>
    <w:p>
      <w:pPr>
        <w:ind w:firstLine="642" w:firstLineChars="200"/>
        <w:rPr>
          <w:rFonts w:ascii="仿宋" w:hAnsi="仿宋" w:eastAsia="仿宋"/>
          <w:b/>
          <w:bCs/>
          <w:color w:val="000000"/>
          <w:kern w:val="0"/>
          <w:sz w:val="32"/>
          <w:szCs w:val="32"/>
        </w:rPr>
      </w:pPr>
      <w:r>
        <w:rPr>
          <w:rFonts w:hint="eastAsia" w:ascii="仿宋" w:hAnsi="仿宋" w:eastAsia="仿宋" w:cs="仿宋"/>
          <w:b/>
          <w:bCs/>
          <w:color w:val="000000"/>
          <w:kern w:val="0"/>
          <w:sz w:val="32"/>
          <w:szCs w:val="32"/>
        </w:rPr>
        <w:t>（四）积极承担和开展部分地方“十四五”规划编制。</w:t>
      </w:r>
      <w:r>
        <w:rPr>
          <w:rFonts w:hint="eastAsia" w:ascii="仿宋" w:hAnsi="仿宋" w:eastAsia="仿宋" w:cs="仿宋"/>
          <w:color w:val="000000"/>
          <w:kern w:val="0"/>
          <w:sz w:val="32"/>
          <w:szCs w:val="32"/>
        </w:rPr>
        <w:t>今年与制定“十四五”规划有关的课题有五项：一是《四川省“十四五”人力资源社会保障事业发展基本思路研究》；二是《四川省“十四五”就业促进专项规划》；三是《乐山市“十四五”人力资源社会保障事业发展规划》《乐山市“十四五”就业促进规划》；四是阿坝州和马尔康市“十四五”人力资源社会保障事业发展基本思路研究及规划文本编制。</w:t>
      </w:r>
    </w:p>
    <w:p>
      <w:pPr>
        <w:ind w:firstLine="642"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（五）服务中心，统筹做好其他科研工作。</w:t>
      </w:r>
      <w:r>
        <w:rPr>
          <w:rFonts w:hint="eastAsia" w:ascii="仿宋" w:hAnsi="仿宋" w:eastAsia="仿宋" w:cs="仿宋"/>
          <w:color w:val="000000"/>
          <w:kern w:val="0"/>
          <w:sz w:val="32"/>
          <w:szCs w:val="32"/>
        </w:rPr>
        <w:t>一是积极参与厅内综合性文稿的起草报送工作，主要有省委十一届八次全会决定和</w:t>
      </w:r>
      <w:r>
        <w:rPr>
          <w:rFonts w:ascii="仿宋" w:hAnsi="仿宋" w:eastAsia="仿宋" w:cs="仿宋"/>
          <w:color w:val="000000"/>
          <w:kern w:val="0"/>
          <w:sz w:val="32"/>
          <w:szCs w:val="32"/>
        </w:rPr>
        <w:t>2020</w:t>
      </w:r>
      <w:r>
        <w:rPr>
          <w:rFonts w:hint="eastAsia" w:ascii="仿宋" w:hAnsi="仿宋" w:eastAsia="仿宋" w:cs="仿宋"/>
          <w:color w:val="000000"/>
          <w:kern w:val="0"/>
          <w:sz w:val="32"/>
          <w:szCs w:val="32"/>
        </w:rPr>
        <w:t>年省政府工作报告涉及人社部分，全省人力资源社会保障工作会议材料准备工作等。二是积极争取将四川省劳动和社会保障学会纳入科研所进行规范管理，目前形成换届工作方案并开展会员征集工作。三是将</w:t>
      </w:r>
      <w:r>
        <w:rPr>
          <w:rFonts w:ascii="仿宋" w:hAnsi="仿宋" w:eastAsia="仿宋" w:cs="仿宋"/>
          <w:color w:val="000000"/>
          <w:kern w:val="0"/>
          <w:sz w:val="32"/>
          <w:szCs w:val="32"/>
        </w:rPr>
        <w:t>2017</w:t>
      </w:r>
      <w:r>
        <w:rPr>
          <w:rFonts w:hint="eastAsia" w:ascii="仿宋" w:hAnsi="仿宋" w:eastAsia="仿宋" w:cs="仿宋"/>
          <w:color w:val="000000"/>
          <w:kern w:val="0"/>
          <w:sz w:val="32"/>
          <w:szCs w:val="32"/>
        </w:rPr>
        <w:t>年至</w:t>
      </w:r>
      <w:r>
        <w:rPr>
          <w:rFonts w:ascii="仿宋" w:hAnsi="仿宋" w:eastAsia="仿宋" w:cs="仿宋"/>
          <w:color w:val="000000"/>
          <w:kern w:val="0"/>
          <w:sz w:val="32"/>
          <w:szCs w:val="32"/>
        </w:rPr>
        <w:t>2019</w:t>
      </w:r>
      <w:r>
        <w:rPr>
          <w:rFonts w:hint="eastAsia" w:ascii="仿宋" w:hAnsi="仿宋" w:eastAsia="仿宋" w:cs="仿宋"/>
          <w:color w:val="000000"/>
          <w:kern w:val="0"/>
          <w:sz w:val="32"/>
          <w:szCs w:val="32"/>
        </w:rPr>
        <w:t>年的主要研究成果编辑出版《四川人力资源社会保障发展研究报告（</w:t>
      </w:r>
      <w:r>
        <w:rPr>
          <w:rFonts w:ascii="仿宋" w:hAnsi="仿宋" w:eastAsia="仿宋" w:cs="仿宋"/>
          <w:color w:val="000000"/>
          <w:kern w:val="0"/>
          <w:sz w:val="32"/>
          <w:szCs w:val="32"/>
        </w:rPr>
        <w:t>2019</w:t>
      </w:r>
      <w:r>
        <w:rPr>
          <w:rFonts w:hint="eastAsia" w:ascii="仿宋" w:hAnsi="仿宋" w:eastAsia="仿宋" w:cs="仿宋"/>
          <w:color w:val="000000"/>
          <w:kern w:val="0"/>
          <w:sz w:val="32"/>
          <w:szCs w:val="32"/>
        </w:rPr>
        <w:t>）》。四是发挥好服务科学决策的职能，认真组织专家对养老保险待遇调整、机关事业单位中人待遇计发办法、工伤保险省级统筹等政策文件进行咨询论证近</w:t>
      </w:r>
      <w:r>
        <w:rPr>
          <w:rFonts w:ascii="仿宋" w:hAnsi="仿宋" w:eastAsia="仿宋" w:cs="仿宋"/>
          <w:color w:val="000000"/>
          <w:kern w:val="0"/>
          <w:sz w:val="32"/>
          <w:szCs w:val="32"/>
        </w:rPr>
        <w:t>10</w:t>
      </w:r>
      <w:r>
        <w:rPr>
          <w:rFonts w:hint="eastAsia" w:ascii="仿宋" w:hAnsi="仿宋" w:eastAsia="仿宋" w:cs="仿宋"/>
          <w:color w:val="000000"/>
          <w:kern w:val="0"/>
          <w:sz w:val="32"/>
          <w:szCs w:val="32"/>
        </w:rPr>
        <w:t>次。五是加强科研队伍建设，今年公招录用两名科研人员，入职后加强专业能力培训和职业素质培养。</w:t>
      </w:r>
    </w:p>
    <w:p>
      <w:pPr>
        <w:widowControl/>
        <w:adjustRightInd w:val="0"/>
        <w:snapToGrid w:val="0"/>
        <w:spacing w:line="579" w:lineRule="exact"/>
        <w:ind w:firstLine="640" w:firstLineChars="200"/>
        <w:jc w:val="left"/>
        <w:rPr>
          <w:rStyle w:val="32"/>
          <w:rFonts w:hint="eastAsia" w:eastAsia="黑体"/>
          <w:b w:val="0"/>
          <w:bCs w:val="0"/>
          <w:lang w:eastAsia="zh-CN"/>
        </w:rPr>
      </w:pPr>
      <w:r>
        <w:rPr>
          <w:rStyle w:val="32"/>
          <w:rFonts w:hint="eastAsia" w:eastAsia="黑体"/>
          <w:b w:val="0"/>
          <w:bCs w:val="0"/>
          <w:lang w:eastAsia="zh-CN"/>
        </w:rPr>
        <w:t>三</w:t>
      </w:r>
      <w:r>
        <w:rPr>
          <w:rStyle w:val="32"/>
          <w:rFonts w:ascii="Times New Roman" w:hAnsi="Times New Roman" w:eastAsia="黑体"/>
          <w:b w:val="0"/>
          <w:bCs w:val="0"/>
        </w:rPr>
        <w:t>、</w:t>
      </w:r>
      <w:r>
        <w:rPr>
          <w:rStyle w:val="32"/>
          <w:rFonts w:hint="eastAsia" w:eastAsia="黑体"/>
          <w:b w:val="0"/>
          <w:bCs w:val="0"/>
          <w:lang w:eastAsia="zh-CN"/>
        </w:rPr>
        <w:t>机构设置情况</w:t>
      </w:r>
    </w:p>
    <w:p>
      <w:pPr>
        <w:widowControl/>
        <w:spacing w:before="340" w:after="330" w:line="578" w:lineRule="auto"/>
        <w:ind w:firstLine="640" w:firstLineChars="200"/>
        <w:jc w:val="both"/>
        <w:rPr>
          <w:rFonts w:ascii="黑体" w:hAnsi="黑体" w:eastAsia="黑体"/>
          <w:b/>
          <w:bCs/>
          <w:kern w:val="44"/>
          <w:sz w:val="44"/>
          <w:szCs w:val="44"/>
        </w:rPr>
      </w:pPr>
      <w:r>
        <w:rPr>
          <w:rFonts w:hint="eastAsia" w:ascii="仿宋" w:hAnsi="仿宋" w:eastAsia="仿宋"/>
          <w:sz w:val="32"/>
          <w:szCs w:val="32"/>
        </w:rPr>
        <w:t>人力资源和社会保障科学研究所暂未设置内设机构</w:t>
      </w:r>
      <w:r>
        <w:rPr>
          <w:rFonts w:hint="eastAsia" w:ascii="仿宋" w:hAnsi="仿宋" w:eastAsia="仿宋"/>
          <w:sz w:val="32"/>
          <w:szCs w:val="32"/>
          <w:lang w:eastAsia="zh-CN"/>
        </w:rPr>
        <w:t>。</w:t>
      </w:r>
      <w:r>
        <w:rPr>
          <w:rFonts w:ascii="仿宋" w:hAnsi="仿宋" w:eastAsia="仿宋"/>
          <w:sz w:val="32"/>
          <w:szCs w:val="32"/>
        </w:rPr>
        <w:br w:type="page"/>
      </w:r>
      <w:bookmarkStart w:id="28" w:name="_Toc15396602"/>
      <w:bookmarkStart w:id="29" w:name="_Toc15377204"/>
      <w:bookmarkStart w:id="30" w:name="_Toc81680711"/>
      <w:r>
        <w:rPr>
          <w:rStyle w:val="17"/>
          <w:rFonts w:hint="eastAsia" w:ascii="黑体" w:hAnsi="黑体" w:eastAsia="黑体" w:cs="黑体"/>
          <w:b w:val="0"/>
          <w:bCs w:val="0"/>
        </w:rPr>
        <w:t>第二部分</w:t>
      </w:r>
      <w:r>
        <w:rPr>
          <w:rStyle w:val="17"/>
          <w:rFonts w:ascii="黑体" w:hAnsi="黑体" w:eastAsia="黑体" w:cs="黑体"/>
          <w:b w:val="0"/>
          <w:bCs w:val="0"/>
        </w:rPr>
        <w:t xml:space="preserve"> 2020</w:t>
      </w:r>
      <w:r>
        <w:rPr>
          <w:rStyle w:val="17"/>
          <w:rFonts w:hint="eastAsia" w:ascii="黑体" w:hAnsi="黑体" w:eastAsia="黑体" w:cs="黑体"/>
          <w:b w:val="0"/>
          <w:bCs w:val="0"/>
        </w:rPr>
        <w:t>年度单位决算情况说明</w:t>
      </w:r>
      <w:bookmarkEnd w:id="28"/>
      <w:bookmarkEnd w:id="29"/>
      <w:bookmarkEnd w:id="30"/>
    </w:p>
    <w:p>
      <w:pPr>
        <w:pStyle w:val="28"/>
        <w:numPr>
          <w:ilvl w:val="0"/>
          <w:numId w:val="2"/>
        </w:numPr>
        <w:spacing w:line="600" w:lineRule="exact"/>
        <w:ind w:firstLineChars="0"/>
        <w:outlineLvl w:val="1"/>
        <w:rPr>
          <w:rStyle w:val="18"/>
          <w:rFonts w:ascii="黑体" w:hAnsi="黑体" w:eastAsia="黑体" w:cs="Times New Roman"/>
          <w:b w:val="0"/>
          <w:bCs w:val="0"/>
        </w:rPr>
      </w:pPr>
      <w:bookmarkStart w:id="31" w:name="_Toc15396603"/>
      <w:bookmarkStart w:id="32" w:name="_Toc15377205"/>
      <w:bookmarkStart w:id="33" w:name="_Toc81680712"/>
      <w:r>
        <w:rPr>
          <w:rFonts w:hint="eastAsia" w:ascii="黑体" w:hAnsi="黑体" w:eastAsia="黑体" w:cs="黑体"/>
          <w:sz w:val="32"/>
          <w:szCs w:val="32"/>
        </w:rPr>
        <w:t>收</w:t>
      </w:r>
      <w:r>
        <w:rPr>
          <w:rStyle w:val="18"/>
          <w:rFonts w:hint="eastAsia" w:ascii="黑体" w:hAnsi="黑体" w:eastAsia="黑体" w:cs="黑体"/>
          <w:b w:val="0"/>
          <w:bCs w:val="0"/>
        </w:rPr>
        <w:t>入支出决算总体情况说明</w:t>
      </w:r>
      <w:bookmarkEnd w:id="31"/>
      <w:bookmarkEnd w:id="32"/>
      <w:bookmarkEnd w:id="33"/>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年度收、支总计</w:t>
      </w:r>
      <w:r>
        <w:rPr>
          <w:rFonts w:ascii="仿宋" w:hAnsi="仿宋" w:eastAsia="仿宋" w:cs="仿宋"/>
          <w:color w:val="000000"/>
          <w:sz w:val="32"/>
          <w:szCs w:val="32"/>
        </w:rPr>
        <w:t>174.13</w:t>
      </w:r>
      <w:r>
        <w:rPr>
          <w:rFonts w:hint="eastAsia" w:ascii="仿宋" w:hAnsi="仿宋" w:eastAsia="仿宋" w:cs="仿宋"/>
          <w:color w:val="000000"/>
          <w:sz w:val="32"/>
          <w:szCs w:val="32"/>
        </w:rPr>
        <w:t>万元。与</w:t>
      </w:r>
      <w:r>
        <w:rPr>
          <w:rFonts w:ascii="仿宋" w:hAnsi="仿宋" w:eastAsia="仿宋" w:cs="仿宋"/>
          <w:color w:val="000000"/>
          <w:sz w:val="32"/>
          <w:szCs w:val="32"/>
        </w:rPr>
        <w:t>2019</w:t>
      </w:r>
      <w:r>
        <w:rPr>
          <w:rFonts w:hint="eastAsia" w:ascii="仿宋" w:hAnsi="仿宋" w:eastAsia="仿宋" w:cs="仿宋"/>
          <w:color w:val="000000"/>
          <w:sz w:val="32"/>
          <w:szCs w:val="32"/>
        </w:rPr>
        <w:t>年相比，收、支总计各减少</w:t>
      </w:r>
      <w:r>
        <w:rPr>
          <w:rFonts w:ascii="仿宋" w:hAnsi="仿宋" w:eastAsia="仿宋" w:cs="仿宋"/>
          <w:color w:val="000000"/>
          <w:sz w:val="32"/>
          <w:szCs w:val="32"/>
        </w:rPr>
        <w:t>17.53</w:t>
      </w:r>
      <w:r>
        <w:rPr>
          <w:rFonts w:hint="eastAsia" w:ascii="仿宋" w:hAnsi="仿宋" w:eastAsia="仿宋" w:cs="仿宋"/>
          <w:color w:val="000000"/>
          <w:sz w:val="32"/>
          <w:szCs w:val="32"/>
        </w:rPr>
        <w:t>万元，下降</w:t>
      </w:r>
      <w:r>
        <w:rPr>
          <w:rFonts w:ascii="仿宋" w:hAnsi="仿宋" w:eastAsia="仿宋" w:cs="仿宋"/>
          <w:color w:val="000000"/>
          <w:sz w:val="32"/>
          <w:szCs w:val="32"/>
        </w:rPr>
        <w:t>9.15%</w:t>
      </w:r>
      <w:r>
        <w:rPr>
          <w:rFonts w:hint="eastAsia" w:ascii="仿宋" w:hAnsi="仿宋" w:eastAsia="仿宋" w:cs="仿宋"/>
          <w:color w:val="000000"/>
          <w:sz w:val="32"/>
          <w:szCs w:val="32"/>
        </w:rPr>
        <w:t>。主要变动原因是课题研究经费预算减少。</w:t>
      </w:r>
    </w:p>
    <w:p>
      <w:pPr>
        <w:spacing w:line="600" w:lineRule="exact"/>
        <w:ind w:firstLine="420" w:firstLineChars="200"/>
        <w:rPr>
          <w:rFonts w:ascii="仿宋" w:hAnsi="仿宋" w:eastAsia="仿宋"/>
          <w:sz w:val="32"/>
          <w:szCs w:val="32"/>
        </w:rPr>
      </w:pPr>
      <w:r>
        <w:pict>
          <v:shape id="_x0000_s1026" o:spid="_x0000_s1026" o:spt="75" type="#_x0000_t75" style="position:absolute;left:0pt;margin-left:57.75pt;margin-top:35.15pt;height:187.25pt;width:287.05pt;mso-wrap-distance-bottom:0pt;mso-wrap-distance-top:0pt;z-index:251658240;mso-width-relative:page;mso-height-relative:page;" o:ole="t" filled="f" o:preferrelative="t" stroked="f" coordsize="21600,21600">
            <v:path/>
            <v:fill on="f" focussize="0,0"/>
            <v:stroke on="f" joinstyle="miter"/>
            <v:imagedata r:id="rId8" o:title=""/>
            <o:lock v:ext="edit" aspectratio="t"/>
            <w10:wrap type="topAndBottom"/>
          </v:shape>
          <o:OLEObject Type="Embed" ProgID="MSGraph.Chart.8" ShapeID="_x0000_s1026" DrawAspect="Content" ObjectID="_1468075725" r:id="rId7">
            <o:LockedField>false</o:LockedField>
          </o:OLEObject>
        </w:pict>
      </w: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：收、支决算总计变动情况图）（单位：万元）</w:t>
      </w:r>
    </w:p>
    <w:p>
      <w:pPr>
        <w:pStyle w:val="28"/>
        <w:numPr>
          <w:ilvl w:val="0"/>
          <w:numId w:val="2"/>
        </w:numPr>
        <w:spacing w:line="600" w:lineRule="exact"/>
        <w:ind w:firstLineChars="0"/>
        <w:outlineLvl w:val="1"/>
        <w:rPr>
          <w:rStyle w:val="18"/>
          <w:rFonts w:ascii="黑体" w:hAnsi="黑体" w:eastAsia="黑体" w:cs="Times New Roman"/>
          <w:b w:val="0"/>
          <w:bCs w:val="0"/>
        </w:rPr>
      </w:pPr>
      <w:bookmarkStart w:id="34" w:name="_Toc81680713"/>
      <w:bookmarkStart w:id="35" w:name="_Toc15396604"/>
      <w:bookmarkStart w:id="36" w:name="_Toc15377206"/>
      <w:r>
        <w:rPr>
          <w:rFonts w:hint="eastAsia" w:ascii="黑体" w:hAnsi="黑体" w:eastAsia="黑体" w:cs="黑体"/>
          <w:sz w:val="32"/>
          <w:szCs w:val="32"/>
        </w:rPr>
        <w:t>收</w:t>
      </w:r>
      <w:r>
        <w:rPr>
          <w:rStyle w:val="18"/>
          <w:rFonts w:hint="eastAsia" w:ascii="黑体" w:hAnsi="黑体" w:eastAsia="黑体" w:cs="黑体"/>
          <w:b w:val="0"/>
          <w:bCs w:val="0"/>
        </w:rPr>
        <w:t>入决算情况说明</w:t>
      </w:r>
      <w:bookmarkEnd w:id="34"/>
      <w:bookmarkEnd w:id="35"/>
      <w:bookmarkEnd w:id="36"/>
    </w:p>
    <w:p>
      <w:pPr>
        <w:spacing w:line="600" w:lineRule="exact"/>
        <w:ind w:firstLine="640" w:firstLineChars="200"/>
        <w:outlineLvl w:val="1"/>
        <w:rPr>
          <w:rFonts w:ascii="仿宋" w:hAnsi="仿宋" w:eastAsia="仿宋"/>
          <w:sz w:val="32"/>
          <w:szCs w:val="32"/>
        </w:rPr>
      </w:pPr>
      <w:bookmarkStart w:id="37" w:name="_Toc81680714"/>
      <w:r>
        <w:rPr>
          <w:rFonts w:ascii="仿宋" w:hAnsi="仿宋" w:eastAsia="仿宋" w:cs="仿宋"/>
          <w:color w:val="000000"/>
          <w:sz w:val="32"/>
          <w:szCs w:val="32"/>
        </w:rPr>
        <w:t>2020</w:t>
      </w:r>
      <w:r>
        <w:rPr>
          <w:rFonts w:hint="eastAsia" w:ascii="仿宋" w:hAnsi="仿宋" w:eastAsia="仿宋" w:cs="仿宋"/>
          <w:color w:val="000000"/>
          <w:sz w:val="32"/>
          <w:szCs w:val="32"/>
        </w:rPr>
        <w:t>年本年收入合计</w:t>
      </w:r>
      <w:r>
        <w:rPr>
          <w:rFonts w:ascii="仿宋" w:hAnsi="仿宋" w:eastAsia="仿宋" w:cs="仿宋"/>
          <w:color w:val="000000"/>
          <w:sz w:val="32"/>
          <w:szCs w:val="32"/>
        </w:rPr>
        <w:t>154.64</w:t>
      </w:r>
      <w:r>
        <w:rPr>
          <w:rFonts w:hint="eastAsia" w:ascii="仿宋" w:hAnsi="仿宋" w:eastAsia="仿宋" w:cs="仿宋"/>
          <w:color w:val="000000"/>
          <w:sz w:val="32"/>
          <w:szCs w:val="32"/>
        </w:rPr>
        <w:t>万元，其中：一般公共预算财政拨款收入</w:t>
      </w:r>
      <w:r>
        <w:rPr>
          <w:rFonts w:ascii="仿宋" w:hAnsi="仿宋" w:eastAsia="仿宋" w:cs="仿宋"/>
          <w:color w:val="000000"/>
          <w:sz w:val="32"/>
          <w:szCs w:val="32"/>
        </w:rPr>
        <w:t>154.64</w:t>
      </w:r>
      <w:r>
        <w:rPr>
          <w:rFonts w:hint="eastAsia" w:ascii="仿宋" w:hAnsi="仿宋" w:eastAsia="仿宋" w:cs="仿宋"/>
          <w:color w:val="000000"/>
          <w:sz w:val="32"/>
          <w:szCs w:val="32"/>
        </w:rPr>
        <w:t>万元，占</w:t>
      </w:r>
      <w:r>
        <w:rPr>
          <w:rFonts w:ascii="仿宋" w:hAnsi="仿宋" w:eastAsia="仿宋" w:cs="仿宋"/>
          <w:color w:val="000000"/>
          <w:sz w:val="32"/>
          <w:szCs w:val="32"/>
        </w:rPr>
        <w:t>100%</w:t>
      </w:r>
      <w:r>
        <w:rPr>
          <w:rFonts w:hint="eastAsia" w:ascii="仿宋" w:hAnsi="仿宋" w:eastAsia="仿宋" w:cs="仿宋"/>
          <w:color w:val="000000"/>
          <w:sz w:val="32"/>
          <w:szCs w:val="32"/>
        </w:rPr>
        <w:t>。</w:t>
      </w:r>
      <w:bookmarkEnd w:id="37"/>
    </w:p>
    <w:p>
      <w:pPr>
        <w:spacing w:line="600" w:lineRule="exact"/>
        <w:ind w:firstLine="420" w:firstLineChars="200"/>
        <w:rPr>
          <w:rFonts w:ascii="仿宋" w:hAnsi="仿宋" w:eastAsia="仿宋"/>
          <w:sz w:val="32"/>
          <w:szCs w:val="32"/>
        </w:rPr>
      </w:pPr>
      <w:r>
        <w:pict>
          <v:shape id="_x0000_s1027" o:spid="_x0000_s1027" o:spt="75" type="#_x0000_t75" style="position:absolute;left:0pt;margin-left:63pt;margin-top:42.5pt;height:167.5pt;width:286.05pt;mso-wrap-distance-bottom:0pt;mso-wrap-distance-top:0pt;z-index:251659264;mso-width-relative:page;mso-height-relative:page;" o:ole="t" filled="f" o:preferrelative="t" stroked="f" coordsize="21600,21600">
            <v:path/>
            <v:fill on="f" focussize="0,0"/>
            <v:stroke on="f" joinstyle="miter"/>
            <v:imagedata r:id="rId10" o:title=""/>
            <o:lock v:ext="edit" aspectratio="t"/>
            <w10:wrap type="topAndBottom"/>
          </v:shape>
          <o:OLEObject Type="Embed" ProgID="MSGraph.Chart.8" ShapeID="_x0000_s1027" DrawAspect="Content" ObjectID="_1468075726" r:id="rId9">
            <o:LockedField>false</o:LockedField>
          </o:OLEObject>
        </w:pict>
      </w: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：收入决算结构图）</w:t>
      </w:r>
    </w:p>
    <w:p>
      <w:pPr>
        <w:pStyle w:val="28"/>
        <w:numPr>
          <w:ilvl w:val="0"/>
          <w:numId w:val="2"/>
        </w:numPr>
        <w:spacing w:line="600" w:lineRule="exact"/>
        <w:ind w:firstLineChars="0"/>
        <w:outlineLvl w:val="1"/>
        <w:rPr>
          <w:rStyle w:val="18"/>
          <w:rFonts w:ascii="黑体" w:hAnsi="黑体" w:eastAsia="黑体" w:cs="Times New Roman"/>
          <w:b w:val="0"/>
          <w:bCs w:val="0"/>
        </w:rPr>
      </w:pPr>
      <w:bookmarkStart w:id="38" w:name="_Toc15396605"/>
      <w:bookmarkStart w:id="39" w:name="_Toc15377207"/>
      <w:bookmarkStart w:id="40" w:name="_Toc81680715"/>
      <w:r>
        <w:rPr>
          <w:rFonts w:hint="eastAsia" w:ascii="黑体" w:hAnsi="黑体" w:eastAsia="黑体" w:cs="黑体"/>
          <w:sz w:val="32"/>
          <w:szCs w:val="32"/>
        </w:rPr>
        <w:t>支</w:t>
      </w:r>
      <w:r>
        <w:rPr>
          <w:rStyle w:val="18"/>
          <w:rFonts w:hint="eastAsia" w:ascii="黑体" w:hAnsi="黑体" w:eastAsia="黑体" w:cs="黑体"/>
          <w:b w:val="0"/>
          <w:bCs w:val="0"/>
        </w:rPr>
        <w:t>出决算情况说明</w:t>
      </w:r>
      <w:bookmarkEnd w:id="38"/>
      <w:bookmarkEnd w:id="39"/>
      <w:bookmarkEnd w:id="40"/>
    </w:p>
    <w:p>
      <w:pPr>
        <w:spacing w:line="600" w:lineRule="exact"/>
        <w:ind w:firstLine="640" w:firstLineChars="200"/>
        <w:outlineLvl w:val="1"/>
        <w:rPr>
          <w:rFonts w:ascii="仿宋" w:hAnsi="仿宋" w:eastAsia="仿宋"/>
          <w:color w:val="000000"/>
          <w:sz w:val="32"/>
          <w:szCs w:val="32"/>
        </w:rPr>
      </w:pPr>
      <w:bookmarkStart w:id="41" w:name="_Toc81680716"/>
      <w:r>
        <w:rPr>
          <w:rFonts w:ascii="仿宋" w:hAnsi="仿宋" w:eastAsia="仿宋" w:cs="仿宋"/>
          <w:color w:val="000000"/>
          <w:sz w:val="32"/>
          <w:szCs w:val="32"/>
        </w:rPr>
        <w:t>2020</w:t>
      </w:r>
      <w:r>
        <w:rPr>
          <w:rFonts w:hint="eastAsia" w:ascii="仿宋" w:hAnsi="仿宋" w:eastAsia="仿宋" w:cs="仿宋"/>
          <w:color w:val="000000"/>
          <w:sz w:val="32"/>
          <w:szCs w:val="32"/>
        </w:rPr>
        <w:t>年本年支出合计</w:t>
      </w:r>
      <w:r>
        <w:rPr>
          <w:rFonts w:ascii="仿宋" w:hAnsi="仿宋" w:eastAsia="仿宋" w:cs="仿宋"/>
          <w:color w:val="000000"/>
          <w:sz w:val="32"/>
          <w:szCs w:val="32"/>
        </w:rPr>
        <w:t>158.46</w:t>
      </w:r>
      <w:r>
        <w:rPr>
          <w:rFonts w:hint="eastAsia" w:ascii="仿宋" w:hAnsi="仿宋" w:eastAsia="仿宋" w:cs="仿宋"/>
          <w:color w:val="000000"/>
          <w:sz w:val="32"/>
          <w:szCs w:val="32"/>
        </w:rPr>
        <w:t>万元，其中：基本支出</w:t>
      </w:r>
      <w:r>
        <w:rPr>
          <w:rFonts w:ascii="仿宋" w:hAnsi="仿宋" w:eastAsia="仿宋" w:cs="仿宋"/>
          <w:color w:val="000000"/>
          <w:sz w:val="32"/>
          <w:szCs w:val="32"/>
        </w:rPr>
        <w:t>126.08</w:t>
      </w:r>
      <w:r>
        <w:rPr>
          <w:rFonts w:hint="eastAsia" w:ascii="仿宋" w:hAnsi="仿宋" w:eastAsia="仿宋" w:cs="仿宋"/>
          <w:color w:val="000000"/>
          <w:sz w:val="32"/>
          <w:szCs w:val="32"/>
        </w:rPr>
        <w:t>万元，占</w:t>
      </w:r>
      <w:r>
        <w:rPr>
          <w:rFonts w:ascii="仿宋" w:hAnsi="仿宋" w:eastAsia="仿宋" w:cs="仿宋"/>
          <w:color w:val="000000"/>
          <w:sz w:val="32"/>
          <w:szCs w:val="32"/>
        </w:rPr>
        <w:t>79.57%</w:t>
      </w:r>
      <w:r>
        <w:rPr>
          <w:rFonts w:hint="eastAsia" w:ascii="仿宋" w:hAnsi="仿宋" w:eastAsia="仿宋" w:cs="仿宋"/>
          <w:color w:val="000000"/>
          <w:sz w:val="32"/>
          <w:szCs w:val="32"/>
        </w:rPr>
        <w:t>；项目支出</w:t>
      </w:r>
      <w:r>
        <w:rPr>
          <w:rFonts w:ascii="仿宋" w:hAnsi="仿宋" w:eastAsia="仿宋" w:cs="仿宋"/>
          <w:color w:val="000000"/>
          <w:sz w:val="32"/>
          <w:szCs w:val="32"/>
        </w:rPr>
        <w:t>32.38</w:t>
      </w:r>
      <w:r>
        <w:rPr>
          <w:rFonts w:hint="eastAsia" w:ascii="仿宋" w:hAnsi="仿宋" w:eastAsia="仿宋" w:cs="仿宋"/>
          <w:color w:val="000000"/>
          <w:sz w:val="32"/>
          <w:szCs w:val="32"/>
        </w:rPr>
        <w:t>万元，占</w:t>
      </w:r>
      <w:r>
        <w:rPr>
          <w:rFonts w:ascii="仿宋" w:hAnsi="仿宋" w:eastAsia="仿宋" w:cs="仿宋"/>
          <w:color w:val="000000"/>
          <w:sz w:val="32"/>
          <w:szCs w:val="32"/>
        </w:rPr>
        <w:t>20.43%</w:t>
      </w:r>
      <w:r>
        <w:rPr>
          <w:rFonts w:hint="eastAsia" w:ascii="仿宋" w:hAnsi="仿宋" w:eastAsia="仿宋" w:cs="仿宋"/>
          <w:color w:val="000000"/>
          <w:sz w:val="32"/>
          <w:szCs w:val="32"/>
        </w:rPr>
        <w:t>。</w:t>
      </w:r>
      <w:bookmarkEnd w:id="41"/>
    </w:p>
    <w:p>
      <w:pPr>
        <w:spacing w:line="600" w:lineRule="exact"/>
        <w:ind w:firstLine="420" w:firstLineChars="200"/>
        <w:rPr>
          <w:rFonts w:ascii="仿宋" w:hAnsi="仿宋" w:eastAsia="仿宋"/>
          <w:sz w:val="32"/>
          <w:szCs w:val="32"/>
        </w:rPr>
      </w:pPr>
      <w:r>
        <w:pict>
          <v:shape id="_x0000_s1028" o:spid="_x0000_s1028" o:spt="75" type="#_x0000_t75" style="position:absolute;left:0pt;margin-left:57.75pt;margin-top:32.5pt;height:165.7pt;width:300.2pt;mso-wrap-distance-bottom:0pt;mso-wrap-distance-top:0pt;z-index:251660288;mso-width-relative:page;mso-height-relative:page;" o:ole="t" filled="f" o:preferrelative="t" stroked="f" coordsize="21600,21600">
            <v:path/>
            <v:fill on="f" focussize="0,0"/>
            <v:stroke on="f" joinstyle="miter"/>
            <v:imagedata r:id="rId12" o:title=""/>
            <o:lock v:ext="edit" aspectratio="t"/>
            <w10:wrap type="topAndBottom"/>
          </v:shape>
          <o:OLEObject Type="Embed" ProgID="MSGraph.Chart.8" ShapeID="_x0000_s1028" DrawAspect="Content" ObjectID="_1468075727" r:id="rId11">
            <o:LockedField>false</o:LockedField>
          </o:OLEObject>
        </w:pict>
      </w: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w:t>
      </w:r>
    </w:p>
    <w:p>
      <w:pPr>
        <w:spacing w:line="600" w:lineRule="exact"/>
        <w:ind w:firstLine="640" w:firstLineChars="200"/>
        <w:outlineLvl w:val="1"/>
        <w:rPr>
          <w:rStyle w:val="18"/>
          <w:rFonts w:ascii="黑体" w:hAnsi="黑体" w:eastAsia="黑体" w:cs="Times New Roman"/>
          <w:b w:val="0"/>
          <w:bCs w:val="0"/>
        </w:rPr>
      </w:pPr>
      <w:bookmarkStart w:id="42" w:name="_Toc81680717"/>
      <w:bookmarkStart w:id="43" w:name="_Toc15377208"/>
      <w:bookmarkStart w:id="44" w:name="_Toc15396606"/>
      <w:r>
        <w:rPr>
          <w:rFonts w:hint="eastAsia" w:ascii="黑体" w:hAnsi="黑体" w:eastAsia="黑体" w:cs="黑体"/>
          <w:sz w:val="32"/>
          <w:szCs w:val="32"/>
        </w:rPr>
        <w:t>四、财</w:t>
      </w:r>
      <w:r>
        <w:rPr>
          <w:rStyle w:val="18"/>
          <w:rFonts w:hint="eastAsia" w:ascii="黑体" w:hAnsi="黑体" w:eastAsia="黑体" w:cs="黑体"/>
          <w:b w:val="0"/>
          <w:bCs w:val="0"/>
        </w:rPr>
        <w:t>政拨款收入支出决算总体情况说明</w:t>
      </w:r>
      <w:bookmarkEnd w:id="42"/>
      <w:bookmarkEnd w:id="43"/>
      <w:bookmarkEnd w:id="44"/>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年财政拨款收、支总计</w:t>
      </w:r>
      <w:r>
        <w:rPr>
          <w:rFonts w:ascii="仿宋" w:hAnsi="仿宋" w:eastAsia="仿宋" w:cs="仿宋"/>
          <w:color w:val="000000"/>
          <w:sz w:val="32"/>
          <w:szCs w:val="32"/>
        </w:rPr>
        <w:t>154.64</w:t>
      </w:r>
      <w:r>
        <w:rPr>
          <w:rFonts w:hint="eastAsia" w:ascii="仿宋" w:hAnsi="仿宋" w:eastAsia="仿宋" w:cs="仿宋"/>
          <w:color w:val="000000"/>
          <w:sz w:val="32"/>
          <w:szCs w:val="32"/>
        </w:rPr>
        <w:t>万元。与</w:t>
      </w:r>
      <w:r>
        <w:rPr>
          <w:rFonts w:ascii="仿宋" w:hAnsi="仿宋" w:eastAsia="仿宋" w:cs="仿宋"/>
          <w:color w:val="000000"/>
          <w:sz w:val="32"/>
          <w:szCs w:val="32"/>
        </w:rPr>
        <w:t>2019</w:t>
      </w:r>
      <w:r>
        <w:rPr>
          <w:rFonts w:hint="eastAsia" w:ascii="仿宋" w:hAnsi="仿宋" w:eastAsia="仿宋" w:cs="仿宋"/>
          <w:color w:val="000000"/>
          <w:sz w:val="32"/>
          <w:szCs w:val="32"/>
        </w:rPr>
        <w:t>年相比，财政拨款收、支总计各减少</w:t>
      </w:r>
      <w:r>
        <w:rPr>
          <w:rFonts w:ascii="仿宋" w:hAnsi="仿宋" w:eastAsia="仿宋" w:cs="仿宋"/>
          <w:color w:val="000000"/>
          <w:sz w:val="32"/>
          <w:szCs w:val="32"/>
        </w:rPr>
        <w:t>16.86</w:t>
      </w:r>
      <w:r>
        <w:rPr>
          <w:rFonts w:hint="eastAsia" w:ascii="仿宋" w:hAnsi="仿宋" w:eastAsia="仿宋" w:cs="仿宋"/>
          <w:color w:val="000000"/>
          <w:sz w:val="32"/>
          <w:szCs w:val="32"/>
        </w:rPr>
        <w:t>万元，下降</w:t>
      </w:r>
      <w:r>
        <w:rPr>
          <w:rFonts w:ascii="仿宋" w:hAnsi="仿宋" w:eastAsia="仿宋" w:cs="仿宋"/>
          <w:color w:val="000000"/>
          <w:sz w:val="32"/>
          <w:szCs w:val="32"/>
        </w:rPr>
        <w:t>9.83%</w:t>
      </w:r>
      <w:r>
        <w:rPr>
          <w:rFonts w:hint="eastAsia" w:ascii="仿宋" w:hAnsi="仿宋" w:eastAsia="仿宋" w:cs="仿宋"/>
          <w:color w:val="000000"/>
          <w:sz w:val="32"/>
          <w:szCs w:val="32"/>
        </w:rPr>
        <w:t>。主要变动原因是课题研究经费预算减少。</w:t>
      </w:r>
    </w:p>
    <w:p>
      <w:pPr>
        <w:spacing w:line="600" w:lineRule="exact"/>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4</w:t>
      </w:r>
      <w:r>
        <w:rPr>
          <w:rFonts w:hint="eastAsia" w:ascii="仿宋" w:hAnsi="仿宋" w:eastAsia="仿宋" w:cs="仿宋"/>
          <w:sz w:val="32"/>
          <w:szCs w:val="32"/>
        </w:rPr>
        <w:t>：财政拨款收、支决算总计变动情况）（单位：万元）</w:t>
      </w:r>
    </w:p>
    <w:p>
      <w:pPr>
        <w:spacing w:line="600" w:lineRule="exact"/>
        <w:ind w:firstLine="420" w:firstLineChars="200"/>
        <w:outlineLvl w:val="1"/>
        <w:rPr>
          <w:rStyle w:val="18"/>
          <w:rFonts w:ascii="黑体" w:hAnsi="黑体" w:eastAsia="黑体" w:cs="Times New Roman"/>
          <w:b w:val="0"/>
          <w:bCs w:val="0"/>
        </w:rPr>
      </w:pPr>
      <w:r>
        <w:pict>
          <v:shape id="_x0000_s1029" o:spid="_x0000_s1029" o:spt="75" type="#_x0000_t75" style="position:absolute;left:0pt;margin-left:63pt;margin-top:0.4pt;height:175.95pt;width:288.7pt;mso-wrap-distance-bottom:0pt;mso-wrap-distance-top:0pt;z-index:251661312;mso-width-relative:page;mso-height-relative:page;" o:ole="t" filled="f" o:preferrelative="t" stroked="f" coordsize="21600,21600">
            <v:path/>
            <v:fill on="f" focussize="0,0"/>
            <v:stroke on="f" joinstyle="miter"/>
            <v:imagedata r:id="rId14" o:title=""/>
            <o:lock v:ext="edit" aspectratio="t"/>
            <w10:wrap type="topAndBottom"/>
          </v:shape>
          <o:OLEObject Type="Embed" ProgID="MSGraph.Chart.8" ShapeID="_x0000_s1029" DrawAspect="Content" ObjectID="_1468075728" r:id="rId13">
            <o:LockedField>false</o:LockedField>
          </o:OLEObject>
        </w:pict>
      </w:r>
      <w:r>
        <w:rPr>
          <w:rFonts w:hint="eastAsia" w:ascii="黑体" w:hAnsi="黑体" w:eastAsia="黑体" w:cs="黑体"/>
          <w:sz w:val="32"/>
          <w:szCs w:val="32"/>
        </w:rPr>
        <w:t>五、</w:t>
      </w:r>
      <w:r>
        <w:rPr>
          <w:rFonts w:hint="eastAsia" w:ascii="黑体" w:hAnsi="黑体" w:eastAsia="黑体" w:cs="黑体"/>
          <w:b/>
          <w:bCs/>
          <w:sz w:val="32"/>
          <w:szCs w:val="32"/>
        </w:rPr>
        <w:t>一</w:t>
      </w:r>
      <w:r>
        <w:rPr>
          <w:rStyle w:val="18"/>
          <w:rFonts w:hint="eastAsia" w:ascii="黑体" w:hAnsi="黑体" w:eastAsia="黑体" w:cs="黑体"/>
          <w:b w:val="0"/>
          <w:bCs w:val="0"/>
        </w:rPr>
        <w:t>般公共预算财政拨款支出决算情况说明</w:t>
      </w:r>
      <w:bookmarkEnd w:id="23"/>
      <w:bookmarkEnd w:id="24"/>
      <w:bookmarkEnd w:id="25"/>
    </w:p>
    <w:p>
      <w:pPr>
        <w:spacing w:line="600" w:lineRule="exact"/>
        <w:ind w:firstLine="642" w:firstLineChars="200"/>
        <w:outlineLvl w:val="2"/>
        <w:rPr>
          <w:rFonts w:ascii="仿宋" w:hAnsi="仿宋" w:eastAsia="仿宋"/>
          <w:b/>
          <w:bCs/>
          <w:sz w:val="32"/>
          <w:szCs w:val="32"/>
        </w:rPr>
      </w:pPr>
      <w:bookmarkStart w:id="45" w:name="_Toc15377210"/>
      <w:bookmarkStart w:id="46" w:name="_Toc81680719"/>
      <w:r>
        <w:rPr>
          <w:rFonts w:hint="eastAsia" w:ascii="仿宋" w:hAnsi="仿宋" w:eastAsia="仿宋" w:cs="仿宋"/>
          <w:b/>
          <w:bCs/>
          <w:sz w:val="32"/>
          <w:szCs w:val="32"/>
        </w:rPr>
        <w:t>（一）一般公共预算财政拨款支出决算总体情况</w:t>
      </w:r>
      <w:bookmarkEnd w:id="45"/>
      <w:bookmarkEnd w:id="46"/>
    </w:p>
    <w:p>
      <w:pPr>
        <w:spacing w:line="600" w:lineRule="exact"/>
        <w:ind w:firstLine="640" w:firstLineChars="200"/>
        <w:rPr>
          <w:rFonts w:ascii="仿宋" w:hAnsi="仿宋" w:eastAsia="仿宋"/>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154.64</w:t>
      </w:r>
      <w:r>
        <w:rPr>
          <w:rFonts w:hint="eastAsia" w:ascii="仿宋" w:hAnsi="仿宋" w:eastAsia="仿宋" w:cs="仿宋"/>
          <w:color w:val="000000"/>
          <w:sz w:val="32"/>
          <w:szCs w:val="32"/>
        </w:rPr>
        <w:t>万元，占本年支出合计的</w:t>
      </w:r>
      <w:r>
        <w:rPr>
          <w:rFonts w:ascii="仿宋" w:hAnsi="仿宋" w:eastAsia="仿宋" w:cs="仿宋"/>
          <w:color w:val="000000"/>
          <w:sz w:val="32"/>
          <w:szCs w:val="32"/>
        </w:rPr>
        <w:t>97.59%</w:t>
      </w:r>
      <w:r>
        <w:rPr>
          <w:rFonts w:hint="eastAsia" w:ascii="仿宋" w:hAnsi="仿宋" w:eastAsia="仿宋" w:cs="仿宋"/>
          <w:color w:val="000000"/>
          <w:sz w:val="32"/>
          <w:szCs w:val="32"/>
        </w:rPr>
        <w:t>。与</w:t>
      </w:r>
      <w:r>
        <w:rPr>
          <w:rFonts w:ascii="仿宋" w:hAnsi="仿宋" w:eastAsia="仿宋" w:cs="仿宋"/>
          <w:color w:val="000000"/>
          <w:sz w:val="32"/>
          <w:szCs w:val="32"/>
        </w:rPr>
        <w:t>2019</w:t>
      </w:r>
      <w:r>
        <w:rPr>
          <w:rFonts w:hint="eastAsia" w:ascii="仿宋" w:hAnsi="仿宋" w:eastAsia="仿宋" w:cs="仿宋"/>
          <w:color w:val="000000"/>
          <w:sz w:val="32"/>
          <w:szCs w:val="32"/>
        </w:rPr>
        <w:t>年相比，一般公共预算财政拨款减少</w:t>
      </w:r>
      <w:r>
        <w:rPr>
          <w:rFonts w:ascii="仿宋" w:hAnsi="仿宋" w:eastAsia="仿宋" w:cs="仿宋"/>
          <w:color w:val="000000"/>
          <w:sz w:val="32"/>
          <w:szCs w:val="32"/>
        </w:rPr>
        <w:t>16.86</w:t>
      </w:r>
      <w:r>
        <w:rPr>
          <w:rFonts w:hint="eastAsia" w:ascii="仿宋" w:hAnsi="仿宋" w:eastAsia="仿宋" w:cs="仿宋"/>
          <w:color w:val="000000"/>
          <w:sz w:val="32"/>
          <w:szCs w:val="32"/>
        </w:rPr>
        <w:t>万元，下降</w:t>
      </w:r>
      <w:r>
        <w:rPr>
          <w:rFonts w:ascii="仿宋" w:hAnsi="仿宋" w:eastAsia="仿宋" w:cs="仿宋"/>
          <w:color w:val="000000"/>
          <w:sz w:val="32"/>
          <w:szCs w:val="32"/>
        </w:rPr>
        <w:t>9.83%</w:t>
      </w:r>
      <w:r>
        <w:rPr>
          <w:rFonts w:hint="eastAsia" w:ascii="仿宋" w:hAnsi="仿宋" w:eastAsia="仿宋" w:cs="仿宋"/>
          <w:color w:val="000000"/>
          <w:sz w:val="32"/>
          <w:szCs w:val="32"/>
        </w:rPr>
        <w:t>。主要变动原因是课题研究经费预算减少。</w:t>
      </w:r>
    </w:p>
    <w:p>
      <w:pPr>
        <w:spacing w:line="600" w:lineRule="exact"/>
        <w:rPr>
          <w:rFonts w:ascii="仿宋" w:hAnsi="仿宋" w:eastAsia="仿宋"/>
          <w:w w:val="90"/>
          <w:sz w:val="32"/>
          <w:szCs w:val="32"/>
        </w:rPr>
      </w:pPr>
      <w:r>
        <w:rPr>
          <w:rFonts w:hint="eastAsia" w:ascii="仿宋" w:hAnsi="仿宋" w:eastAsia="仿宋" w:cs="仿宋"/>
          <w:w w:val="90"/>
          <w:sz w:val="32"/>
          <w:szCs w:val="32"/>
        </w:rPr>
        <w:t>（图</w:t>
      </w:r>
      <w:r>
        <w:rPr>
          <w:rFonts w:ascii="仿宋" w:hAnsi="仿宋" w:eastAsia="仿宋" w:cs="仿宋"/>
          <w:w w:val="90"/>
          <w:sz w:val="32"/>
          <w:szCs w:val="32"/>
        </w:rPr>
        <w:t>5</w:t>
      </w:r>
      <w:r>
        <w:rPr>
          <w:rFonts w:hint="eastAsia" w:ascii="仿宋" w:hAnsi="仿宋" w:eastAsia="仿宋" w:cs="仿宋"/>
          <w:w w:val="90"/>
          <w:sz w:val="32"/>
          <w:szCs w:val="32"/>
        </w:rPr>
        <w:t>：一般公共预算财政拨款支出决算变动情况）（单位：万元）</w:t>
      </w:r>
    </w:p>
    <w:p>
      <w:pPr>
        <w:spacing w:line="600" w:lineRule="exact"/>
        <w:ind w:firstLine="420" w:firstLineChars="200"/>
        <w:outlineLvl w:val="2"/>
        <w:rPr>
          <w:rFonts w:ascii="仿宋" w:hAnsi="仿宋" w:eastAsia="仿宋"/>
          <w:b/>
          <w:bCs/>
          <w:sz w:val="32"/>
          <w:szCs w:val="32"/>
        </w:rPr>
      </w:pPr>
      <w:r>
        <w:pict>
          <v:shape id="_x0000_s1030" o:spid="_x0000_s1030" o:spt="75" type="#_x0000_t75" style="position:absolute;left:0pt;margin-left:58.5pt;margin-top:8.55pt;height:179.3pt;width:288.7pt;mso-wrap-distance-bottom:0pt;mso-wrap-distance-top:0pt;z-index:251662336;mso-width-relative:page;mso-height-relative:page;" o:ole="t" filled="f" o:preferrelative="t" stroked="f" coordsize="21600,21600">
            <v:path/>
            <v:fill on="f" focussize="0,0"/>
            <v:stroke on="f" joinstyle="miter"/>
            <v:imagedata r:id="rId16" o:title=""/>
            <o:lock v:ext="edit" aspectratio="t"/>
            <w10:wrap type="topAndBottom"/>
          </v:shape>
          <o:OLEObject Type="Embed" ProgID="MSGraph.Chart.8" ShapeID="_x0000_s1030" DrawAspect="Content" ObjectID="_1468075729" r:id="rId15">
            <o:LockedField>false</o:LockedField>
          </o:OLEObject>
        </w:pict>
      </w:r>
      <w:r>
        <w:rPr>
          <w:rFonts w:hint="eastAsia" w:ascii="仿宋" w:hAnsi="仿宋" w:eastAsia="仿宋" w:cs="仿宋"/>
          <w:b/>
          <w:bCs/>
          <w:sz w:val="32"/>
          <w:szCs w:val="32"/>
        </w:rPr>
        <w:t>（二）一般公共预算财政拨款支出决算结构情况</w:t>
      </w:r>
      <w:bookmarkEnd w:id="26"/>
      <w:bookmarkEnd w:id="27"/>
    </w:p>
    <w:p>
      <w:pPr>
        <w:spacing w:line="600" w:lineRule="exact"/>
        <w:ind w:firstLine="640"/>
        <w:rPr>
          <w:rFonts w:ascii="仿宋" w:hAnsi="仿宋" w:eastAsia="仿宋"/>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154.64</w:t>
      </w:r>
      <w:r>
        <w:rPr>
          <w:rFonts w:hint="eastAsia" w:ascii="仿宋" w:hAnsi="仿宋" w:eastAsia="仿宋" w:cs="仿宋"/>
          <w:color w:val="000000"/>
          <w:sz w:val="32"/>
          <w:szCs w:val="32"/>
        </w:rPr>
        <w:t>万元，主要用于以下方面</w:t>
      </w:r>
      <w:r>
        <w:rPr>
          <w:rFonts w:ascii="仿宋" w:hAnsi="仿宋" w:eastAsia="仿宋" w:cs="仿宋"/>
          <w:color w:val="000000"/>
          <w:sz w:val="32"/>
          <w:szCs w:val="32"/>
        </w:rPr>
        <w:t>:</w:t>
      </w:r>
      <w:r>
        <w:rPr>
          <w:rFonts w:hint="eastAsia" w:ascii="仿宋" w:hAnsi="仿宋" w:eastAsia="仿宋" w:cs="仿宋"/>
          <w:b/>
          <w:bCs/>
          <w:color w:val="000000"/>
          <w:sz w:val="32"/>
          <w:szCs w:val="32"/>
        </w:rPr>
        <w:t>社会保障和就业（类）</w:t>
      </w:r>
      <w:r>
        <w:rPr>
          <w:rFonts w:hint="eastAsia" w:ascii="仿宋" w:hAnsi="仿宋" w:eastAsia="仿宋" w:cs="仿宋"/>
          <w:color w:val="000000"/>
          <w:sz w:val="32"/>
          <w:szCs w:val="32"/>
        </w:rPr>
        <w:t>支出</w:t>
      </w:r>
      <w:r>
        <w:rPr>
          <w:rFonts w:ascii="仿宋" w:hAnsi="仿宋" w:eastAsia="仿宋" w:cs="仿宋"/>
          <w:color w:val="000000"/>
          <w:sz w:val="32"/>
          <w:szCs w:val="32"/>
        </w:rPr>
        <w:t>134.73</w:t>
      </w:r>
      <w:r>
        <w:rPr>
          <w:rFonts w:hint="eastAsia" w:ascii="仿宋" w:hAnsi="仿宋" w:eastAsia="仿宋" w:cs="仿宋"/>
          <w:color w:val="000000"/>
          <w:sz w:val="32"/>
          <w:szCs w:val="32"/>
        </w:rPr>
        <w:t>万元，占</w:t>
      </w:r>
      <w:r>
        <w:rPr>
          <w:rFonts w:ascii="仿宋" w:hAnsi="仿宋" w:eastAsia="仿宋" w:cs="仿宋"/>
          <w:color w:val="000000"/>
          <w:sz w:val="32"/>
          <w:szCs w:val="32"/>
        </w:rPr>
        <w:t>87.13%</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卫生健康（类）</w:t>
      </w:r>
      <w:r>
        <w:rPr>
          <w:rFonts w:hint="eastAsia" w:ascii="仿宋" w:hAnsi="仿宋" w:eastAsia="仿宋" w:cs="仿宋"/>
          <w:color w:val="000000"/>
          <w:sz w:val="32"/>
          <w:szCs w:val="32"/>
        </w:rPr>
        <w:t>支出</w:t>
      </w:r>
      <w:r>
        <w:rPr>
          <w:rFonts w:ascii="仿宋" w:hAnsi="仿宋" w:eastAsia="仿宋" w:cs="仿宋"/>
          <w:color w:val="000000"/>
          <w:sz w:val="32"/>
          <w:szCs w:val="32"/>
        </w:rPr>
        <w:t>8.48</w:t>
      </w:r>
      <w:r>
        <w:rPr>
          <w:rFonts w:hint="eastAsia" w:ascii="仿宋" w:hAnsi="仿宋" w:eastAsia="仿宋" w:cs="仿宋"/>
          <w:color w:val="000000"/>
          <w:sz w:val="32"/>
          <w:szCs w:val="32"/>
        </w:rPr>
        <w:t>万元，占</w:t>
      </w:r>
      <w:r>
        <w:rPr>
          <w:rFonts w:ascii="仿宋" w:hAnsi="仿宋" w:eastAsia="仿宋" w:cs="仿宋"/>
          <w:color w:val="000000"/>
          <w:sz w:val="32"/>
          <w:szCs w:val="32"/>
        </w:rPr>
        <w:t>5.48%</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住房保障（类）</w:t>
      </w:r>
      <w:r>
        <w:rPr>
          <w:rFonts w:hint="eastAsia" w:ascii="仿宋" w:hAnsi="仿宋" w:eastAsia="仿宋" w:cs="仿宋"/>
          <w:color w:val="000000"/>
          <w:sz w:val="32"/>
          <w:szCs w:val="32"/>
        </w:rPr>
        <w:t>支出</w:t>
      </w:r>
      <w:r>
        <w:rPr>
          <w:rFonts w:ascii="仿宋" w:hAnsi="仿宋" w:eastAsia="仿宋" w:cs="仿宋"/>
          <w:color w:val="000000"/>
          <w:sz w:val="32"/>
          <w:szCs w:val="32"/>
        </w:rPr>
        <w:t>11.43</w:t>
      </w:r>
      <w:r>
        <w:rPr>
          <w:rFonts w:hint="eastAsia" w:ascii="仿宋" w:hAnsi="仿宋" w:eastAsia="仿宋" w:cs="仿宋"/>
          <w:color w:val="000000"/>
          <w:sz w:val="32"/>
          <w:szCs w:val="32"/>
        </w:rPr>
        <w:t>万元，占</w:t>
      </w:r>
      <w:r>
        <w:rPr>
          <w:rFonts w:ascii="仿宋" w:hAnsi="仿宋" w:eastAsia="仿宋" w:cs="仿宋"/>
          <w:color w:val="000000"/>
          <w:sz w:val="32"/>
          <w:szCs w:val="32"/>
        </w:rPr>
        <w:t>7.39%</w:t>
      </w:r>
      <w:r>
        <w:rPr>
          <w:rFonts w:hint="eastAsia" w:ascii="仿宋" w:hAnsi="仿宋" w:eastAsia="仿宋" w:cs="仿宋"/>
          <w:color w:val="000000"/>
          <w:sz w:val="32"/>
          <w:szCs w:val="32"/>
        </w:rPr>
        <w:t>。</w:t>
      </w:r>
    </w:p>
    <w:p>
      <w:pPr>
        <w:spacing w:line="600" w:lineRule="exact"/>
        <w:ind w:firstLine="420" w:firstLineChars="200"/>
        <w:rPr>
          <w:rFonts w:ascii="仿宋" w:hAnsi="仿宋" w:eastAsia="仿宋"/>
          <w:sz w:val="32"/>
          <w:szCs w:val="32"/>
        </w:rPr>
      </w:pPr>
      <w:r>
        <w:pict>
          <v:shape id="_x0000_s1031" o:spid="_x0000_s1031" o:spt="75" type="#_x0000_t75" style="position:absolute;left:0pt;margin-left:57.75pt;margin-top:37.3pt;height:171.6pt;width:304.55pt;mso-wrap-distance-bottom:0pt;mso-wrap-distance-top:0pt;z-index:251663360;mso-width-relative:page;mso-height-relative:page;" o:ole="t" filled="f" o:preferrelative="t" stroked="f" coordsize="21600,21600">
            <v:path/>
            <v:fill on="f" focussize="0,0"/>
            <v:stroke on="f" joinstyle="miter"/>
            <v:imagedata r:id="rId18" o:title=""/>
            <o:lock v:ext="edit" aspectratio="t"/>
            <w10:wrap type="topAndBottom"/>
          </v:shape>
          <o:OLEObject Type="Embed" ProgID="MSGraph.Chart.8" ShapeID="_x0000_s1031" DrawAspect="Content" ObjectID="_1468075730" r:id="rId17">
            <o:LockedField>false</o:LockedField>
          </o:OLEObject>
        </w:pict>
      </w: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w:t>
      </w:r>
    </w:p>
    <w:p>
      <w:pPr>
        <w:spacing w:line="600" w:lineRule="exact"/>
        <w:ind w:firstLine="642" w:firstLineChars="200"/>
        <w:outlineLvl w:val="2"/>
        <w:rPr>
          <w:rFonts w:ascii="仿宋" w:hAnsi="仿宋" w:eastAsia="仿宋"/>
          <w:b/>
          <w:bCs/>
          <w:sz w:val="32"/>
          <w:szCs w:val="32"/>
        </w:rPr>
      </w:pPr>
      <w:bookmarkStart w:id="47" w:name="_Toc81680721"/>
      <w:bookmarkStart w:id="48" w:name="_Toc15377212"/>
      <w:r>
        <w:rPr>
          <w:rFonts w:hint="eastAsia" w:ascii="仿宋" w:hAnsi="仿宋" w:eastAsia="仿宋" w:cs="仿宋"/>
          <w:b/>
          <w:bCs/>
          <w:sz w:val="32"/>
          <w:szCs w:val="32"/>
        </w:rPr>
        <w:t>（三）一般公共预算财政拨款支出决算具体情况</w:t>
      </w:r>
      <w:bookmarkEnd w:id="47"/>
      <w:bookmarkEnd w:id="48"/>
    </w:p>
    <w:p>
      <w:pPr>
        <w:spacing w:line="600" w:lineRule="exact"/>
        <w:ind w:firstLine="642" w:firstLineChars="200"/>
        <w:outlineLvl w:val="2"/>
        <w:rPr>
          <w:rFonts w:ascii="仿宋" w:hAnsi="仿宋" w:eastAsia="仿宋"/>
          <w:color w:val="FF0000"/>
          <w:sz w:val="32"/>
          <w:szCs w:val="32"/>
        </w:rPr>
      </w:pPr>
      <w:bookmarkStart w:id="49" w:name="_Toc15377444"/>
      <w:bookmarkStart w:id="50" w:name="_Toc15378460"/>
      <w:bookmarkStart w:id="51" w:name="_Toc81680722"/>
      <w:bookmarkStart w:id="52" w:name="_Toc15377213"/>
      <w:r>
        <w:rPr>
          <w:rFonts w:ascii="仿宋" w:hAnsi="仿宋" w:eastAsia="仿宋" w:cs="仿宋"/>
          <w:b/>
          <w:bCs/>
          <w:color w:val="000000"/>
          <w:sz w:val="32"/>
          <w:szCs w:val="32"/>
        </w:rPr>
        <w:t>2020</w:t>
      </w:r>
      <w:r>
        <w:rPr>
          <w:rFonts w:hint="eastAsia" w:ascii="仿宋" w:hAnsi="仿宋" w:eastAsia="仿宋" w:cs="仿宋"/>
          <w:b/>
          <w:bCs/>
          <w:color w:val="000000"/>
          <w:sz w:val="32"/>
          <w:szCs w:val="32"/>
        </w:rPr>
        <w:t>年一般公共预算支出决算数为</w:t>
      </w:r>
      <w:r>
        <w:rPr>
          <w:rFonts w:ascii="仿宋" w:hAnsi="仿宋" w:eastAsia="仿宋" w:cs="仿宋"/>
          <w:b/>
          <w:bCs/>
          <w:color w:val="000000"/>
          <w:sz w:val="32"/>
          <w:szCs w:val="32"/>
        </w:rPr>
        <w:t>154.64</w:t>
      </w:r>
      <w:r>
        <w:rPr>
          <w:rFonts w:hint="eastAsia" w:ascii="仿宋" w:hAnsi="仿宋" w:eastAsia="仿宋" w:cs="仿宋"/>
          <w:b/>
          <w:bCs/>
          <w:color w:val="000000"/>
          <w:sz w:val="32"/>
          <w:szCs w:val="32"/>
        </w:rPr>
        <w:t>万元</w:t>
      </w:r>
      <w:r>
        <w:rPr>
          <w:rFonts w:hint="eastAsia" w:ascii="仿宋" w:hAnsi="仿宋" w:eastAsia="仿宋" w:cs="仿宋"/>
          <w:color w:val="000000"/>
          <w:sz w:val="32"/>
          <w:szCs w:val="32"/>
        </w:rPr>
        <w:t>，</w:t>
      </w:r>
      <w:r>
        <w:rPr>
          <w:rStyle w:val="15"/>
          <w:rFonts w:hint="eastAsia" w:ascii="仿宋" w:hAnsi="仿宋" w:eastAsia="仿宋" w:cs="仿宋"/>
          <w:color w:val="000000"/>
          <w:sz w:val="32"/>
          <w:szCs w:val="32"/>
        </w:rPr>
        <w:t>完成预算</w:t>
      </w:r>
      <w:r>
        <w:rPr>
          <w:rStyle w:val="15"/>
          <w:rFonts w:ascii="仿宋" w:hAnsi="仿宋" w:eastAsia="仿宋" w:cs="仿宋"/>
          <w:color w:val="000000"/>
          <w:sz w:val="32"/>
          <w:szCs w:val="32"/>
        </w:rPr>
        <w:t>64.81%</w:t>
      </w:r>
      <w:r>
        <w:rPr>
          <w:rStyle w:val="15"/>
          <w:rFonts w:hint="eastAsia" w:ascii="仿宋" w:hAnsi="仿宋" w:eastAsia="仿宋" w:cs="仿宋"/>
          <w:color w:val="000000"/>
          <w:sz w:val="32"/>
          <w:szCs w:val="32"/>
        </w:rPr>
        <w:t>。其中：</w:t>
      </w:r>
      <w:bookmarkEnd w:id="49"/>
      <w:bookmarkEnd w:id="50"/>
      <w:bookmarkEnd w:id="51"/>
      <w:bookmarkEnd w:id="52"/>
    </w:p>
    <w:p>
      <w:pPr>
        <w:spacing w:line="600" w:lineRule="exact"/>
        <w:ind w:firstLine="642" w:firstLineChars="200"/>
        <w:rPr>
          <w:rFonts w:ascii="仿宋" w:hAnsi="仿宋" w:eastAsia="仿宋"/>
          <w:b/>
          <w:bCs/>
          <w:color w:val="000000"/>
          <w:sz w:val="32"/>
          <w:szCs w:val="32"/>
        </w:rPr>
      </w:pPr>
      <w:r>
        <w:rPr>
          <w:rStyle w:val="15"/>
          <w:rFonts w:ascii="仿宋" w:hAnsi="仿宋" w:eastAsia="仿宋" w:cs="仿宋"/>
          <w:color w:val="000000"/>
          <w:sz w:val="32"/>
          <w:szCs w:val="32"/>
        </w:rPr>
        <w:t>1.</w:t>
      </w:r>
      <w:r>
        <w:rPr>
          <w:rStyle w:val="15"/>
          <w:rFonts w:hint="eastAsia" w:ascii="仿宋" w:hAnsi="仿宋" w:eastAsia="仿宋" w:cs="仿宋"/>
          <w:color w:val="000000"/>
          <w:sz w:val="32"/>
          <w:szCs w:val="32"/>
        </w:rPr>
        <w:t>社会保障和就业（类）人力资源和社会保障管理事务（款）信息化建设（项）</w:t>
      </w:r>
      <w:r>
        <w:rPr>
          <w:rStyle w:val="15"/>
          <w:rFonts w:ascii="仿宋" w:hAnsi="仿宋" w:eastAsia="仿宋" w:cs="仿宋"/>
          <w:color w:val="000000"/>
          <w:sz w:val="32"/>
          <w:szCs w:val="32"/>
        </w:rPr>
        <w:t>:</w:t>
      </w:r>
      <w:r>
        <w:rPr>
          <w:rStyle w:val="15"/>
          <w:rFonts w:hint="eastAsia" w:ascii="仿宋" w:hAnsi="仿宋" w:eastAsia="仿宋" w:cs="仿宋"/>
          <w:b w:val="0"/>
          <w:bCs w:val="0"/>
          <w:color w:val="000000"/>
          <w:sz w:val="32"/>
          <w:szCs w:val="32"/>
        </w:rPr>
        <w:t>支出决算为</w:t>
      </w:r>
      <w:r>
        <w:rPr>
          <w:rStyle w:val="15"/>
          <w:rFonts w:ascii="仿宋" w:hAnsi="仿宋" w:eastAsia="仿宋" w:cs="仿宋"/>
          <w:b w:val="0"/>
          <w:bCs w:val="0"/>
          <w:color w:val="000000"/>
          <w:sz w:val="32"/>
          <w:szCs w:val="32"/>
        </w:rPr>
        <w:t>2</w:t>
      </w:r>
      <w:r>
        <w:rPr>
          <w:rStyle w:val="15"/>
          <w:rFonts w:hint="eastAsia" w:ascii="仿宋" w:hAnsi="仿宋" w:eastAsia="仿宋" w:cs="仿宋"/>
          <w:b w:val="0"/>
          <w:bCs w:val="0"/>
          <w:color w:val="000000"/>
          <w:sz w:val="32"/>
          <w:szCs w:val="32"/>
        </w:rPr>
        <w:t>万元，完成预算</w:t>
      </w:r>
      <w:r>
        <w:rPr>
          <w:rStyle w:val="15"/>
          <w:rFonts w:ascii="仿宋" w:hAnsi="仿宋" w:eastAsia="仿宋" w:cs="仿宋"/>
          <w:b w:val="0"/>
          <w:bCs w:val="0"/>
          <w:color w:val="000000"/>
          <w:sz w:val="32"/>
          <w:szCs w:val="32"/>
        </w:rPr>
        <w:t>100%</w:t>
      </w:r>
      <w:r>
        <w:rPr>
          <w:rStyle w:val="15"/>
          <w:rFonts w:hint="eastAsia" w:ascii="仿宋" w:hAnsi="仿宋" w:eastAsia="仿宋" w:cs="仿宋"/>
          <w:b w:val="0"/>
          <w:bCs w:val="0"/>
          <w:color w:val="000000"/>
          <w:sz w:val="32"/>
          <w:szCs w:val="32"/>
        </w:rPr>
        <w:t>。</w:t>
      </w:r>
    </w:p>
    <w:p>
      <w:pPr>
        <w:spacing w:line="600" w:lineRule="exact"/>
        <w:ind w:firstLine="642" w:firstLineChars="200"/>
        <w:rPr>
          <w:rFonts w:ascii="仿宋" w:hAnsi="仿宋" w:eastAsia="仿宋"/>
          <w:b/>
          <w:bCs/>
          <w:color w:val="000000"/>
          <w:sz w:val="32"/>
          <w:szCs w:val="32"/>
        </w:rPr>
      </w:pPr>
      <w:r>
        <w:rPr>
          <w:rStyle w:val="15"/>
          <w:rFonts w:ascii="仿宋" w:hAnsi="仿宋" w:eastAsia="仿宋" w:cs="仿宋"/>
          <w:color w:val="000000"/>
          <w:sz w:val="32"/>
          <w:szCs w:val="32"/>
        </w:rPr>
        <w:t>2.</w:t>
      </w:r>
      <w:r>
        <w:rPr>
          <w:rStyle w:val="15"/>
          <w:rFonts w:hint="eastAsia" w:ascii="仿宋" w:hAnsi="仿宋" w:eastAsia="仿宋" w:cs="仿宋"/>
          <w:color w:val="000000"/>
          <w:sz w:val="32"/>
          <w:szCs w:val="32"/>
        </w:rPr>
        <w:t>社会保障和就业（类）人力资源和社会保障管理事务（款）其他人力资源和社会保障管理事务支出（项）</w:t>
      </w:r>
      <w:r>
        <w:rPr>
          <w:rStyle w:val="15"/>
          <w:rFonts w:ascii="仿宋" w:hAnsi="仿宋" w:eastAsia="仿宋" w:cs="仿宋"/>
          <w:color w:val="000000"/>
          <w:sz w:val="32"/>
          <w:szCs w:val="32"/>
        </w:rPr>
        <w:t>:</w:t>
      </w:r>
      <w:r>
        <w:rPr>
          <w:rStyle w:val="15"/>
          <w:rFonts w:hint="eastAsia" w:ascii="仿宋" w:hAnsi="仿宋" w:eastAsia="仿宋" w:cs="仿宋"/>
          <w:b w:val="0"/>
          <w:bCs w:val="0"/>
          <w:color w:val="000000"/>
          <w:sz w:val="32"/>
          <w:szCs w:val="32"/>
        </w:rPr>
        <w:t>支出决算为</w:t>
      </w:r>
      <w:r>
        <w:rPr>
          <w:rStyle w:val="15"/>
          <w:rFonts w:ascii="仿宋" w:hAnsi="仿宋" w:eastAsia="仿宋" w:cs="仿宋"/>
          <w:b w:val="0"/>
          <w:bCs w:val="0"/>
          <w:color w:val="000000"/>
          <w:sz w:val="32"/>
          <w:szCs w:val="32"/>
        </w:rPr>
        <w:t>118.15</w:t>
      </w:r>
      <w:r>
        <w:rPr>
          <w:rStyle w:val="15"/>
          <w:rFonts w:hint="eastAsia" w:ascii="仿宋" w:hAnsi="仿宋" w:eastAsia="仿宋" w:cs="仿宋"/>
          <w:b w:val="0"/>
          <w:bCs w:val="0"/>
          <w:color w:val="000000"/>
          <w:sz w:val="32"/>
          <w:szCs w:val="32"/>
        </w:rPr>
        <w:t>万元，完成预算</w:t>
      </w:r>
      <w:r>
        <w:rPr>
          <w:rStyle w:val="15"/>
          <w:rFonts w:ascii="仿宋" w:hAnsi="仿宋" w:eastAsia="仿宋" w:cs="仿宋"/>
          <w:b w:val="0"/>
          <w:bCs w:val="0"/>
          <w:color w:val="000000"/>
          <w:sz w:val="32"/>
          <w:szCs w:val="32"/>
        </w:rPr>
        <w:t>83.15%</w:t>
      </w:r>
      <w:r>
        <w:rPr>
          <w:rStyle w:val="15"/>
          <w:rFonts w:hint="eastAsia" w:ascii="仿宋" w:hAnsi="仿宋" w:eastAsia="仿宋" w:cs="仿宋"/>
          <w:b w:val="0"/>
          <w:bCs w:val="0"/>
          <w:color w:val="000000"/>
          <w:sz w:val="32"/>
          <w:szCs w:val="32"/>
        </w:rPr>
        <w:t>，决算数小于预算数的主要原因是人员经费有结余。</w:t>
      </w:r>
    </w:p>
    <w:p>
      <w:pPr>
        <w:spacing w:line="600" w:lineRule="exact"/>
        <w:ind w:firstLine="642" w:firstLineChars="200"/>
        <w:rPr>
          <w:rFonts w:ascii="仿宋" w:hAnsi="仿宋" w:eastAsia="仿宋"/>
          <w:b/>
          <w:bCs/>
          <w:color w:val="000000"/>
          <w:sz w:val="32"/>
          <w:szCs w:val="32"/>
        </w:rPr>
      </w:pPr>
      <w:r>
        <w:rPr>
          <w:rStyle w:val="15"/>
          <w:rFonts w:hint="eastAsia" w:ascii="仿宋" w:hAnsi="仿宋" w:eastAsia="仿宋" w:cs="仿宋"/>
          <w:color w:val="000000"/>
          <w:sz w:val="32"/>
          <w:szCs w:val="32"/>
        </w:rPr>
        <w:t>社会保障和就业（类）行政事业单位养老支出（款）事业单位离退休（项）</w:t>
      </w:r>
      <w:r>
        <w:rPr>
          <w:rStyle w:val="15"/>
          <w:rFonts w:ascii="仿宋" w:hAnsi="仿宋" w:eastAsia="仿宋" w:cs="仿宋"/>
          <w:color w:val="000000"/>
          <w:sz w:val="32"/>
          <w:szCs w:val="32"/>
        </w:rPr>
        <w:t>:</w:t>
      </w:r>
      <w:r>
        <w:rPr>
          <w:rStyle w:val="15"/>
          <w:rFonts w:hint="eastAsia" w:ascii="仿宋" w:hAnsi="仿宋" w:eastAsia="仿宋" w:cs="仿宋"/>
          <w:b w:val="0"/>
          <w:bCs w:val="0"/>
          <w:color w:val="000000"/>
          <w:sz w:val="32"/>
          <w:szCs w:val="32"/>
        </w:rPr>
        <w:t>支出决算为</w:t>
      </w:r>
      <w:r>
        <w:rPr>
          <w:rStyle w:val="15"/>
          <w:rFonts w:ascii="仿宋" w:hAnsi="仿宋" w:eastAsia="仿宋" w:cs="仿宋"/>
          <w:b w:val="0"/>
          <w:bCs w:val="0"/>
          <w:color w:val="000000"/>
          <w:sz w:val="32"/>
          <w:szCs w:val="32"/>
        </w:rPr>
        <w:t>1.68</w:t>
      </w:r>
      <w:r>
        <w:rPr>
          <w:rStyle w:val="15"/>
          <w:rFonts w:hint="eastAsia" w:ascii="仿宋" w:hAnsi="仿宋" w:eastAsia="仿宋" w:cs="仿宋"/>
          <w:b w:val="0"/>
          <w:bCs w:val="0"/>
          <w:color w:val="000000"/>
          <w:sz w:val="32"/>
          <w:szCs w:val="32"/>
        </w:rPr>
        <w:t>万元，完成预算</w:t>
      </w:r>
      <w:r>
        <w:rPr>
          <w:rStyle w:val="15"/>
          <w:rFonts w:ascii="仿宋" w:hAnsi="仿宋" w:eastAsia="仿宋" w:cs="仿宋"/>
          <w:b w:val="0"/>
          <w:bCs w:val="0"/>
          <w:color w:val="000000"/>
          <w:sz w:val="32"/>
          <w:szCs w:val="32"/>
        </w:rPr>
        <w:t>100%</w:t>
      </w:r>
      <w:r>
        <w:rPr>
          <w:rStyle w:val="15"/>
          <w:rFonts w:hint="eastAsia" w:ascii="仿宋" w:hAnsi="仿宋" w:eastAsia="仿宋" w:cs="仿宋"/>
          <w:b w:val="0"/>
          <w:bCs w:val="0"/>
          <w:color w:val="000000"/>
          <w:sz w:val="32"/>
          <w:szCs w:val="32"/>
        </w:rPr>
        <w:t>。</w:t>
      </w:r>
    </w:p>
    <w:p>
      <w:pPr>
        <w:spacing w:line="600" w:lineRule="exact"/>
        <w:ind w:firstLine="642" w:firstLineChars="200"/>
        <w:rPr>
          <w:rFonts w:ascii="仿宋" w:hAnsi="仿宋" w:eastAsia="仿宋"/>
          <w:b/>
          <w:bCs/>
          <w:color w:val="000000"/>
          <w:sz w:val="32"/>
          <w:szCs w:val="32"/>
        </w:rPr>
      </w:pPr>
      <w:r>
        <w:rPr>
          <w:rStyle w:val="15"/>
          <w:rFonts w:hint="eastAsia" w:ascii="仿宋" w:hAnsi="仿宋" w:eastAsia="仿宋" w:cs="仿宋"/>
          <w:color w:val="000000"/>
          <w:sz w:val="32"/>
          <w:szCs w:val="32"/>
        </w:rPr>
        <w:t>社会保障和就业（类）行政事业单位养老支出（款）机关事业单位基本养老保险缴费支出（项）</w:t>
      </w:r>
      <w:r>
        <w:rPr>
          <w:rStyle w:val="15"/>
          <w:rFonts w:ascii="仿宋" w:hAnsi="仿宋" w:eastAsia="仿宋" w:cs="仿宋"/>
          <w:color w:val="000000"/>
          <w:sz w:val="32"/>
          <w:szCs w:val="32"/>
        </w:rPr>
        <w:t>:</w:t>
      </w:r>
      <w:r>
        <w:rPr>
          <w:rStyle w:val="15"/>
          <w:rFonts w:hint="eastAsia" w:ascii="仿宋" w:hAnsi="仿宋" w:eastAsia="仿宋" w:cs="仿宋"/>
          <w:b w:val="0"/>
          <w:bCs w:val="0"/>
          <w:color w:val="000000"/>
          <w:sz w:val="32"/>
          <w:szCs w:val="32"/>
        </w:rPr>
        <w:t>支出决算为</w:t>
      </w:r>
      <w:r>
        <w:rPr>
          <w:rStyle w:val="15"/>
          <w:rFonts w:ascii="仿宋" w:hAnsi="仿宋" w:eastAsia="仿宋" w:cs="仿宋"/>
          <w:b w:val="0"/>
          <w:bCs w:val="0"/>
          <w:color w:val="000000"/>
          <w:sz w:val="32"/>
          <w:szCs w:val="32"/>
        </w:rPr>
        <w:t>8.6</w:t>
      </w:r>
      <w:r>
        <w:rPr>
          <w:rStyle w:val="15"/>
          <w:rFonts w:hint="eastAsia" w:ascii="仿宋" w:hAnsi="仿宋" w:eastAsia="仿宋" w:cs="仿宋"/>
          <w:b w:val="0"/>
          <w:bCs w:val="0"/>
          <w:color w:val="000000"/>
          <w:sz w:val="32"/>
          <w:szCs w:val="32"/>
        </w:rPr>
        <w:t>万元，完成预算</w:t>
      </w:r>
      <w:r>
        <w:rPr>
          <w:rStyle w:val="15"/>
          <w:rFonts w:ascii="仿宋" w:hAnsi="仿宋" w:eastAsia="仿宋" w:cs="仿宋"/>
          <w:b w:val="0"/>
          <w:bCs w:val="0"/>
          <w:color w:val="000000"/>
          <w:sz w:val="32"/>
          <w:szCs w:val="32"/>
        </w:rPr>
        <w:t>100%</w:t>
      </w:r>
      <w:r>
        <w:rPr>
          <w:rStyle w:val="15"/>
          <w:rFonts w:hint="eastAsia" w:ascii="仿宋" w:hAnsi="仿宋" w:eastAsia="仿宋" w:cs="仿宋"/>
          <w:b w:val="0"/>
          <w:bCs w:val="0"/>
          <w:color w:val="000000"/>
          <w:sz w:val="32"/>
          <w:szCs w:val="32"/>
        </w:rPr>
        <w:t>。</w:t>
      </w:r>
    </w:p>
    <w:p>
      <w:pPr>
        <w:spacing w:line="600" w:lineRule="exact"/>
        <w:ind w:firstLine="642" w:firstLineChars="200"/>
        <w:rPr>
          <w:rFonts w:ascii="仿宋" w:hAnsi="仿宋" w:eastAsia="仿宋"/>
          <w:b/>
          <w:bCs/>
          <w:color w:val="000000"/>
          <w:sz w:val="32"/>
          <w:szCs w:val="32"/>
        </w:rPr>
      </w:pPr>
      <w:r>
        <w:rPr>
          <w:rStyle w:val="15"/>
          <w:rFonts w:hint="eastAsia" w:ascii="仿宋" w:hAnsi="仿宋" w:eastAsia="仿宋" w:cs="仿宋"/>
          <w:color w:val="000000"/>
          <w:sz w:val="32"/>
          <w:szCs w:val="32"/>
        </w:rPr>
        <w:t>社会保障和就业（类）行政事业单位养老支出（款）机关事业单位职业年金缴费支出（项）</w:t>
      </w:r>
      <w:r>
        <w:rPr>
          <w:rStyle w:val="15"/>
          <w:rFonts w:ascii="仿宋" w:hAnsi="仿宋" w:eastAsia="仿宋" w:cs="仿宋"/>
          <w:color w:val="000000"/>
          <w:sz w:val="32"/>
          <w:szCs w:val="32"/>
        </w:rPr>
        <w:t>:</w:t>
      </w:r>
      <w:r>
        <w:rPr>
          <w:rStyle w:val="15"/>
          <w:rFonts w:hint="eastAsia" w:ascii="仿宋" w:hAnsi="仿宋" w:eastAsia="仿宋" w:cs="仿宋"/>
          <w:b w:val="0"/>
          <w:bCs w:val="0"/>
          <w:color w:val="000000"/>
          <w:sz w:val="32"/>
          <w:szCs w:val="32"/>
        </w:rPr>
        <w:t>支出决算为</w:t>
      </w:r>
      <w:r>
        <w:rPr>
          <w:rStyle w:val="15"/>
          <w:rFonts w:ascii="仿宋" w:hAnsi="仿宋" w:eastAsia="仿宋" w:cs="仿宋"/>
          <w:b w:val="0"/>
          <w:bCs w:val="0"/>
          <w:color w:val="000000"/>
          <w:sz w:val="32"/>
          <w:szCs w:val="32"/>
        </w:rPr>
        <w:t>4.3</w:t>
      </w:r>
      <w:r>
        <w:rPr>
          <w:rStyle w:val="15"/>
          <w:rFonts w:hint="eastAsia" w:ascii="仿宋" w:hAnsi="仿宋" w:eastAsia="仿宋" w:cs="仿宋"/>
          <w:b w:val="0"/>
          <w:bCs w:val="0"/>
          <w:color w:val="000000"/>
          <w:sz w:val="32"/>
          <w:szCs w:val="32"/>
        </w:rPr>
        <w:t>万元，完成预算</w:t>
      </w:r>
      <w:r>
        <w:rPr>
          <w:rStyle w:val="15"/>
          <w:rFonts w:ascii="仿宋" w:hAnsi="仿宋" w:eastAsia="仿宋" w:cs="仿宋"/>
          <w:b w:val="0"/>
          <w:bCs w:val="0"/>
          <w:color w:val="000000"/>
          <w:sz w:val="32"/>
          <w:szCs w:val="32"/>
        </w:rPr>
        <w:t>100%</w:t>
      </w:r>
      <w:r>
        <w:rPr>
          <w:rStyle w:val="15"/>
          <w:rFonts w:hint="eastAsia" w:ascii="仿宋" w:hAnsi="仿宋" w:eastAsia="仿宋" w:cs="仿宋"/>
          <w:b w:val="0"/>
          <w:bCs w:val="0"/>
          <w:color w:val="000000"/>
          <w:sz w:val="32"/>
          <w:szCs w:val="32"/>
        </w:rPr>
        <w:t>。</w:t>
      </w:r>
    </w:p>
    <w:p>
      <w:pPr>
        <w:spacing w:line="600" w:lineRule="exact"/>
        <w:ind w:firstLine="642" w:firstLineChars="200"/>
        <w:rPr>
          <w:rFonts w:ascii="仿宋" w:hAnsi="仿宋" w:eastAsia="仿宋"/>
          <w:b/>
          <w:bCs/>
          <w:color w:val="000000"/>
          <w:sz w:val="32"/>
          <w:szCs w:val="32"/>
        </w:rPr>
      </w:pPr>
      <w:r>
        <w:rPr>
          <w:rStyle w:val="15"/>
          <w:rFonts w:ascii="仿宋" w:hAnsi="仿宋" w:eastAsia="仿宋" w:cs="仿宋"/>
          <w:color w:val="000000"/>
          <w:sz w:val="32"/>
          <w:szCs w:val="32"/>
        </w:rPr>
        <w:t>3.</w:t>
      </w:r>
      <w:r>
        <w:rPr>
          <w:rFonts w:hint="eastAsia" w:ascii="仿宋" w:hAnsi="仿宋" w:eastAsia="仿宋" w:cs="仿宋"/>
          <w:b/>
          <w:bCs/>
          <w:color w:val="000000"/>
          <w:sz w:val="32"/>
          <w:szCs w:val="32"/>
        </w:rPr>
        <w:t>卫生健康（类）行政事业单位医疗（款）事业单位医疗（项）</w:t>
      </w:r>
      <w:r>
        <w:rPr>
          <w:rStyle w:val="15"/>
          <w:rFonts w:ascii="仿宋" w:hAnsi="仿宋" w:eastAsia="仿宋" w:cs="仿宋"/>
          <w:color w:val="000000"/>
          <w:sz w:val="32"/>
          <w:szCs w:val="32"/>
        </w:rPr>
        <w:t>:</w:t>
      </w:r>
      <w:r>
        <w:rPr>
          <w:rStyle w:val="15"/>
          <w:rFonts w:hint="eastAsia" w:ascii="仿宋" w:hAnsi="仿宋" w:eastAsia="仿宋" w:cs="仿宋"/>
          <w:b w:val="0"/>
          <w:bCs w:val="0"/>
          <w:color w:val="000000"/>
          <w:sz w:val="32"/>
          <w:szCs w:val="32"/>
        </w:rPr>
        <w:t>支出决算为</w:t>
      </w:r>
      <w:r>
        <w:rPr>
          <w:rStyle w:val="15"/>
          <w:rFonts w:ascii="仿宋" w:hAnsi="仿宋" w:eastAsia="仿宋" w:cs="仿宋"/>
          <w:b w:val="0"/>
          <w:bCs w:val="0"/>
          <w:color w:val="000000"/>
          <w:sz w:val="32"/>
          <w:szCs w:val="32"/>
        </w:rPr>
        <w:t>8.48</w:t>
      </w:r>
      <w:r>
        <w:rPr>
          <w:rStyle w:val="15"/>
          <w:rFonts w:hint="eastAsia" w:ascii="仿宋" w:hAnsi="仿宋" w:eastAsia="仿宋" w:cs="仿宋"/>
          <w:b w:val="0"/>
          <w:bCs w:val="0"/>
          <w:color w:val="000000"/>
          <w:sz w:val="32"/>
          <w:szCs w:val="32"/>
        </w:rPr>
        <w:t>万元，完成预算</w:t>
      </w:r>
      <w:r>
        <w:rPr>
          <w:rStyle w:val="15"/>
          <w:rFonts w:ascii="仿宋" w:hAnsi="仿宋" w:eastAsia="仿宋" w:cs="仿宋"/>
          <w:b w:val="0"/>
          <w:bCs w:val="0"/>
          <w:color w:val="000000"/>
          <w:sz w:val="32"/>
          <w:szCs w:val="32"/>
        </w:rPr>
        <w:t>100%</w:t>
      </w:r>
      <w:r>
        <w:rPr>
          <w:rStyle w:val="15"/>
          <w:rFonts w:hint="eastAsia" w:ascii="仿宋" w:hAnsi="仿宋" w:eastAsia="仿宋" w:cs="仿宋"/>
          <w:b w:val="0"/>
          <w:bCs w:val="0"/>
          <w:color w:val="000000"/>
          <w:sz w:val="32"/>
          <w:szCs w:val="32"/>
        </w:rPr>
        <w:t>。</w:t>
      </w:r>
    </w:p>
    <w:p>
      <w:pPr>
        <w:spacing w:line="600" w:lineRule="exact"/>
        <w:ind w:firstLine="642" w:firstLineChars="200"/>
        <w:rPr>
          <w:rStyle w:val="15"/>
          <w:rFonts w:ascii="仿宋" w:hAnsi="仿宋" w:eastAsia="仿宋"/>
          <w:b w:val="0"/>
          <w:bCs w:val="0"/>
          <w:color w:val="000000"/>
          <w:sz w:val="32"/>
          <w:szCs w:val="32"/>
        </w:rPr>
      </w:pPr>
      <w:r>
        <w:rPr>
          <w:rStyle w:val="15"/>
          <w:rFonts w:ascii="仿宋" w:hAnsi="仿宋" w:eastAsia="仿宋" w:cs="仿宋"/>
          <w:color w:val="000000"/>
          <w:sz w:val="32"/>
          <w:szCs w:val="32"/>
        </w:rPr>
        <w:t>4.</w:t>
      </w:r>
      <w:r>
        <w:rPr>
          <w:rFonts w:hint="eastAsia" w:ascii="仿宋" w:hAnsi="仿宋" w:eastAsia="仿宋" w:cs="仿宋"/>
          <w:b/>
          <w:bCs/>
          <w:color w:val="000000"/>
          <w:sz w:val="32"/>
          <w:szCs w:val="32"/>
        </w:rPr>
        <w:t>住房保障（类）住房改革支出（款）住房公积金（项）</w:t>
      </w:r>
      <w:r>
        <w:rPr>
          <w:rStyle w:val="15"/>
          <w:rFonts w:ascii="仿宋" w:hAnsi="仿宋" w:eastAsia="仿宋" w:cs="仿宋"/>
          <w:color w:val="000000"/>
          <w:sz w:val="32"/>
          <w:szCs w:val="32"/>
        </w:rPr>
        <w:t>:</w:t>
      </w:r>
      <w:r>
        <w:rPr>
          <w:rStyle w:val="15"/>
          <w:rFonts w:hint="eastAsia" w:ascii="仿宋" w:hAnsi="仿宋" w:eastAsia="仿宋" w:cs="仿宋"/>
          <w:b w:val="0"/>
          <w:bCs w:val="0"/>
          <w:color w:val="000000"/>
          <w:sz w:val="32"/>
          <w:szCs w:val="32"/>
        </w:rPr>
        <w:t>支出决算为</w:t>
      </w:r>
      <w:r>
        <w:rPr>
          <w:rStyle w:val="15"/>
          <w:rFonts w:ascii="仿宋" w:hAnsi="仿宋" w:eastAsia="仿宋" w:cs="仿宋"/>
          <w:b w:val="0"/>
          <w:bCs w:val="0"/>
          <w:color w:val="000000"/>
          <w:sz w:val="32"/>
          <w:szCs w:val="32"/>
        </w:rPr>
        <w:t>7.8</w:t>
      </w:r>
      <w:r>
        <w:rPr>
          <w:rStyle w:val="15"/>
          <w:rFonts w:hint="eastAsia" w:ascii="仿宋" w:hAnsi="仿宋" w:eastAsia="仿宋" w:cs="仿宋"/>
          <w:b w:val="0"/>
          <w:bCs w:val="0"/>
          <w:color w:val="000000"/>
          <w:sz w:val="32"/>
          <w:szCs w:val="32"/>
        </w:rPr>
        <w:t>万元，完成预算</w:t>
      </w:r>
      <w:r>
        <w:rPr>
          <w:rStyle w:val="15"/>
          <w:rFonts w:ascii="仿宋" w:hAnsi="仿宋" w:eastAsia="仿宋" w:cs="仿宋"/>
          <w:b w:val="0"/>
          <w:bCs w:val="0"/>
          <w:color w:val="000000"/>
          <w:sz w:val="32"/>
          <w:szCs w:val="32"/>
        </w:rPr>
        <w:t>100%</w:t>
      </w:r>
      <w:r>
        <w:rPr>
          <w:rStyle w:val="15"/>
          <w:rFonts w:hint="eastAsia" w:ascii="仿宋" w:hAnsi="仿宋" w:eastAsia="仿宋" w:cs="仿宋"/>
          <w:b w:val="0"/>
          <w:bCs w:val="0"/>
          <w:color w:val="000000"/>
          <w:sz w:val="32"/>
          <w:szCs w:val="32"/>
        </w:rPr>
        <w:t>。</w:t>
      </w:r>
    </w:p>
    <w:p>
      <w:pPr>
        <w:spacing w:line="600" w:lineRule="exact"/>
        <w:ind w:firstLine="629" w:firstLineChars="196"/>
        <w:rPr>
          <w:rFonts w:ascii="仿宋" w:hAnsi="仿宋" w:eastAsia="仿宋"/>
          <w:b/>
          <w:bCs/>
          <w:sz w:val="32"/>
          <w:szCs w:val="32"/>
        </w:rPr>
      </w:pPr>
      <w:r>
        <w:rPr>
          <w:rFonts w:hint="eastAsia" w:ascii="仿宋" w:hAnsi="仿宋" w:eastAsia="仿宋" w:cs="仿宋"/>
          <w:b/>
          <w:bCs/>
          <w:color w:val="000000"/>
          <w:sz w:val="32"/>
          <w:szCs w:val="32"/>
        </w:rPr>
        <w:t>住房保障（类）住房改革支出（款）购房补贴（项）</w:t>
      </w:r>
      <w:r>
        <w:rPr>
          <w:rStyle w:val="15"/>
          <w:rFonts w:ascii="仿宋" w:hAnsi="仿宋" w:eastAsia="仿宋" w:cs="仿宋"/>
          <w:color w:val="000000"/>
          <w:sz w:val="32"/>
          <w:szCs w:val="32"/>
        </w:rPr>
        <w:t>:</w:t>
      </w:r>
      <w:r>
        <w:rPr>
          <w:rStyle w:val="15"/>
          <w:rFonts w:hint="eastAsia" w:ascii="仿宋" w:hAnsi="仿宋" w:eastAsia="仿宋" w:cs="仿宋"/>
          <w:b w:val="0"/>
          <w:bCs w:val="0"/>
          <w:color w:val="000000"/>
          <w:sz w:val="32"/>
          <w:szCs w:val="32"/>
        </w:rPr>
        <w:t>支出决算为</w:t>
      </w:r>
      <w:r>
        <w:rPr>
          <w:rStyle w:val="15"/>
          <w:rFonts w:ascii="仿宋" w:hAnsi="仿宋" w:eastAsia="仿宋" w:cs="仿宋"/>
          <w:b w:val="0"/>
          <w:bCs w:val="0"/>
          <w:color w:val="000000"/>
          <w:sz w:val="32"/>
          <w:szCs w:val="32"/>
        </w:rPr>
        <w:t>3.63</w:t>
      </w:r>
      <w:r>
        <w:rPr>
          <w:rStyle w:val="15"/>
          <w:rFonts w:hint="eastAsia" w:ascii="仿宋" w:hAnsi="仿宋" w:eastAsia="仿宋" w:cs="仿宋"/>
          <w:b w:val="0"/>
          <w:bCs w:val="0"/>
          <w:color w:val="000000"/>
          <w:sz w:val="32"/>
          <w:szCs w:val="32"/>
        </w:rPr>
        <w:t>万元，完成预算</w:t>
      </w:r>
      <w:r>
        <w:rPr>
          <w:rStyle w:val="15"/>
          <w:rFonts w:ascii="仿宋" w:hAnsi="仿宋" w:eastAsia="仿宋" w:cs="仿宋"/>
          <w:b w:val="0"/>
          <w:bCs w:val="0"/>
          <w:color w:val="000000"/>
          <w:sz w:val="32"/>
          <w:szCs w:val="32"/>
        </w:rPr>
        <w:t>100%</w:t>
      </w:r>
      <w:r>
        <w:rPr>
          <w:rStyle w:val="15"/>
          <w:rFonts w:hint="eastAsia" w:ascii="仿宋" w:hAnsi="仿宋" w:eastAsia="仿宋" w:cs="仿宋"/>
          <w:b w:val="0"/>
          <w:bCs w:val="0"/>
          <w:color w:val="000000"/>
          <w:sz w:val="32"/>
          <w:szCs w:val="32"/>
        </w:rPr>
        <w:t>。</w:t>
      </w:r>
    </w:p>
    <w:p>
      <w:pPr>
        <w:tabs>
          <w:tab w:val="right" w:pos="8306"/>
        </w:tabs>
        <w:spacing w:line="600" w:lineRule="exact"/>
        <w:ind w:firstLine="640"/>
        <w:outlineLvl w:val="1"/>
        <w:rPr>
          <w:rStyle w:val="18"/>
        </w:rPr>
      </w:pPr>
      <w:bookmarkStart w:id="53" w:name="_Toc81680723"/>
      <w:bookmarkStart w:id="54" w:name="_Toc15377214"/>
      <w:bookmarkStart w:id="55" w:name="_Toc15396608"/>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18"/>
          <w:rFonts w:hint="eastAsia" w:ascii="黑体" w:hAnsi="黑体" w:eastAsia="黑体" w:cs="黑体"/>
          <w:b w:val="0"/>
          <w:bCs w:val="0"/>
        </w:rPr>
        <w:t>般公共预算财政拨款基本支出决算情况说明</w:t>
      </w:r>
      <w:bookmarkEnd w:id="53"/>
      <w:bookmarkEnd w:id="54"/>
      <w:bookmarkEnd w:id="55"/>
      <w:r>
        <w:rPr>
          <w:rStyle w:val="18"/>
          <w:rFonts w:ascii="黑体" w:hAnsi="黑体" w:eastAsia="黑体" w:cs="Times New Roman"/>
          <w:b w:val="0"/>
          <w:bCs w:val="0"/>
        </w:rPr>
        <w:tab/>
      </w:r>
    </w:p>
    <w:p>
      <w:pPr>
        <w:spacing w:line="600" w:lineRule="exact"/>
        <w:ind w:firstLine="645"/>
        <w:rPr>
          <w:rFonts w:ascii="仿宋" w:hAnsi="仿宋" w:eastAsia="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年一般公共预算财政拨款基本支出</w:t>
      </w:r>
      <w:r>
        <w:rPr>
          <w:rFonts w:ascii="仿宋" w:hAnsi="仿宋" w:eastAsia="仿宋" w:cs="仿宋"/>
          <w:color w:val="000000"/>
          <w:sz w:val="32"/>
          <w:szCs w:val="32"/>
        </w:rPr>
        <w:t>126.08</w:t>
      </w:r>
      <w:r>
        <w:rPr>
          <w:rFonts w:hint="eastAsia" w:ascii="仿宋" w:hAnsi="仿宋" w:eastAsia="仿宋" w:cs="仿宋"/>
          <w:color w:val="000000"/>
          <w:sz w:val="32"/>
          <w:szCs w:val="32"/>
        </w:rPr>
        <w:t>万元，其中：</w:t>
      </w:r>
    </w:p>
    <w:p>
      <w:pPr>
        <w:spacing w:line="600" w:lineRule="exact"/>
        <w:ind w:firstLine="645"/>
        <w:rPr>
          <w:rFonts w:ascii="仿宋" w:hAnsi="仿宋" w:eastAsia="仿宋"/>
          <w:b/>
          <w:bCs/>
          <w:sz w:val="32"/>
          <w:szCs w:val="32"/>
        </w:rPr>
      </w:pPr>
      <w:r>
        <w:rPr>
          <w:rFonts w:hint="eastAsia" w:ascii="仿宋" w:hAnsi="仿宋" w:eastAsia="仿宋" w:cs="仿宋"/>
          <w:color w:val="000000"/>
          <w:sz w:val="32"/>
          <w:szCs w:val="32"/>
        </w:rPr>
        <w:t>人员经费</w:t>
      </w:r>
      <w:r>
        <w:rPr>
          <w:rFonts w:ascii="仿宋" w:hAnsi="仿宋" w:eastAsia="仿宋" w:cs="仿宋"/>
          <w:color w:val="000000"/>
          <w:sz w:val="32"/>
          <w:szCs w:val="32"/>
        </w:rPr>
        <w:t>106.81</w:t>
      </w:r>
      <w:r>
        <w:rPr>
          <w:rFonts w:hint="eastAsia" w:ascii="仿宋" w:hAnsi="仿宋" w:eastAsia="仿宋" w:cs="仿宋"/>
          <w:color w:val="000000"/>
          <w:sz w:val="32"/>
          <w:szCs w:val="32"/>
        </w:rPr>
        <w:t>万元，主要包括：基本工资、津贴补贴、绩效工资、机关事业单位基本养老保险缴费、职业年金缴费、职工基本医疗保险缴费、其他社会保障缴费、住房公积金、其他工资福利支出、奖励金、其他对个人和家庭的补助支出。</w:t>
      </w:r>
      <w:r>
        <w:rPr>
          <w:rFonts w:ascii="仿宋" w:hAnsi="仿宋" w:eastAsia="仿宋"/>
          <w:color w:val="000000"/>
          <w:sz w:val="32"/>
          <w:szCs w:val="32"/>
        </w:rPr>
        <w:br w:type="textWrapping"/>
      </w:r>
      <w:r>
        <w:rPr>
          <w:rFonts w:hint="eastAsia" w:ascii="仿宋" w:hAnsi="仿宋" w:eastAsia="仿宋" w:cs="仿宋"/>
          <w:color w:val="000000"/>
          <w:sz w:val="32"/>
          <w:szCs w:val="32"/>
        </w:rPr>
        <w:t>　　日常公用经费</w:t>
      </w:r>
      <w:r>
        <w:rPr>
          <w:rFonts w:ascii="仿宋" w:hAnsi="仿宋" w:eastAsia="仿宋" w:cs="仿宋"/>
          <w:color w:val="000000"/>
          <w:sz w:val="32"/>
          <w:szCs w:val="32"/>
        </w:rPr>
        <w:t>19.27</w:t>
      </w:r>
      <w:r>
        <w:rPr>
          <w:rFonts w:hint="eastAsia" w:ascii="仿宋" w:hAnsi="仿宋" w:eastAsia="仿宋" w:cs="仿宋"/>
          <w:color w:val="000000"/>
          <w:sz w:val="32"/>
          <w:szCs w:val="32"/>
        </w:rPr>
        <w:t>万元，主要包括：办公费、水费、电费、邮电费、差旅费、公务接待费、劳务费、工会经费、福利费、公务用车运行维护费、其他交通费用、其他商品和服务支出。</w:t>
      </w:r>
    </w:p>
    <w:p>
      <w:pPr>
        <w:spacing w:line="600" w:lineRule="exact"/>
        <w:ind w:firstLine="640"/>
        <w:outlineLvl w:val="1"/>
        <w:rPr>
          <w:rStyle w:val="18"/>
          <w:rFonts w:ascii="黑体" w:hAnsi="黑体" w:eastAsia="黑体" w:cs="Times New Roman"/>
          <w:b w:val="0"/>
          <w:bCs w:val="0"/>
        </w:rPr>
      </w:pPr>
      <w:bookmarkStart w:id="56" w:name="_Toc15396609"/>
      <w:bookmarkStart w:id="57" w:name="_Toc15377215"/>
      <w:bookmarkStart w:id="58" w:name="_Toc81680724"/>
      <w:r>
        <w:rPr>
          <w:rFonts w:hint="eastAsia" w:ascii="黑体" w:eastAsia="黑体" w:cs="黑体"/>
          <w:sz w:val="32"/>
          <w:szCs w:val="32"/>
        </w:rPr>
        <w:t>七、</w:t>
      </w:r>
      <w:r>
        <w:rPr>
          <w:rStyle w:val="18"/>
          <w:rFonts w:hint="eastAsia" w:ascii="黑体" w:hAnsi="黑体" w:eastAsia="黑体" w:cs="黑体"/>
        </w:rPr>
        <w:t>“</w:t>
      </w:r>
      <w:r>
        <w:rPr>
          <w:rStyle w:val="18"/>
          <w:rFonts w:hint="eastAsia" w:ascii="黑体" w:hAnsi="黑体" w:eastAsia="黑体" w:cs="黑体"/>
          <w:b w:val="0"/>
          <w:bCs w:val="0"/>
        </w:rPr>
        <w:t>三公”经费财政拨款支出决算情况说明</w:t>
      </w:r>
      <w:bookmarkEnd w:id="56"/>
      <w:bookmarkEnd w:id="57"/>
      <w:bookmarkEnd w:id="58"/>
    </w:p>
    <w:p>
      <w:pPr>
        <w:spacing w:line="600" w:lineRule="exact"/>
        <w:ind w:firstLine="640"/>
        <w:outlineLvl w:val="2"/>
        <w:rPr>
          <w:rFonts w:ascii="仿宋" w:hAnsi="仿宋" w:eastAsia="仿宋"/>
          <w:b/>
          <w:bCs/>
          <w:sz w:val="32"/>
          <w:szCs w:val="32"/>
        </w:rPr>
      </w:pPr>
      <w:bookmarkStart w:id="59" w:name="_Toc81680725"/>
      <w:bookmarkStart w:id="60" w:name="_Toc15377216"/>
      <w:r>
        <w:rPr>
          <w:rFonts w:hint="eastAsia" w:ascii="仿宋" w:hAnsi="仿宋" w:eastAsia="仿宋" w:cs="仿宋"/>
          <w:b/>
          <w:bCs/>
          <w:sz w:val="32"/>
          <w:szCs w:val="32"/>
        </w:rPr>
        <w:t>（一）“三公”经费财政拨款支出决算总体情况说明</w:t>
      </w:r>
      <w:bookmarkEnd w:id="59"/>
      <w:bookmarkEnd w:id="60"/>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年“三公”经费财政拨款支出决算为</w:t>
      </w:r>
      <w:r>
        <w:rPr>
          <w:rFonts w:ascii="仿宋" w:hAnsi="仿宋" w:eastAsia="仿宋" w:cs="仿宋"/>
          <w:color w:val="000000"/>
          <w:sz w:val="32"/>
          <w:szCs w:val="32"/>
        </w:rPr>
        <w:t>1.73</w:t>
      </w:r>
      <w:r>
        <w:rPr>
          <w:rFonts w:hint="eastAsia" w:ascii="仿宋" w:hAnsi="仿宋" w:eastAsia="仿宋" w:cs="仿宋"/>
          <w:color w:val="000000"/>
          <w:sz w:val="32"/>
          <w:szCs w:val="32"/>
        </w:rPr>
        <w:t>万元，完成预算</w:t>
      </w:r>
      <w:r>
        <w:rPr>
          <w:rFonts w:ascii="仿宋" w:hAnsi="仿宋" w:eastAsia="仿宋" w:cs="仿宋"/>
          <w:color w:val="000000"/>
          <w:sz w:val="32"/>
          <w:szCs w:val="32"/>
        </w:rPr>
        <w:t>49.35%</w:t>
      </w:r>
      <w:r>
        <w:rPr>
          <w:rFonts w:hint="eastAsia" w:ascii="仿宋" w:hAnsi="仿宋" w:eastAsia="仿宋" w:cs="仿宋"/>
          <w:color w:val="000000"/>
          <w:sz w:val="32"/>
          <w:szCs w:val="32"/>
        </w:rPr>
        <w:t>，决算数小于预算数的主要原因是公车改革，公车已于</w:t>
      </w:r>
      <w:r>
        <w:rPr>
          <w:rFonts w:ascii="仿宋" w:hAnsi="仿宋" w:eastAsia="仿宋" w:cs="仿宋"/>
          <w:color w:val="000000"/>
          <w:sz w:val="32"/>
          <w:szCs w:val="32"/>
        </w:rPr>
        <w:t>2020</w:t>
      </w:r>
      <w:r>
        <w:rPr>
          <w:rFonts w:hint="eastAsia" w:ascii="仿宋" w:hAnsi="仿宋" w:eastAsia="仿宋" w:cs="仿宋"/>
          <w:color w:val="000000"/>
          <w:sz w:val="32"/>
          <w:szCs w:val="32"/>
        </w:rPr>
        <w:t>年</w:t>
      </w:r>
      <w:r>
        <w:rPr>
          <w:rFonts w:ascii="仿宋" w:hAnsi="仿宋" w:eastAsia="仿宋" w:cs="仿宋"/>
          <w:color w:val="000000"/>
          <w:sz w:val="32"/>
          <w:szCs w:val="32"/>
        </w:rPr>
        <w:t>7</w:t>
      </w:r>
      <w:r>
        <w:rPr>
          <w:rFonts w:hint="eastAsia" w:ascii="仿宋" w:hAnsi="仿宋" w:eastAsia="仿宋" w:cs="仿宋"/>
          <w:color w:val="000000"/>
          <w:sz w:val="32"/>
          <w:szCs w:val="32"/>
        </w:rPr>
        <w:t>月处置，公车支出数减少。</w:t>
      </w:r>
    </w:p>
    <w:p>
      <w:pPr>
        <w:spacing w:line="600" w:lineRule="exact"/>
        <w:ind w:firstLine="640"/>
        <w:outlineLvl w:val="2"/>
        <w:rPr>
          <w:rFonts w:ascii="仿宋" w:hAnsi="仿宋" w:eastAsia="仿宋"/>
          <w:b/>
          <w:bCs/>
          <w:sz w:val="32"/>
          <w:szCs w:val="32"/>
        </w:rPr>
      </w:pPr>
      <w:bookmarkStart w:id="61" w:name="_Toc15377217"/>
      <w:bookmarkStart w:id="62" w:name="_Toc81680726"/>
      <w:r>
        <w:rPr>
          <w:rFonts w:hint="eastAsia" w:ascii="仿宋" w:hAnsi="仿宋" w:eastAsia="仿宋" w:cs="仿宋"/>
          <w:b/>
          <w:bCs/>
          <w:sz w:val="32"/>
          <w:szCs w:val="32"/>
        </w:rPr>
        <w:t>（二）“三公”经费财政拨款支出决算具体情况说明</w:t>
      </w:r>
      <w:bookmarkEnd w:id="61"/>
      <w:bookmarkEnd w:id="62"/>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年“三公”经费财政拨款支出决算中，</w:t>
      </w:r>
      <w:r>
        <w:rPr>
          <w:rFonts w:hint="eastAsia" w:ascii="仿宋" w:hAnsi="仿宋" w:eastAsia="仿宋" w:cs="仿宋"/>
          <w:sz w:val="32"/>
          <w:szCs w:val="32"/>
        </w:rPr>
        <w:t>因公出国（境）费支出决算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r>
        <w:rPr>
          <w:rFonts w:hint="eastAsia" w:ascii="仿宋" w:hAnsi="仿宋" w:eastAsia="仿宋" w:cs="仿宋"/>
          <w:color w:val="000000"/>
          <w:sz w:val="32"/>
          <w:szCs w:val="32"/>
        </w:rPr>
        <w:t>公务用车购置及运行维护费支出决算</w:t>
      </w:r>
      <w:r>
        <w:rPr>
          <w:rFonts w:ascii="仿宋" w:hAnsi="仿宋" w:eastAsia="仿宋" w:cs="仿宋"/>
          <w:color w:val="000000"/>
          <w:sz w:val="32"/>
          <w:szCs w:val="32"/>
        </w:rPr>
        <w:t>0.91</w:t>
      </w:r>
      <w:r>
        <w:rPr>
          <w:rFonts w:hint="eastAsia" w:ascii="仿宋" w:hAnsi="仿宋" w:eastAsia="仿宋" w:cs="仿宋"/>
          <w:color w:val="000000"/>
          <w:sz w:val="32"/>
          <w:szCs w:val="32"/>
        </w:rPr>
        <w:t>万元，占</w:t>
      </w:r>
      <w:r>
        <w:rPr>
          <w:rFonts w:ascii="仿宋" w:hAnsi="仿宋" w:eastAsia="仿宋" w:cs="仿宋"/>
          <w:color w:val="000000"/>
          <w:sz w:val="32"/>
          <w:szCs w:val="32"/>
        </w:rPr>
        <w:t>52.6%</w:t>
      </w:r>
      <w:r>
        <w:rPr>
          <w:rFonts w:hint="eastAsia" w:ascii="仿宋" w:hAnsi="仿宋" w:eastAsia="仿宋" w:cs="仿宋"/>
          <w:color w:val="000000"/>
          <w:sz w:val="32"/>
          <w:szCs w:val="32"/>
        </w:rPr>
        <w:t>；公务接待费支出决算</w:t>
      </w:r>
      <w:r>
        <w:rPr>
          <w:rFonts w:ascii="仿宋" w:hAnsi="仿宋" w:eastAsia="仿宋" w:cs="仿宋"/>
          <w:color w:val="000000"/>
          <w:sz w:val="32"/>
          <w:szCs w:val="32"/>
        </w:rPr>
        <w:t>0.82</w:t>
      </w:r>
      <w:r>
        <w:rPr>
          <w:rFonts w:hint="eastAsia" w:ascii="仿宋" w:hAnsi="仿宋" w:eastAsia="仿宋" w:cs="仿宋"/>
          <w:color w:val="000000"/>
          <w:sz w:val="32"/>
          <w:szCs w:val="32"/>
        </w:rPr>
        <w:t>万元，占</w:t>
      </w:r>
      <w:r>
        <w:rPr>
          <w:rFonts w:ascii="仿宋" w:hAnsi="仿宋" w:eastAsia="仿宋" w:cs="仿宋"/>
          <w:color w:val="000000"/>
          <w:sz w:val="32"/>
          <w:szCs w:val="32"/>
        </w:rPr>
        <w:t>47.4%</w:t>
      </w:r>
      <w:r>
        <w:rPr>
          <w:rFonts w:hint="eastAsia" w:ascii="仿宋" w:hAnsi="仿宋" w:eastAsia="仿宋" w:cs="仿宋"/>
          <w:color w:val="000000"/>
          <w:sz w:val="32"/>
          <w:szCs w:val="32"/>
        </w:rPr>
        <w:t>。具体情况如下：</w:t>
      </w:r>
    </w:p>
    <w:p>
      <w:pPr>
        <w:spacing w:line="600" w:lineRule="exact"/>
        <w:ind w:firstLine="640"/>
        <w:rPr>
          <w:rFonts w:ascii="仿宋" w:hAnsi="仿宋" w:eastAsia="仿宋"/>
          <w:sz w:val="32"/>
          <w:szCs w:val="32"/>
        </w:rPr>
      </w:pPr>
      <w:r>
        <w:pict>
          <v:shape id="_x0000_s1032" o:spid="_x0000_s1032" o:spt="75" type="#_x0000_t75" style="position:absolute;left:0pt;margin-left:73.5pt;margin-top:39pt;height:171.6pt;width:260.95pt;mso-wrap-distance-bottom:0pt;mso-wrap-distance-top:0pt;z-index:251664384;mso-width-relative:page;mso-height-relative:page;" o:ole="t" filled="f" o:preferrelative="t" stroked="f" coordsize="21600,21600">
            <v:path/>
            <v:fill on="f" focussize="0,0"/>
            <v:stroke on="f" joinstyle="miter"/>
            <v:imagedata r:id="rId20" o:title=""/>
            <o:lock v:ext="edit" aspectratio="t"/>
            <w10:wrap type="topAndBottom"/>
          </v:shape>
          <o:OLEObject Type="Embed" ProgID="MSGraph.Chart.8" ShapeID="_x0000_s1032" DrawAspect="Content" ObjectID="_1468075731" r:id="rId19">
            <o:LockedField>false</o:LockedField>
          </o:OLEObject>
        </w:pict>
      </w:r>
      <w:r>
        <w:rPr>
          <w:rFonts w:hint="eastAsia" w:ascii="仿宋" w:hAnsi="仿宋" w:eastAsia="仿宋" w:cs="仿宋"/>
          <w:sz w:val="32"/>
          <w:szCs w:val="32"/>
        </w:rPr>
        <w:t>（图</w:t>
      </w:r>
      <w:r>
        <w:rPr>
          <w:rFonts w:ascii="仿宋" w:hAnsi="仿宋" w:eastAsia="仿宋" w:cs="仿宋"/>
          <w:sz w:val="32"/>
          <w:szCs w:val="32"/>
        </w:rPr>
        <w:t>7</w:t>
      </w:r>
      <w:r>
        <w:rPr>
          <w:rFonts w:hint="eastAsia" w:ascii="仿宋" w:hAnsi="仿宋" w:eastAsia="仿宋" w:cs="仿宋"/>
          <w:sz w:val="32"/>
          <w:szCs w:val="32"/>
        </w:rPr>
        <w:t>：“三公”经费财政拨款支出结构）</w:t>
      </w:r>
    </w:p>
    <w:p>
      <w:pPr>
        <w:spacing w:line="600" w:lineRule="exact"/>
        <w:ind w:firstLine="640"/>
        <w:rPr>
          <w:rFonts w:ascii="仿宋" w:hAnsi="仿宋" w:eastAsia="仿宋"/>
          <w:b/>
          <w:bCs/>
          <w:sz w:val="32"/>
          <w:szCs w:val="32"/>
        </w:rPr>
      </w:pPr>
      <w:r>
        <w:rPr>
          <w:rFonts w:ascii="仿宋" w:hAnsi="仿宋" w:eastAsia="仿宋" w:cs="仿宋"/>
          <w:b/>
          <w:bCs/>
          <w:sz w:val="32"/>
          <w:szCs w:val="32"/>
        </w:rPr>
        <w:t>1.</w:t>
      </w:r>
      <w:r>
        <w:rPr>
          <w:rFonts w:hint="eastAsia" w:ascii="仿宋" w:hAnsi="仿宋" w:eastAsia="仿宋" w:cs="仿宋"/>
          <w:b/>
          <w:bCs/>
          <w:sz w:val="32"/>
          <w:szCs w:val="32"/>
        </w:rPr>
        <w:t>因公出国（境）经费支出</w:t>
      </w:r>
      <w:r>
        <w:rPr>
          <w:rFonts w:ascii="仿宋" w:hAnsi="仿宋" w:eastAsia="仿宋" w:cs="仿宋"/>
          <w:sz w:val="32"/>
          <w:szCs w:val="32"/>
        </w:rPr>
        <w:t>0</w:t>
      </w:r>
      <w:r>
        <w:rPr>
          <w:rFonts w:hint="eastAsia" w:ascii="仿宋" w:hAnsi="仿宋" w:eastAsia="仿宋" w:cs="仿宋"/>
          <w:sz w:val="32"/>
          <w:szCs w:val="32"/>
        </w:rPr>
        <w:t>万元</w:t>
      </w:r>
      <w:r>
        <w:rPr>
          <w:rStyle w:val="15"/>
          <w:rFonts w:hint="eastAsia" w:ascii="仿宋" w:hAnsi="仿宋" w:eastAsia="仿宋" w:cs="仿宋"/>
          <w:b w:val="0"/>
          <w:bCs w:val="0"/>
        </w:rPr>
        <w:t>，</w:t>
      </w:r>
      <w:r>
        <w:rPr>
          <w:rFonts w:hint="eastAsia" w:ascii="仿宋" w:hAnsi="仿宋" w:eastAsia="仿宋" w:cs="仿宋"/>
          <w:color w:val="000000"/>
          <w:sz w:val="32"/>
          <w:szCs w:val="32"/>
        </w:rPr>
        <w:t>完成预算</w:t>
      </w:r>
      <w:r>
        <w:rPr>
          <w:rFonts w:ascii="仿宋" w:hAnsi="仿宋" w:eastAsia="仿宋" w:cs="仿宋"/>
          <w:color w:val="000000"/>
          <w:sz w:val="32"/>
          <w:szCs w:val="32"/>
        </w:rPr>
        <w:t>100%</w:t>
      </w:r>
      <w:r>
        <w:rPr>
          <w:rFonts w:hint="eastAsia" w:ascii="仿宋" w:hAnsi="仿宋" w:eastAsia="仿宋" w:cs="仿宋"/>
          <w:color w:val="000000"/>
          <w:sz w:val="32"/>
          <w:szCs w:val="32"/>
        </w:rPr>
        <w:t>。全年安排因公出国（境）团组</w:t>
      </w:r>
      <w:r>
        <w:rPr>
          <w:rFonts w:ascii="仿宋" w:hAnsi="仿宋" w:eastAsia="仿宋" w:cs="仿宋"/>
          <w:color w:val="000000"/>
          <w:sz w:val="32"/>
          <w:szCs w:val="32"/>
        </w:rPr>
        <w:t>0</w:t>
      </w:r>
      <w:r>
        <w:rPr>
          <w:rFonts w:hint="eastAsia" w:ascii="仿宋" w:hAnsi="仿宋" w:eastAsia="仿宋" w:cs="仿宋"/>
          <w:color w:val="000000"/>
          <w:sz w:val="32"/>
          <w:szCs w:val="32"/>
        </w:rPr>
        <w:t>次，出国（境）</w:t>
      </w:r>
      <w:r>
        <w:rPr>
          <w:rFonts w:ascii="仿宋" w:hAnsi="仿宋" w:eastAsia="仿宋" w:cs="仿宋"/>
          <w:color w:val="000000"/>
          <w:sz w:val="32"/>
          <w:szCs w:val="32"/>
        </w:rPr>
        <w:t>0</w:t>
      </w:r>
      <w:r>
        <w:rPr>
          <w:rFonts w:hint="eastAsia" w:ascii="仿宋" w:hAnsi="仿宋" w:eastAsia="仿宋" w:cs="仿宋"/>
          <w:color w:val="000000"/>
          <w:sz w:val="32"/>
          <w:szCs w:val="32"/>
        </w:rPr>
        <w:t>人。</w:t>
      </w:r>
      <w:r>
        <w:rPr>
          <w:rFonts w:hint="eastAsia" w:ascii="仿宋" w:hAnsi="仿宋" w:eastAsia="仿宋" w:cs="仿宋"/>
          <w:sz w:val="32"/>
          <w:szCs w:val="32"/>
        </w:rPr>
        <w:t>因公出国（境）支出决算与</w:t>
      </w:r>
      <w:r>
        <w:rPr>
          <w:rFonts w:ascii="仿宋" w:hAnsi="仿宋" w:eastAsia="仿宋" w:cs="仿宋"/>
          <w:sz w:val="32"/>
          <w:szCs w:val="32"/>
        </w:rPr>
        <w:t>2019</w:t>
      </w:r>
      <w:r>
        <w:rPr>
          <w:rFonts w:hint="eastAsia" w:ascii="仿宋" w:hAnsi="仿宋" w:eastAsia="仿宋" w:cs="仿宋"/>
          <w:sz w:val="32"/>
          <w:szCs w:val="32"/>
        </w:rPr>
        <w:t>年持平。</w:t>
      </w:r>
    </w:p>
    <w:p>
      <w:pPr>
        <w:spacing w:line="600" w:lineRule="exact"/>
        <w:ind w:firstLine="640"/>
        <w:rPr>
          <w:rFonts w:ascii="仿宋" w:hAnsi="仿宋" w:eastAsia="仿宋"/>
          <w:color w:val="000000"/>
          <w:sz w:val="32"/>
          <w:szCs w:val="32"/>
        </w:rPr>
      </w:pPr>
      <w:r>
        <w:rPr>
          <w:rFonts w:ascii="仿宋" w:hAnsi="仿宋" w:eastAsia="仿宋" w:cs="仿宋"/>
          <w:b/>
          <w:bCs/>
          <w:sz w:val="32"/>
          <w:szCs w:val="32"/>
        </w:rPr>
        <w:t>2.</w:t>
      </w:r>
      <w:r>
        <w:rPr>
          <w:rFonts w:hint="eastAsia" w:ascii="仿宋" w:hAnsi="仿宋" w:eastAsia="仿宋" w:cs="仿宋"/>
          <w:b/>
          <w:bCs/>
          <w:sz w:val="32"/>
          <w:szCs w:val="32"/>
        </w:rPr>
        <w:t>公务用车购置及运行维护费支出</w:t>
      </w:r>
      <w:r>
        <w:rPr>
          <w:rFonts w:ascii="仿宋" w:hAnsi="仿宋" w:eastAsia="仿宋" w:cs="仿宋"/>
          <w:color w:val="000000"/>
          <w:sz w:val="32"/>
          <w:szCs w:val="32"/>
        </w:rPr>
        <w:t>0.91</w:t>
      </w:r>
      <w:r>
        <w:rPr>
          <w:rFonts w:hint="eastAsia" w:ascii="仿宋" w:hAnsi="仿宋" w:eastAsia="仿宋" w:cs="仿宋"/>
          <w:color w:val="000000"/>
          <w:sz w:val="32"/>
          <w:szCs w:val="32"/>
        </w:rPr>
        <w:t>万元</w:t>
      </w:r>
      <w:r>
        <w:rPr>
          <w:rFonts w:ascii="仿宋" w:hAnsi="仿宋" w:eastAsia="仿宋" w:cs="仿宋"/>
          <w:color w:val="000000"/>
          <w:sz w:val="32"/>
          <w:szCs w:val="32"/>
        </w:rPr>
        <w:t>,</w:t>
      </w:r>
      <w:r>
        <w:rPr>
          <w:rStyle w:val="15"/>
          <w:rFonts w:hint="eastAsia" w:ascii="仿宋" w:hAnsi="仿宋" w:eastAsia="仿宋" w:cs="仿宋"/>
          <w:b w:val="0"/>
          <w:bCs w:val="0"/>
          <w:color w:val="000000"/>
          <w:sz w:val="32"/>
          <w:szCs w:val="32"/>
        </w:rPr>
        <w:t>完成预算</w:t>
      </w:r>
      <w:r>
        <w:rPr>
          <w:rStyle w:val="15"/>
          <w:rFonts w:ascii="仿宋" w:hAnsi="仿宋" w:eastAsia="仿宋" w:cs="仿宋"/>
          <w:b w:val="0"/>
          <w:bCs w:val="0"/>
          <w:color w:val="000000"/>
          <w:sz w:val="32"/>
          <w:szCs w:val="32"/>
        </w:rPr>
        <w:t>36.4%</w:t>
      </w:r>
      <w:r>
        <w:rPr>
          <w:rStyle w:val="15"/>
          <w:rFonts w:hint="eastAsia" w:ascii="仿宋" w:hAnsi="仿宋" w:eastAsia="仿宋" w:cs="仿宋"/>
          <w:b w:val="0"/>
          <w:bCs w:val="0"/>
          <w:color w:val="000000"/>
          <w:sz w:val="32"/>
          <w:szCs w:val="32"/>
        </w:rPr>
        <w:t>。</w:t>
      </w:r>
      <w:r>
        <w:rPr>
          <w:rFonts w:hint="eastAsia" w:ascii="仿宋" w:hAnsi="仿宋" w:eastAsia="仿宋" w:cs="仿宋"/>
          <w:color w:val="000000"/>
          <w:sz w:val="32"/>
          <w:szCs w:val="32"/>
        </w:rPr>
        <w:t>公务用车购置及运行维护费支出决算比</w:t>
      </w:r>
      <w:r>
        <w:rPr>
          <w:rFonts w:ascii="仿宋" w:hAnsi="仿宋" w:eastAsia="仿宋" w:cs="仿宋"/>
          <w:color w:val="000000"/>
          <w:sz w:val="32"/>
          <w:szCs w:val="32"/>
        </w:rPr>
        <w:t>2019</w:t>
      </w:r>
      <w:r>
        <w:rPr>
          <w:rFonts w:hint="eastAsia" w:ascii="仿宋" w:hAnsi="仿宋" w:eastAsia="仿宋" w:cs="仿宋"/>
          <w:color w:val="000000"/>
          <w:sz w:val="32"/>
          <w:szCs w:val="32"/>
        </w:rPr>
        <w:t>年减少</w:t>
      </w:r>
      <w:r>
        <w:rPr>
          <w:rFonts w:ascii="仿宋" w:hAnsi="仿宋" w:eastAsia="仿宋" w:cs="仿宋"/>
          <w:color w:val="000000"/>
          <w:sz w:val="32"/>
          <w:szCs w:val="32"/>
        </w:rPr>
        <w:t>1.47</w:t>
      </w:r>
      <w:r>
        <w:rPr>
          <w:rFonts w:hint="eastAsia" w:ascii="仿宋" w:hAnsi="仿宋" w:eastAsia="仿宋" w:cs="仿宋"/>
          <w:color w:val="000000"/>
          <w:sz w:val="32"/>
          <w:szCs w:val="32"/>
        </w:rPr>
        <w:t>万元，下降</w:t>
      </w:r>
      <w:r>
        <w:rPr>
          <w:rFonts w:ascii="仿宋" w:hAnsi="仿宋" w:eastAsia="仿宋" w:cs="仿宋"/>
          <w:color w:val="000000"/>
          <w:sz w:val="32"/>
          <w:szCs w:val="32"/>
        </w:rPr>
        <w:t>61.92%</w:t>
      </w:r>
      <w:r>
        <w:rPr>
          <w:rFonts w:hint="eastAsia" w:ascii="仿宋" w:hAnsi="仿宋" w:eastAsia="仿宋" w:cs="仿宋"/>
          <w:color w:val="000000"/>
          <w:sz w:val="32"/>
          <w:szCs w:val="32"/>
        </w:rPr>
        <w:t>。主要原因是公车改革，公车已于</w:t>
      </w:r>
      <w:r>
        <w:rPr>
          <w:rFonts w:ascii="仿宋" w:hAnsi="仿宋" w:eastAsia="仿宋" w:cs="仿宋"/>
          <w:color w:val="000000"/>
          <w:sz w:val="32"/>
          <w:szCs w:val="32"/>
        </w:rPr>
        <w:t>2020</w:t>
      </w:r>
      <w:r>
        <w:rPr>
          <w:rFonts w:hint="eastAsia" w:ascii="仿宋" w:hAnsi="仿宋" w:eastAsia="仿宋" w:cs="仿宋"/>
          <w:color w:val="000000"/>
          <w:sz w:val="32"/>
          <w:szCs w:val="32"/>
        </w:rPr>
        <w:t>年</w:t>
      </w:r>
      <w:r>
        <w:rPr>
          <w:rFonts w:ascii="仿宋" w:hAnsi="仿宋" w:eastAsia="仿宋" w:cs="仿宋"/>
          <w:color w:val="000000"/>
          <w:sz w:val="32"/>
          <w:szCs w:val="32"/>
        </w:rPr>
        <w:t>7</w:t>
      </w:r>
      <w:r>
        <w:rPr>
          <w:rFonts w:hint="eastAsia" w:ascii="仿宋" w:hAnsi="仿宋" w:eastAsia="仿宋" w:cs="仿宋"/>
          <w:color w:val="000000"/>
          <w:sz w:val="32"/>
          <w:szCs w:val="32"/>
        </w:rPr>
        <w:t>月处置，公车支出数减少。</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其中：</w:t>
      </w:r>
      <w:r>
        <w:rPr>
          <w:rFonts w:hint="eastAsia" w:ascii="仿宋" w:hAnsi="仿宋" w:eastAsia="仿宋" w:cs="仿宋"/>
          <w:b/>
          <w:bCs/>
          <w:sz w:val="32"/>
          <w:szCs w:val="32"/>
        </w:rPr>
        <w:t>公务用车购置支出</w:t>
      </w:r>
      <w:r>
        <w:rPr>
          <w:rFonts w:ascii="仿宋" w:hAnsi="仿宋" w:eastAsia="仿宋" w:cs="仿宋"/>
          <w:sz w:val="32"/>
          <w:szCs w:val="32"/>
        </w:rPr>
        <w:t>0</w:t>
      </w:r>
      <w:r>
        <w:rPr>
          <w:rFonts w:hint="eastAsia" w:ascii="仿宋" w:hAnsi="仿宋" w:eastAsia="仿宋" w:cs="仿宋"/>
          <w:sz w:val="32"/>
          <w:szCs w:val="32"/>
        </w:rPr>
        <w:t>万元。全年按规定更新购置公务用车</w:t>
      </w:r>
      <w:r>
        <w:rPr>
          <w:rFonts w:ascii="仿宋" w:hAnsi="仿宋" w:eastAsia="仿宋" w:cs="仿宋"/>
          <w:sz w:val="32"/>
          <w:szCs w:val="32"/>
        </w:rPr>
        <w:t>0</w:t>
      </w:r>
      <w:r>
        <w:rPr>
          <w:rFonts w:hint="eastAsia" w:ascii="仿宋" w:hAnsi="仿宋" w:eastAsia="仿宋" w:cs="仿宋"/>
          <w:sz w:val="32"/>
          <w:szCs w:val="32"/>
        </w:rPr>
        <w:t>辆。截至</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月底，单位共有公务用车</w:t>
      </w:r>
      <w:r>
        <w:rPr>
          <w:rFonts w:ascii="仿宋" w:hAnsi="仿宋" w:eastAsia="仿宋" w:cs="仿宋"/>
          <w:sz w:val="32"/>
          <w:szCs w:val="32"/>
        </w:rPr>
        <w:t>0</w:t>
      </w:r>
      <w:r>
        <w:rPr>
          <w:rFonts w:hint="eastAsia" w:ascii="仿宋" w:hAnsi="仿宋" w:eastAsia="仿宋" w:cs="仿宋"/>
          <w:sz w:val="32"/>
          <w:szCs w:val="32"/>
        </w:rPr>
        <w:t>辆。</w:t>
      </w:r>
    </w:p>
    <w:p>
      <w:pPr>
        <w:spacing w:line="600" w:lineRule="exact"/>
        <w:ind w:firstLine="642" w:firstLineChars="200"/>
        <w:rPr>
          <w:rFonts w:ascii="仿宋" w:hAnsi="仿宋" w:eastAsia="仿宋"/>
          <w:b/>
          <w:bCs/>
          <w:sz w:val="32"/>
          <w:szCs w:val="32"/>
        </w:rPr>
      </w:pPr>
      <w:r>
        <w:rPr>
          <w:rFonts w:hint="eastAsia" w:ascii="仿宋" w:hAnsi="仿宋" w:eastAsia="仿宋" w:cs="仿宋"/>
          <w:b/>
          <w:bCs/>
          <w:color w:val="000000"/>
          <w:sz w:val="32"/>
          <w:szCs w:val="32"/>
        </w:rPr>
        <w:t>公务用车运行维护费支出</w:t>
      </w:r>
      <w:r>
        <w:rPr>
          <w:rFonts w:ascii="仿宋" w:hAnsi="仿宋" w:eastAsia="仿宋" w:cs="仿宋"/>
          <w:color w:val="000000"/>
          <w:sz w:val="32"/>
          <w:szCs w:val="32"/>
        </w:rPr>
        <w:t>0.91</w:t>
      </w:r>
      <w:r>
        <w:rPr>
          <w:rFonts w:hint="eastAsia" w:ascii="仿宋" w:hAnsi="仿宋" w:eastAsia="仿宋" w:cs="仿宋"/>
          <w:color w:val="000000"/>
          <w:sz w:val="32"/>
          <w:szCs w:val="32"/>
        </w:rPr>
        <w:t>万元。主要用于科研课题调研工作等所需的公务用车燃料费、维修费、过路过桥费、保险费等支出。</w:t>
      </w:r>
    </w:p>
    <w:p>
      <w:pPr>
        <w:spacing w:line="600" w:lineRule="exact"/>
        <w:ind w:firstLine="640"/>
        <w:rPr>
          <w:rFonts w:ascii="仿宋" w:hAnsi="仿宋" w:eastAsia="仿宋"/>
          <w:color w:val="000000"/>
          <w:sz w:val="32"/>
          <w:szCs w:val="32"/>
        </w:rPr>
      </w:pPr>
      <w:r>
        <w:rPr>
          <w:rFonts w:ascii="仿宋" w:hAnsi="仿宋" w:eastAsia="仿宋" w:cs="仿宋"/>
          <w:b/>
          <w:bCs/>
          <w:sz w:val="32"/>
          <w:szCs w:val="32"/>
        </w:rPr>
        <w:t>3.</w:t>
      </w:r>
      <w:r>
        <w:rPr>
          <w:rFonts w:hint="eastAsia" w:ascii="仿宋" w:hAnsi="仿宋" w:eastAsia="仿宋" w:cs="仿宋"/>
          <w:b/>
          <w:bCs/>
          <w:sz w:val="32"/>
          <w:szCs w:val="32"/>
        </w:rPr>
        <w:t>公务接待费支出</w:t>
      </w:r>
      <w:r>
        <w:rPr>
          <w:rFonts w:ascii="仿宋" w:hAnsi="仿宋" w:eastAsia="仿宋" w:cs="仿宋"/>
          <w:color w:val="000000"/>
          <w:sz w:val="32"/>
          <w:szCs w:val="32"/>
        </w:rPr>
        <w:t>0.82</w:t>
      </w:r>
      <w:r>
        <w:rPr>
          <w:rFonts w:hint="eastAsia" w:ascii="仿宋" w:hAnsi="仿宋" w:eastAsia="仿宋" w:cs="仿宋"/>
          <w:color w:val="000000"/>
          <w:sz w:val="32"/>
          <w:szCs w:val="32"/>
        </w:rPr>
        <w:t>万元，</w:t>
      </w:r>
      <w:r>
        <w:rPr>
          <w:rStyle w:val="15"/>
          <w:rFonts w:hint="eastAsia" w:ascii="仿宋" w:hAnsi="仿宋" w:eastAsia="仿宋" w:cs="仿宋"/>
          <w:b w:val="0"/>
          <w:bCs w:val="0"/>
          <w:color w:val="000000"/>
          <w:sz w:val="32"/>
          <w:szCs w:val="32"/>
        </w:rPr>
        <w:t>完成预算</w:t>
      </w:r>
      <w:r>
        <w:rPr>
          <w:rStyle w:val="15"/>
          <w:rFonts w:ascii="仿宋" w:hAnsi="仿宋" w:eastAsia="仿宋" w:cs="仿宋"/>
          <w:b w:val="0"/>
          <w:bCs w:val="0"/>
          <w:color w:val="000000"/>
          <w:sz w:val="32"/>
          <w:szCs w:val="32"/>
        </w:rPr>
        <w:t>82.17%</w:t>
      </w:r>
      <w:r>
        <w:rPr>
          <w:rStyle w:val="15"/>
          <w:rFonts w:hint="eastAsia" w:ascii="仿宋" w:hAnsi="仿宋" w:eastAsia="仿宋" w:cs="仿宋"/>
          <w:b w:val="0"/>
          <w:bCs w:val="0"/>
          <w:color w:val="000000"/>
          <w:sz w:val="32"/>
          <w:szCs w:val="32"/>
        </w:rPr>
        <w:t>。</w:t>
      </w:r>
      <w:r>
        <w:rPr>
          <w:rFonts w:hint="eastAsia" w:ascii="仿宋" w:hAnsi="仿宋" w:eastAsia="仿宋" w:cs="仿宋"/>
          <w:color w:val="000000"/>
          <w:sz w:val="32"/>
          <w:szCs w:val="32"/>
        </w:rPr>
        <w:t>公务接待费支出决算比</w:t>
      </w:r>
      <w:r>
        <w:rPr>
          <w:rFonts w:ascii="仿宋" w:hAnsi="仿宋" w:eastAsia="仿宋" w:cs="仿宋"/>
          <w:color w:val="000000"/>
          <w:sz w:val="32"/>
          <w:szCs w:val="32"/>
        </w:rPr>
        <w:t>2019</w:t>
      </w:r>
      <w:r>
        <w:rPr>
          <w:rFonts w:hint="eastAsia" w:ascii="仿宋" w:hAnsi="仿宋" w:eastAsia="仿宋" w:cs="仿宋"/>
          <w:color w:val="000000"/>
          <w:sz w:val="32"/>
          <w:szCs w:val="32"/>
        </w:rPr>
        <w:t>年增加</w:t>
      </w:r>
      <w:r>
        <w:rPr>
          <w:rFonts w:ascii="仿宋" w:hAnsi="仿宋" w:eastAsia="仿宋" w:cs="仿宋"/>
          <w:color w:val="000000"/>
          <w:sz w:val="32"/>
          <w:szCs w:val="32"/>
        </w:rPr>
        <w:t>0.05</w:t>
      </w:r>
      <w:r>
        <w:rPr>
          <w:rFonts w:hint="eastAsia" w:ascii="仿宋" w:hAnsi="仿宋" w:eastAsia="仿宋" w:cs="仿宋"/>
          <w:color w:val="000000"/>
          <w:sz w:val="32"/>
          <w:szCs w:val="32"/>
        </w:rPr>
        <w:t>万元，增长</w:t>
      </w:r>
      <w:r>
        <w:rPr>
          <w:rFonts w:ascii="仿宋" w:hAnsi="仿宋" w:eastAsia="仿宋" w:cs="仿宋"/>
          <w:color w:val="000000"/>
          <w:sz w:val="32"/>
          <w:szCs w:val="32"/>
        </w:rPr>
        <w:t>5.88%</w:t>
      </w:r>
      <w:r>
        <w:rPr>
          <w:rFonts w:hint="eastAsia" w:ascii="仿宋" w:hAnsi="仿宋" w:eastAsia="仿宋" w:cs="仿宋"/>
          <w:color w:val="000000"/>
          <w:sz w:val="32"/>
          <w:szCs w:val="32"/>
        </w:rPr>
        <w:t>。主要原因是接待人科院及兄弟院所来川调研支出增加。其中：</w:t>
      </w:r>
    </w:p>
    <w:p>
      <w:pPr>
        <w:spacing w:line="600" w:lineRule="exact"/>
        <w:ind w:firstLine="642" w:firstLineChars="200"/>
        <w:rPr>
          <w:rFonts w:ascii="仿宋" w:hAnsi="仿宋" w:eastAsia="仿宋"/>
          <w:color w:val="000000"/>
          <w:sz w:val="32"/>
          <w:szCs w:val="32"/>
        </w:rPr>
      </w:pPr>
      <w:r>
        <w:rPr>
          <w:rFonts w:hint="eastAsia" w:ascii="仿宋" w:hAnsi="仿宋" w:eastAsia="仿宋" w:cs="仿宋"/>
          <w:b/>
          <w:bCs/>
          <w:color w:val="000000"/>
          <w:sz w:val="32"/>
          <w:szCs w:val="32"/>
        </w:rPr>
        <w:t>国内公务接待支出</w:t>
      </w:r>
      <w:r>
        <w:rPr>
          <w:rFonts w:ascii="仿宋" w:hAnsi="仿宋" w:eastAsia="仿宋" w:cs="仿宋"/>
          <w:color w:val="000000"/>
          <w:sz w:val="32"/>
          <w:szCs w:val="32"/>
        </w:rPr>
        <w:t>0.82</w:t>
      </w:r>
      <w:r>
        <w:rPr>
          <w:rFonts w:hint="eastAsia" w:ascii="仿宋" w:hAnsi="仿宋" w:eastAsia="仿宋" w:cs="仿宋"/>
          <w:color w:val="000000"/>
          <w:sz w:val="32"/>
          <w:szCs w:val="32"/>
        </w:rPr>
        <w:t>万元，主要用于来川调研开支的交通费、住宿费、用餐费等。国内公务接待</w:t>
      </w:r>
      <w:r>
        <w:rPr>
          <w:rFonts w:ascii="仿宋" w:hAnsi="仿宋" w:eastAsia="仿宋" w:cs="仿宋"/>
          <w:color w:val="000000"/>
          <w:sz w:val="32"/>
          <w:szCs w:val="32"/>
        </w:rPr>
        <w:t>2</w:t>
      </w:r>
      <w:r>
        <w:rPr>
          <w:rFonts w:hint="eastAsia" w:ascii="仿宋" w:hAnsi="仿宋" w:eastAsia="仿宋" w:cs="仿宋"/>
          <w:color w:val="000000"/>
          <w:sz w:val="32"/>
          <w:szCs w:val="32"/>
        </w:rPr>
        <w:t>批次，</w:t>
      </w:r>
      <w:r>
        <w:rPr>
          <w:rFonts w:ascii="仿宋" w:hAnsi="仿宋" w:eastAsia="仿宋" w:cs="仿宋"/>
          <w:color w:val="000000"/>
          <w:sz w:val="32"/>
          <w:szCs w:val="32"/>
        </w:rPr>
        <w:t>12</w:t>
      </w:r>
      <w:r>
        <w:rPr>
          <w:rFonts w:hint="eastAsia" w:ascii="仿宋" w:hAnsi="仿宋" w:eastAsia="仿宋" w:cs="仿宋"/>
          <w:color w:val="000000"/>
          <w:sz w:val="32"/>
          <w:szCs w:val="32"/>
        </w:rPr>
        <w:t>人次（不包括陪同人员），共计支出</w:t>
      </w:r>
      <w:r>
        <w:rPr>
          <w:rFonts w:ascii="仿宋" w:hAnsi="仿宋" w:eastAsia="仿宋" w:cs="仿宋"/>
          <w:color w:val="000000"/>
          <w:sz w:val="32"/>
          <w:szCs w:val="32"/>
        </w:rPr>
        <w:t>0.82</w:t>
      </w:r>
      <w:r>
        <w:rPr>
          <w:rFonts w:hint="eastAsia" w:ascii="仿宋" w:hAnsi="仿宋" w:eastAsia="仿宋" w:cs="仿宋"/>
          <w:color w:val="000000"/>
          <w:sz w:val="32"/>
          <w:szCs w:val="32"/>
        </w:rPr>
        <w:t>万元，具体内容包括：人社部来川调研</w:t>
      </w:r>
      <w:r>
        <w:rPr>
          <w:rFonts w:ascii="仿宋" w:hAnsi="仿宋" w:eastAsia="仿宋" w:cs="仿宋"/>
          <w:color w:val="000000"/>
          <w:sz w:val="32"/>
          <w:szCs w:val="32"/>
        </w:rPr>
        <w:t>0.77</w:t>
      </w:r>
      <w:r>
        <w:rPr>
          <w:rFonts w:hint="eastAsia" w:ascii="仿宋" w:hAnsi="仿宋" w:eastAsia="仿宋" w:cs="仿宋"/>
          <w:color w:val="000000"/>
          <w:sz w:val="32"/>
          <w:szCs w:val="32"/>
        </w:rPr>
        <w:t>万元，人科院来川调研</w:t>
      </w:r>
      <w:r>
        <w:rPr>
          <w:rFonts w:ascii="仿宋" w:hAnsi="仿宋" w:eastAsia="仿宋" w:cs="仿宋"/>
          <w:color w:val="000000"/>
          <w:sz w:val="32"/>
          <w:szCs w:val="32"/>
        </w:rPr>
        <w:t>0.05</w:t>
      </w:r>
      <w:r>
        <w:rPr>
          <w:rFonts w:hint="eastAsia" w:ascii="仿宋" w:hAnsi="仿宋" w:eastAsia="仿宋" w:cs="仿宋"/>
          <w:color w:val="000000"/>
          <w:sz w:val="32"/>
          <w:szCs w:val="32"/>
        </w:rPr>
        <w:t>万元。</w:t>
      </w:r>
      <w:bookmarkStart w:id="63" w:name="_Toc15396610"/>
      <w:bookmarkStart w:id="64" w:name="_Toc15377218"/>
    </w:p>
    <w:p>
      <w:pPr>
        <w:pStyle w:val="2"/>
        <w:spacing w:before="93"/>
        <w:ind w:firstLine="642" w:firstLineChars="200"/>
        <w:rPr>
          <w:rFonts w:cs="Times New Roman"/>
        </w:rPr>
      </w:pPr>
      <w:r>
        <w:rPr>
          <w:rFonts w:hint="eastAsia" w:ascii="仿宋" w:hAnsi="仿宋" w:eastAsia="仿宋" w:cs="仿宋"/>
          <w:b/>
          <w:bCs/>
          <w:sz w:val="32"/>
          <w:szCs w:val="32"/>
        </w:rPr>
        <w:t>外事接待支出</w:t>
      </w:r>
      <w:r>
        <w:rPr>
          <w:rFonts w:ascii="仿宋" w:hAnsi="仿宋" w:eastAsia="仿宋" w:cs="仿宋"/>
          <w:sz w:val="32"/>
          <w:szCs w:val="32"/>
        </w:rPr>
        <w:t>0</w:t>
      </w:r>
      <w:r>
        <w:rPr>
          <w:rFonts w:hint="eastAsia" w:ascii="仿宋" w:hAnsi="仿宋" w:eastAsia="仿宋" w:cs="仿宋"/>
          <w:sz w:val="32"/>
          <w:szCs w:val="32"/>
        </w:rPr>
        <w:t>万元，外事接待</w:t>
      </w:r>
      <w:r>
        <w:rPr>
          <w:rFonts w:ascii="仿宋" w:hAnsi="仿宋" w:eastAsia="仿宋" w:cs="仿宋"/>
          <w:sz w:val="32"/>
          <w:szCs w:val="32"/>
        </w:rPr>
        <w:t>0</w:t>
      </w:r>
      <w:r>
        <w:rPr>
          <w:rFonts w:hint="eastAsia" w:ascii="仿宋" w:hAnsi="仿宋" w:eastAsia="仿宋" w:cs="仿宋"/>
          <w:sz w:val="32"/>
          <w:szCs w:val="32"/>
        </w:rPr>
        <w:t>次，</w:t>
      </w:r>
      <w:r>
        <w:rPr>
          <w:rFonts w:ascii="仿宋" w:hAnsi="仿宋" w:eastAsia="仿宋" w:cs="仿宋"/>
          <w:sz w:val="32"/>
          <w:szCs w:val="32"/>
        </w:rPr>
        <w:t>0</w:t>
      </w:r>
      <w:r>
        <w:rPr>
          <w:rFonts w:hint="eastAsia" w:ascii="仿宋" w:hAnsi="仿宋" w:eastAsia="仿宋" w:cs="仿宋"/>
          <w:sz w:val="32"/>
          <w:szCs w:val="32"/>
        </w:rPr>
        <w:t>人，共计支出</w:t>
      </w:r>
      <w:r>
        <w:rPr>
          <w:rFonts w:ascii="仿宋" w:hAnsi="仿宋" w:eastAsia="仿宋" w:cs="仿宋"/>
          <w:sz w:val="32"/>
          <w:szCs w:val="32"/>
        </w:rPr>
        <w:t>0</w:t>
      </w:r>
      <w:r>
        <w:rPr>
          <w:rFonts w:hint="eastAsia" w:ascii="仿宋" w:hAnsi="仿宋" w:eastAsia="仿宋" w:cs="仿宋"/>
          <w:sz w:val="32"/>
          <w:szCs w:val="32"/>
        </w:rPr>
        <w:t>万元。</w:t>
      </w:r>
    </w:p>
    <w:p>
      <w:pPr>
        <w:spacing w:line="600" w:lineRule="exact"/>
        <w:ind w:firstLine="640"/>
        <w:outlineLvl w:val="1"/>
        <w:rPr>
          <w:rStyle w:val="18"/>
          <w:rFonts w:ascii="黑体" w:hAnsi="黑体" w:eastAsia="黑体" w:cs="Times New Roman"/>
        </w:rPr>
      </w:pPr>
      <w:bookmarkStart w:id="65" w:name="_Toc81680727"/>
      <w:r>
        <w:rPr>
          <w:rFonts w:hint="eastAsia" w:ascii="黑体" w:eastAsia="黑体" w:cs="黑体"/>
          <w:sz w:val="32"/>
          <w:szCs w:val="32"/>
        </w:rPr>
        <w:t>八、</w:t>
      </w:r>
      <w:r>
        <w:rPr>
          <w:rStyle w:val="18"/>
          <w:rFonts w:hint="eastAsia" w:ascii="黑体" w:hAnsi="黑体" w:eastAsia="黑体" w:cs="黑体"/>
          <w:b w:val="0"/>
          <w:bCs w:val="0"/>
        </w:rPr>
        <w:t>政府性基金预算支出决算情况说明</w:t>
      </w:r>
      <w:bookmarkEnd w:id="63"/>
      <w:bookmarkEnd w:id="64"/>
      <w:bookmarkEnd w:id="65"/>
    </w:p>
    <w:p>
      <w:pPr>
        <w:spacing w:line="600" w:lineRule="exact"/>
        <w:ind w:firstLine="640"/>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年政府性基金预算财政拨款支出</w:t>
      </w:r>
      <w:r>
        <w:rPr>
          <w:rFonts w:ascii="仿宋" w:hAnsi="仿宋" w:eastAsia="仿宋" w:cs="仿宋"/>
          <w:sz w:val="32"/>
          <w:szCs w:val="32"/>
        </w:rPr>
        <w:t>0</w:t>
      </w:r>
      <w:r>
        <w:rPr>
          <w:rFonts w:hint="eastAsia" w:ascii="仿宋" w:hAnsi="仿宋" w:eastAsia="仿宋" w:cs="仿宋"/>
          <w:sz w:val="32"/>
          <w:szCs w:val="32"/>
        </w:rPr>
        <w:t>万元。</w:t>
      </w:r>
    </w:p>
    <w:p>
      <w:pPr>
        <w:numPr>
          <w:ilvl w:val="0"/>
          <w:numId w:val="3"/>
        </w:numPr>
        <w:spacing w:line="600" w:lineRule="exact"/>
        <w:ind w:firstLine="640"/>
        <w:outlineLvl w:val="1"/>
        <w:rPr>
          <w:rStyle w:val="18"/>
          <w:rFonts w:ascii="黑体" w:hAnsi="黑体" w:eastAsia="黑体" w:cs="Times New Roman"/>
          <w:b w:val="0"/>
          <w:bCs w:val="0"/>
        </w:rPr>
      </w:pPr>
      <w:bookmarkStart w:id="66" w:name="_Toc15377219"/>
      <w:bookmarkStart w:id="67" w:name="_Toc81680728"/>
      <w:bookmarkStart w:id="68" w:name="_Toc15396611"/>
      <w:r>
        <w:rPr>
          <w:rStyle w:val="18"/>
          <w:rFonts w:hint="eastAsia" w:ascii="黑体" w:hAnsi="黑体" w:eastAsia="黑体" w:cs="黑体"/>
          <w:b w:val="0"/>
          <w:bCs w:val="0"/>
        </w:rPr>
        <w:t>国有资本经营预算支出决算情况说明</w:t>
      </w:r>
      <w:bookmarkEnd w:id="66"/>
      <w:bookmarkEnd w:id="67"/>
      <w:bookmarkEnd w:id="68"/>
    </w:p>
    <w:p>
      <w:pPr>
        <w:spacing w:line="600" w:lineRule="exact"/>
        <w:ind w:firstLine="640"/>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年国有资本经营预算财政拨款支出</w:t>
      </w:r>
      <w:r>
        <w:rPr>
          <w:rFonts w:ascii="仿宋" w:hAnsi="仿宋" w:eastAsia="仿宋" w:cs="仿宋"/>
          <w:sz w:val="32"/>
          <w:szCs w:val="32"/>
        </w:rPr>
        <w:t>0</w:t>
      </w:r>
      <w:r>
        <w:rPr>
          <w:rFonts w:hint="eastAsia" w:ascii="仿宋" w:hAnsi="仿宋" w:eastAsia="仿宋" w:cs="仿宋"/>
          <w:sz w:val="32"/>
          <w:szCs w:val="32"/>
        </w:rPr>
        <w:t>万元。</w:t>
      </w:r>
    </w:p>
    <w:p>
      <w:pPr>
        <w:numPr>
          <w:ilvl w:val="0"/>
          <w:numId w:val="3"/>
        </w:numPr>
        <w:spacing w:line="600" w:lineRule="exact"/>
        <w:ind w:firstLine="640"/>
        <w:outlineLvl w:val="1"/>
        <w:rPr>
          <w:rStyle w:val="18"/>
          <w:rFonts w:ascii="黑体" w:hAnsi="黑体" w:eastAsia="黑体" w:cs="Times New Roman"/>
          <w:b w:val="0"/>
          <w:bCs w:val="0"/>
        </w:rPr>
      </w:pPr>
      <w:bookmarkStart w:id="69" w:name="_Toc15377221"/>
      <w:bookmarkStart w:id="70" w:name="_Toc15396612"/>
      <w:bookmarkStart w:id="71" w:name="_Toc81680729"/>
      <w:r>
        <w:rPr>
          <w:rStyle w:val="18"/>
          <w:rFonts w:hint="eastAsia" w:ascii="黑体" w:hAnsi="黑体" w:eastAsia="黑体" w:cs="黑体"/>
          <w:b w:val="0"/>
          <w:bCs w:val="0"/>
        </w:rPr>
        <w:t>其他重要事项的情况说明</w:t>
      </w:r>
      <w:bookmarkEnd w:id="69"/>
      <w:bookmarkEnd w:id="70"/>
      <w:bookmarkEnd w:id="71"/>
    </w:p>
    <w:p>
      <w:pPr>
        <w:spacing w:line="600" w:lineRule="exact"/>
        <w:ind w:firstLine="642" w:firstLineChars="200"/>
        <w:outlineLvl w:val="2"/>
        <w:rPr>
          <w:rFonts w:ascii="仿宋" w:hAnsi="仿宋" w:eastAsia="仿宋"/>
          <w:sz w:val="32"/>
          <w:szCs w:val="32"/>
        </w:rPr>
      </w:pPr>
      <w:bookmarkStart w:id="72" w:name="_Toc81680730"/>
      <w:bookmarkStart w:id="73" w:name="_Toc15377222"/>
      <w:r>
        <w:rPr>
          <w:rFonts w:hint="eastAsia" w:ascii="仿宋" w:hAnsi="仿宋" w:eastAsia="仿宋" w:cs="仿宋"/>
          <w:b/>
          <w:bCs/>
          <w:sz w:val="32"/>
          <w:szCs w:val="32"/>
        </w:rPr>
        <w:t>（一）机关运行经费支出情况</w:t>
      </w:r>
      <w:bookmarkEnd w:id="72"/>
      <w:bookmarkEnd w:id="73"/>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人科所为事业单位，未开支机关运行经费。</w:t>
      </w:r>
    </w:p>
    <w:p>
      <w:pPr>
        <w:autoSpaceDE w:val="0"/>
        <w:autoSpaceDN w:val="0"/>
        <w:adjustRightInd w:val="0"/>
        <w:spacing w:line="600" w:lineRule="exact"/>
        <w:ind w:firstLine="642" w:firstLineChars="200"/>
        <w:jc w:val="left"/>
        <w:outlineLvl w:val="2"/>
        <w:rPr>
          <w:rFonts w:ascii="仿宋" w:hAnsi="仿宋" w:eastAsia="仿宋"/>
          <w:b/>
          <w:bCs/>
          <w:sz w:val="32"/>
          <w:szCs w:val="32"/>
        </w:rPr>
      </w:pPr>
      <w:bookmarkStart w:id="74" w:name="_Toc15377223"/>
      <w:bookmarkStart w:id="75" w:name="_Toc81680731"/>
      <w:r>
        <w:rPr>
          <w:rFonts w:hint="eastAsia" w:ascii="仿宋" w:hAnsi="仿宋" w:eastAsia="仿宋" w:cs="仿宋"/>
          <w:b/>
          <w:bCs/>
          <w:sz w:val="32"/>
          <w:szCs w:val="32"/>
        </w:rPr>
        <w:t>（二）政府采购支出情况</w:t>
      </w:r>
      <w:bookmarkEnd w:id="74"/>
      <w:bookmarkEnd w:id="75"/>
    </w:p>
    <w:p>
      <w:pPr>
        <w:spacing w:line="600" w:lineRule="exact"/>
        <w:ind w:firstLine="640" w:firstLineChars="200"/>
        <w:rPr>
          <w:rFonts w:ascii="仿宋" w:hAnsi="仿宋" w:eastAsia="仿宋"/>
          <w:b/>
          <w:bCs/>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年，人科所政府采购支出总额</w:t>
      </w:r>
      <w:r>
        <w:rPr>
          <w:rFonts w:ascii="仿宋" w:hAnsi="仿宋" w:eastAsia="仿宋" w:cs="仿宋"/>
          <w:color w:val="000000"/>
          <w:sz w:val="32"/>
          <w:szCs w:val="32"/>
        </w:rPr>
        <w:t>0.81</w:t>
      </w:r>
      <w:r>
        <w:rPr>
          <w:rFonts w:hint="eastAsia" w:ascii="仿宋" w:hAnsi="仿宋" w:eastAsia="仿宋" w:cs="仿宋"/>
          <w:color w:val="000000"/>
          <w:sz w:val="32"/>
          <w:szCs w:val="32"/>
        </w:rPr>
        <w:t>万元，其中：政府采购服务支出</w:t>
      </w:r>
      <w:r>
        <w:rPr>
          <w:rFonts w:ascii="仿宋" w:hAnsi="仿宋" w:eastAsia="仿宋" w:cs="仿宋"/>
          <w:color w:val="000000"/>
          <w:sz w:val="32"/>
          <w:szCs w:val="32"/>
        </w:rPr>
        <w:t>0.81</w:t>
      </w:r>
      <w:r>
        <w:rPr>
          <w:rFonts w:hint="eastAsia" w:ascii="仿宋" w:hAnsi="仿宋" w:eastAsia="仿宋" w:cs="仿宋"/>
          <w:color w:val="000000"/>
          <w:sz w:val="32"/>
          <w:szCs w:val="32"/>
        </w:rPr>
        <w:t>万元。主要用于科研课题调研工作所需的公务用车燃料费、维修费、保险费。授予中小企业合同金额</w:t>
      </w:r>
      <w:r>
        <w:rPr>
          <w:rFonts w:ascii="仿宋" w:hAnsi="仿宋" w:eastAsia="仿宋" w:cs="仿宋"/>
          <w:color w:val="000000"/>
          <w:sz w:val="32"/>
          <w:szCs w:val="32"/>
        </w:rPr>
        <w:t>0</w:t>
      </w:r>
      <w:r>
        <w:rPr>
          <w:rFonts w:hint="eastAsia" w:ascii="仿宋" w:hAnsi="仿宋" w:eastAsia="仿宋" w:cs="仿宋"/>
          <w:color w:val="000000"/>
          <w:sz w:val="32"/>
          <w:szCs w:val="32"/>
        </w:rPr>
        <w:t>万元，占政府采购支出总额的</w:t>
      </w:r>
      <w:r>
        <w:rPr>
          <w:rFonts w:ascii="仿宋" w:hAnsi="仿宋" w:eastAsia="仿宋" w:cs="仿宋"/>
          <w:color w:val="000000"/>
          <w:sz w:val="32"/>
          <w:szCs w:val="32"/>
        </w:rPr>
        <w:t>0%</w:t>
      </w:r>
      <w:r>
        <w:rPr>
          <w:rFonts w:hint="eastAsia" w:ascii="仿宋" w:hAnsi="仿宋" w:eastAsia="仿宋" w:cs="仿宋"/>
          <w:color w:val="000000"/>
          <w:sz w:val="32"/>
          <w:szCs w:val="32"/>
        </w:rPr>
        <w:t>，其中：授予小微企业合同金额</w:t>
      </w:r>
      <w:r>
        <w:rPr>
          <w:rFonts w:ascii="仿宋" w:hAnsi="仿宋" w:eastAsia="仿宋" w:cs="仿宋"/>
          <w:color w:val="000000"/>
          <w:sz w:val="32"/>
          <w:szCs w:val="32"/>
        </w:rPr>
        <w:t>0</w:t>
      </w:r>
      <w:r>
        <w:rPr>
          <w:rFonts w:hint="eastAsia" w:ascii="仿宋" w:hAnsi="仿宋" w:eastAsia="仿宋" w:cs="仿宋"/>
          <w:color w:val="000000"/>
          <w:sz w:val="32"/>
          <w:szCs w:val="32"/>
        </w:rPr>
        <w:t>万元，占政府采购支出总额的</w:t>
      </w:r>
      <w:r>
        <w:rPr>
          <w:rFonts w:ascii="仿宋" w:hAnsi="仿宋" w:eastAsia="仿宋" w:cs="仿宋"/>
          <w:color w:val="000000"/>
          <w:sz w:val="32"/>
          <w:szCs w:val="32"/>
        </w:rPr>
        <w:t>0%</w:t>
      </w:r>
      <w:r>
        <w:rPr>
          <w:rFonts w:hint="eastAsia" w:ascii="仿宋" w:hAnsi="仿宋" w:eastAsia="仿宋" w:cs="仿宋"/>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bCs/>
          <w:sz w:val="32"/>
          <w:szCs w:val="32"/>
        </w:rPr>
      </w:pPr>
      <w:bookmarkStart w:id="76" w:name="_Toc15377224"/>
      <w:bookmarkStart w:id="77" w:name="_Toc81680732"/>
      <w:r>
        <w:rPr>
          <w:rFonts w:hint="eastAsia" w:ascii="仿宋" w:hAnsi="仿宋" w:eastAsia="仿宋" w:cs="仿宋"/>
          <w:b/>
          <w:bCs/>
          <w:sz w:val="32"/>
          <w:szCs w:val="32"/>
        </w:rPr>
        <w:t>（三）国有资产占有使用情况</w:t>
      </w:r>
      <w:bookmarkEnd w:id="76"/>
      <w:bookmarkEnd w:id="77"/>
    </w:p>
    <w:p>
      <w:pPr>
        <w:autoSpaceDE w:val="0"/>
        <w:autoSpaceDN w:val="0"/>
        <w:adjustRightInd w:val="0"/>
        <w:spacing w:line="600" w:lineRule="exact"/>
        <w:ind w:firstLine="640" w:firstLineChars="200"/>
        <w:jc w:val="left"/>
        <w:rPr>
          <w:rFonts w:ascii="仿宋" w:hAnsi="仿宋" w:eastAsia="仿宋"/>
          <w:sz w:val="32"/>
          <w:szCs w:val="32"/>
        </w:rPr>
      </w:pPr>
      <w:r>
        <w:rPr>
          <w:rFonts w:hint="eastAsia" w:ascii="仿宋" w:hAnsi="仿宋" w:eastAsia="仿宋" w:cs="仿宋"/>
          <w:color w:val="000000"/>
          <w:sz w:val="32"/>
          <w:szCs w:val="32"/>
        </w:rPr>
        <w:t>截至</w:t>
      </w:r>
      <w:r>
        <w:rPr>
          <w:rFonts w:ascii="仿宋" w:hAnsi="仿宋" w:eastAsia="仿宋" w:cs="仿宋"/>
          <w:color w:val="000000"/>
          <w:sz w:val="32"/>
          <w:szCs w:val="32"/>
        </w:rPr>
        <w:t>2020</w:t>
      </w:r>
      <w:r>
        <w:rPr>
          <w:rFonts w:hint="eastAsia" w:ascii="仿宋" w:hAnsi="仿宋" w:eastAsia="仿宋" w:cs="仿宋"/>
          <w:color w:val="000000"/>
          <w:sz w:val="32"/>
          <w:szCs w:val="32"/>
        </w:rPr>
        <w:t>年</w:t>
      </w:r>
      <w:r>
        <w:rPr>
          <w:rFonts w:ascii="仿宋" w:hAnsi="仿宋" w:eastAsia="仿宋" w:cs="仿宋"/>
          <w:color w:val="000000"/>
          <w:sz w:val="32"/>
          <w:szCs w:val="32"/>
        </w:rPr>
        <w:t>12</w:t>
      </w:r>
      <w:r>
        <w:rPr>
          <w:rFonts w:hint="eastAsia" w:ascii="仿宋" w:hAnsi="仿宋" w:eastAsia="仿宋" w:cs="仿宋"/>
          <w:color w:val="000000"/>
          <w:sz w:val="32"/>
          <w:szCs w:val="32"/>
        </w:rPr>
        <w:t>月</w:t>
      </w:r>
      <w:r>
        <w:rPr>
          <w:rFonts w:ascii="仿宋" w:hAnsi="仿宋" w:eastAsia="仿宋" w:cs="仿宋"/>
          <w:color w:val="000000"/>
          <w:sz w:val="32"/>
          <w:szCs w:val="32"/>
        </w:rPr>
        <w:t>31</w:t>
      </w:r>
      <w:r>
        <w:rPr>
          <w:rFonts w:hint="eastAsia" w:ascii="仿宋" w:hAnsi="仿宋" w:eastAsia="仿宋" w:cs="仿宋"/>
          <w:color w:val="000000"/>
          <w:sz w:val="32"/>
          <w:szCs w:val="32"/>
        </w:rPr>
        <w:t>日，人科所共有车辆</w:t>
      </w:r>
      <w:r>
        <w:rPr>
          <w:rFonts w:ascii="仿宋" w:hAnsi="仿宋" w:eastAsia="仿宋" w:cs="仿宋"/>
          <w:color w:val="000000"/>
          <w:sz w:val="32"/>
          <w:szCs w:val="32"/>
        </w:rPr>
        <w:t>0</w:t>
      </w:r>
      <w:r>
        <w:rPr>
          <w:rFonts w:hint="eastAsia" w:ascii="仿宋" w:hAnsi="仿宋" w:eastAsia="仿宋" w:cs="仿宋"/>
          <w:color w:val="000000"/>
          <w:sz w:val="32"/>
          <w:szCs w:val="32"/>
        </w:rPr>
        <w:t>辆。单价</w:t>
      </w:r>
      <w:r>
        <w:rPr>
          <w:rFonts w:ascii="仿宋" w:hAnsi="仿宋" w:eastAsia="仿宋" w:cs="仿宋"/>
          <w:color w:val="000000"/>
          <w:sz w:val="32"/>
          <w:szCs w:val="32"/>
        </w:rPr>
        <w:t>50</w:t>
      </w:r>
      <w:r>
        <w:rPr>
          <w:rFonts w:hint="eastAsia" w:ascii="仿宋" w:hAnsi="仿宋" w:eastAsia="仿宋" w:cs="仿宋"/>
          <w:color w:val="000000"/>
          <w:sz w:val="32"/>
          <w:szCs w:val="32"/>
        </w:rPr>
        <w:t>万元以上通用设备</w:t>
      </w:r>
      <w:r>
        <w:rPr>
          <w:rFonts w:ascii="仿宋" w:hAnsi="仿宋" w:eastAsia="仿宋" w:cs="仿宋"/>
          <w:color w:val="000000"/>
          <w:sz w:val="32"/>
          <w:szCs w:val="32"/>
        </w:rPr>
        <w:t>0</w:t>
      </w:r>
      <w:r>
        <w:rPr>
          <w:rFonts w:hint="eastAsia" w:ascii="仿宋" w:hAnsi="仿宋" w:eastAsia="仿宋" w:cs="仿宋"/>
          <w:color w:val="000000"/>
          <w:sz w:val="32"/>
          <w:szCs w:val="32"/>
        </w:rPr>
        <w:t>台（套），单价</w:t>
      </w:r>
      <w:r>
        <w:rPr>
          <w:rFonts w:ascii="仿宋" w:hAnsi="仿宋" w:eastAsia="仿宋" w:cs="仿宋"/>
          <w:color w:val="000000"/>
          <w:sz w:val="32"/>
          <w:szCs w:val="32"/>
        </w:rPr>
        <w:t>100</w:t>
      </w:r>
      <w:r>
        <w:rPr>
          <w:rFonts w:hint="eastAsia" w:ascii="仿宋" w:hAnsi="仿宋" w:eastAsia="仿宋" w:cs="仿宋"/>
          <w:color w:val="000000"/>
          <w:sz w:val="32"/>
          <w:szCs w:val="32"/>
        </w:rPr>
        <w:t>万元以上专用设备</w:t>
      </w:r>
      <w:r>
        <w:rPr>
          <w:rFonts w:ascii="仿宋" w:hAnsi="仿宋" w:eastAsia="仿宋" w:cs="仿宋"/>
          <w:color w:val="000000"/>
          <w:sz w:val="32"/>
          <w:szCs w:val="32"/>
        </w:rPr>
        <w:t>0</w:t>
      </w:r>
      <w:r>
        <w:rPr>
          <w:rFonts w:hint="eastAsia" w:ascii="仿宋" w:hAnsi="仿宋" w:eastAsia="仿宋" w:cs="仿宋"/>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bCs/>
          <w:sz w:val="32"/>
          <w:szCs w:val="32"/>
        </w:rPr>
      </w:pPr>
      <w:bookmarkStart w:id="78" w:name="_Toc81680733"/>
      <w:r>
        <w:rPr>
          <w:rFonts w:hint="eastAsia" w:ascii="仿宋" w:hAnsi="仿宋" w:eastAsia="仿宋" w:cs="仿宋"/>
          <w:b/>
          <w:bCs/>
          <w:sz w:val="32"/>
          <w:szCs w:val="32"/>
        </w:rPr>
        <w:t>（四）预算绩效管理情况</w:t>
      </w:r>
      <w:bookmarkEnd w:id="78"/>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根据预算绩效管理要求，本单位在</w:t>
      </w:r>
      <w:r>
        <w:rPr>
          <w:rFonts w:ascii="仿宋" w:hAnsi="仿宋" w:eastAsia="仿宋" w:cs="仿宋"/>
          <w:sz w:val="32"/>
          <w:szCs w:val="32"/>
        </w:rPr>
        <w:t>2020</w:t>
      </w:r>
      <w:r>
        <w:rPr>
          <w:rFonts w:hint="eastAsia" w:ascii="仿宋" w:hAnsi="仿宋" w:eastAsia="仿宋" w:cs="仿宋"/>
          <w:sz w:val="32"/>
          <w:szCs w:val="32"/>
        </w:rPr>
        <w:t>年度无</w:t>
      </w:r>
      <w:r>
        <w:rPr>
          <w:rFonts w:ascii="仿宋" w:hAnsi="仿宋" w:eastAsia="仿宋" w:cs="仿宋"/>
          <w:sz w:val="32"/>
          <w:szCs w:val="32"/>
        </w:rPr>
        <w:t>100</w:t>
      </w:r>
      <w:r>
        <w:rPr>
          <w:rFonts w:hint="eastAsia" w:ascii="仿宋" w:hAnsi="仿宋" w:eastAsia="仿宋" w:cs="仿宋"/>
          <w:sz w:val="32"/>
          <w:szCs w:val="32"/>
        </w:rPr>
        <w:t>万以上预算项目，预算管理过程中未组织开展预算事前绩效评估、事中绩效监控、事后绩效自评。</w:t>
      </w:r>
    </w:p>
    <w:p>
      <w:pPr>
        <w:spacing w:line="580" w:lineRule="exact"/>
        <w:ind w:firstLine="640" w:firstLineChars="200"/>
        <w:rPr>
          <w:rFonts w:ascii="仿宋_GB2312" w:hAnsi="仿宋_GB2312" w:eastAsia="仿宋_GB2312"/>
          <w:sz w:val="32"/>
          <w:szCs w:val="32"/>
        </w:rPr>
      </w:pPr>
      <w:r>
        <w:rPr>
          <w:rFonts w:hint="eastAsia" w:ascii="仿宋" w:hAnsi="仿宋" w:eastAsia="仿宋" w:cs="仿宋"/>
          <w:sz w:val="32"/>
          <w:szCs w:val="32"/>
        </w:rPr>
        <w:t>本单位未组织开展项目支出绩效评价。</w:t>
      </w:r>
      <w:r>
        <w:rPr>
          <w:rFonts w:ascii="仿宋_GB2312" w:eastAsia="仿宋_GB2312"/>
          <w:b/>
          <w:bCs/>
          <w:sz w:val="32"/>
          <w:szCs w:val="32"/>
        </w:rPr>
        <w:br w:type="page"/>
      </w:r>
    </w:p>
    <w:p>
      <w:pPr>
        <w:numPr>
          <w:ilvl w:val="0"/>
          <w:numId w:val="4"/>
        </w:numPr>
        <w:spacing w:line="600" w:lineRule="exact"/>
        <w:ind w:firstLine="660" w:firstLineChars="150"/>
        <w:jc w:val="center"/>
        <w:outlineLvl w:val="0"/>
        <w:rPr>
          <w:rStyle w:val="17"/>
          <w:rFonts w:ascii="黑体" w:hAnsi="黑体" w:eastAsia="黑体"/>
          <w:b w:val="0"/>
          <w:bCs w:val="0"/>
        </w:rPr>
      </w:pPr>
      <w:bookmarkStart w:id="79" w:name="_Toc15396613"/>
      <w:bookmarkStart w:id="80" w:name="_Toc15377225"/>
      <w:bookmarkStart w:id="81" w:name="_Toc81680734"/>
      <w:r>
        <w:rPr>
          <w:rFonts w:hint="eastAsia" w:ascii="黑体" w:hAnsi="黑体" w:eastAsia="黑体" w:cs="黑体"/>
          <w:color w:val="000000"/>
          <w:sz w:val="44"/>
          <w:szCs w:val="44"/>
        </w:rPr>
        <w:t>名</w:t>
      </w:r>
      <w:r>
        <w:rPr>
          <w:rStyle w:val="17"/>
          <w:rFonts w:hint="eastAsia" w:ascii="黑体" w:hAnsi="黑体" w:eastAsia="黑体" w:cs="黑体"/>
          <w:b w:val="0"/>
          <w:bCs w:val="0"/>
        </w:rPr>
        <w:t>词解释</w:t>
      </w:r>
      <w:bookmarkEnd w:id="79"/>
      <w:bookmarkEnd w:id="80"/>
      <w:bookmarkEnd w:id="81"/>
    </w:p>
    <w:p>
      <w:pPr>
        <w:spacing w:line="600" w:lineRule="exact"/>
        <w:jc w:val="left"/>
        <w:rPr>
          <w:rFonts w:ascii="宋体"/>
          <w:b/>
          <w:bCs/>
          <w:color w:val="000000"/>
          <w:sz w:val="44"/>
          <w:szCs w:val="44"/>
        </w:rPr>
      </w:pPr>
    </w:p>
    <w:p>
      <w:pPr>
        <w:pStyle w:val="27"/>
        <w:spacing w:line="560" w:lineRule="exact"/>
        <w:ind w:firstLine="640" w:firstLineChars="200"/>
        <w:rPr>
          <w:rFonts w:hAnsi="仿宋" w:cs="Times New Roman"/>
          <w:sz w:val="32"/>
          <w:szCs w:val="32"/>
        </w:rPr>
      </w:pPr>
      <w:r>
        <w:rPr>
          <w:rFonts w:hAnsi="仿宋"/>
          <w:sz w:val="32"/>
          <w:szCs w:val="32"/>
        </w:rPr>
        <w:t>1.</w:t>
      </w:r>
      <w:r>
        <w:rPr>
          <w:rFonts w:hint="eastAsia" w:hAnsi="仿宋"/>
          <w:sz w:val="32"/>
          <w:szCs w:val="32"/>
        </w:rPr>
        <w:t>财政拨款收入：指单位从同级财政部门取得的财政预算资金。</w:t>
      </w:r>
    </w:p>
    <w:p>
      <w:pPr>
        <w:pStyle w:val="27"/>
        <w:spacing w:line="560" w:lineRule="exact"/>
        <w:ind w:firstLine="640" w:firstLineChars="200"/>
        <w:rPr>
          <w:rFonts w:hAnsi="仿宋" w:cs="Times New Roman"/>
          <w:sz w:val="32"/>
          <w:szCs w:val="32"/>
        </w:rPr>
      </w:pPr>
      <w:r>
        <w:rPr>
          <w:rFonts w:hAnsi="仿宋"/>
          <w:sz w:val="32"/>
          <w:szCs w:val="32"/>
        </w:rPr>
        <w:t>2.</w:t>
      </w:r>
      <w:r>
        <w:rPr>
          <w:rFonts w:hint="eastAsia" w:hAnsi="仿宋"/>
          <w:sz w:val="32"/>
          <w:szCs w:val="32"/>
        </w:rPr>
        <w:t>事业收入：指事业单位开展专业业务活动及辅助活动取得的收入。</w:t>
      </w:r>
    </w:p>
    <w:p>
      <w:pPr>
        <w:pStyle w:val="27"/>
        <w:spacing w:line="560" w:lineRule="exact"/>
        <w:ind w:firstLine="640" w:firstLineChars="200"/>
        <w:rPr>
          <w:rFonts w:hAnsi="仿宋" w:cs="Times New Roman"/>
          <w:sz w:val="32"/>
          <w:szCs w:val="32"/>
        </w:rPr>
      </w:pPr>
      <w:r>
        <w:rPr>
          <w:rFonts w:hAnsi="仿宋"/>
          <w:sz w:val="32"/>
          <w:szCs w:val="32"/>
        </w:rPr>
        <w:t>3.</w:t>
      </w:r>
      <w:r>
        <w:rPr>
          <w:rFonts w:hint="eastAsia" w:hAnsi="仿宋"/>
          <w:sz w:val="32"/>
          <w:szCs w:val="32"/>
        </w:rPr>
        <w:t>经营收入：指事业单位在专业业务活动及其辅助活动之外开展非独立核算经营活动取得的收入。</w:t>
      </w:r>
    </w:p>
    <w:p>
      <w:pPr>
        <w:pStyle w:val="27"/>
        <w:spacing w:line="560" w:lineRule="exact"/>
        <w:ind w:firstLine="640" w:firstLineChars="200"/>
        <w:rPr>
          <w:rFonts w:hAnsi="仿宋" w:cs="Times New Roman"/>
          <w:sz w:val="32"/>
          <w:szCs w:val="32"/>
        </w:rPr>
      </w:pPr>
      <w:r>
        <w:rPr>
          <w:rFonts w:hAnsi="仿宋"/>
          <w:sz w:val="32"/>
          <w:szCs w:val="32"/>
        </w:rPr>
        <w:t>4.</w:t>
      </w:r>
      <w:r>
        <w:rPr>
          <w:rFonts w:hint="eastAsia" w:hAnsi="仿宋"/>
          <w:sz w:val="32"/>
          <w:szCs w:val="32"/>
        </w:rPr>
        <w:t>其他收入：指单位取得的除上述收入以外的各项收入。</w:t>
      </w:r>
    </w:p>
    <w:p>
      <w:pPr>
        <w:pStyle w:val="27"/>
        <w:spacing w:line="560" w:lineRule="exact"/>
        <w:ind w:firstLine="640" w:firstLineChars="200"/>
        <w:rPr>
          <w:rFonts w:hAnsi="仿宋" w:cs="Times New Roman"/>
          <w:sz w:val="32"/>
          <w:szCs w:val="32"/>
        </w:rPr>
      </w:pPr>
      <w:r>
        <w:rPr>
          <w:rFonts w:hAnsi="仿宋"/>
          <w:sz w:val="32"/>
          <w:szCs w:val="32"/>
        </w:rPr>
        <w:t>5.</w:t>
      </w:r>
      <w:r>
        <w:rPr>
          <w:rFonts w:hint="eastAsia" w:hAnsi="仿宋"/>
          <w:sz w:val="32"/>
          <w:szCs w:val="32"/>
        </w:rPr>
        <w:t>使用非财政拨款结余：指事业单位使用以前年度积累的非财政拨款结余弥补当年收支差额的金额。</w:t>
      </w:r>
    </w:p>
    <w:p>
      <w:pPr>
        <w:pStyle w:val="27"/>
        <w:spacing w:line="560" w:lineRule="exact"/>
        <w:ind w:firstLine="640" w:firstLineChars="200"/>
        <w:rPr>
          <w:rFonts w:hAnsi="仿宋" w:cs="Times New Roman"/>
          <w:sz w:val="32"/>
          <w:szCs w:val="32"/>
        </w:rPr>
      </w:pPr>
      <w:r>
        <w:rPr>
          <w:rFonts w:hAnsi="仿宋"/>
          <w:sz w:val="32"/>
          <w:szCs w:val="32"/>
        </w:rPr>
        <w:t>6.</w:t>
      </w:r>
      <w:r>
        <w:rPr>
          <w:rFonts w:hint="eastAsia" w:hAnsi="仿宋"/>
          <w:sz w:val="32"/>
          <w:szCs w:val="32"/>
        </w:rPr>
        <w:t>年初结转和结余：指以前年度尚未完成、结转到本年按有关规定继续使用的资金。</w:t>
      </w:r>
    </w:p>
    <w:p>
      <w:pPr>
        <w:pStyle w:val="27"/>
        <w:spacing w:line="560" w:lineRule="exact"/>
        <w:ind w:firstLine="640" w:firstLineChars="200"/>
        <w:rPr>
          <w:rFonts w:hAnsi="仿宋" w:cs="Times New Roman"/>
          <w:sz w:val="32"/>
          <w:szCs w:val="32"/>
        </w:rPr>
      </w:pPr>
      <w:r>
        <w:rPr>
          <w:rFonts w:hAnsi="仿宋"/>
          <w:sz w:val="32"/>
          <w:szCs w:val="32"/>
        </w:rPr>
        <w:t>7.</w:t>
      </w:r>
      <w:r>
        <w:rPr>
          <w:rFonts w:hint="eastAsia" w:hAnsi="仿宋"/>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hAnsi="仿宋" w:cs="Times New Roman"/>
          <w:sz w:val="32"/>
          <w:szCs w:val="32"/>
        </w:rPr>
      </w:pPr>
      <w:r>
        <w:rPr>
          <w:rFonts w:hAnsi="仿宋"/>
          <w:sz w:val="32"/>
          <w:szCs w:val="32"/>
        </w:rPr>
        <w:t>8.</w:t>
      </w:r>
      <w:r>
        <w:rPr>
          <w:rFonts w:hint="eastAsia" w:hAnsi="仿宋"/>
          <w:sz w:val="32"/>
          <w:szCs w:val="32"/>
        </w:rPr>
        <w:t>年末结转和结余：指单位按有关规定结转到下年或以后年度继续使用的资金。</w:t>
      </w:r>
    </w:p>
    <w:p>
      <w:pPr>
        <w:ind w:firstLine="640" w:firstLineChars="200"/>
        <w:rPr>
          <w:rFonts w:ascii="仿宋" w:hAnsi="仿宋" w:eastAsia="仿宋"/>
          <w:color w:val="000000"/>
          <w:sz w:val="32"/>
          <w:szCs w:val="32"/>
        </w:rPr>
      </w:pPr>
      <w:r>
        <w:rPr>
          <w:rFonts w:ascii="仿宋" w:hAnsi="仿宋" w:eastAsia="仿宋" w:cs="仿宋"/>
          <w:color w:val="000000"/>
          <w:sz w:val="32"/>
          <w:szCs w:val="32"/>
        </w:rPr>
        <w:t>9.</w:t>
      </w:r>
      <w:r>
        <w:rPr>
          <w:rFonts w:hint="eastAsia" w:ascii="仿宋" w:hAnsi="仿宋" w:eastAsia="仿宋" w:cs="仿宋"/>
          <w:color w:val="000000"/>
          <w:sz w:val="32"/>
          <w:szCs w:val="32"/>
        </w:rPr>
        <w:t>社会保障和就业（类）人力资源和社会保障管理事务（款）信息化建设（项）</w:t>
      </w:r>
      <w:r>
        <w:rPr>
          <w:rFonts w:ascii="仿宋" w:hAnsi="仿宋" w:eastAsia="仿宋" w:cs="仿宋"/>
          <w:color w:val="000000"/>
          <w:sz w:val="32"/>
          <w:szCs w:val="32"/>
        </w:rPr>
        <w:t>:</w:t>
      </w:r>
      <w:r>
        <w:rPr>
          <w:rFonts w:hint="eastAsia" w:ascii="仿宋" w:hAnsi="仿宋" w:eastAsia="仿宋" w:cs="仿宋"/>
          <w:color w:val="000000"/>
          <w:sz w:val="32"/>
          <w:szCs w:val="32"/>
        </w:rPr>
        <w:t>指人力资源和社会保障部门用于信息化建设、运行维护和数据分析等方面的支出。</w:t>
      </w:r>
    </w:p>
    <w:p>
      <w:pPr>
        <w:pStyle w:val="2"/>
        <w:spacing w:before="93"/>
        <w:ind w:firstLine="645"/>
        <w:rPr>
          <w:rFonts w:ascii="仿宋" w:hAnsi="仿宋" w:eastAsia="仿宋" w:cs="Times New Roman"/>
          <w:sz w:val="32"/>
          <w:szCs w:val="32"/>
        </w:rPr>
      </w:pPr>
      <w:r>
        <w:rPr>
          <w:rFonts w:hint="eastAsia" w:ascii="仿宋" w:hAnsi="仿宋" w:eastAsia="仿宋" w:cs="仿宋"/>
          <w:color w:val="000000"/>
          <w:sz w:val="32"/>
          <w:szCs w:val="32"/>
        </w:rPr>
        <w:t>社会保障和就业（类）人力资源和社会保障管理事务（款）其他人力资源和社会保障管理事务支出（项）</w:t>
      </w:r>
      <w:r>
        <w:rPr>
          <w:rFonts w:ascii="仿宋" w:hAnsi="仿宋" w:eastAsia="仿宋" w:cs="仿宋"/>
          <w:color w:val="000000"/>
          <w:sz w:val="32"/>
          <w:szCs w:val="32"/>
        </w:rPr>
        <w:t>:</w:t>
      </w:r>
      <w:r>
        <w:rPr>
          <w:rFonts w:hint="eastAsia" w:ascii="仿宋" w:hAnsi="仿宋" w:eastAsia="仿宋" w:cs="仿宋"/>
          <w:sz w:val="32"/>
          <w:szCs w:val="32"/>
        </w:rPr>
        <w:t>指单位用于人力资源和社会保障管理事务方面的支出。</w:t>
      </w: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社会保障和就业（类）行政事业单位养老支出（款）事业单位离退休（项）</w:t>
      </w:r>
      <w:r>
        <w:rPr>
          <w:rFonts w:ascii="仿宋" w:hAnsi="仿宋" w:eastAsia="仿宋" w:cs="仿宋"/>
          <w:color w:val="000000"/>
          <w:sz w:val="32"/>
          <w:szCs w:val="32"/>
        </w:rPr>
        <w:t>:</w:t>
      </w:r>
      <w:r>
        <w:rPr>
          <w:rFonts w:hint="eastAsia" w:ascii="仿宋" w:hAnsi="仿宋" w:eastAsia="仿宋" w:cs="仿宋"/>
          <w:color w:val="000000"/>
          <w:sz w:val="32"/>
          <w:szCs w:val="32"/>
        </w:rPr>
        <w:t>指反映实行归口管理的事业单位开支的离退休经费。</w:t>
      </w: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社会保障和就业（类）</w:t>
      </w:r>
      <w:r>
        <w:rPr>
          <w:rStyle w:val="15"/>
          <w:rFonts w:hint="eastAsia" w:ascii="仿宋" w:hAnsi="仿宋" w:eastAsia="仿宋" w:cs="仿宋"/>
          <w:b w:val="0"/>
          <w:bCs w:val="0"/>
          <w:color w:val="000000"/>
          <w:sz w:val="32"/>
          <w:szCs w:val="32"/>
        </w:rPr>
        <w:t>行政事业单位养老支出</w:t>
      </w:r>
      <w:r>
        <w:rPr>
          <w:rFonts w:ascii="仿宋" w:hAnsi="仿宋" w:eastAsia="仿宋" w:cs="仿宋"/>
          <w:color w:val="000000"/>
          <w:sz w:val="32"/>
          <w:szCs w:val="32"/>
        </w:rPr>
        <w:t>(</w:t>
      </w:r>
      <w:r>
        <w:rPr>
          <w:rFonts w:hint="eastAsia" w:ascii="仿宋" w:hAnsi="仿宋" w:eastAsia="仿宋" w:cs="仿宋"/>
          <w:color w:val="000000"/>
          <w:sz w:val="32"/>
          <w:szCs w:val="32"/>
        </w:rPr>
        <w:t>款</w:t>
      </w:r>
      <w:r>
        <w:rPr>
          <w:rFonts w:ascii="仿宋" w:hAnsi="仿宋" w:eastAsia="仿宋" w:cs="仿宋"/>
          <w:color w:val="000000"/>
          <w:sz w:val="32"/>
          <w:szCs w:val="32"/>
        </w:rPr>
        <w:t>)</w:t>
      </w:r>
      <w:r>
        <w:rPr>
          <w:rFonts w:hint="eastAsia" w:ascii="仿宋" w:hAnsi="仿宋" w:eastAsia="仿宋" w:cs="仿宋"/>
          <w:color w:val="000000"/>
          <w:sz w:val="32"/>
          <w:szCs w:val="32"/>
        </w:rPr>
        <w:t>机关事业单位基本养老保险缴费支出（项）</w:t>
      </w:r>
      <w:r>
        <w:rPr>
          <w:rFonts w:ascii="仿宋" w:hAnsi="仿宋" w:eastAsia="仿宋" w:cs="仿宋"/>
          <w:color w:val="000000"/>
          <w:sz w:val="32"/>
          <w:szCs w:val="32"/>
        </w:rPr>
        <w:t xml:space="preserve">: </w:t>
      </w:r>
      <w:r>
        <w:rPr>
          <w:rFonts w:hint="eastAsia" w:ascii="仿宋" w:hAnsi="仿宋" w:eastAsia="仿宋" w:cs="仿宋"/>
          <w:color w:val="000000"/>
          <w:sz w:val="32"/>
          <w:szCs w:val="32"/>
        </w:rPr>
        <w:t>指机关事业单位实施养老保险制度由单位缴纳的基本养老保险费支出。</w:t>
      </w:r>
    </w:p>
    <w:p>
      <w:pPr>
        <w:pStyle w:val="2"/>
        <w:spacing w:before="93"/>
        <w:ind w:firstLine="645"/>
        <w:rPr>
          <w:rFonts w:ascii="仿宋" w:hAnsi="仿宋" w:eastAsia="仿宋" w:cs="Times New Roman"/>
        </w:rPr>
      </w:pPr>
      <w:r>
        <w:rPr>
          <w:rFonts w:hint="eastAsia" w:ascii="仿宋" w:hAnsi="仿宋" w:eastAsia="仿宋" w:cs="仿宋"/>
          <w:color w:val="000000"/>
          <w:sz w:val="32"/>
          <w:szCs w:val="32"/>
        </w:rPr>
        <w:t>社会保障和就业（类）</w:t>
      </w:r>
      <w:r>
        <w:rPr>
          <w:rStyle w:val="15"/>
          <w:rFonts w:hint="eastAsia" w:ascii="仿宋" w:hAnsi="仿宋" w:eastAsia="仿宋" w:cs="仿宋"/>
          <w:b w:val="0"/>
          <w:bCs w:val="0"/>
          <w:color w:val="000000"/>
          <w:sz w:val="32"/>
          <w:szCs w:val="32"/>
        </w:rPr>
        <w:t>行政事业单位养老支出</w:t>
      </w:r>
      <w:r>
        <w:rPr>
          <w:rFonts w:ascii="仿宋" w:hAnsi="仿宋" w:eastAsia="仿宋" w:cs="仿宋"/>
          <w:color w:val="000000"/>
          <w:sz w:val="32"/>
          <w:szCs w:val="32"/>
        </w:rPr>
        <w:t>(</w:t>
      </w:r>
      <w:r>
        <w:rPr>
          <w:rFonts w:hint="eastAsia" w:ascii="仿宋" w:hAnsi="仿宋" w:eastAsia="仿宋" w:cs="仿宋"/>
          <w:color w:val="000000"/>
          <w:sz w:val="32"/>
          <w:szCs w:val="32"/>
        </w:rPr>
        <w:t>款</w:t>
      </w:r>
      <w:r>
        <w:rPr>
          <w:rFonts w:ascii="仿宋" w:hAnsi="仿宋" w:eastAsia="仿宋" w:cs="仿宋"/>
          <w:color w:val="000000"/>
          <w:sz w:val="32"/>
          <w:szCs w:val="32"/>
        </w:rPr>
        <w:t>)</w:t>
      </w:r>
      <w:r>
        <w:rPr>
          <w:rFonts w:hint="eastAsia" w:ascii="仿宋" w:hAnsi="仿宋" w:eastAsia="仿宋" w:cs="仿宋"/>
          <w:color w:val="000000"/>
          <w:sz w:val="32"/>
          <w:szCs w:val="32"/>
        </w:rPr>
        <w:t>机关事业单位职业年金缴费支出（项）：指机关事业单位实施养老保险制度由单位实际缴纳的职业年金支出。</w:t>
      </w:r>
    </w:p>
    <w:p>
      <w:pPr>
        <w:ind w:firstLine="640" w:firstLineChars="200"/>
        <w:rPr>
          <w:rFonts w:ascii="仿宋" w:hAnsi="仿宋" w:eastAsia="仿宋"/>
          <w:color w:val="000000"/>
          <w:sz w:val="32"/>
          <w:szCs w:val="32"/>
        </w:rPr>
      </w:pPr>
      <w:r>
        <w:rPr>
          <w:rFonts w:ascii="仿宋" w:hAnsi="仿宋" w:eastAsia="仿宋" w:cs="仿宋"/>
          <w:color w:val="000000"/>
          <w:sz w:val="32"/>
          <w:szCs w:val="32"/>
        </w:rPr>
        <w:t>10.</w:t>
      </w:r>
      <w:r>
        <w:rPr>
          <w:rFonts w:hint="eastAsia" w:ascii="仿宋" w:hAnsi="仿宋" w:eastAsia="仿宋" w:cs="仿宋"/>
          <w:color w:val="000000"/>
          <w:sz w:val="32"/>
          <w:szCs w:val="32"/>
        </w:rPr>
        <w:t>卫生健康（类）行政事业单位医疗（款）事业单位医疗（项）</w:t>
      </w:r>
      <w:r>
        <w:rPr>
          <w:rFonts w:ascii="仿宋" w:hAnsi="仿宋" w:eastAsia="仿宋" w:cs="仿宋"/>
          <w:color w:val="000000"/>
          <w:sz w:val="32"/>
          <w:szCs w:val="32"/>
        </w:rPr>
        <w:t>:</w:t>
      </w:r>
      <w:r>
        <w:rPr>
          <w:rFonts w:hint="eastAsia" w:ascii="仿宋" w:hAnsi="仿宋" w:eastAsia="仿宋" w:cs="仿宋"/>
          <w:color w:val="000000"/>
          <w:sz w:val="32"/>
          <w:szCs w:val="32"/>
        </w:rPr>
        <w:t>指</w:t>
      </w:r>
      <w:r>
        <w:rPr>
          <w:rFonts w:hint="eastAsia" w:ascii="仿宋" w:hAnsi="仿宋" w:eastAsia="仿宋" w:cs="仿宋"/>
          <w:sz w:val="32"/>
          <w:szCs w:val="32"/>
        </w:rPr>
        <w:t>主要用于单位按照国家政策规定用于基本医疗缴费支出。</w:t>
      </w:r>
    </w:p>
    <w:p>
      <w:pPr>
        <w:adjustRightInd w:val="0"/>
        <w:snapToGrid w:val="0"/>
        <w:spacing w:line="580" w:lineRule="exact"/>
        <w:ind w:firstLine="640" w:firstLineChars="200"/>
        <w:rPr>
          <w:rFonts w:ascii="仿宋" w:hAnsi="仿宋" w:eastAsia="仿宋"/>
          <w:color w:val="000000"/>
          <w:sz w:val="32"/>
          <w:szCs w:val="32"/>
        </w:rPr>
      </w:pPr>
      <w:r>
        <w:rPr>
          <w:rFonts w:ascii="仿宋" w:hAnsi="仿宋" w:eastAsia="仿宋" w:cs="仿宋"/>
          <w:color w:val="000000"/>
          <w:sz w:val="32"/>
          <w:szCs w:val="32"/>
        </w:rPr>
        <w:t>11.</w:t>
      </w:r>
      <w:r>
        <w:rPr>
          <w:rFonts w:hint="eastAsia" w:ascii="仿宋" w:hAnsi="仿宋" w:eastAsia="仿宋" w:cs="仿宋"/>
          <w:color w:val="000000"/>
          <w:sz w:val="32"/>
          <w:szCs w:val="32"/>
        </w:rPr>
        <w:t>住房保障（类）住房改革支出（款）住房公积金（项）</w:t>
      </w:r>
      <w:r>
        <w:rPr>
          <w:rFonts w:ascii="仿宋" w:hAnsi="仿宋" w:eastAsia="仿宋" w:cs="仿宋"/>
          <w:color w:val="000000"/>
          <w:sz w:val="32"/>
          <w:szCs w:val="32"/>
        </w:rPr>
        <w:t>:</w:t>
      </w:r>
      <w:r>
        <w:rPr>
          <w:rFonts w:hint="eastAsia" w:ascii="仿宋" w:hAnsi="仿宋" w:eastAsia="仿宋" w:cs="仿宋"/>
          <w:color w:val="000000"/>
          <w:sz w:val="32"/>
          <w:szCs w:val="32"/>
        </w:rPr>
        <w:t>指行政事业单位按人力资源社会保障部、财政部规定的基本工资和津贴补贴以及规定比例为职工缴纳的住房公积金。</w:t>
      </w:r>
    </w:p>
    <w:p>
      <w:pPr>
        <w:ind w:firstLine="640" w:firstLineChars="200"/>
        <w:rPr>
          <w:rFonts w:ascii="仿宋" w:hAnsi="仿宋" w:eastAsia="仿宋"/>
          <w:color w:val="000000"/>
          <w:sz w:val="32"/>
          <w:szCs w:val="32"/>
        </w:rPr>
      </w:pPr>
      <w:r>
        <w:rPr>
          <w:rFonts w:hint="eastAsia" w:ascii="仿宋" w:hAnsi="仿宋" w:eastAsia="仿宋" w:cs="仿宋"/>
          <w:color w:val="000000"/>
          <w:sz w:val="32"/>
          <w:szCs w:val="32"/>
        </w:rPr>
        <w:t>住房保障（类）住房改革支出（款）购房补贴（项）</w:t>
      </w:r>
      <w:r>
        <w:rPr>
          <w:rFonts w:ascii="仿宋" w:hAnsi="仿宋" w:eastAsia="仿宋" w:cs="仿宋"/>
          <w:color w:val="000000"/>
          <w:sz w:val="32"/>
          <w:szCs w:val="32"/>
        </w:rPr>
        <w:t xml:space="preserve">: </w:t>
      </w:r>
      <w:r>
        <w:rPr>
          <w:rFonts w:hint="eastAsia" w:ascii="仿宋" w:hAnsi="仿宋" w:eastAsia="仿宋" w:cs="仿宋"/>
          <w:color w:val="000000"/>
          <w:sz w:val="32"/>
          <w:szCs w:val="32"/>
        </w:rPr>
        <w:t>指按房改政策规定，行政事业单位向符合条件职工发放的用于购买住房的补贴。</w:t>
      </w:r>
    </w:p>
    <w:p>
      <w:pPr>
        <w:ind w:firstLine="640" w:firstLineChars="200"/>
        <w:rPr>
          <w:rFonts w:ascii="仿宋" w:hAnsi="仿宋" w:eastAsia="仿宋"/>
          <w:color w:val="000000"/>
          <w:sz w:val="32"/>
          <w:szCs w:val="32"/>
        </w:rPr>
      </w:pPr>
      <w:r>
        <w:rPr>
          <w:rFonts w:ascii="仿宋" w:hAnsi="仿宋" w:eastAsia="仿宋" w:cs="仿宋"/>
          <w:color w:val="000000"/>
          <w:sz w:val="32"/>
          <w:szCs w:val="32"/>
        </w:rPr>
        <w:t>12.</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ascii="仿宋" w:hAnsi="仿宋" w:eastAsia="仿宋"/>
          <w:color w:val="000000"/>
          <w:sz w:val="32"/>
          <w:szCs w:val="32"/>
        </w:rPr>
      </w:pPr>
      <w:r>
        <w:rPr>
          <w:rFonts w:ascii="仿宋" w:hAnsi="仿宋" w:eastAsia="仿宋" w:cs="仿宋"/>
          <w:color w:val="000000"/>
          <w:sz w:val="32"/>
          <w:szCs w:val="32"/>
        </w:rPr>
        <w:t>13.</w:t>
      </w:r>
      <w:r>
        <w:rPr>
          <w:rFonts w:hint="eastAsia" w:ascii="仿宋" w:hAnsi="仿宋" w:eastAsia="仿宋" w:cs="仿宋"/>
          <w:color w:val="000000"/>
          <w:sz w:val="32"/>
          <w:szCs w:val="32"/>
        </w:rPr>
        <w:t>项目支出：指在基本支出之外为完成特定行政任务和事业发展目标所发生的支出。</w:t>
      </w:r>
    </w:p>
    <w:p>
      <w:pPr>
        <w:pStyle w:val="27"/>
        <w:spacing w:line="560" w:lineRule="exact"/>
        <w:ind w:firstLine="640" w:firstLineChars="200"/>
        <w:rPr>
          <w:rFonts w:hAnsi="仿宋" w:cs="Times New Roman"/>
          <w:sz w:val="32"/>
          <w:szCs w:val="32"/>
        </w:rPr>
      </w:pPr>
      <w:r>
        <w:rPr>
          <w:rFonts w:hAnsi="仿宋"/>
          <w:sz w:val="32"/>
          <w:szCs w:val="32"/>
        </w:rPr>
        <w:t>14.</w:t>
      </w:r>
      <w:r>
        <w:rPr>
          <w:rFonts w:hint="eastAsia" w:hAnsi="仿宋"/>
          <w:sz w:val="32"/>
          <w:szCs w:val="32"/>
        </w:rPr>
        <w:t>经营支出：指事业单位在专业业务活动及其辅助活动之外开展非独立核算经营活动发生的支出。</w:t>
      </w:r>
    </w:p>
    <w:p>
      <w:pPr>
        <w:pStyle w:val="27"/>
        <w:spacing w:line="560" w:lineRule="exact"/>
        <w:ind w:firstLine="640" w:firstLineChars="200"/>
        <w:rPr>
          <w:rFonts w:hAnsi="仿宋" w:cs="Times New Roman"/>
          <w:sz w:val="32"/>
          <w:szCs w:val="32"/>
        </w:rPr>
      </w:pPr>
      <w:r>
        <w:rPr>
          <w:rFonts w:hAnsi="仿宋"/>
          <w:sz w:val="32"/>
          <w:szCs w:val="32"/>
        </w:rPr>
        <w:t>15.</w:t>
      </w:r>
      <w:r>
        <w:rPr>
          <w:rFonts w:hint="eastAsia" w:hAnsi="仿宋"/>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Ansi="仿宋" w:cs="Times New Roman"/>
          <w:sz w:val="32"/>
          <w:szCs w:val="32"/>
        </w:rPr>
      </w:pPr>
      <w:r>
        <w:rPr>
          <w:rFonts w:hAnsi="仿宋"/>
          <w:sz w:val="32"/>
          <w:szCs w:val="32"/>
        </w:rPr>
        <w:t>16.</w:t>
      </w:r>
      <w:r>
        <w:rPr>
          <w:rFonts w:hint="eastAsia" w:hAnsi="仿宋"/>
          <w:sz w:val="32"/>
          <w:szCs w:val="32"/>
        </w:rPr>
        <w:t>机关运行经费：</w:t>
      </w:r>
      <w:r>
        <w:rPr>
          <w:rFonts w:hint="eastAsia" w:hAnsi="仿宋"/>
          <w:kern w:val="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7"/>
          <w:rFonts w:ascii="黑体" w:hAnsi="黑体" w:eastAsia="黑体"/>
          <w:b w:val="0"/>
          <w:bCs w:val="0"/>
        </w:rPr>
      </w:pPr>
      <w:bookmarkStart w:id="82" w:name="_Toc15377226"/>
      <w:r>
        <w:rPr>
          <w:rFonts w:ascii="宋体"/>
          <w:b/>
          <w:bCs/>
          <w:color w:val="000000"/>
          <w:sz w:val="44"/>
          <w:szCs w:val="44"/>
        </w:rPr>
        <w:br w:type="page"/>
      </w:r>
      <w:bookmarkStart w:id="83" w:name="_Toc81680735"/>
      <w:bookmarkStart w:id="84" w:name="_Toc15396614"/>
      <w:r>
        <w:rPr>
          <w:rFonts w:hint="eastAsia" w:ascii="黑体" w:hAnsi="黑体" w:eastAsia="黑体" w:cs="黑体"/>
          <w:color w:val="000000"/>
          <w:sz w:val="44"/>
          <w:szCs w:val="44"/>
        </w:rPr>
        <w:t>第</w:t>
      </w:r>
      <w:r>
        <w:rPr>
          <w:rStyle w:val="17"/>
          <w:rFonts w:hint="eastAsia" w:ascii="黑体" w:hAnsi="黑体" w:eastAsia="黑体" w:cs="黑体"/>
          <w:b w:val="0"/>
          <w:bCs w:val="0"/>
        </w:rPr>
        <w:t>四部分</w:t>
      </w:r>
      <w:r>
        <w:rPr>
          <w:rStyle w:val="17"/>
          <w:rFonts w:ascii="黑体" w:hAnsi="黑体" w:eastAsia="黑体" w:cs="黑体"/>
          <w:b w:val="0"/>
          <w:bCs w:val="0"/>
        </w:rPr>
        <w:t xml:space="preserve"> </w:t>
      </w:r>
      <w:r>
        <w:rPr>
          <w:rStyle w:val="17"/>
          <w:rFonts w:hint="eastAsia" w:ascii="黑体" w:hAnsi="黑体" w:eastAsia="黑体" w:cs="黑体"/>
          <w:b w:val="0"/>
          <w:bCs w:val="0"/>
        </w:rPr>
        <w:t>附件</w:t>
      </w:r>
      <w:bookmarkEnd w:id="83"/>
      <w:bookmarkEnd w:id="84"/>
    </w:p>
    <w:p>
      <w:pPr>
        <w:pStyle w:val="11"/>
        <w:spacing w:before="93"/>
        <w:ind w:left="950" w:leftChars="300" w:hanging="320" w:hangingChars="100"/>
        <w:rPr>
          <w:rFonts w:ascii="仿宋" w:hAnsi="仿宋" w:eastAsia="仿宋"/>
        </w:rPr>
      </w:pPr>
      <w:r>
        <w:rPr>
          <w:rFonts w:hint="eastAsia" w:ascii="仿宋" w:hAnsi="仿宋" w:eastAsia="仿宋" w:cs="仿宋"/>
        </w:rPr>
        <w:t>本单位未组织开展项目支出绩效评价。</w:t>
      </w:r>
    </w:p>
    <w:p>
      <w:pPr>
        <w:spacing w:line="580" w:lineRule="exact"/>
        <w:rPr>
          <w:rFonts w:ascii="仿宋_GB2312" w:hAnsi="仿宋_GB2312" w:eastAsia="仿宋_GB2312"/>
          <w:sz w:val="32"/>
          <w:szCs w:val="32"/>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pStyle w:val="2"/>
        <w:spacing w:before="93"/>
        <w:rPr>
          <w:rFonts w:cs="Times New Roman"/>
        </w:rPr>
      </w:pPr>
    </w:p>
    <w:p>
      <w:pPr>
        <w:spacing w:line="600" w:lineRule="exact"/>
        <w:jc w:val="center"/>
        <w:outlineLvl w:val="0"/>
        <w:rPr>
          <w:rFonts w:ascii="黑体" w:hAnsi="黑体" w:eastAsia="黑体"/>
          <w:color w:val="000000"/>
          <w:sz w:val="44"/>
          <w:szCs w:val="44"/>
        </w:rPr>
      </w:pPr>
      <w:bookmarkStart w:id="85" w:name="_Toc15396618"/>
    </w:p>
    <w:p>
      <w:pPr>
        <w:spacing w:line="600" w:lineRule="exact"/>
        <w:jc w:val="center"/>
        <w:outlineLvl w:val="0"/>
        <w:rPr>
          <w:rFonts w:ascii="仿宋" w:hAnsi="仿宋" w:eastAsia="仿宋"/>
          <w:color w:val="000000"/>
        </w:rPr>
      </w:pPr>
      <w:bookmarkStart w:id="86" w:name="_Toc81680736"/>
      <w:r>
        <w:rPr>
          <w:rFonts w:hint="eastAsia" w:ascii="黑体" w:hAnsi="黑体" w:eastAsia="黑体" w:cs="黑体"/>
          <w:color w:val="000000"/>
          <w:sz w:val="44"/>
          <w:szCs w:val="44"/>
        </w:rPr>
        <w:t>第</w:t>
      </w:r>
      <w:r>
        <w:rPr>
          <w:rStyle w:val="17"/>
          <w:rFonts w:hint="eastAsia" w:ascii="黑体" w:hAnsi="黑体" w:eastAsia="黑体" w:cs="黑体"/>
          <w:b w:val="0"/>
          <w:bCs w:val="0"/>
        </w:rPr>
        <w:t>五部分</w:t>
      </w:r>
      <w:r>
        <w:rPr>
          <w:rStyle w:val="17"/>
          <w:rFonts w:ascii="黑体" w:hAnsi="黑体" w:eastAsia="黑体" w:cs="黑体"/>
          <w:b w:val="0"/>
          <w:bCs w:val="0"/>
        </w:rPr>
        <w:t xml:space="preserve"> </w:t>
      </w:r>
      <w:r>
        <w:rPr>
          <w:rStyle w:val="17"/>
          <w:rFonts w:hint="eastAsia" w:ascii="黑体" w:hAnsi="黑体" w:eastAsia="黑体" w:cs="黑体"/>
          <w:b w:val="0"/>
          <w:bCs w:val="0"/>
        </w:rPr>
        <w:t>附表</w:t>
      </w:r>
      <w:bookmarkEnd w:id="82"/>
      <w:bookmarkEnd w:id="85"/>
      <w:bookmarkEnd w:id="86"/>
      <w:bookmarkStart w:id="87" w:name="_Toc15396619"/>
    </w:p>
    <w:p>
      <w:pPr>
        <w:pStyle w:val="4"/>
        <w:rPr>
          <w:rFonts w:ascii="仿宋" w:hAnsi="仿宋" w:eastAsia="仿宋" w:cs="Times New Roman"/>
          <w:color w:val="000000"/>
        </w:rPr>
      </w:pPr>
      <w:bookmarkStart w:id="88" w:name="_Toc81680737"/>
      <w:r>
        <w:rPr>
          <w:rFonts w:hint="eastAsia" w:ascii="仿宋" w:hAnsi="仿宋" w:eastAsia="仿宋" w:cs="仿宋"/>
          <w:b w:val="0"/>
          <w:bCs w:val="0"/>
          <w:color w:val="000000"/>
        </w:rPr>
        <w:t>一、收</w:t>
      </w:r>
      <w:r>
        <w:rPr>
          <w:rStyle w:val="18"/>
          <w:rFonts w:hint="eastAsia" w:ascii="仿宋" w:hAnsi="仿宋" w:eastAsia="仿宋" w:cs="仿宋"/>
          <w:b w:val="0"/>
          <w:bCs w:val="0"/>
        </w:rPr>
        <w:t>入支出决算总表</w:t>
      </w:r>
      <w:bookmarkEnd w:id="87"/>
      <w:bookmarkEnd w:id="88"/>
    </w:p>
    <w:p>
      <w:pPr>
        <w:pStyle w:val="4"/>
        <w:rPr>
          <w:rFonts w:ascii="仿宋" w:hAnsi="仿宋" w:eastAsia="仿宋" w:cs="Times New Roman"/>
          <w:color w:val="000000"/>
        </w:rPr>
      </w:pPr>
      <w:bookmarkStart w:id="89" w:name="_Toc15396620"/>
      <w:bookmarkStart w:id="90" w:name="_Toc81680738"/>
      <w:r>
        <w:rPr>
          <w:rFonts w:hint="eastAsia" w:ascii="仿宋" w:hAnsi="仿宋" w:eastAsia="仿宋" w:cs="仿宋"/>
          <w:b w:val="0"/>
          <w:bCs w:val="0"/>
          <w:color w:val="000000"/>
        </w:rPr>
        <w:t>二、收</w:t>
      </w:r>
      <w:r>
        <w:rPr>
          <w:rStyle w:val="18"/>
          <w:rFonts w:hint="eastAsia" w:ascii="仿宋" w:hAnsi="仿宋" w:eastAsia="仿宋" w:cs="仿宋"/>
          <w:b w:val="0"/>
          <w:bCs w:val="0"/>
        </w:rPr>
        <w:t>入决算表</w:t>
      </w:r>
      <w:bookmarkEnd w:id="89"/>
      <w:bookmarkEnd w:id="90"/>
    </w:p>
    <w:p>
      <w:pPr>
        <w:pStyle w:val="4"/>
        <w:rPr>
          <w:rFonts w:ascii="仿宋" w:hAnsi="仿宋" w:eastAsia="仿宋" w:cs="Times New Roman"/>
          <w:color w:val="000000"/>
        </w:rPr>
      </w:pPr>
      <w:bookmarkStart w:id="91" w:name="_Toc15396621"/>
      <w:bookmarkStart w:id="92" w:name="_Toc81680739"/>
      <w:r>
        <w:rPr>
          <w:rStyle w:val="18"/>
          <w:rFonts w:hint="eastAsia" w:ascii="仿宋" w:hAnsi="仿宋" w:eastAsia="仿宋" w:cs="仿宋"/>
          <w:b w:val="0"/>
          <w:bCs w:val="0"/>
        </w:rPr>
        <w:t>三、</w:t>
      </w:r>
      <w:r>
        <w:rPr>
          <w:rFonts w:hint="eastAsia" w:ascii="仿宋" w:hAnsi="仿宋" w:eastAsia="仿宋" w:cs="仿宋"/>
          <w:b w:val="0"/>
          <w:bCs w:val="0"/>
          <w:color w:val="000000"/>
        </w:rPr>
        <w:t>支</w:t>
      </w:r>
      <w:r>
        <w:rPr>
          <w:rStyle w:val="18"/>
          <w:rFonts w:hint="eastAsia" w:ascii="仿宋" w:hAnsi="仿宋" w:eastAsia="仿宋" w:cs="仿宋"/>
          <w:b w:val="0"/>
          <w:bCs w:val="0"/>
        </w:rPr>
        <w:t>出决算表</w:t>
      </w:r>
      <w:bookmarkEnd w:id="91"/>
      <w:bookmarkEnd w:id="92"/>
    </w:p>
    <w:p>
      <w:pPr>
        <w:pStyle w:val="4"/>
        <w:rPr>
          <w:rFonts w:ascii="仿宋" w:hAnsi="仿宋" w:eastAsia="仿宋" w:cs="Times New Roman"/>
          <w:b w:val="0"/>
          <w:bCs w:val="0"/>
          <w:color w:val="000000"/>
        </w:rPr>
      </w:pPr>
      <w:bookmarkStart w:id="93" w:name="_Toc81680740"/>
      <w:bookmarkStart w:id="94" w:name="_Toc15396622"/>
      <w:r>
        <w:rPr>
          <w:rStyle w:val="18"/>
          <w:rFonts w:hint="eastAsia" w:ascii="仿宋" w:hAnsi="仿宋" w:eastAsia="仿宋" w:cs="仿宋"/>
          <w:b w:val="0"/>
          <w:bCs w:val="0"/>
        </w:rPr>
        <w:t>四、</w:t>
      </w:r>
      <w:r>
        <w:rPr>
          <w:rFonts w:hint="eastAsia" w:ascii="仿宋" w:hAnsi="仿宋" w:eastAsia="仿宋" w:cs="仿宋"/>
          <w:b w:val="0"/>
          <w:bCs w:val="0"/>
          <w:color w:val="000000"/>
        </w:rPr>
        <w:t>财</w:t>
      </w:r>
      <w:r>
        <w:rPr>
          <w:rStyle w:val="18"/>
          <w:rFonts w:hint="eastAsia" w:ascii="仿宋" w:hAnsi="仿宋" w:eastAsia="仿宋" w:cs="仿宋"/>
          <w:b w:val="0"/>
          <w:bCs w:val="0"/>
        </w:rPr>
        <w:t>政拨款收入支出决算总表</w:t>
      </w:r>
      <w:bookmarkEnd w:id="93"/>
      <w:bookmarkEnd w:id="94"/>
    </w:p>
    <w:p>
      <w:pPr>
        <w:pStyle w:val="4"/>
        <w:rPr>
          <w:rStyle w:val="18"/>
          <w:rFonts w:ascii="仿宋" w:hAnsi="仿宋" w:eastAsia="仿宋" w:cs="Times New Roman"/>
          <w:b w:val="0"/>
          <w:bCs w:val="0"/>
        </w:rPr>
      </w:pPr>
      <w:bookmarkStart w:id="95" w:name="_Toc81680741"/>
      <w:bookmarkStart w:id="96" w:name="_Toc15396623"/>
      <w:r>
        <w:rPr>
          <w:rStyle w:val="18"/>
          <w:rFonts w:hint="eastAsia" w:ascii="仿宋" w:hAnsi="仿宋" w:eastAsia="仿宋" w:cs="仿宋"/>
          <w:b w:val="0"/>
          <w:bCs w:val="0"/>
        </w:rPr>
        <w:t>五、</w:t>
      </w:r>
      <w:r>
        <w:rPr>
          <w:rFonts w:hint="eastAsia" w:ascii="仿宋" w:hAnsi="仿宋" w:eastAsia="仿宋" w:cs="仿宋"/>
          <w:b w:val="0"/>
          <w:bCs w:val="0"/>
          <w:color w:val="000000"/>
        </w:rPr>
        <w:t>财</w:t>
      </w:r>
      <w:r>
        <w:rPr>
          <w:rStyle w:val="18"/>
          <w:rFonts w:hint="eastAsia" w:ascii="仿宋" w:hAnsi="仿宋" w:eastAsia="仿宋" w:cs="仿宋"/>
          <w:b w:val="0"/>
          <w:bCs w:val="0"/>
        </w:rPr>
        <w:t>政拨款支出决算明细表</w:t>
      </w:r>
      <w:bookmarkEnd w:id="95"/>
      <w:bookmarkEnd w:id="96"/>
      <w:bookmarkStart w:id="97" w:name="_Toc15396624"/>
    </w:p>
    <w:p>
      <w:pPr>
        <w:pStyle w:val="4"/>
        <w:rPr>
          <w:rFonts w:ascii="仿宋" w:hAnsi="仿宋" w:eastAsia="仿宋" w:cs="Times New Roman"/>
          <w:color w:val="000000"/>
        </w:rPr>
      </w:pPr>
      <w:bookmarkStart w:id="98" w:name="_Toc81680742"/>
      <w:r>
        <w:rPr>
          <w:rStyle w:val="18"/>
          <w:rFonts w:hint="eastAsia" w:ascii="仿宋" w:hAnsi="仿宋" w:eastAsia="仿宋" w:cs="仿宋"/>
          <w:b w:val="0"/>
          <w:bCs w:val="0"/>
        </w:rPr>
        <w:t>六、</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般公共预算财政拨款支出决算表</w:t>
      </w:r>
      <w:bookmarkEnd w:id="97"/>
      <w:bookmarkEnd w:id="98"/>
    </w:p>
    <w:p>
      <w:pPr>
        <w:pStyle w:val="4"/>
        <w:rPr>
          <w:rFonts w:ascii="仿宋" w:hAnsi="仿宋" w:eastAsia="仿宋" w:cs="Times New Roman"/>
          <w:color w:val="000000"/>
        </w:rPr>
      </w:pPr>
      <w:bookmarkStart w:id="99" w:name="_Toc15396625"/>
      <w:bookmarkStart w:id="100" w:name="_Toc81680743"/>
      <w:r>
        <w:rPr>
          <w:rStyle w:val="18"/>
          <w:rFonts w:hint="eastAsia" w:ascii="仿宋" w:hAnsi="仿宋" w:eastAsia="仿宋" w:cs="仿宋"/>
          <w:b w:val="0"/>
          <w:bCs w:val="0"/>
        </w:rPr>
        <w:t>七、</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般公共预算财政拨款支出决算明细表</w:t>
      </w:r>
      <w:bookmarkEnd w:id="99"/>
      <w:bookmarkEnd w:id="100"/>
    </w:p>
    <w:p>
      <w:pPr>
        <w:pStyle w:val="4"/>
        <w:rPr>
          <w:rFonts w:ascii="仿宋" w:hAnsi="仿宋" w:eastAsia="仿宋" w:cs="Times New Roman"/>
          <w:color w:val="000000"/>
        </w:rPr>
      </w:pPr>
      <w:bookmarkStart w:id="101" w:name="_Toc15396626"/>
      <w:bookmarkStart w:id="102" w:name="_Toc81680744"/>
      <w:r>
        <w:rPr>
          <w:rStyle w:val="18"/>
          <w:rFonts w:hint="eastAsia" w:ascii="仿宋" w:hAnsi="仿宋" w:eastAsia="仿宋" w:cs="仿宋"/>
          <w:b w:val="0"/>
          <w:bCs w:val="0"/>
        </w:rPr>
        <w:t>八、</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般公共预算财政拨款基本支出决算表</w:t>
      </w:r>
      <w:bookmarkEnd w:id="101"/>
      <w:bookmarkEnd w:id="102"/>
    </w:p>
    <w:p>
      <w:pPr>
        <w:pStyle w:val="4"/>
        <w:rPr>
          <w:rFonts w:ascii="仿宋" w:hAnsi="仿宋" w:eastAsia="仿宋" w:cs="Times New Roman"/>
          <w:color w:val="000000"/>
        </w:rPr>
      </w:pPr>
      <w:bookmarkStart w:id="103" w:name="_Toc15396627"/>
      <w:bookmarkStart w:id="104" w:name="_Toc81680745"/>
      <w:r>
        <w:rPr>
          <w:rStyle w:val="18"/>
          <w:rFonts w:hint="eastAsia" w:ascii="仿宋" w:hAnsi="仿宋" w:eastAsia="仿宋" w:cs="仿宋"/>
          <w:b w:val="0"/>
          <w:bCs w:val="0"/>
        </w:rPr>
        <w:t>九、</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般公共预算财政拨款项目支出决算表</w:t>
      </w:r>
      <w:bookmarkEnd w:id="103"/>
      <w:bookmarkEnd w:id="104"/>
    </w:p>
    <w:p>
      <w:pPr>
        <w:pStyle w:val="4"/>
        <w:rPr>
          <w:rFonts w:ascii="仿宋" w:hAnsi="仿宋" w:eastAsia="仿宋" w:cs="Times New Roman"/>
          <w:color w:val="000000"/>
        </w:rPr>
      </w:pPr>
      <w:bookmarkStart w:id="105" w:name="_Toc15396628"/>
      <w:bookmarkStart w:id="106" w:name="_Toc81680746"/>
      <w:r>
        <w:rPr>
          <w:rStyle w:val="18"/>
          <w:rFonts w:hint="eastAsia" w:ascii="仿宋" w:hAnsi="仿宋" w:eastAsia="仿宋" w:cs="仿宋"/>
          <w:b w:val="0"/>
          <w:bCs w:val="0"/>
        </w:rPr>
        <w:t>十、</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般公共预算财政拨款“三公”经费支出决算表</w:t>
      </w:r>
      <w:bookmarkEnd w:id="105"/>
      <w:bookmarkEnd w:id="106"/>
    </w:p>
    <w:p>
      <w:pPr>
        <w:pStyle w:val="4"/>
        <w:rPr>
          <w:rFonts w:ascii="仿宋" w:hAnsi="仿宋" w:eastAsia="仿宋" w:cs="Times New Roman"/>
          <w:color w:val="000000"/>
        </w:rPr>
      </w:pPr>
      <w:bookmarkStart w:id="107" w:name="_Toc15396629"/>
      <w:bookmarkStart w:id="108" w:name="_Toc81680747"/>
      <w:r>
        <w:rPr>
          <w:rStyle w:val="18"/>
          <w:rFonts w:hint="eastAsia" w:ascii="仿宋" w:hAnsi="仿宋" w:eastAsia="仿宋" w:cs="仿宋"/>
          <w:b w:val="0"/>
          <w:bCs w:val="0"/>
        </w:rPr>
        <w:t>十一、</w:t>
      </w:r>
      <w:r>
        <w:rPr>
          <w:rFonts w:hint="eastAsia" w:ascii="仿宋" w:hAnsi="仿宋" w:eastAsia="仿宋" w:cs="仿宋"/>
          <w:b w:val="0"/>
          <w:bCs w:val="0"/>
          <w:color w:val="000000"/>
        </w:rPr>
        <w:t>政</w:t>
      </w:r>
      <w:r>
        <w:rPr>
          <w:rStyle w:val="18"/>
          <w:rFonts w:hint="eastAsia" w:ascii="仿宋" w:hAnsi="仿宋" w:eastAsia="仿宋" w:cs="仿宋"/>
          <w:b w:val="0"/>
          <w:bCs w:val="0"/>
        </w:rPr>
        <w:t>府性基金预算财政拨款收入支出决算表</w:t>
      </w:r>
      <w:bookmarkEnd w:id="107"/>
      <w:bookmarkEnd w:id="108"/>
    </w:p>
    <w:p>
      <w:pPr>
        <w:pStyle w:val="4"/>
        <w:rPr>
          <w:rFonts w:ascii="仿宋" w:hAnsi="仿宋" w:eastAsia="仿宋" w:cs="Times New Roman"/>
          <w:color w:val="000000"/>
        </w:rPr>
      </w:pPr>
      <w:bookmarkStart w:id="109" w:name="_Toc15396630"/>
      <w:bookmarkStart w:id="110" w:name="_Toc81680748"/>
      <w:r>
        <w:rPr>
          <w:rStyle w:val="18"/>
          <w:rFonts w:hint="eastAsia" w:ascii="仿宋" w:hAnsi="仿宋" w:eastAsia="仿宋" w:cs="仿宋"/>
          <w:b w:val="0"/>
          <w:bCs w:val="0"/>
        </w:rPr>
        <w:t>十二、</w:t>
      </w:r>
      <w:r>
        <w:rPr>
          <w:rFonts w:hint="eastAsia" w:ascii="仿宋" w:hAnsi="仿宋" w:eastAsia="仿宋" w:cs="仿宋"/>
          <w:b w:val="0"/>
          <w:bCs w:val="0"/>
          <w:color w:val="000000"/>
        </w:rPr>
        <w:t>政</w:t>
      </w:r>
      <w:r>
        <w:rPr>
          <w:rStyle w:val="18"/>
          <w:rFonts w:hint="eastAsia" w:ascii="仿宋" w:hAnsi="仿宋" w:eastAsia="仿宋" w:cs="仿宋"/>
          <w:b w:val="0"/>
          <w:bCs w:val="0"/>
        </w:rPr>
        <w:t>府性基金预算财政拨款“三公”经费支出决算表</w:t>
      </w:r>
      <w:bookmarkEnd w:id="109"/>
      <w:bookmarkEnd w:id="110"/>
    </w:p>
    <w:p>
      <w:pPr>
        <w:pStyle w:val="4"/>
        <w:rPr>
          <w:rStyle w:val="18"/>
          <w:rFonts w:ascii="仿宋" w:hAnsi="仿宋" w:eastAsia="仿宋" w:cs="Times New Roman"/>
          <w:b w:val="0"/>
          <w:bCs w:val="0"/>
        </w:rPr>
      </w:pPr>
      <w:bookmarkStart w:id="111" w:name="_Toc15396631"/>
      <w:bookmarkStart w:id="112" w:name="_Toc81680749"/>
      <w:r>
        <w:rPr>
          <w:rStyle w:val="18"/>
          <w:rFonts w:hint="eastAsia" w:ascii="仿宋" w:hAnsi="仿宋" w:eastAsia="仿宋" w:cs="仿宋"/>
          <w:b w:val="0"/>
          <w:bCs w:val="0"/>
        </w:rPr>
        <w:t>十三、</w:t>
      </w:r>
      <w:r>
        <w:rPr>
          <w:rFonts w:hint="eastAsia" w:ascii="仿宋" w:hAnsi="仿宋" w:eastAsia="仿宋" w:cs="仿宋"/>
          <w:b w:val="0"/>
          <w:bCs w:val="0"/>
          <w:color w:val="000000"/>
        </w:rPr>
        <w:t>国</w:t>
      </w:r>
      <w:r>
        <w:rPr>
          <w:rStyle w:val="18"/>
          <w:rFonts w:hint="eastAsia" w:ascii="仿宋" w:hAnsi="仿宋" w:eastAsia="仿宋" w:cs="仿宋"/>
          <w:b w:val="0"/>
          <w:bCs w:val="0"/>
        </w:rPr>
        <w:t>有资本经营预算财政拨款收入支出决算表</w:t>
      </w:r>
      <w:bookmarkEnd w:id="111"/>
      <w:bookmarkEnd w:id="112"/>
    </w:p>
    <w:p>
      <w:pPr>
        <w:rPr>
          <w:rFonts w:eastAsia="仿宋"/>
        </w:rPr>
      </w:pPr>
      <w:bookmarkStart w:id="113" w:name="_Toc81680750"/>
      <w:r>
        <w:rPr>
          <w:rStyle w:val="18"/>
          <w:rFonts w:hint="eastAsia" w:ascii="仿宋" w:hAnsi="仿宋" w:eastAsia="仿宋" w:cs="仿宋"/>
          <w:b w:val="0"/>
          <w:bCs w:val="0"/>
        </w:rPr>
        <w:t>十四、国有资本经营预算财政拨款支出决算表</w:t>
      </w:r>
      <w:bookmarkEnd w:id="113"/>
    </w:p>
    <w:sectPr>
      <w:footerReference r:id="rId4" w:type="default"/>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等线 Light">
    <w:altName w:val="仿宋"/>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cs="Times New Roman"/>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5</w:t>
    </w:r>
    <w:r>
      <w:rPr>
        <w:rFonts w:ascii="宋体" w:hAnsi="宋体" w:cs="宋体"/>
        <w:sz w:val="28"/>
        <w:szCs w:val="28"/>
      </w:rPr>
      <w:fldChar w:fldCharType="end"/>
    </w:r>
    <w:r>
      <w:rPr>
        <w:rFonts w:ascii="宋体" w:hAnsi="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cs="Times New Roman"/>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4</w:t>
    </w:r>
    <w:r>
      <w:rPr>
        <w:rFonts w:ascii="宋体" w:hAnsi="宋体" w:cs="宋体"/>
        <w:sz w:val="28"/>
        <w:szCs w:val="28"/>
      </w:rPr>
      <w:fldChar w:fldCharType="end"/>
    </w:r>
    <w:r>
      <w:rPr>
        <w:rFonts w:ascii="宋体" w:hAnsi="宋体" w:cs="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D797F"/>
    <w:multiLevelType w:val="singleLevel"/>
    <w:tmpl w:val="C64D797F"/>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evenAndOddHeaders w:val="true"/>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550E"/>
    <w:rsid w:val="00013573"/>
    <w:rsid w:val="00014226"/>
    <w:rsid w:val="000222C6"/>
    <w:rsid w:val="0002549F"/>
    <w:rsid w:val="00030BBA"/>
    <w:rsid w:val="000468DB"/>
    <w:rsid w:val="00054901"/>
    <w:rsid w:val="00062B2D"/>
    <w:rsid w:val="0006487A"/>
    <w:rsid w:val="00065F8F"/>
    <w:rsid w:val="00070242"/>
    <w:rsid w:val="00070A43"/>
    <w:rsid w:val="000768F2"/>
    <w:rsid w:val="0009184B"/>
    <w:rsid w:val="00094236"/>
    <w:rsid w:val="0009593C"/>
    <w:rsid w:val="00097322"/>
    <w:rsid w:val="000A6A92"/>
    <w:rsid w:val="000B047F"/>
    <w:rsid w:val="000B5923"/>
    <w:rsid w:val="000B5A48"/>
    <w:rsid w:val="000B6FF3"/>
    <w:rsid w:val="000C3467"/>
    <w:rsid w:val="000C3CA6"/>
    <w:rsid w:val="000D02F6"/>
    <w:rsid w:val="000D1267"/>
    <w:rsid w:val="000D1D50"/>
    <w:rsid w:val="000D5782"/>
    <w:rsid w:val="000D5DCD"/>
    <w:rsid w:val="000E6613"/>
    <w:rsid w:val="000E7119"/>
    <w:rsid w:val="00114E9B"/>
    <w:rsid w:val="00121DC4"/>
    <w:rsid w:val="00123B70"/>
    <w:rsid w:val="00142216"/>
    <w:rsid w:val="00144D6A"/>
    <w:rsid w:val="0014598B"/>
    <w:rsid w:val="0014703A"/>
    <w:rsid w:val="0014729F"/>
    <w:rsid w:val="00157BAB"/>
    <w:rsid w:val="001654D1"/>
    <w:rsid w:val="00174518"/>
    <w:rsid w:val="0018106D"/>
    <w:rsid w:val="001877A7"/>
    <w:rsid w:val="00191536"/>
    <w:rsid w:val="00196687"/>
    <w:rsid w:val="001A4CAF"/>
    <w:rsid w:val="001C0962"/>
    <w:rsid w:val="001D7531"/>
    <w:rsid w:val="001E6C89"/>
    <w:rsid w:val="001E737D"/>
    <w:rsid w:val="001F0592"/>
    <w:rsid w:val="001F7506"/>
    <w:rsid w:val="002006CD"/>
    <w:rsid w:val="00202B36"/>
    <w:rsid w:val="00204B7A"/>
    <w:rsid w:val="00204CDE"/>
    <w:rsid w:val="0021101A"/>
    <w:rsid w:val="00220536"/>
    <w:rsid w:val="00227887"/>
    <w:rsid w:val="002340CD"/>
    <w:rsid w:val="00235629"/>
    <w:rsid w:val="00243A09"/>
    <w:rsid w:val="00253A2E"/>
    <w:rsid w:val="00260C38"/>
    <w:rsid w:val="002616C0"/>
    <w:rsid w:val="00265372"/>
    <w:rsid w:val="002662AA"/>
    <w:rsid w:val="00272141"/>
    <w:rsid w:val="00277CE7"/>
    <w:rsid w:val="00280496"/>
    <w:rsid w:val="00291A1F"/>
    <w:rsid w:val="00294DC9"/>
    <w:rsid w:val="00295495"/>
    <w:rsid w:val="002A31DE"/>
    <w:rsid w:val="002B2613"/>
    <w:rsid w:val="002C695E"/>
    <w:rsid w:val="002D6D05"/>
    <w:rsid w:val="002E0683"/>
    <w:rsid w:val="002F1818"/>
    <w:rsid w:val="002F567B"/>
    <w:rsid w:val="00314C41"/>
    <w:rsid w:val="003216A9"/>
    <w:rsid w:val="00324D1B"/>
    <w:rsid w:val="00335A74"/>
    <w:rsid w:val="0036561B"/>
    <w:rsid w:val="0037013F"/>
    <w:rsid w:val="00370CA5"/>
    <w:rsid w:val="0037436F"/>
    <w:rsid w:val="003776F8"/>
    <w:rsid w:val="00380C92"/>
    <w:rsid w:val="003A484F"/>
    <w:rsid w:val="003A4883"/>
    <w:rsid w:val="003B0BE0"/>
    <w:rsid w:val="003B0C1B"/>
    <w:rsid w:val="003B688C"/>
    <w:rsid w:val="003C0291"/>
    <w:rsid w:val="003C39AE"/>
    <w:rsid w:val="003C7B60"/>
    <w:rsid w:val="003D0C0F"/>
    <w:rsid w:val="003D1FB2"/>
    <w:rsid w:val="003D5948"/>
    <w:rsid w:val="003D66DA"/>
    <w:rsid w:val="003E1310"/>
    <w:rsid w:val="003E6F55"/>
    <w:rsid w:val="003F0F03"/>
    <w:rsid w:val="003F393A"/>
    <w:rsid w:val="00406254"/>
    <w:rsid w:val="00413431"/>
    <w:rsid w:val="00420D0D"/>
    <w:rsid w:val="004223DE"/>
    <w:rsid w:val="00434489"/>
    <w:rsid w:val="00437085"/>
    <w:rsid w:val="00443880"/>
    <w:rsid w:val="004464F4"/>
    <w:rsid w:val="00471401"/>
    <w:rsid w:val="00473F31"/>
    <w:rsid w:val="0048263A"/>
    <w:rsid w:val="00487E5D"/>
    <w:rsid w:val="004A711F"/>
    <w:rsid w:val="004B199D"/>
    <w:rsid w:val="004B4690"/>
    <w:rsid w:val="004D0BF0"/>
    <w:rsid w:val="004D1760"/>
    <w:rsid w:val="004E0A2D"/>
    <w:rsid w:val="004E206B"/>
    <w:rsid w:val="004E6DF7"/>
    <w:rsid w:val="004F0FBD"/>
    <w:rsid w:val="00505A47"/>
    <w:rsid w:val="00512FDA"/>
    <w:rsid w:val="00520DA0"/>
    <w:rsid w:val="00535894"/>
    <w:rsid w:val="00552BFA"/>
    <w:rsid w:val="005664BB"/>
    <w:rsid w:val="00566FFA"/>
    <w:rsid w:val="00570623"/>
    <w:rsid w:val="0057481D"/>
    <w:rsid w:val="0058472A"/>
    <w:rsid w:val="0058486E"/>
    <w:rsid w:val="00585B33"/>
    <w:rsid w:val="0059014D"/>
    <w:rsid w:val="00590283"/>
    <w:rsid w:val="005B5C64"/>
    <w:rsid w:val="005C5337"/>
    <w:rsid w:val="005C6BD0"/>
    <w:rsid w:val="005D1C8B"/>
    <w:rsid w:val="005D2ECE"/>
    <w:rsid w:val="005D468D"/>
    <w:rsid w:val="005D5CED"/>
    <w:rsid w:val="005E5A1F"/>
    <w:rsid w:val="005F1A4C"/>
    <w:rsid w:val="005F3E0F"/>
    <w:rsid w:val="005F436F"/>
    <w:rsid w:val="00605688"/>
    <w:rsid w:val="006056D2"/>
    <w:rsid w:val="006070AF"/>
    <w:rsid w:val="00607E6C"/>
    <w:rsid w:val="006101B1"/>
    <w:rsid w:val="00614E44"/>
    <w:rsid w:val="0062270A"/>
    <w:rsid w:val="00622830"/>
    <w:rsid w:val="00623DA0"/>
    <w:rsid w:val="00630AEF"/>
    <w:rsid w:val="006325F8"/>
    <w:rsid w:val="00633463"/>
    <w:rsid w:val="00634C9A"/>
    <w:rsid w:val="00635A62"/>
    <w:rsid w:val="006440E4"/>
    <w:rsid w:val="0066343B"/>
    <w:rsid w:val="00664777"/>
    <w:rsid w:val="006748A4"/>
    <w:rsid w:val="00681A31"/>
    <w:rsid w:val="00683E73"/>
    <w:rsid w:val="00690406"/>
    <w:rsid w:val="00693D94"/>
    <w:rsid w:val="006A3141"/>
    <w:rsid w:val="006A5E34"/>
    <w:rsid w:val="006B2422"/>
    <w:rsid w:val="006B2B9A"/>
    <w:rsid w:val="006C1937"/>
    <w:rsid w:val="006D1EB2"/>
    <w:rsid w:val="006F020C"/>
    <w:rsid w:val="00702CA0"/>
    <w:rsid w:val="007127B7"/>
    <w:rsid w:val="0071798E"/>
    <w:rsid w:val="00725697"/>
    <w:rsid w:val="007416B6"/>
    <w:rsid w:val="00746F48"/>
    <w:rsid w:val="0075404D"/>
    <w:rsid w:val="0076182A"/>
    <w:rsid w:val="00767B7E"/>
    <w:rsid w:val="007770C3"/>
    <w:rsid w:val="00784D24"/>
    <w:rsid w:val="00785FBA"/>
    <w:rsid w:val="00786E4A"/>
    <w:rsid w:val="007875EB"/>
    <w:rsid w:val="0079426B"/>
    <w:rsid w:val="00797568"/>
    <w:rsid w:val="007A4D72"/>
    <w:rsid w:val="007A50F7"/>
    <w:rsid w:val="007B336B"/>
    <w:rsid w:val="007C6CDA"/>
    <w:rsid w:val="007D1682"/>
    <w:rsid w:val="007D1FE4"/>
    <w:rsid w:val="007D312A"/>
    <w:rsid w:val="007D3F19"/>
    <w:rsid w:val="007E23B0"/>
    <w:rsid w:val="007E23E5"/>
    <w:rsid w:val="007E3548"/>
    <w:rsid w:val="007E4563"/>
    <w:rsid w:val="007F1991"/>
    <w:rsid w:val="007F2C2F"/>
    <w:rsid w:val="007F55FC"/>
    <w:rsid w:val="007F5665"/>
    <w:rsid w:val="00800112"/>
    <w:rsid w:val="00801C29"/>
    <w:rsid w:val="00813348"/>
    <w:rsid w:val="008253BB"/>
    <w:rsid w:val="008339CE"/>
    <w:rsid w:val="00833B3E"/>
    <w:rsid w:val="00836988"/>
    <w:rsid w:val="0083706E"/>
    <w:rsid w:val="008408F6"/>
    <w:rsid w:val="008423A5"/>
    <w:rsid w:val="00850625"/>
    <w:rsid w:val="00852B0C"/>
    <w:rsid w:val="00853718"/>
    <w:rsid w:val="00855221"/>
    <w:rsid w:val="00860645"/>
    <w:rsid w:val="00871F71"/>
    <w:rsid w:val="00872FD8"/>
    <w:rsid w:val="00885AF4"/>
    <w:rsid w:val="008926B1"/>
    <w:rsid w:val="008939CD"/>
    <w:rsid w:val="008B768C"/>
    <w:rsid w:val="008C4DB1"/>
    <w:rsid w:val="008C4EAF"/>
    <w:rsid w:val="008C5176"/>
    <w:rsid w:val="008C70F5"/>
    <w:rsid w:val="008C7FD0"/>
    <w:rsid w:val="008D2385"/>
    <w:rsid w:val="008D500C"/>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718"/>
    <w:rsid w:val="0098660A"/>
    <w:rsid w:val="009931C3"/>
    <w:rsid w:val="009B2C43"/>
    <w:rsid w:val="009B4EAE"/>
    <w:rsid w:val="009B7573"/>
    <w:rsid w:val="009C22F4"/>
    <w:rsid w:val="009C2A4B"/>
    <w:rsid w:val="009C2E98"/>
    <w:rsid w:val="009C5909"/>
    <w:rsid w:val="009D3447"/>
    <w:rsid w:val="009D4711"/>
    <w:rsid w:val="009F1185"/>
    <w:rsid w:val="009F18CD"/>
    <w:rsid w:val="009F2A13"/>
    <w:rsid w:val="009F7527"/>
    <w:rsid w:val="00A04EB0"/>
    <w:rsid w:val="00A13CC1"/>
    <w:rsid w:val="00A16847"/>
    <w:rsid w:val="00A231A2"/>
    <w:rsid w:val="00A237D8"/>
    <w:rsid w:val="00A268C4"/>
    <w:rsid w:val="00A307CD"/>
    <w:rsid w:val="00A331C8"/>
    <w:rsid w:val="00A40A00"/>
    <w:rsid w:val="00A4142F"/>
    <w:rsid w:val="00A422EB"/>
    <w:rsid w:val="00A45BB7"/>
    <w:rsid w:val="00A56DF2"/>
    <w:rsid w:val="00A56E6E"/>
    <w:rsid w:val="00A67AB5"/>
    <w:rsid w:val="00A7217A"/>
    <w:rsid w:val="00A726FB"/>
    <w:rsid w:val="00A733B2"/>
    <w:rsid w:val="00A741C2"/>
    <w:rsid w:val="00A91760"/>
    <w:rsid w:val="00A91BE6"/>
    <w:rsid w:val="00A93B00"/>
    <w:rsid w:val="00A93C21"/>
    <w:rsid w:val="00AB64C9"/>
    <w:rsid w:val="00AC3C6A"/>
    <w:rsid w:val="00AD5620"/>
    <w:rsid w:val="00AD656B"/>
    <w:rsid w:val="00AD7C1B"/>
    <w:rsid w:val="00AE16BA"/>
    <w:rsid w:val="00AE1EBE"/>
    <w:rsid w:val="00AF0C90"/>
    <w:rsid w:val="00B03C9D"/>
    <w:rsid w:val="00B060AE"/>
    <w:rsid w:val="00B10517"/>
    <w:rsid w:val="00B14E76"/>
    <w:rsid w:val="00B161B8"/>
    <w:rsid w:val="00B2048C"/>
    <w:rsid w:val="00B3028D"/>
    <w:rsid w:val="00B310B9"/>
    <w:rsid w:val="00B35F3F"/>
    <w:rsid w:val="00B36CBB"/>
    <w:rsid w:val="00B425E0"/>
    <w:rsid w:val="00B440AA"/>
    <w:rsid w:val="00B44B70"/>
    <w:rsid w:val="00B53C56"/>
    <w:rsid w:val="00B57DAF"/>
    <w:rsid w:val="00B77EA6"/>
    <w:rsid w:val="00B81598"/>
    <w:rsid w:val="00B841F1"/>
    <w:rsid w:val="00B944D6"/>
    <w:rsid w:val="00B953A6"/>
    <w:rsid w:val="00BB4DF0"/>
    <w:rsid w:val="00BC289F"/>
    <w:rsid w:val="00BC2D50"/>
    <w:rsid w:val="00BC5361"/>
    <w:rsid w:val="00BC5460"/>
    <w:rsid w:val="00BC6B50"/>
    <w:rsid w:val="00BD0E25"/>
    <w:rsid w:val="00BF5BD6"/>
    <w:rsid w:val="00C03E31"/>
    <w:rsid w:val="00C05E61"/>
    <w:rsid w:val="00C306AF"/>
    <w:rsid w:val="00C33E72"/>
    <w:rsid w:val="00C354B2"/>
    <w:rsid w:val="00C35554"/>
    <w:rsid w:val="00C42709"/>
    <w:rsid w:val="00C469EE"/>
    <w:rsid w:val="00C476B3"/>
    <w:rsid w:val="00C533CC"/>
    <w:rsid w:val="00C5751C"/>
    <w:rsid w:val="00C61BFC"/>
    <w:rsid w:val="00C62B85"/>
    <w:rsid w:val="00C65438"/>
    <w:rsid w:val="00C87FD8"/>
    <w:rsid w:val="00C91381"/>
    <w:rsid w:val="00C91CBB"/>
    <w:rsid w:val="00C95514"/>
    <w:rsid w:val="00CB4E70"/>
    <w:rsid w:val="00CC09B6"/>
    <w:rsid w:val="00CC666F"/>
    <w:rsid w:val="00CD1E3F"/>
    <w:rsid w:val="00CD2BD4"/>
    <w:rsid w:val="00CE44F6"/>
    <w:rsid w:val="00CE49DA"/>
    <w:rsid w:val="00CE7B61"/>
    <w:rsid w:val="00D00095"/>
    <w:rsid w:val="00D114F0"/>
    <w:rsid w:val="00D20620"/>
    <w:rsid w:val="00D254F7"/>
    <w:rsid w:val="00D26091"/>
    <w:rsid w:val="00D2685C"/>
    <w:rsid w:val="00D34E7C"/>
    <w:rsid w:val="00D35489"/>
    <w:rsid w:val="00D36AFE"/>
    <w:rsid w:val="00D37CA3"/>
    <w:rsid w:val="00D4174F"/>
    <w:rsid w:val="00D45ADC"/>
    <w:rsid w:val="00D51276"/>
    <w:rsid w:val="00D7035F"/>
    <w:rsid w:val="00DA634F"/>
    <w:rsid w:val="00DA65AC"/>
    <w:rsid w:val="00DA6814"/>
    <w:rsid w:val="00DB1913"/>
    <w:rsid w:val="00DB25D5"/>
    <w:rsid w:val="00DB6800"/>
    <w:rsid w:val="00DC410D"/>
    <w:rsid w:val="00DC5A81"/>
    <w:rsid w:val="00DC68CA"/>
    <w:rsid w:val="00DC74BA"/>
    <w:rsid w:val="00DC7CBA"/>
    <w:rsid w:val="00DD73B7"/>
    <w:rsid w:val="00DE66FE"/>
    <w:rsid w:val="00DF06DE"/>
    <w:rsid w:val="00DF28BC"/>
    <w:rsid w:val="00DF34B9"/>
    <w:rsid w:val="00E01053"/>
    <w:rsid w:val="00E07ACF"/>
    <w:rsid w:val="00E331A1"/>
    <w:rsid w:val="00E33202"/>
    <w:rsid w:val="00E336A9"/>
    <w:rsid w:val="00E472B1"/>
    <w:rsid w:val="00E50624"/>
    <w:rsid w:val="00E568DF"/>
    <w:rsid w:val="00E64269"/>
    <w:rsid w:val="00E7407F"/>
    <w:rsid w:val="00E82267"/>
    <w:rsid w:val="00E853CE"/>
    <w:rsid w:val="00E867B6"/>
    <w:rsid w:val="00EA010F"/>
    <w:rsid w:val="00EC2394"/>
    <w:rsid w:val="00ED1B63"/>
    <w:rsid w:val="00ED3C1F"/>
    <w:rsid w:val="00ED4085"/>
    <w:rsid w:val="00ED420E"/>
    <w:rsid w:val="00ED6FBE"/>
    <w:rsid w:val="00EE2F57"/>
    <w:rsid w:val="00EF4C34"/>
    <w:rsid w:val="00EF5CCD"/>
    <w:rsid w:val="00EF77C6"/>
    <w:rsid w:val="00F05438"/>
    <w:rsid w:val="00F1361C"/>
    <w:rsid w:val="00F156F0"/>
    <w:rsid w:val="00F15BC8"/>
    <w:rsid w:val="00F160C7"/>
    <w:rsid w:val="00F2408F"/>
    <w:rsid w:val="00F240E9"/>
    <w:rsid w:val="00F36D8F"/>
    <w:rsid w:val="00F417B1"/>
    <w:rsid w:val="00F45853"/>
    <w:rsid w:val="00F471A8"/>
    <w:rsid w:val="00F517DA"/>
    <w:rsid w:val="00F602DF"/>
    <w:rsid w:val="00F754A1"/>
    <w:rsid w:val="00F81FD9"/>
    <w:rsid w:val="00F841AA"/>
    <w:rsid w:val="00F84A94"/>
    <w:rsid w:val="00F87E96"/>
    <w:rsid w:val="00F95BED"/>
    <w:rsid w:val="00FA23E8"/>
    <w:rsid w:val="00FD147A"/>
    <w:rsid w:val="00FD3CC1"/>
    <w:rsid w:val="00FF1E02"/>
    <w:rsid w:val="00FF30B4"/>
    <w:rsid w:val="00FF7C57"/>
    <w:rsid w:val="0A2032A3"/>
    <w:rsid w:val="10C055FF"/>
    <w:rsid w:val="118107EC"/>
    <w:rsid w:val="16BB723D"/>
    <w:rsid w:val="18015F3F"/>
    <w:rsid w:val="1BE8440E"/>
    <w:rsid w:val="1D155CEE"/>
    <w:rsid w:val="20F57F95"/>
    <w:rsid w:val="240371BF"/>
    <w:rsid w:val="27842671"/>
    <w:rsid w:val="29FD04D3"/>
    <w:rsid w:val="2ABE7A3E"/>
    <w:rsid w:val="319F7F4E"/>
    <w:rsid w:val="3C0C0783"/>
    <w:rsid w:val="493C27E9"/>
    <w:rsid w:val="496F39ED"/>
    <w:rsid w:val="49FF41D3"/>
    <w:rsid w:val="4BE068DB"/>
    <w:rsid w:val="4BF6002B"/>
    <w:rsid w:val="4ECE2238"/>
    <w:rsid w:val="64CA39A1"/>
    <w:rsid w:val="67EA290F"/>
    <w:rsid w:val="6C4A05C8"/>
    <w:rsid w:val="72734D90"/>
    <w:rsid w:val="F7FF7C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qFormat="1" w:unhideWhenUsed="0"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cs="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table of figures"/>
    <w:basedOn w:val="1"/>
    <w:next w:val="1"/>
    <w:semiHidden/>
    <w:qFormat/>
    <w:locked/>
    <w:uiPriority w:val="99"/>
    <w:pPr>
      <w:ind w:left="200" w:leftChars="200" w:hanging="200" w:hangingChars="200"/>
    </w:pPr>
    <w:rPr>
      <w:rFonts w:eastAsia="方正仿宋_GBK"/>
      <w:sz w:val="32"/>
      <w:szCs w:val="32"/>
    </w:rPr>
  </w:style>
  <w:style w:type="paragraph" w:styleId="12">
    <w:name w:val="toc 2"/>
    <w:basedOn w:val="1"/>
    <w:next w:val="1"/>
    <w:semiHidden/>
    <w:qFormat/>
    <w:uiPriority w:val="99"/>
    <w:pPr>
      <w:tabs>
        <w:tab w:val="right" w:leader="dot" w:pos="8296"/>
      </w:tabs>
      <w:ind w:left="420" w:leftChars="200"/>
    </w:pPr>
  </w:style>
  <w:style w:type="character" w:styleId="15">
    <w:name w:val="Strong"/>
    <w:basedOn w:val="14"/>
    <w:qFormat/>
    <w:uiPriority w:val="99"/>
    <w:rPr>
      <w:b/>
      <w:bCs/>
    </w:rPr>
  </w:style>
  <w:style w:type="character" w:styleId="16">
    <w:name w:val="Hyperlink"/>
    <w:basedOn w:val="14"/>
    <w:qFormat/>
    <w:uiPriority w:val="99"/>
    <w:rPr>
      <w:color w:val="0000FF"/>
      <w:u w:val="single"/>
    </w:rPr>
  </w:style>
  <w:style w:type="character" w:customStyle="1" w:styleId="17">
    <w:name w:val="Heading 1 Char"/>
    <w:basedOn w:val="14"/>
    <w:link w:val="3"/>
    <w:qFormat/>
    <w:locked/>
    <w:uiPriority w:val="99"/>
    <w:rPr>
      <w:rFonts w:ascii="Times New Roman" w:hAnsi="Times New Roman" w:cs="Times New Roman"/>
      <w:b/>
      <w:bCs/>
      <w:kern w:val="44"/>
      <w:sz w:val="44"/>
      <w:szCs w:val="44"/>
    </w:rPr>
  </w:style>
  <w:style w:type="character" w:customStyle="1" w:styleId="18">
    <w:name w:val="Heading 2 Char"/>
    <w:basedOn w:val="14"/>
    <w:link w:val="4"/>
    <w:qFormat/>
    <w:locked/>
    <w:uiPriority w:val="99"/>
    <w:rPr>
      <w:rFonts w:ascii="Cambria" w:hAnsi="Cambria" w:eastAsia="宋体" w:cs="Cambria"/>
      <w:b/>
      <w:bCs/>
      <w:kern w:val="2"/>
      <w:sz w:val="32"/>
      <w:szCs w:val="32"/>
    </w:rPr>
  </w:style>
  <w:style w:type="character" w:customStyle="1" w:styleId="19">
    <w:name w:val="Heading 3 Char"/>
    <w:basedOn w:val="14"/>
    <w:link w:val="5"/>
    <w:qFormat/>
    <w:locked/>
    <w:uiPriority w:val="99"/>
    <w:rPr>
      <w:rFonts w:ascii="Times New Roman" w:hAnsi="Times New Roman" w:cs="Times New Roman"/>
      <w:b/>
      <w:bCs/>
      <w:kern w:val="2"/>
      <w:sz w:val="32"/>
      <w:szCs w:val="32"/>
    </w:rPr>
  </w:style>
  <w:style w:type="character" w:customStyle="1" w:styleId="20">
    <w:name w:val="Body Text Char"/>
    <w:basedOn w:val="14"/>
    <w:link w:val="2"/>
    <w:semiHidden/>
    <w:qFormat/>
    <w:locked/>
    <w:uiPriority w:val="99"/>
    <w:rPr>
      <w:rFonts w:ascii="Times New Roman" w:hAnsi="Times New Roman" w:cs="Times New Roman"/>
      <w:sz w:val="24"/>
      <w:szCs w:val="24"/>
    </w:rPr>
  </w:style>
  <w:style w:type="character" w:customStyle="1" w:styleId="21">
    <w:name w:val="Balloon Text Char"/>
    <w:basedOn w:val="14"/>
    <w:link w:val="7"/>
    <w:semiHidden/>
    <w:qFormat/>
    <w:locked/>
    <w:uiPriority w:val="99"/>
    <w:rPr>
      <w:rFonts w:ascii="Times New Roman" w:hAnsi="Times New Roman" w:cs="Times New Roman"/>
      <w:kern w:val="2"/>
      <w:sz w:val="18"/>
      <w:szCs w:val="18"/>
    </w:rPr>
  </w:style>
  <w:style w:type="character" w:customStyle="1" w:styleId="22">
    <w:name w:val="Footer Char"/>
    <w:basedOn w:val="14"/>
    <w:link w:val="8"/>
    <w:semiHidden/>
    <w:qFormat/>
    <w:locked/>
    <w:uiPriority w:val="99"/>
    <w:rPr>
      <w:rFonts w:ascii="Times New Roman" w:hAnsi="Times New Roman" w:cs="Times New Roman"/>
      <w:sz w:val="18"/>
      <w:szCs w:val="18"/>
    </w:rPr>
  </w:style>
  <w:style w:type="character" w:customStyle="1" w:styleId="23">
    <w:name w:val="Header Char"/>
    <w:basedOn w:val="14"/>
    <w:link w:val="9"/>
    <w:semiHidden/>
    <w:qFormat/>
    <w:locked/>
    <w:uiPriority w:val="99"/>
    <w:rPr>
      <w:rFonts w:ascii="Times New Roman" w:hAnsi="Times New Roman" w:cs="Times New Roman"/>
      <w:sz w:val="18"/>
      <w:szCs w:val="18"/>
    </w:rPr>
  </w:style>
  <w:style w:type="character" w:customStyle="1" w:styleId="24">
    <w:name w:val="Header Char1"/>
    <w:link w:val="9"/>
    <w:semiHidden/>
    <w:qFormat/>
    <w:locked/>
    <w:uiPriority w:val="99"/>
    <w:rPr>
      <w:sz w:val="18"/>
      <w:szCs w:val="18"/>
    </w:rPr>
  </w:style>
  <w:style w:type="character" w:customStyle="1" w:styleId="25">
    <w:name w:val="Footer Char1"/>
    <w:link w:val="8"/>
    <w:qFormat/>
    <w:locked/>
    <w:uiPriority w:val="99"/>
    <w:rPr>
      <w:sz w:val="18"/>
      <w:szCs w:val="18"/>
    </w:rPr>
  </w:style>
  <w:style w:type="character" w:customStyle="1" w:styleId="26">
    <w:name w:val="Body Text Char1"/>
    <w:link w:val="2"/>
    <w:qFormat/>
    <w:locked/>
    <w:uiPriority w:val="99"/>
    <w:rPr>
      <w:rFonts w:ascii="仿宋_GB2312" w:hAnsi="Times New Roman" w:eastAsia="仿宋_GB2312" w:cs="仿宋_GB2312"/>
      <w:sz w:val="24"/>
      <w:szCs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0">
    <w:name w:val="TOC Heading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1">
    <w:name w:val="TOC Heading"/>
    <w:basedOn w:val="3"/>
    <w:next w:val="1"/>
    <w:qFormat/>
    <w:uiPriority w:val="99"/>
    <w:pPr>
      <w:widowControl/>
      <w:spacing w:before="240" w:after="0" w:line="259" w:lineRule="auto"/>
      <w:jc w:val="left"/>
      <w:outlineLvl w:val="9"/>
    </w:pPr>
    <w:rPr>
      <w:rFonts w:ascii="等线 Light" w:hAnsi="等线 Light" w:eastAsia="等线 Light" w:cs="等线 Light"/>
      <w:b w:val="0"/>
      <w:bCs w:val="0"/>
      <w:color w:val="2E74B5"/>
      <w:kern w:val="0"/>
      <w:sz w:val="32"/>
      <w:szCs w:val="32"/>
    </w:rPr>
  </w:style>
  <w:style w:type="character" w:customStyle="1" w:styleId="32">
    <w:name w:val="标题 2 字符"/>
    <w:link w:val="4"/>
    <w:qFormat/>
    <w:locked/>
    <w:uiPriority w:val="99"/>
    <w:rPr>
      <w:rFonts w:ascii="Cambria" w:hAnsi="Cambria" w:eastAsia="宋体" w:cs="Times New Roman"/>
      <w:b/>
      <w:kern w:val="2"/>
      <w:sz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19</Pages>
  <Words>1218</Words>
  <Characters>6945</Characters>
  <Lines>0</Lines>
  <Paragraphs>0</Paragraphs>
  <TotalTime>1</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2021-09-07T11:28:00Z</cp:lastPrinted>
  <dcterms:modified xsi:type="dcterms:W3CDTF">2022-11-14T10:59:33Z</dcterms:modified>
  <dc:title>四川省***</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