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附件2</w:t>
      </w:r>
    </w:p>
    <w:p>
      <w:pPr>
        <w:jc w:val="center"/>
        <w:rPr>
          <w:rFonts w:hint="eastAsia" w:ascii="方正小标宋简体" w:hAnsi="华文仿宋" w:eastAsia="方正小标宋简体"/>
          <w:sz w:val="44"/>
          <w:szCs w:val="44"/>
        </w:rPr>
      </w:pPr>
      <w:r>
        <w:rPr>
          <w:rFonts w:hint="eastAsia" w:ascii="方正小标宋简体" w:hAnsi="华文仿宋" w:eastAsia="方正小标宋简体"/>
          <w:sz w:val="44"/>
          <w:szCs w:val="44"/>
        </w:rPr>
        <w:t>2024年度人社科研一般项目立项名单</w:t>
      </w:r>
    </w:p>
    <w:tbl>
      <w:tblPr>
        <w:tblStyle w:val="7"/>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829"/>
        <w:gridCol w:w="123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5285" w:type="dxa"/>
            <w:gridSpan w:val="2"/>
            <w:vAlign w:val="center"/>
          </w:tcPr>
          <w:p>
            <w:pPr>
              <w:pStyle w:val="4"/>
              <w:spacing w:line="240" w:lineRule="auto"/>
              <w:rPr>
                <w:rFonts w:ascii="Times New Roman" w:eastAsia="黑体"/>
                <w:kern w:val="0"/>
                <w:sz w:val="24"/>
                <w:szCs w:val="24"/>
              </w:rPr>
            </w:pPr>
            <w:r>
              <w:rPr>
                <w:rFonts w:ascii="Times New Roman" w:eastAsia="黑体"/>
                <w:kern w:val="0"/>
                <w:sz w:val="24"/>
                <w:szCs w:val="24"/>
              </w:rPr>
              <w:t>项目名称</w:t>
            </w:r>
          </w:p>
        </w:tc>
        <w:tc>
          <w:tcPr>
            <w:tcW w:w="1231" w:type="dxa"/>
            <w:noWrap/>
            <w:vAlign w:val="center"/>
          </w:tcPr>
          <w:p>
            <w:pPr>
              <w:pStyle w:val="4"/>
              <w:spacing w:line="240" w:lineRule="auto"/>
              <w:rPr>
                <w:rFonts w:ascii="Times New Roman" w:eastAsia="黑体"/>
                <w:kern w:val="0"/>
                <w:sz w:val="24"/>
                <w:szCs w:val="24"/>
              </w:rPr>
            </w:pPr>
            <w:r>
              <w:rPr>
                <w:rFonts w:ascii="Times New Roman" w:eastAsia="黑体"/>
                <w:kern w:val="0"/>
                <w:sz w:val="24"/>
                <w:szCs w:val="24"/>
              </w:rPr>
              <w:t>项目</w:t>
            </w:r>
          </w:p>
          <w:p>
            <w:pPr>
              <w:pStyle w:val="4"/>
              <w:spacing w:line="240" w:lineRule="auto"/>
              <w:rPr>
                <w:rFonts w:ascii="Times New Roman" w:eastAsia="黑体"/>
                <w:kern w:val="0"/>
                <w:sz w:val="24"/>
                <w:szCs w:val="24"/>
              </w:rPr>
            </w:pPr>
            <w:r>
              <w:rPr>
                <w:rFonts w:ascii="Times New Roman" w:eastAsia="黑体"/>
                <w:kern w:val="0"/>
                <w:sz w:val="24"/>
                <w:szCs w:val="24"/>
              </w:rPr>
              <w:t>负责人</w:t>
            </w:r>
          </w:p>
        </w:tc>
        <w:tc>
          <w:tcPr>
            <w:tcW w:w="2410" w:type="dxa"/>
            <w:vAlign w:val="center"/>
          </w:tcPr>
          <w:p>
            <w:pPr>
              <w:pStyle w:val="4"/>
              <w:spacing w:line="240" w:lineRule="auto"/>
              <w:rPr>
                <w:rFonts w:ascii="Times New Roman" w:eastAsia="黑体"/>
                <w:kern w:val="0"/>
                <w:sz w:val="24"/>
                <w:szCs w:val="24"/>
              </w:rPr>
            </w:pPr>
            <w:r>
              <w:rPr>
                <w:rFonts w:ascii="Times New Roman" w:eastAsia="黑体"/>
                <w:kern w:val="0"/>
                <w:sz w:val="24"/>
                <w:szCs w:val="24"/>
              </w:rPr>
              <w:t>项目承担单位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56" w:type="dxa"/>
            <w:vAlign w:val="center"/>
          </w:tcPr>
          <w:p>
            <w:pPr>
              <w:pStyle w:val="11"/>
              <w:rPr>
                <w:spacing w:val="0"/>
                <w:kern w:val="0"/>
              </w:rPr>
            </w:pPr>
            <w:r>
              <w:rPr>
                <w:spacing w:val="0"/>
                <w:kern w:val="0"/>
              </w:rPr>
              <w:t>1</w:t>
            </w:r>
          </w:p>
        </w:tc>
        <w:tc>
          <w:tcPr>
            <w:tcW w:w="4829" w:type="dxa"/>
            <w:noWrap/>
            <w:vAlign w:val="center"/>
          </w:tcPr>
          <w:p>
            <w:pPr>
              <w:pStyle w:val="11"/>
              <w:rPr>
                <w:spacing w:val="0"/>
                <w:kern w:val="0"/>
              </w:rPr>
            </w:pPr>
            <w:r>
              <w:rPr>
                <w:spacing w:val="0"/>
                <w:kern w:val="0"/>
              </w:rPr>
              <w:t>川西北高职院校博士后招引困境分析及对策研究-以四川中医药高等专科学校为例</w:t>
            </w:r>
          </w:p>
        </w:tc>
        <w:tc>
          <w:tcPr>
            <w:tcW w:w="1231" w:type="dxa"/>
            <w:noWrap/>
            <w:vAlign w:val="center"/>
          </w:tcPr>
          <w:p>
            <w:pPr>
              <w:pStyle w:val="4"/>
              <w:spacing w:line="280" w:lineRule="exact"/>
              <w:rPr>
                <w:rFonts w:ascii="Times New Roman" w:eastAsia="仿宋_GB2312"/>
                <w:kern w:val="0"/>
                <w:sz w:val="24"/>
                <w:szCs w:val="24"/>
              </w:rPr>
            </w:pPr>
            <w:r>
              <w:rPr>
                <w:rFonts w:ascii="Times New Roman" w:eastAsia="仿宋_GB2312"/>
                <w:kern w:val="0"/>
                <w:sz w:val="24"/>
                <w:szCs w:val="24"/>
              </w:rPr>
              <w:t>陈维佳</w:t>
            </w:r>
          </w:p>
        </w:tc>
        <w:tc>
          <w:tcPr>
            <w:tcW w:w="2410" w:type="dxa"/>
            <w:vAlign w:val="center"/>
          </w:tcPr>
          <w:p>
            <w:pPr>
              <w:pStyle w:val="4"/>
              <w:spacing w:line="280" w:lineRule="exact"/>
              <w:rPr>
                <w:rFonts w:ascii="Times New Roman" w:eastAsia="仿宋_GB2312"/>
                <w:kern w:val="0"/>
                <w:sz w:val="24"/>
                <w:szCs w:val="24"/>
              </w:rPr>
            </w:pPr>
            <w:r>
              <w:rPr>
                <w:rFonts w:ascii="Times New Roman" w:eastAsia="仿宋_GB2312"/>
                <w:kern w:val="0"/>
                <w:sz w:val="24"/>
                <w:szCs w:val="24"/>
              </w:rPr>
              <w:t>四川中医药高等专科学校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56" w:type="dxa"/>
            <w:vAlign w:val="center"/>
          </w:tcPr>
          <w:p>
            <w:pPr>
              <w:pStyle w:val="11"/>
              <w:rPr>
                <w:spacing w:val="0"/>
                <w:kern w:val="0"/>
              </w:rPr>
            </w:pPr>
            <w:r>
              <w:rPr>
                <w:spacing w:val="0"/>
                <w:kern w:val="0"/>
              </w:rPr>
              <w:t>2</w:t>
            </w:r>
          </w:p>
        </w:tc>
        <w:tc>
          <w:tcPr>
            <w:tcW w:w="4829" w:type="dxa"/>
            <w:noWrap/>
            <w:vAlign w:val="center"/>
          </w:tcPr>
          <w:p>
            <w:pPr>
              <w:pStyle w:val="11"/>
              <w:rPr>
                <w:spacing w:val="0"/>
                <w:kern w:val="0"/>
              </w:rPr>
            </w:pPr>
            <w:r>
              <w:rPr>
                <w:spacing w:val="0"/>
                <w:kern w:val="0"/>
              </w:rPr>
              <w:t>四川民族地区紧缺专业技术人才政策环境与制度机制研究—以阿坝藏族羌族自治州为例</w:t>
            </w:r>
          </w:p>
        </w:tc>
        <w:tc>
          <w:tcPr>
            <w:tcW w:w="1231" w:type="dxa"/>
            <w:noWrap/>
            <w:vAlign w:val="center"/>
          </w:tcPr>
          <w:p>
            <w:pPr>
              <w:pStyle w:val="4"/>
              <w:spacing w:line="280" w:lineRule="exact"/>
              <w:rPr>
                <w:rFonts w:ascii="Times New Roman" w:eastAsia="仿宋_GB2312"/>
                <w:kern w:val="0"/>
                <w:sz w:val="24"/>
                <w:szCs w:val="24"/>
              </w:rPr>
            </w:pPr>
            <w:r>
              <w:rPr>
                <w:rFonts w:ascii="Times New Roman" w:eastAsia="仿宋_GB2312"/>
                <w:kern w:val="0"/>
                <w:sz w:val="24"/>
                <w:szCs w:val="24"/>
              </w:rPr>
              <w:t>谢抒宏</w:t>
            </w:r>
          </w:p>
        </w:tc>
        <w:tc>
          <w:tcPr>
            <w:tcW w:w="2410" w:type="dxa"/>
            <w:vAlign w:val="center"/>
          </w:tcPr>
          <w:p>
            <w:pPr>
              <w:pStyle w:val="4"/>
              <w:spacing w:line="280" w:lineRule="exact"/>
              <w:rPr>
                <w:rFonts w:ascii="Times New Roman" w:eastAsia="仿宋_GB2312"/>
                <w:kern w:val="0"/>
                <w:sz w:val="24"/>
                <w:szCs w:val="24"/>
              </w:rPr>
            </w:pPr>
            <w:r>
              <w:rPr>
                <w:rFonts w:ascii="Times New Roman" w:eastAsia="仿宋_GB2312"/>
                <w:kern w:val="0"/>
                <w:sz w:val="24"/>
                <w:szCs w:val="24"/>
              </w:rPr>
              <w:t>阿坝师范学院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56" w:type="dxa"/>
            <w:vAlign w:val="center"/>
          </w:tcPr>
          <w:p>
            <w:pPr>
              <w:pStyle w:val="11"/>
              <w:rPr>
                <w:spacing w:val="0"/>
                <w:kern w:val="0"/>
              </w:rPr>
            </w:pPr>
            <w:r>
              <w:rPr>
                <w:spacing w:val="0"/>
                <w:kern w:val="0"/>
              </w:rPr>
              <w:t>3</w:t>
            </w:r>
          </w:p>
        </w:tc>
        <w:tc>
          <w:tcPr>
            <w:tcW w:w="4829" w:type="dxa"/>
            <w:noWrap/>
            <w:vAlign w:val="center"/>
          </w:tcPr>
          <w:p>
            <w:pPr>
              <w:pStyle w:val="11"/>
              <w:rPr>
                <w:spacing w:val="0"/>
                <w:kern w:val="0"/>
              </w:rPr>
            </w:pPr>
            <w:r>
              <w:rPr>
                <w:spacing w:val="0"/>
                <w:kern w:val="0"/>
              </w:rPr>
              <w:t>四川省技工院校构建产业园区机械制造技术高技能人才培养体系的研究</w:t>
            </w:r>
          </w:p>
        </w:tc>
        <w:tc>
          <w:tcPr>
            <w:tcW w:w="1231" w:type="dxa"/>
            <w:noWrap/>
            <w:vAlign w:val="center"/>
          </w:tcPr>
          <w:p>
            <w:pPr>
              <w:pStyle w:val="4"/>
              <w:spacing w:line="280" w:lineRule="exact"/>
              <w:rPr>
                <w:rFonts w:ascii="Times New Roman" w:eastAsia="仿宋_GB2312"/>
                <w:kern w:val="0"/>
                <w:sz w:val="24"/>
                <w:szCs w:val="24"/>
              </w:rPr>
            </w:pPr>
            <w:r>
              <w:rPr>
                <w:rFonts w:ascii="Times New Roman" w:eastAsia="仿宋_GB2312"/>
                <w:kern w:val="0"/>
                <w:sz w:val="24"/>
                <w:szCs w:val="24"/>
              </w:rPr>
              <w:t>郑家银</w:t>
            </w:r>
          </w:p>
        </w:tc>
        <w:tc>
          <w:tcPr>
            <w:tcW w:w="2410" w:type="dxa"/>
            <w:vAlign w:val="center"/>
          </w:tcPr>
          <w:p>
            <w:pPr>
              <w:pStyle w:val="4"/>
              <w:spacing w:line="280" w:lineRule="exact"/>
              <w:rPr>
                <w:rFonts w:ascii="Times New Roman" w:eastAsia="仿宋_GB2312"/>
                <w:kern w:val="0"/>
                <w:sz w:val="24"/>
                <w:szCs w:val="24"/>
              </w:rPr>
            </w:pPr>
            <w:r>
              <w:rPr>
                <w:rFonts w:ascii="Times New Roman" w:eastAsia="仿宋_GB2312"/>
                <w:kern w:val="0"/>
                <w:sz w:val="24"/>
                <w:szCs w:val="24"/>
              </w:rPr>
              <w:t>达州技师学院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56" w:type="dxa"/>
            <w:vAlign w:val="center"/>
          </w:tcPr>
          <w:p>
            <w:pPr>
              <w:pStyle w:val="11"/>
              <w:rPr>
                <w:spacing w:val="0"/>
                <w:kern w:val="0"/>
              </w:rPr>
            </w:pPr>
            <w:r>
              <w:rPr>
                <w:spacing w:val="0"/>
                <w:kern w:val="0"/>
              </w:rPr>
              <w:t>4</w:t>
            </w:r>
          </w:p>
        </w:tc>
        <w:tc>
          <w:tcPr>
            <w:tcW w:w="4829" w:type="dxa"/>
            <w:noWrap/>
            <w:vAlign w:val="center"/>
          </w:tcPr>
          <w:p>
            <w:pPr>
              <w:pStyle w:val="11"/>
              <w:rPr>
                <w:spacing w:val="0"/>
                <w:kern w:val="0"/>
              </w:rPr>
            </w:pPr>
            <w:r>
              <w:rPr>
                <w:spacing w:val="0"/>
                <w:kern w:val="0"/>
              </w:rPr>
              <w:t>四川省零工市场建设现状及对策研究</w:t>
            </w:r>
          </w:p>
        </w:tc>
        <w:tc>
          <w:tcPr>
            <w:tcW w:w="1231" w:type="dxa"/>
            <w:noWrap/>
            <w:vAlign w:val="center"/>
          </w:tcPr>
          <w:p>
            <w:pPr>
              <w:pStyle w:val="13"/>
              <w:spacing w:line="280" w:lineRule="exact"/>
              <w:rPr>
                <w:rFonts w:ascii="Times New Roman" w:eastAsia="仿宋_GB2312" w:cs="Times New Roman"/>
                <w:kern w:val="0"/>
                <w:sz w:val="24"/>
                <w:szCs w:val="24"/>
              </w:rPr>
            </w:pPr>
            <w:r>
              <w:rPr>
                <w:rFonts w:ascii="Times New Roman" w:eastAsia="仿宋_GB2312" w:cs="Times New Roman"/>
                <w:kern w:val="0"/>
                <w:sz w:val="24"/>
                <w:szCs w:val="24"/>
              </w:rPr>
              <w:t>李杰</w:t>
            </w:r>
          </w:p>
        </w:tc>
        <w:tc>
          <w:tcPr>
            <w:tcW w:w="2410" w:type="dxa"/>
            <w:vAlign w:val="center"/>
          </w:tcPr>
          <w:p>
            <w:pPr>
              <w:pStyle w:val="11"/>
              <w:rPr>
                <w:spacing w:val="0"/>
                <w:kern w:val="0"/>
              </w:rPr>
            </w:pPr>
            <w:r>
              <w:rPr>
                <w:spacing w:val="0"/>
                <w:kern w:val="0"/>
              </w:rPr>
              <w:t>西南财经大学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56" w:type="dxa"/>
            <w:vAlign w:val="center"/>
          </w:tcPr>
          <w:p>
            <w:pPr>
              <w:pStyle w:val="11"/>
              <w:rPr>
                <w:spacing w:val="0"/>
                <w:kern w:val="0"/>
              </w:rPr>
            </w:pPr>
            <w:r>
              <w:rPr>
                <w:spacing w:val="0"/>
                <w:kern w:val="0"/>
              </w:rPr>
              <w:t>5</w:t>
            </w:r>
          </w:p>
        </w:tc>
        <w:tc>
          <w:tcPr>
            <w:tcW w:w="4829" w:type="dxa"/>
            <w:noWrap/>
            <w:vAlign w:val="center"/>
          </w:tcPr>
          <w:p>
            <w:pPr>
              <w:pStyle w:val="11"/>
              <w:rPr>
                <w:spacing w:val="0"/>
                <w:kern w:val="0"/>
              </w:rPr>
            </w:pPr>
            <w:r>
              <w:rPr>
                <w:spacing w:val="0"/>
                <w:kern w:val="0"/>
              </w:rPr>
              <w:t>数字化转型背景下人社公共服务质效提升路径研究</w:t>
            </w:r>
          </w:p>
        </w:tc>
        <w:tc>
          <w:tcPr>
            <w:tcW w:w="1231" w:type="dxa"/>
            <w:noWrap/>
            <w:vAlign w:val="center"/>
          </w:tcPr>
          <w:p>
            <w:pPr>
              <w:pStyle w:val="13"/>
              <w:spacing w:line="280" w:lineRule="exact"/>
              <w:rPr>
                <w:rFonts w:ascii="Times New Roman" w:eastAsia="仿宋_GB2312" w:cs="Times New Roman"/>
                <w:kern w:val="0"/>
                <w:sz w:val="24"/>
                <w:szCs w:val="24"/>
              </w:rPr>
            </w:pPr>
            <w:r>
              <w:rPr>
                <w:rFonts w:ascii="Times New Roman" w:eastAsia="仿宋_GB2312" w:cs="Times New Roman"/>
                <w:kern w:val="0"/>
                <w:sz w:val="24"/>
                <w:szCs w:val="24"/>
              </w:rPr>
              <w:t>马杰</w:t>
            </w:r>
          </w:p>
        </w:tc>
        <w:tc>
          <w:tcPr>
            <w:tcW w:w="2410" w:type="dxa"/>
            <w:vAlign w:val="center"/>
          </w:tcPr>
          <w:p>
            <w:pPr>
              <w:pStyle w:val="13"/>
              <w:spacing w:line="280" w:lineRule="exact"/>
              <w:rPr>
                <w:rFonts w:ascii="Times New Roman" w:eastAsia="仿宋_GB2312" w:cs="Times New Roman"/>
                <w:kern w:val="0"/>
                <w:sz w:val="24"/>
                <w:szCs w:val="24"/>
              </w:rPr>
            </w:pPr>
            <w:r>
              <w:rPr>
                <w:rFonts w:ascii="Times New Roman" w:eastAsia="仿宋_GB2312" w:cs="Times New Roman"/>
                <w:kern w:val="0"/>
                <w:sz w:val="24"/>
                <w:szCs w:val="24"/>
              </w:rPr>
              <w:t>四川省人力资源和社会保障科学研究所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6" w:type="dxa"/>
            <w:vAlign w:val="center"/>
          </w:tcPr>
          <w:p>
            <w:pPr>
              <w:pStyle w:val="11"/>
              <w:rPr>
                <w:spacing w:val="0"/>
                <w:kern w:val="0"/>
              </w:rPr>
            </w:pPr>
            <w:r>
              <w:rPr>
                <w:spacing w:val="0"/>
                <w:kern w:val="0"/>
              </w:rPr>
              <w:t>6</w:t>
            </w:r>
          </w:p>
        </w:tc>
        <w:tc>
          <w:tcPr>
            <w:tcW w:w="4829" w:type="dxa"/>
            <w:noWrap/>
            <w:vAlign w:val="center"/>
          </w:tcPr>
          <w:p>
            <w:pPr>
              <w:pStyle w:val="11"/>
              <w:rPr>
                <w:spacing w:val="0"/>
                <w:kern w:val="0"/>
              </w:rPr>
            </w:pPr>
            <w:r>
              <w:rPr>
                <w:spacing w:val="0"/>
                <w:kern w:val="0"/>
              </w:rPr>
              <w:t>城乡融合背景下农村劳动力转移路径与机制研究</w:t>
            </w:r>
          </w:p>
        </w:tc>
        <w:tc>
          <w:tcPr>
            <w:tcW w:w="1231" w:type="dxa"/>
            <w:noWrap/>
            <w:vAlign w:val="center"/>
          </w:tcPr>
          <w:p>
            <w:pPr>
              <w:pStyle w:val="4"/>
              <w:spacing w:line="280" w:lineRule="exact"/>
              <w:rPr>
                <w:rFonts w:ascii="Times New Roman" w:eastAsia="仿宋_GB2312"/>
                <w:kern w:val="0"/>
                <w:sz w:val="24"/>
                <w:szCs w:val="24"/>
              </w:rPr>
            </w:pPr>
            <w:r>
              <w:rPr>
                <w:rFonts w:ascii="Times New Roman" w:eastAsia="仿宋_GB2312"/>
                <w:kern w:val="0"/>
                <w:sz w:val="24"/>
                <w:szCs w:val="24"/>
              </w:rPr>
              <w:t>张伟</w:t>
            </w:r>
          </w:p>
        </w:tc>
        <w:tc>
          <w:tcPr>
            <w:tcW w:w="2410" w:type="dxa"/>
            <w:vAlign w:val="center"/>
          </w:tcPr>
          <w:p>
            <w:pPr>
              <w:pStyle w:val="4"/>
              <w:spacing w:line="280" w:lineRule="exact"/>
              <w:rPr>
                <w:rFonts w:ascii="Times New Roman" w:eastAsia="仿宋_GB2312"/>
                <w:kern w:val="0"/>
                <w:sz w:val="24"/>
                <w:szCs w:val="24"/>
              </w:rPr>
            </w:pPr>
            <w:r>
              <w:rPr>
                <w:rFonts w:ascii="Times New Roman" w:eastAsia="仿宋_GB2312"/>
                <w:kern w:val="0"/>
                <w:sz w:val="24"/>
                <w:szCs w:val="24"/>
              </w:rPr>
              <w:t>宜宾学院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56" w:type="dxa"/>
            <w:vAlign w:val="center"/>
          </w:tcPr>
          <w:p>
            <w:pPr>
              <w:pStyle w:val="11"/>
              <w:rPr>
                <w:spacing w:val="0"/>
                <w:kern w:val="0"/>
              </w:rPr>
            </w:pPr>
            <w:r>
              <w:rPr>
                <w:spacing w:val="0"/>
                <w:kern w:val="0"/>
              </w:rPr>
              <w:t>7</w:t>
            </w:r>
          </w:p>
        </w:tc>
        <w:tc>
          <w:tcPr>
            <w:tcW w:w="4829" w:type="dxa"/>
            <w:noWrap/>
            <w:vAlign w:val="center"/>
          </w:tcPr>
          <w:p>
            <w:pPr>
              <w:pStyle w:val="11"/>
              <w:rPr>
                <w:spacing w:val="0"/>
                <w:kern w:val="0"/>
              </w:rPr>
            </w:pPr>
            <w:r>
              <w:rPr>
                <w:spacing w:val="0"/>
                <w:kern w:val="0"/>
              </w:rPr>
              <w:t>城乡融合背景下高质量充分就业路径研究—以电商专业高职学生为例</w:t>
            </w:r>
          </w:p>
        </w:tc>
        <w:tc>
          <w:tcPr>
            <w:tcW w:w="1231" w:type="dxa"/>
            <w:noWrap/>
            <w:vAlign w:val="center"/>
          </w:tcPr>
          <w:p>
            <w:pPr>
              <w:pStyle w:val="4"/>
              <w:spacing w:line="280" w:lineRule="exact"/>
              <w:rPr>
                <w:rFonts w:ascii="Times New Roman" w:eastAsia="仿宋_GB2312"/>
                <w:kern w:val="0"/>
                <w:sz w:val="24"/>
                <w:szCs w:val="24"/>
              </w:rPr>
            </w:pPr>
            <w:r>
              <w:rPr>
                <w:rFonts w:ascii="Times New Roman" w:eastAsia="仿宋_GB2312"/>
                <w:kern w:val="0"/>
                <w:sz w:val="24"/>
                <w:szCs w:val="24"/>
              </w:rPr>
              <w:t>蒲宏</w:t>
            </w:r>
          </w:p>
        </w:tc>
        <w:tc>
          <w:tcPr>
            <w:tcW w:w="2410" w:type="dxa"/>
            <w:vAlign w:val="center"/>
          </w:tcPr>
          <w:p>
            <w:pPr>
              <w:pStyle w:val="4"/>
              <w:spacing w:line="280" w:lineRule="exact"/>
              <w:rPr>
                <w:rFonts w:ascii="Times New Roman" w:eastAsia="仿宋_GB2312"/>
                <w:kern w:val="0"/>
                <w:sz w:val="24"/>
                <w:szCs w:val="24"/>
              </w:rPr>
            </w:pPr>
            <w:r>
              <w:rPr>
                <w:rFonts w:ascii="Times New Roman" w:eastAsia="仿宋_GB2312"/>
                <w:kern w:val="0"/>
                <w:sz w:val="24"/>
                <w:szCs w:val="24"/>
              </w:rPr>
              <w:t>成都工业职业技术学院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56" w:type="dxa"/>
            <w:vAlign w:val="center"/>
          </w:tcPr>
          <w:p>
            <w:pPr>
              <w:pStyle w:val="11"/>
              <w:rPr>
                <w:spacing w:val="0"/>
                <w:kern w:val="0"/>
              </w:rPr>
            </w:pPr>
            <w:r>
              <w:rPr>
                <w:spacing w:val="0"/>
                <w:kern w:val="0"/>
              </w:rPr>
              <w:t>8</w:t>
            </w:r>
          </w:p>
        </w:tc>
        <w:tc>
          <w:tcPr>
            <w:tcW w:w="4829" w:type="dxa"/>
            <w:noWrap/>
            <w:vAlign w:val="center"/>
          </w:tcPr>
          <w:p>
            <w:pPr>
              <w:pStyle w:val="11"/>
              <w:rPr>
                <w:spacing w:val="0"/>
                <w:kern w:val="0"/>
              </w:rPr>
            </w:pPr>
            <w:r>
              <w:rPr>
                <w:spacing w:val="0"/>
                <w:kern w:val="0"/>
              </w:rPr>
              <w:t>四川省基层创业孵化基地与直播电商融合发展模式研究-现状评估与创新策略</w:t>
            </w:r>
          </w:p>
        </w:tc>
        <w:tc>
          <w:tcPr>
            <w:tcW w:w="1231" w:type="dxa"/>
            <w:noWrap/>
            <w:vAlign w:val="center"/>
          </w:tcPr>
          <w:p>
            <w:pPr>
              <w:pStyle w:val="13"/>
              <w:spacing w:line="280" w:lineRule="exact"/>
              <w:rPr>
                <w:rFonts w:ascii="Times New Roman" w:eastAsia="仿宋_GB2312" w:cs="Times New Roman"/>
                <w:kern w:val="0"/>
                <w:sz w:val="24"/>
                <w:szCs w:val="24"/>
              </w:rPr>
            </w:pPr>
            <w:r>
              <w:rPr>
                <w:rFonts w:ascii="Times New Roman" w:eastAsia="仿宋_GB2312" w:cs="Times New Roman"/>
                <w:kern w:val="0"/>
                <w:sz w:val="24"/>
                <w:szCs w:val="24"/>
              </w:rPr>
              <w:t>遥入瑜</w:t>
            </w:r>
          </w:p>
        </w:tc>
        <w:tc>
          <w:tcPr>
            <w:tcW w:w="2410" w:type="dxa"/>
            <w:vAlign w:val="center"/>
          </w:tcPr>
          <w:p>
            <w:pPr>
              <w:pStyle w:val="11"/>
              <w:rPr>
                <w:spacing w:val="0"/>
                <w:kern w:val="0"/>
              </w:rPr>
            </w:pPr>
            <w:r>
              <w:rPr>
                <w:spacing w:val="0"/>
                <w:kern w:val="0"/>
              </w:rPr>
              <w:t>广元中核职业技术学院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56" w:type="dxa"/>
            <w:vAlign w:val="center"/>
          </w:tcPr>
          <w:p>
            <w:pPr>
              <w:pStyle w:val="11"/>
              <w:rPr>
                <w:spacing w:val="0"/>
                <w:kern w:val="0"/>
              </w:rPr>
            </w:pPr>
            <w:r>
              <w:rPr>
                <w:spacing w:val="0"/>
                <w:kern w:val="0"/>
              </w:rPr>
              <w:t>9</w:t>
            </w:r>
          </w:p>
        </w:tc>
        <w:tc>
          <w:tcPr>
            <w:tcW w:w="4829" w:type="dxa"/>
            <w:noWrap/>
            <w:vAlign w:val="center"/>
          </w:tcPr>
          <w:p>
            <w:pPr>
              <w:pStyle w:val="11"/>
              <w:rPr>
                <w:spacing w:val="0"/>
                <w:kern w:val="0"/>
              </w:rPr>
            </w:pPr>
            <w:r>
              <w:rPr>
                <w:spacing w:val="0"/>
                <w:kern w:val="0"/>
              </w:rPr>
              <w:t>四川省强化新质生产力人力资源支撑研究</w:t>
            </w:r>
          </w:p>
        </w:tc>
        <w:tc>
          <w:tcPr>
            <w:tcW w:w="1231" w:type="dxa"/>
            <w:noWrap/>
            <w:vAlign w:val="center"/>
          </w:tcPr>
          <w:p>
            <w:pPr>
              <w:pStyle w:val="11"/>
              <w:rPr>
                <w:spacing w:val="0"/>
                <w:kern w:val="0"/>
              </w:rPr>
            </w:pPr>
            <w:r>
              <w:rPr>
                <w:spacing w:val="0"/>
                <w:kern w:val="0"/>
              </w:rPr>
              <w:t>符秋瑶</w:t>
            </w:r>
          </w:p>
        </w:tc>
        <w:tc>
          <w:tcPr>
            <w:tcW w:w="2410" w:type="dxa"/>
            <w:vAlign w:val="center"/>
          </w:tcPr>
          <w:p>
            <w:pPr>
              <w:pStyle w:val="11"/>
              <w:rPr>
                <w:spacing w:val="0"/>
                <w:kern w:val="0"/>
              </w:rPr>
            </w:pPr>
            <w:r>
              <w:rPr>
                <w:spacing w:val="0"/>
                <w:kern w:val="0"/>
              </w:rPr>
              <w:t>四川师范大学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56" w:type="dxa"/>
            <w:vAlign w:val="center"/>
          </w:tcPr>
          <w:p>
            <w:pPr>
              <w:pStyle w:val="11"/>
              <w:rPr>
                <w:spacing w:val="0"/>
                <w:kern w:val="0"/>
              </w:rPr>
            </w:pPr>
            <w:r>
              <w:rPr>
                <w:spacing w:val="0"/>
                <w:kern w:val="0"/>
              </w:rPr>
              <w:t>10</w:t>
            </w:r>
          </w:p>
        </w:tc>
        <w:tc>
          <w:tcPr>
            <w:tcW w:w="4829" w:type="dxa"/>
            <w:noWrap/>
            <w:vAlign w:val="center"/>
          </w:tcPr>
          <w:p>
            <w:pPr>
              <w:pStyle w:val="11"/>
              <w:rPr>
                <w:spacing w:val="0"/>
                <w:kern w:val="0"/>
              </w:rPr>
            </w:pPr>
            <w:r>
              <w:rPr>
                <w:spacing w:val="0"/>
                <w:kern w:val="0"/>
              </w:rPr>
              <w:t>企业职工基本养老保险基金运行分析研究</w:t>
            </w:r>
          </w:p>
        </w:tc>
        <w:tc>
          <w:tcPr>
            <w:tcW w:w="1231" w:type="dxa"/>
            <w:noWrap/>
            <w:vAlign w:val="center"/>
          </w:tcPr>
          <w:p>
            <w:pPr>
              <w:pStyle w:val="11"/>
              <w:rPr>
                <w:spacing w:val="0"/>
                <w:kern w:val="0"/>
              </w:rPr>
            </w:pPr>
            <w:r>
              <w:rPr>
                <w:spacing w:val="0"/>
                <w:kern w:val="0"/>
              </w:rPr>
              <w:t>郭元绍</w:t>
            </w:r>
          </w:p>
        </w:tc>
        <w:tc>
          <w:tcPr>
            <w:tcW w:w="2410" w:type="dxa"/>
            <w:vAlign w:val="center"/>
          </w:tcPr>
          <w:p>
            <w:pPr>
              <w:pStyle w:val="11"/>
              <w:rPr>
                <w:spacing w:val="0"/>
                <w:kern w:val="0"/>
              </w:rPr>
            </w:pPr>
            <w:r>
              <w:rPr>
                <w:spacing w:val="0"/>
                <w:kern w:val="0"/>
              </w:rPr>
              <w:t>西南财经大学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6" w:type="dxa"/>
            <w:vAlign w:val="center"/>
          </w:tcPr>
          <w:p>
            <w:pPr>
              <w:pStyle w:val="11"/>
              <w:rPr>
                <w:spacing w:val="0"/>
                <w:kern w:val="0"/>
              </w:rPr>
            </w:pPr>
            <w:r>
              <w:rPr>
                <w:spacing w:val="0"/>
                <w:kern w:val="0"/>
              </w:rPr>
              <w:t>11</w:t>
            </w:r>
          </w:p>
        </w:tc>
        <w:tc>
          <w:tcPr>
            <w:tcW w:w="4829" w:type="dxa"/>
            <w:noWrap/>
            <w:vAlign w:val="center"/>
          </w:tcPr>
          <w:p>
            <w:pPr>
              <w:pStyle w:val="11"/>
              <w:rPr>
                <w:spacing w:val="0"/>
                <w:kern w:val="0"/>
              </w:rPr>
            </w:pPr>
            <w:r>
              <w:rPr>
                <w:spacing w:val="0"/>
                <w:kern w:val="0"/>
              </w:rPr>
              <w:t>“三方机制”视角下四川省新就业形态劳动者权益保障优化路径的研究</w:t>
            </w:r>
          </w:p>
        </w:tc>
        <w:tc>
          <w:tcPr>
            <w:tcW w:w="1231" w:type="dxa"/>
            <w:noWrap/>
            <w:vAlign w:val="center"/>
          </w:tcPr>
          <w:p>
            <w:pPr>
              <w:pStyle w:val="4"/>
              <w:spacing w:line="280" w:lineRule="exact"/>
              <w:rPr>
                <w:rFonts w:ascii="Times New Roman" w:eastAsia="仿宋_GB2312"/>
                <w:kern w:val="0"/>
                <w:sz w:val="24"/>
                <w:szCs w:val="24"/>
              </w:rPr>
            </w:pPr>
            <w:r>
              <w:rPr>
                <w:rFonts w:ascii="Times New Roman" w:eastAsia="仿宋_GB2312"/>
                <w:kern w:val="0"/>
                <w:sz w:val="24"/>
                <w:szCs w:val="24"/>
              </w:rPr>
              <w:t>贺国荣</w:t>
            </w:r>
          </w:p>
        </w:tc>
        <w:tc>
          <w:tcPr>
            <w:tcW w:w="2410" w:type="dxa"/>
            <w:vAlign w:val="center"/>
          </w:tcPr>
          <w:p>
            <w:pPr>
              <w:pStyle w:val="4"/>
              <w:spacing w:line="280" w:lineRule="exact"/>
              <w:rPr>
                <w:rFonts w:ascii="Times New Roman" w:eastAsia="仿宋_GB2312"/>
                <w:kern w:val="0"/>
                <w:sz w:val="24"/>
                <w:szCs w:val="24"/>
              </w:rPr>
            </w:pPr>
            <w:r>
              <w:rPr>
                <w:rFonts w:ascii="Times New Roman" w:eastAsia="仿宋_GB2312"/>
                <w:kern w:val="0"/>
                <w:sz w:val="24"/>
                <w:szCs w:val="24"/>
              </w:rPr>
              <w:t>四川农业大学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456" w:type="dxa"/>
            <w:vAlign w:val="center"/>
          </w:tcPr>
          <w:p>
            <w:pPr>
              <w:pStyle w:val="4"/>
              <w:spacing w:line="280" w:lineRule="exact"/>
              <w:rPr>
                <w:rFonts w:ascii="Times New Roman" w:eastAsia="仿宋_GB2312"/>
                <w:kern w:val="0"/>
                <w:sz w:val="24"/>
                <w:szCs w:val="24"/>
              </w:rPr>
            </w:pPr>
            <w:r>
              <w:rPr>
                <w:rFonts w:ascii="Times New Roman" w:eastAsia="仿宋_GB2312"/>
                <w:kern w:val="0"/>
                <w:sz w:val="24"/>
                <w:szCs w:val="24"/>
              </w:rPr>
              <w:t>12</w:t>
            </w:r>
          </w:p>
        </w:tc>
        <w:tc>
          <w:tcPr>
            <w:tcW w:w="4829" w:type="dxa"/>
            <w:noWrap/>
            <w:vAlign w:val="center"/>
          </w:tcPr>
          <w:p>
            <w:pPr>
              <w:pStyle w:val="4"/>
              <w:spacing w:line="280" w:lineRule="exact"/>
              <w:rPr>
                <w:rFonts w:ascii="Times New Roman" w:eastAsia="仿宋_GB2312"/>
                <w:kern w:val="0"/>
                <w:sz w:val="24"/>
                <w:szCs w:val="24"/>
              </w:rPr>
            </w:pPr>
            <w:r>
              <w:rPr>
                <w:rFonts w:ascii="Times New Roman" w:eastAsia="仿宋_GB2312"/>
                <w:kern w:val="0"/>
                <w:sz w:val="24"/>
                <w:szCs w:val="24"/>
              </w:rPr>
              <w:t>促进四川省低龄退休老人多元就业的政策优化研究</w:t>
            </w:r>
          </w:p>
        </w:tc>
        <w:tc>
          <w:tcPr>
            <w:tcW w:w="1231" w:type="dxa"/>
            <w:noWrap/>
            <w:vAlign w:val="center"/>
          </w:tcPr>
          <w:p>
            <w:pPr>
              <w:pStyle w:val="13"/>
              <w:spacing w:line="280" w:lineRule="exact"/>
              <w:rPr>
                <w:rFonts w:ascii="Times New Roman" w:eastAsia="仿宋_GB2312" w:cs="Times New Roman"/>
                <w:kern w:val="0"/>
                <w:sz w:val="24"/>
                <w:szCs w:val="24"/>
              </w:rPr>
            </w:pPr>
            <w:r>
              <w:rPr>
                <w:rFonts w:ascii="Times New Roman" w:eastAsia="仿宋_GB2312" w:cs="Times New Roman"/>
                <w:kern w:val="0"/>
                <w:sz w:val="24"/>
                <w:szCs w:val="24"/>
              </w:rPr>
              <w:t>林熙</w:t>
            </w:r>
          </w:p>
        </w:tc>
        <w:tc>
          <w:tcPr>
            <w:tcW w:w="2410" w:type="dxa"/>
            <w:vAlign w:val="center"/>
          </w:tcPr>
          <w:p>
            <w:pPr>
              <w:pStyle w:val="4"/>
              <w:spacing w:line="280" w:lineRule="exact"/>
              <w:rPr>
                <w:rFonts w:ascii="Times New Roman" w:eastAsia="仿宋_GB2312"/>
                <w:kern w:val="0"/>
                <w:sz w:val="24"/>
                <w:szCs w:val="24"/>
              </w:rPr>
            </w:pPr>
            <w:r>
              <w:rPr>
                <w:rFonts w:ascii="Times New Roman" w:eastAsia="仿宋_GB2312"/>
                <w:kern w:val="0"/>
                <w:sz w:val="24"/>
                <w:szCs w:val="24"/>
              </w:rPr>
              <w:t>四川大学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56" w:type="dxa"/>
            <w:vAlign w:val="center"/>
          </w:tcPr>
          <w:p>
            <w:pPr>
              <w:pStyle w:val="11"/>
              <w:rPr>
                <w:spacing w:val="0"/>
                <w:kern w:val="0"/>
              </w:rPr>
            </w:pPr>
            <w:r>
              <w:rPr>
                <w:spacing w:val="0"/>
                <w:kern w:val="0"/>
              </w:rPr>
              <w:t>13</w:t>
            </w:r>
          </w:p>
        </w:tc>
        <w:tc>
          <w:tcPr>
            <w:tcW w:w="4829" w:type="dxa"/>
            <w:noWrap/>
            <w:vAlign w:val="center"/>
          </w:tcPr>
          <w:p>
            <w:pPr>
              <w:pStyle w:val="11"/>
              <w:rPr>
                <w:spacing w:val="0"/>
                <w:kern w:val="0"/>
              </w:rPr>
            </w:pPr>
            <w:r>
              <w:rPr>
                <w:spacing w:val="0"/>
                <w:kern w:val="0"/>
              </w:rPr>
              <w:t>四川省人工智能发展与高技能劳动力需求趋势分析</w:t>
            </w:r>
          </w:p>
        </w:tc>
        <w:tc>
          <w:tcPr>
            <w:tcW w:w="1231" w:type="dxa"/>
            <w:noWrap/>
            <w:vAlign w:val="center"/>
          </w:tcPr>
          <w:p>
            <w:pPr>
              <w:pStyle w:val="4"/>
              <w:spacing w:line="280" w:lineRule="exact"/>
              <w:rPr>
                <w:rFonts w:ascii="Times New Roman" w:eastAsia="仿宋_GB2312"/>
                <w:kern w:val="0"/>
                <w:sz w:val="24"/>
                <w:szCs w:val="24"/>
              </w:rPr>
            </w:pPr>
            <w:r>
              <w:rPr>
                <w:rFonts w:ascii="Times New Roman" w:eastAsia="仿宋_GB2312"/>
                <w:kern w:val="0"/>
                <w:sz w:val="24"/>
                <w:szCs w:val="24"/>
              </w:rPr>
              <w:t>安映萱</w:t>
            </w:r>
          </w:p>
        </w:tc>
        <w:tc>
          <w:tcPr>
            <w:tcW w:w="2410" w:type="dxa"/>
            <w:vAlign w:val="center"/>
          </w:tcPr>
          <w:p>
            <w:pPr>
              <w:pStyle w:val="4"/>
              <w:spacing w:line="280" w:lineRule="exact"/>
              <w:rPr>
                <w:rFonts w:ascii="Times New Roman" w:eastAsia="仿宋_GB2312"/>
                <w:kern w:val="0"/>
                <w:sz w:val="24"/>
                <w:szCs w:val="24"/>
              </w:rPr>
            </w:pPr>
            <w:r>
              <w:rPr>
                <w:rFonts w:ascii="Times New Roman" w:eastAsia="仿宋_GB2312"/>
                <w:kern w:val="0"/>
                <w:sz w:val="24"/>
                <w:szCs w:val="24"/>
              </w:rPr>
              <w:t>西南石油大学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56" w:type="dxa"/>
            <w:vAlign w:val="center"/>
          </w:tcPr>
          <w:p>
            <w:pPr>
              <w:pStyle w:val="11"/>
              <w:rPr>
                <w:spacing w:val="0"/>
                <w:kern w:val="0"/>
              </w:rPr>
            </w:pPr>
            <w:r>
              <w:rPr>
                <w:spacing w:val="0"/>
                <w:kern w:val="0"/>
              </w:rPr>
              <w:t>14</w:t>
            </w:r>
          </w:p>
        </w:tc>
        <w:tc>
          <w:tcPr>
            <w:tcW w:w="4829" w:type="dxa"/>
            <w:noWrap/>
            <w:vAlign w:val="center"/>
          </w:tcPr>
          <w:p>
            <w:pPr>
              <w:pStyle w:val="11"/>
              <w:rPr>
                <w:spacing w:val="0"/>
                <w:kern w:val="0"/>
              </w:rPr>
            </w:pPr>
            <w:r>
              <w:rPr>
                <w:spacing w:val="0"/>
                <w:kern w:val="0"/>
              </w:rPr>
              <w:t>习近平总书记关于就业领域重要论述在四川高职院校劳动教育中的应用研究</w:t>
            </w:r>
          </w:p>
        </w:tc>
        <w:tc>
          <w:tcPr>
            <w:tcW w:w="1231" w:type="dxa"/>
            <w:noWrap/>
            <w:vAlign w:val="center"/>
          </w:tcPr>
          <w:p>
            <w:pPr>
              <w:pStyle w:val="4"/>
              <w:spacing w:line="280" w:lineRule="exact"/>
              <w:rPr>
                <w:rFonts w:ascii="Times New Roman" w:eastAsia="仿宋_GB2312"/>
                <w:kern w:val="0"/>
                <w:sz w:val="24"/>
                <w:szCs w:val="24"/>
              </w:rPr>
            </w:pPr>
            <w:r>
              <w:rPr>
                <w:rFonts w:ascii="Times New Roman" w:eastAsia="仿宋_GB2312"/>
                <w:kern w:val="0"/>
                <w:sz w:val="24"/>
                <w:szCs w:val="24"/>
              </w:rPr>
              <w:t>刘晓莉</w:t>
            </w:r>
          </w:p>
        </w:tc>
        <w:tc>
          <w:tcPr>
            <w:tcW w:w="2410" w:type="dxa"/>
            <w:vAlign w:val="center"/>
          </w:tcPr>
          <w:p>
            <w:pPr>
              <w:pStyle w:val="4"/>
              <w:spacing w:line="280" w:lineRule="exact"/>
              <w:rPr>
                <w:rFonts w:ascii="Times New Roman" w:eastAsia="仿宋_GB2312"/>
                <w:kern w:val="0"/>
                <w:sz w:val="24"/>
                <w:szCs w:val="24"/>
              </w:rPr>
            </w:pPr>
            <w:r>
              <w:rPr>
                <w:rFonts w:ascii="Times New Roman" w:eastAsia="仿宋_GB2312"/>
                <w:kern w:val="0"/>
                <w:sz w:val="24"/>
                <w:szCs w:val="24"/>
              </w:rPr>
              <w:t>成都工业职业技术学院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56" w:type="dxa"/>
            <w:vAlign w:val="center"/>
          </w:tcPr>
          <w:p>
            <w:pPr>
              <w:pStyle w:val="11"/>
              <w:rPr>
                <w:spacing w:val="0"/>
                <w:kern w:val="0"/>
              </w:rPr>
            </w:pPr>
            <w:r>
              <w:rPr>
                <w:spacing w:val="0"/>
                <w:kern w:val="0"/>
              </w:rPr>
              <w:t>15</w:t>
            </w:r>
          </w:p>
        </w:tc>
        <w:tc>
          <w:tcPr>
            <w:tcW w:w="4829" w:type="dxa"/>
            <w:noWrap/>
            <w:vAlign w:val="center"/>
          </w:tcPr>
          <w:p>
            <w:pPr>
              <w:pStyle w:val="11"/>
              <w:rPr>
                <w:spacing w:val="0"/>
                <w:kern w:val="0"/>
              </w:rPr>
            </w:pPr>
            <w:r>
              <w:rPr>
                <w:spacing w:val="0"/>
                <w:kern w:val="0"/>
              </w:rPr>
              <w:t>数字经济背景下成渝地区双城经济圈劳动力市场一体化研究</w:t>
            </w:r>
          </w:p>
        </w:tc>
        <w:tc>
          <w:tcPr>
            <w:tcW w:w="1231" w:type="dxa"/>
            <w:noWrap/>
            <w:vAlign w:val="center"/>
          </w:tcPr>
          <w:p>
            <w:pPr>
              <w:pStyle w:val="13"/>
              <w:spacing w:line="280" w:lineRule="exact"/>
              <w:rPr>
                <w:rFonts w:ascii="Times New Roman" w:eastAsia="仿宋_GB2312" w:cs="Times New Roman"/>
                <w:kern w:val="0"/>
                <w:sz w:val="24"/>
                <w:szCs w:val="24"/>
              </w:rPr>
            </w:pPr>
            <w:r>
              <w:rPr>
                <w:rFonts w:ascii="Times New Roman" w:eastAsia="仿宋_GB2312" w:cs="Times New Roman"/>
                <w:kern w:val="0"/>
                <w:sz w:val="24"/>
                <w:szCs w:val="24"/>
              </w:rPr>
              <w:t>陈耿宣</w:t>
            </w:r>
          </w:p>
        </w:tc>
        <w:tc>
          <w:tcPr>
            <w:tcW w:w="2410" w:type="dxa"/>
            <w:vAlign w:val="center"/>
          </w:tcPr>
          <w:p>
            <w:pPr>
              <w:pStyle w:val="13"/>
              <w:spacing w:line="280" w:lineRule="exact"/>
              <w:rPr>
                <w:rFonts w:ascii="Times New Roman" w:eastAsia="仿宋_GB2312" w:cs="Times New Roman"/>
                <w:kern w:val="0"/>
                <w:sz w:val="24"/>
                <w:szCs w:val="24"/>
              </w:rPr>
            </w:pPr>
            <w:r>
              <w:rPr>
                <w:rFonts w:ascii="Times New Roman" w:eastAsia="仿宋_GB2312" w:cs="Times New Roman"/>
                <w:kern w:val="0"/>
                <w:sz w:val="24"/>
                <w:szCs w:val="24"/>
              </w:rPr>
              <w:t>四川省社会科学院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56" w:type="dxa"/>
            <w:vAlign w:val="center"/>
          </w:tcPr>
          <w:p>
            <w:pPr>
              <w:pStyle w:val="11"/>
              <w:rPr>
                <w:spacing w:val="0"/>
                <w:kern w:val="0"/>
              </w:rPr>
            </w:pPr>
            <w:r>
              <w:rPr>
                <w:spacing w:val="0"/>
                <w:kern w:val="0"/>
              </w:rPr>
              <w:t>16</w:t>
            </w:r>
          </w:p>
        </w:tc>
        <w:tc>
          <w:tcPr>
            <w:tcW w:w="4829" w:type="dxa"/>
            <w:noWrap/>
            <w:vAlign w:val="center"/>
          </w:tcPr>
          <w:p>
            <w:pPr>
              <w:pStyle w:val="11"/>
              <w:rPr>
                <w:spacing w:val="0"/>
                <w:kern w:val="0"/>
              </w:rPr>
            </w:pPr>
            <w:r>
              <w:rPr>
                <w:spacing w:val="0"/>
                <w:kern w:val="0"/>
              </w:rPr>
              <w:t>产业结构变革背景下四川省高职大学生“慢就业”倾向及教育应对研究</w:t>
            </w:r>
          </w:p>
        </w:tc>
        <w:tc>
          <w:tcPr>
            <w:tcW w:w="1231" w:type="dxa"/>
            <w:noWrap/>
            <w:vAlign w:val="center"/>
          </w:tcPr>
          <w:p>
            <w:pPr>
              <w:pStyle w:val="4"/>
              <w:spacing w:line="280" w:lineRule="exact"/>
              <w:rPr>
                <w:rFonts w:ascii="Times New Roman" w:eastAsia="仿宋_GB2312"/>
                <w:kern w:val="0"/>
                <w:sz w:val="24"/>
                <w:szCs w:val="24"/>
              </w:rPr>
            </w:pPr>
            <w:r>
              <w:rPr>
                <w:rFonts w:ascii="Times New Roman" w:eastAsia="仿宋_GB2312"/>
                <w:kern w:val="0"/>
                <w:sz w:val="24"/>
                <w:szCs w:val="24"/>
              </w:rPr>
              <w:t>田勇</w:t>
            </w:r>
          </w:p>
        </w:tc>
        <w:tc>
          <w:tcPr>
            <w:tcW w:w="2410" w:type="dxa"/>
            <w:vAlign w:val="center"/>
          </w:tcPr>
          <w:p>
            <w:pPr>
              <w:pStyle w:val="4"/>
              <w:spacing w:line="280" w:lineRule="exact"/>
              <w:rPr>
                <w:rFonts w:ascii="Times New Roman" w:eastAsia="仿宋_GB2312"/>
                <w:kern w:val="0"/>
                <w:sz w:val="24"/>
                <w:szCs w:val="24"/>
              </w:rPr>
            </w:pPr>
            <w:r>
              <w:rPr>
                <w:rFonts w:ascii="Times New Roman" w:eastAsia="仿宋_GB2312"/>
                <w:kern w:val="0"/>
                <w:sz w:val="24"/>
                <w:szCs w:val="24"/>
              </w:rPr>
              <w:t>四川司法警官职业学院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56" w:type="dxa"/>
            <w:vAlign w:val="center"/>
          </w:tcPr>
          <w:p>
            <w:pPr>
              <w:pStyle w:val="11"/>
              <w:rPr>
                <w:spacing w:val="0"/>
                <w:kern w:val="0"/>
              </w:rPr>
            </w:pPr>
            <w:r>
              <w:rPr>
                <w:spacing w:val="0"/>
                <w:kern w:val="0"/>
              </w:rPr>
              <w:t>17</w:t>
            </w:r>
          </w:p>
        </w:tc>
        <w:tc>
          <w:tcPr>
            <w:tcW w:w="4829" w:type="dxa"/>
            <w:noWrap/>
            <w:vAlign w:val="center"/>
          </w:tcPr>
          <w:p>
            <w:pPr>
              <w:pStyle w:val="11"/>
              <w:rPr>
                <w:spacing w:val="0"/>
                <w:kern w:val="0"/>
              </w:rPr>
            </w:pPr>
            <w:r>
              <w:rPr>
                <w:spacing w:val="0"/>
                <w:kern w:val="0"/>
              </w:rPr>
              <w:t>基于多源数据融合的四川省银发经济发展的现状与预测分析</w:t>
            </w:r>
          </w:p>
        </w:tc>
        <w:tc>
          <w:tcPr>
            <w:tcW w:w="1231" w:type="dxa"/>
            <w:noWrap/>
            <w:vAlign w:val="center"/>
          </w:tcPr>
          <w:p>
            <w:pPr>
              <w:pStyle w:val="4"/>
              <w:spacing w:line="280" w:lineRule="exact"/>
              <w:rPr>
                <w:rFonts w:ascii="Times New Roman" w:eastAsia="仿宋_GB2312"/>
                <w:kern w:val="0"/>
                <w:sz w:val="24"/>
                <w:szCs w:val="24"/>
              </w:rPr>
            </w:pPr>
            <w:r>
              <w:rPr>
                <w:rFonts w:ascii="Times New Roman" w:eastAsia="仿宋_GB2312"/>
                <w:kern w:val="0"/>
                <w:sz w:val="24"/>
                <w:szCs w:val="24"/>
              </w:rPr>
              <w:t>王璐</w:t>
            </w:r>
          </w:p>
        </w:tc>
        <w:tc>
          <w:tcPr>
            <w:tcW w:w="2410" w:type="dxa"/>
            <w:vAlign w:val="center"/>
          </w:tcPr>
          <w:p>
            <w:pPr>
              <w:pStyle w:val="12"/>
              <w:spacing w:line="280" w:lineRule="exact"/>
              <w:ind w:firstLine="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西南交通大学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56" w:type="dxa"/>
            <w:vAlign w:val="center"/>
          </w:tcPr>
          <w:p>
            <w:pPr>
              <w:pStyle w:val="11"/>
              <w:rPr>
                <w:spacing w:val="0"/>
                <w:kern w:val="0"/>
              </w:rPr>
            </w:pPr>
            <w:r>
              <w:rPr>
                <w:spacing w:val="0"/>
                <w:kern w:val="0"/>
              </w:rPr>
              <w:t>18</w:t>
            </w:r>
          </w:p>
        </w:tc>
        <w:tc>
          <w:tcPr>
            <w:tcW w:w="4829" w:type="dxa"/>
            <w:noWrap/>
            <w:vAlign w:val="center"/>
          </w:tcPr>
          <w:p>
            <w:pPr>
              <w:pStyle w:val="11"/>
              <w:rPr>
                <w:spacing w:val="0"/>
                <w:kern w:val="0"/>
              </w:rPr>
            </w:pPr>
            <w:r>
              <w:rPr>
                <w:spacing w:val="0"/>
                <w:kern w:val="0"/>
              </w:rPr>
              <w:t>公立医院行政后勤职能部门以岗定薪人才激励体系构建的研究与实践</w:t>
            </w:r>
          </w:p>
        </w:tc>
        <w:tc>
          <w:tcPr>
            <w:tcW w:w="1231" w:type="dxa"/>
            <w:noWrap/>
            <w:vAlign w:val="center"/>
          </w:tcPr>
          <w:p>
            <w:pPr>
              <w:pStyle w:val="11"/>
              <w:rPr>
                <w:spacing w:val="0"/>
                <w:kern w:val="0"/>
              </w:rPr>
            </w:pPr>
            <w:r>
              <w:rPr>
                <w:spacing w:val="0"/>
                <w:kern w:val="0"/>
              </w:rPr>
              <w:t>麦刚</w:t>
            </w:r>
          </w:p>
          <w:p>
            <w:pPr>
              <w:pStyle w:val="11"/>
              <w:rPr>
                <w:spacing w:val="0"/>
                <w:kern w:val="0"/>
              </w:rPr>
            </w:pPr>
          </w:p>
        </w:tc>
        <w:tc>
          <w:tcPr>
            <w:tcW w:w="2410" w:type="dxa"/>
            <w:vAlign w:val="center"/>
          </w:tcPr>
          <w:p>
            <w:pPr>
              <w:pStyle w:val="4"/>
              <w:spacing w:line="280" w:lineRule="exact"/>
              <w:rPr>
                <w:rFonts w:ascii="Times New Roman" w:eastAsia="仿宋_GB2312"/>
                <w:kern w:val="0"/>
                <w:sz w:val="24"/>
                <w:szCs w:val="24"/>
              </w:rPr>
            </w:pPr>
            <w:r>
              <w:rPr>
                <w:rFonts w:ascii="Times New Roman" w:eastAsia="仿宋_GB2312"/>
                <w:kern w:val="0"/>
                <w:sz w:val="24"/>
                <w:szCs w:val="24"/>
              </w:rPr>
              <w:t>德阳市人民医院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56" w:type="dxa"/>
            <w:vAlign w:val="center"/>
          </w:tcPr>
          <w:p>
            <w:pPr>
              <w:pStyle w:val="11"/>
              <w:rPr>
                <w:spacing w:val="0"/>
                <w:kern w:val="0"/>
              </w:rPr>
            </w:pPr>
            <w:r>
              <w:rPr>
                <w:spacing w:val="0"/>
                <w:kern w:val="0"/>
              </w:rPr>
              <w:t>19</w:t>
            </w:r>
          </w:p>
        </w:tc>
        <w:tc>
          <w:tcPr>
            <w:tcW w:w="4829" w:type="dxa"/>
            <w:noWrap/>
            <w:vAlign w:val="center"/>
          </w:tcPr>
          <w:p>
            <w:pPr>
              <w:pStyle w:val="11"/>
              <w:rPr>
                <w:spacing w:val="0"/>
                <w:kern w:val="0"/>
              </w:rPr>
            </w:pPr>
            <w:r>
              <w:rPr>
                <w:spacing w:val="0"/>
                <w:kern w:val="0"/>
              </w:rPr>
              <w:t>四川省事业单位岗位管理创新实践研究</w:t>
            </w:r>
          </w:p>
        </w:tc>
        <w:tc>
          <w:tcPr>
            <w:tcW w:w="1231" w:type="dxa"/>
            <w:noWrap/>
            <w:vAlign w:val="center"/>
          </w:tcPr>
          <w:p>
            <w:pPr>
              <w:pStyle w:val="11"/>
              <w:rPr>
                <w:spacing w:val="0"/>
                <w:kern w:val="0"/>
              </w:rPr>
            </w:pPr>
            <w:r>
              <w:rPr>
                <w:spacing w:val="0"/>
                <w:kern w:val="0"/>
              </w:rPr>
              <w:t>姜娜</w:t>
            </w:r>
          </w:p>
        </w:tc>
        <w:tc>
          <w:tcPr>
            <w:tcW w:w="2410" w:type="dxa"/>
            <w:vAlign w:val="center"/>
          </w:tcPr>
          <w:p>
            <w:pPr>
              <w:pStyle w:val="11"/>
              <w:rPr>
                <w:spacing w:val="0"/>
                <w:kern w:val="0"/>
              </w:rPr>
            </w:pPr>
            <w:r>
              <w:rPr>
                <w:spacing w:val="0"/>
                <w:kern w:val="0"/>
              </w:rPr>
              <w:t>农业农村部成都沼气科学研究所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56" w:type="dxa"/>
            <w:vAlign w:val="center"/>
          </w:tcPr>
          <w:p>
            <w:pPr>
              <w:pStyle w:val="11"/>
              <w:rPr>
                <w:spacing w:val="0"/>
                <w:kern w:val="0"/>
              </w:rPr>
            </w:pPr>
            <w:r>
              <w:rPr>
                <w:spacing w:val="0"/>
                <w:kern w:val="0"/>
              </w:rPr>
              <w:t>20</w:t>
            </w:r>
          </w:p>
        </w:tc>
        <w:tc>
          <w:tcPr>
            <w:tcW w:w="4829" w:type="dxa"/>
            <w:noWrap/>
            <w:vAlign w:val="center"/>
          </w:tcPr>
          <w:p>
            <w:pPr>
              <w:pStyle w:val="11"/>
              <w:rPr>
                <w:spacing w:val="0"/>
                <w:kern w:val="0"/>
              </w:rPr>
            </w:pPr>
            <w:r>
              <w:rPr>
                <w:spacing w:val="0"/>
                <w:kern w:val="0"/>
              </w:rPr>
              <w:t>四川省新时代创新人才队伍建设问题研究</w:t>
            </w:r>
          </w:p>
        </w:tc>
        <w:tc>
          <w:tcPr>
            <w:tcW w:w="1231" w:type="dxa"/>
            <w:noWrap/>
            <w:vAlign w:val="center"/>
          </w:tcPr>
          <w:p>
            <w:pPr>
              <w:pStyle w:val="14"/>
              <w:spacing w:line="280" w:lineRule="exact"/>
              <w:jc w:val="center"/>
              <w:rPr>
                <w:rFonts w:ascii="Times New Roman" w:eastAsia="仿宋_GB2312" w:cs="Times New Roman"/>
                <w:kern w:val="0"/>
                <w:sz w:val="24"/>
                <w:szCs w:val="24"/>
              </w:rPr>
            </w:pPr>
            <w:r>
              <w:rPr>
                <w:rFonts w:ascii="Times New Roman" w:eastAsia="仿宋_GB2312" w:cs="Times New Roman"/>
                <w:kern w:val="0"/>
                <w:sz w:val="24"/>
                <w:szCs w:val="24"/>
              </w:rPr>
              <w:t>巫南克</w:t>
            </w:r>
          </w:p>
        </w:tc>
        <w:tc>
          <w:tcPr>
            <w:tcW w:w="2410" w:type="dxa"/>
            <w:vAlign w:val="center"/>
          </w:tcPr>
          <w:p>
            <w:pPr>
              <w:pStyle w:val="4"/>
              <w:spacing w:line="280" w:lineRule="exact"/>
              <w:rPr>
                <w:rFonts w:ascii="Times New Roman" w:eastAsia="仿宋_GB2312"/>
                <w:kern w:val="0"/>
                <w:sz w:val="24"/>
                <w:szCs w:val="24"/>
              </w:rPr>
            </w:pPr>
            <w:r>
              <w:rPr>
                <w:rFonts w:ascii="Times New Roman" w:eastAsia="仿宋_GB2312"/>
                <w:kern w:val="0"/>
                <w:sz w:val="24"/>
                <w:szCs w:val="24"/>
              </w:rPr>
              <w:t>四川省创新驱动发展中心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56" w:type="dxa"/>
            <w:vAlign w:val="center"/>
          </w:tcPr>
          <w:p>
            <w:pPr>
              <w:pStyle w:val="11"/>
              <w:rPr>
                <w:spacing w:val="0"/>
                <w:kern w:val="0"/>
              </w:rPr>
            </w:pPr>
            <w:r>
              <w:rPr>
                <w:spacing w:val="0"/>
                <w:kern w:val="0"/>
              </w:rPr>
              <w:t>21</w:t>
            </w:r>
          </w:p>
        </w:tc>
        <w:tc>
          <w:tcPr>
            <w:tcW w:w="4829" w:type="dxa"/>
            <w:noWrap/>
            <w:vAlign w:val="center"/>
          </w:tcPr>
          <w:p>
            <w:pPr>
              <w:pStyle w:val="11"/>
              <w:rPr>
                <w:spacing w:val="0"/>
                <w:kern w:val="0"/>
              </w:rPr>
            </w:pPr>
            <w:r>
              <w:rPr>
                <w:spacing w:val="0"/>
                <w:kern w:val="0"/>
              </w:rPr>
              <w:t>构建新时代工作评估体系助力人社事业高质量发展研究</w:t>
            </w:r>
          </w:p>
        </w:tc>
        <w:tc>
          <w:tcPr>
            <w:tcW w:w="1231" w:type="dxa"/>
            <w:noWrap/>
            <w:vAlign w:val="center"/>
          </w:tcPr>
          <w:p>
            <w:pPr>
              <w:pStyle w:val="4"/>
              <w:spacing w:line="280" w:lineRule="exact"/>
              <w:rPr>
                <w:rFonts w:ascii="Times New Roman" w:eastAsia="仿宋_GB2312"/>
                <w:kern w:val="0"/>
                <w:sz w:val="24"/>
                <w:szCs w:val="24"/>
              </w:rPr>
            </w:pPr>
            <w:r>
              <w:rPr>
                <w:rFonts w:ascii="Times New Roman" w:eastAsia="仿宋_GB2312"/>
                <w:kern w:val="0"/>
                <w:sz w:val="24"/>
                <w:szCs w:val="24"/>
              </w:rPr>
              <w:t>刘</w:t>
            </w:r>
            <w:r>
              <w:rPr>
                <w:rFonts w:ascii="Times New Roman" w:hAnsi="Times New Roman" w:eastAsia="仿宋_GB2312" w:cs="Times New Roman"/>
                <w:snapToGrid w:val="0"/>
                <w:color w:val="000000" w:themeColor="text1"/>
                <w:kern w:val="0"/>
                <w:sz w:val="24"/>
                <w:szCs w:val="24"/>
                <w:lang w:val="en-US" w:eastAsia="zh-CN" w:bidi="ar-SA"/>
                <w14:textFill>
                  <w14:solidFill>
                    <w14:schemeClr w14:val="tx1"/>
                  </w14:solidFill>
                </w14:textFill>
              </w:rPr>
              <w:t>玥</w:t>
            </w:r>
          </w:p>
        </w:tc>
        <w:tc>
          <w:tcPr>
            <w:tcW w:w="2410" w:type="dxa"/>
            <w:vAlign w:val="center"/>
          </w:tcPr>
          <w:p>
            <w:pPr>
              <w:pStyle w:val="4"/>
              <w:spacing w:line="280" w:lineRule="exact"/>
              <w:rPr>
                <w:rFonts w:ascii="Times New Roman" w:eastAsia="仿宋_GB2312"/>
                <w:kern w:val="0"/>
                <w:sz w:val="24"/>
                <w:szCs w:val="24"/>
              </w:rPr>
            </w:pPr>
            <w:r>
              <w:rPr>
                <w:rFonts w:ascii="Times New Roman" w:eastAsia="仿宋_GB2312"/>
                <w:kern w:val="0"/>
                <w:sz w:val="24"/>
                <w:szCs w:val="24"/>
              </w:rPr>
              <w:t>四川省人力资源和社会保障科学研究所</w:t>
            </w:r>
          </w:p>
        </w:tc>
      </w:tr>
    </w:tbl>
    <w:p>
      <w:bookmarkStart w:id="0" w:name="_GoBack"/>
      <w:bookmarkEnd w:id="0"/>
    </w:p>
    <w:sectPr>
      <w:pgSz w:w="11906" w:h="16838"/>
      <w:pgMar w:top="2098" w:right="1474" w:bottom="1985" w:left="1588"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微软雅黑">
    <w:altName w:val="黑体"/>
    <w:panose1 w:val="020B0503020204020204"/>
    <w:charset w:val="86"/>
    <w:family w:val="swiss"/>
    <w:pitch w:val="default"/>
    <w:sig w:usb0="00000000" w:usb1="00000000" w:usb2="00000016" w:usb3="00000000" w:csb0="0004001F" w:csb1="00000000"/>
  </w:font>
  <w:font w:name="汉仪仿宋S">
    <w:panose1 w:val="00020600040101000101"/>
    <w:charset w:val="86"/>
    <w:family w:val="auto"/>
    <w:pitch w:val="default"/>
    <w:sig w:usb0="A00002BF" w:usb1="38CF7CFA" w:usb2="00000016" w:usb3="00000000" w:csb0="0004009F" w:csb1="00000000"/>
  </w:font>
  <w:font w:name="等线 Light">
    <w:altName w:val="汉仪仿宋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BA"/>
    <w:rsid w:val="00673177"/>
    <w:rsid w:val="00BE76BA"/>
    <w:rsid w:val="00BE7B43"/>
    <w:rsid w:val="00E242E3"/>
    <w:rsid w:val="70BFE7A0"/>
    <w:rsid w:val="EE77B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rFonts w:eastAsia="黑体"/>
      <w:b/>
      <w:bCs/>
      <w:kern w:val="44"/>
      <w:sz w:val="44"/>
      <w:szCs w:val="44"/>
    </w:rPr>
  </w:style>
  <w:style w:type="paragraph" w:styleId="3">
    <w:name w:val="heading 2"/>
    <w:basedOn w:val="1"/>
    <w:next w:val="1"/>
    <w:link w:val="9"/>
    <w:semiHidden/>
    <w:unhideWhenUsed/>
    <w:qFormat/>
    <w:uiPriority w:val="9"/>
    <w:pPr>
      <w:keepNext/>
      <w:keepLines/>
      <w:spacing w:before="260" w:after="260" w:line="600" w:lineRule="exact"/>
      <w:outlineLvl w:val="1"/>
    </w:pPr>
    <w:rPr>
      <w:rFonts w:eastAsia="方正小标宋简体" w:asciiTheme="majorHAnsi" w:hAnsiTheme="majorHAnsi" w:cstheme="majorBidi"/>
      <w:bCs/>
      <w:sz w:val="44"/>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suppressAutoHyphens/>
      <w:spacing w:line="600" w:lineRule="exact"/>
      <w:jc w:val="center"/>
    </w:pPr>
    <w:rPr>
      <w:rFonts w:ascii="楷体_GB2312" w:eastAsia="楷体_GB2312"/>
      <w:snapToGrid w:val="0"/>
      <w:color w:val="000000" w:themeColor="text1"/>
      <w:sz w:val="32"/>
      <w:szCs w:val="32"/>
      <w14:textFill>
        <w14:solidFill>
          <w14:schemeClr w14:val="tx1"/>
        </w14:solidFill>
      </w14:textFill>
    </w:rPr>
  </w:style>
  <w:style w:type="paragraph" w:styleId="5">
    <w:name w:val="Balloon Text"/>
    <w:basedOn w:val="1"/>
    <w:link w:val="15"/>
    <w:semiHidden/>
    <w:unhideWhenUsed/>
    <w:qFormat/>
    <w:uiPriority w:val="99"/>
    <w:rPr>
      <w:sz w:val="18"/>
      <w:szCs w:val="18"/>
    </w:rPr>
  </w:style>
  <w:style w:type="table" w:styleId="7">
    <w:name w:val="Table Grid"/>
    <w:basedOn w:val="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2 字符"/>
    <w:basedOn w:val="8"/>
    <w:link w:val="3"/>
    <w:semiHidden/>
    <w:qFormat/>
    <w:uiPriority w:val="9"/>
    <w:rPr>
      <w:rFonts w:eastAsia="方正小标宋简体" w:asciiTheme="majorHAnsi" w:hAnsiTheme="majorHAnsi" w:cstheme="majorBidi"/>
      <w:bCs/>
      <w:sz w:val="44"/>
      <w:szCs w:val="32"/>
    </w:rPr>
  </w:style>
  <w:style w:type="character" w:customStyle="1" w:styleId="10">
    <w:name w:val="标题 1 字符"/>
    <w:basedOn w:val="8"/>
    <w:link w:val="2"/>
    <w:qFormat/>
    <w:uiPriority w:val="9"/>
    <w:rPr>
      <w:rFonts w:ascii="Times New Roman" w:hAnsi="Times New Roman" w:eastAsia="黑体" w:cs="Times New Roman"/>
      <w:b/>
      <w:bCs/>
      <w:kern w:val="44"/>
      <w:sz w:val="44"/>
      <w:szCs w:val="44"/>
    </w:rPr>
  </w:style>
  <w:style w:type="paragraph" w:customStyle="1" w:styleId="11">
    <w:name w:val="样式 正文缩进 + 仿宋_GB2312 四号 首行缩进:  0 字符"/>
    <w:basedOn w:val="4"/>
    <w:qFormat/>
    <w:uiPriority w:val="0"/>
    <w:pPr>
      <w:spacing w:line="240" w:lineRule="auto"/>
    </w:pPr>
    <w:rPr>
      <w:rFonts w:ascii="Times New Roman" w:eastAsia="仿宋_GB2312"/>
      <w:spacing w:val="-10"/>
      <w:sz w:val="24"/>
      <w:szCs w:val="24"/>
    </w:rPr>
  </w:style>
  <w:style w:type="paragraph" w:customStyle="1" w:styleId="12">
    <w:name w:val="样式 正文缩进 + 仿宋_GB2312 四号 居中 首行缩进:  2 字符"/>
    <w:basedOn w:val="4"/>
    <w:qFormat/>
    <w:uiPriority w:val="0"/>
    <w:pPr>
      <w:ind w:firstLine="560"/>
    </w:pPr>
    <w:rPr>
      <w:rFonts w:hAnsi="仿宋_GB2312" w:cs="宋体"/>
      <w:szCs w:val="20"/>
    </w:rPr>
  </w:style>
  <w:style w:type="paragraph" w:customStyle="1" w:styleId="13">
    <w:name w:val="样式 正文缩进 + 仿宋_GB2312 四号 居中 首行缩进:  0 字符"/>
    <w:basedOn w:val="4"/>
    <w:qFormat/>
    <w:uiPriority w:val="0"/>
    <w:rPr>
      <w:rFonts w:cs="宋体"/>
      <w:szCs w:val="20"/>
    </w:rPr>
  </w:style>
  <w:style w:type="paragraph" w:customStyle="1" w:styleId="14">
    <w:name w:val="样式 正文缩进 + 仿宋_GB2312 四号 左 首行缩进:  0 字符"/>
    <w:basedOn w:val="4"/>
    <w:qFormat/>
    <w:uiPriority w:val="0"/>
    <w:pPr>
      <w:jc w:val="left"/>
    </w:pPr>
    <w:rPr>
      <w:rFonts w:cs="宋体"/>
      <w:szCs w:val="20"/>
    </w:rPr>
  </w:style>
  <w:style w:type="character" w:customStyle="1" w:styleId="15">
    <w:name w:val="批注框文本 字符"/>
    <w:basedOn w:val="8"/>
    <w:link w:val="5"/>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143</Words>
  <Characters>818</Characters>
  <Lines>6</Lines>
  <Paragraphs>1</Paragraphs>
  <TotalTime>2</TotalTime>
  <ScaleCrop>false</ScaleCrop>
  <LinksUpToDate>false</LinksUpToDate>
  <CharactersWithSpaces>960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2024-05-14T18:05:00Z</dcterms:created>
  <dc:creator>修改理由</dc:creator>
  <cp:lastModifiedBy>user</cp:lastModifiedBy>
  <cp:lastPrinted>2024-05-14T18:08:00Z</cp:lastPrinted>
  <dcterms:modified xsi:type="dcterms:W3CDTF">2024-05-14T17:45:20Z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