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widowControl/>
        <w:suppressAutoHyphens w:val="0"/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/>
          <w:sz w:val="44"/>
          <w:szCs w:val="44"/>
        </w:rPr>
        <w:t>2024年度人社科研重点项目立项名单</w:t>
      </w:r>
    </w:p>
    <w:tbl>
      <w:tblPr>
        <w:tblStyle w:val="9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642"/>
        <w:gridCol w:w="993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5098" w:type="dxa"/>
            <w:gridSpan w:val="2"/>
            <w:vAlign w:val="center"/>
          </w:tcPr>
          <w:p>
            <w:pPr>
              <w:suppressAutoHyphens w:val="0"/>
              <w:jc w:val="center"/>
              <w:rPr>
                <w:rFonts w:ascii="Times New Roman" w:eastAsia="黑体"/>
                <w:kern w:val="0"/>
                <w:sz w:val="24"/>
              </w:rPr>
            </w:pPr>
            <w:r>
              <w:rPr>
                <w:rFonts w:ascii="Times New Roman" w:eastAsia="黑体"/>
                <w:kern w:val="0"/>
                <w:sz w:val="24"/>
              </w:rPr>
              <w:t>项目名称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asci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kern w:val="0"/>
                <w:sz w:val="24"/>
                <w:szCs w:val="24"/>
              </w:rPr>
              <w:t>项目</w:t>
            </w:r>
          </w:p>
          <w:p>
            <w:pPr>
              <w:pStyle w:val="2"/>
              <w:spacing w:line="240" w:lineRule="auto"/>
              <w:rPr>
                <w:rFonts w:asci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line="240" w:lineRule="auto"/>
              <w:rPr>
                <w:rFonts w:asci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eastAsia="黑体"/>
                <w:kern w:val="0"/>
                <w:sz w:val="24"/>
                <w:szCs w:val="24"/>
              </w:rPr>
              <w:t>项目承担单位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四川省人力资源服务机构评价指标体系建设研究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王霞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2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工程类科研机构专业技术人才队伍梯队建设研究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马志刚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四川省国土空间生态修复与地质灾害防治研究院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8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3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城乡融合背景下大学生返乡就业创业困境及对策研究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饶风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四川省人力资源和社会保障学会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4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新时代“教培产城”融合发展路径研究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杜生民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成都工业学院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5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四川省技能人才评价体系研究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肖忠海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成都理工大学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6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四川省直播带岗标准化服务体系建设研究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芦</w:t>
            </w:r>
            <w:bookmarkStart w:id="0" w:name="_GoBack"/>
            <w:bookmarkEnd w:id="0"/>
            <w:r>
              <w:rPr>
                <w:rFonts w:hint="eastAsia"/>
                <w:spacing w:val="0"/>
                <w:kern w:val="0"/>
              </w:rPr>
              <w:t>燕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7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四川省失业保险运行数据分析研究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蒲明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8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培育发展壮大“川字号”特色劳务品牌对策研究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乔梁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四川工商学院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9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四川省数据要素价值对就业和人口流动影响研究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贾男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10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优化事业单位绩效工资考核激励机制研究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李进军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11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事业单位人事工资数据信息应用领域拓展和大数据监测分析研究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赖莉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四川省人力资源和社会保障学会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12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新就业形态从业人员社会保障问题研究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匡亚林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13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数字化转型背景下的移动式社保卡服务站研发与推广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赵东</w:t>
            </w:r>
          </w:p>
        </w:tc>
        <w:tc>
          <w:tcPr>
            <w:tcW w:w="2835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成都航空职业技术学院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56" w:type="dxa"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14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13"/>
              <w:rPr>
                <w:spacing w:val="0"/>
                <w:kern w:val="0"/>
              </w:rPr>
            </w:pPr>
            <w:r>
              <w:rPr>
                <w:spacing w:val="0"/>
                <w:kern w:val="0"/>
              </w:rPr>
              <w:t>四川省技工教育发展现状分析及对策研究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乔兴媚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四川开放大学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56" w:type="dxa"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4642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四川省脱贫人口就业现状调查研究</w:t>
            </w:r>
          </w:p>
        </w:tc>
        <w:tc>
          <w:tcPr>
            <w:tcW w:w="993" w:type="dxa"/>
            <w:noWrap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罗浩轩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spacing w:line="240" w:lineRule="auto"/>
              <w:rPr>
                <w:rFonts w:asci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/>
                <w:kern w:val="0"/>
                <w:sz w:val="24"/>
                <w:szCs w:val="24"/>
              </w:rPr>
              <w:t>成都理工大学</w:t>
            </w: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61"/>
    <w:rsid w:val="000279CE"/>
    <w:rsid w:val="000A05E1"/>
    <w:rsid w:val="000D4A0D"/>
    <w:rsid w:val="00110221"/>
    <w:rsid w:val="00513419"/>
    <w:rsid w:val="00553B63"/>
    <w:rsid w:val="00673177"/>
    <w:rsid w:val="00727506"/>
    <w:rsid w:val="00767C97"/>
    <w:rsid w:val="007E17BB"/>
    <w:rsid w:val="008A7161"/>
    <w:rsid w:val="009A0B00"/>
    <w:rsid w:val="00B64703"/>
    <w:rsid w:val="00BE7B43"/>
    <w:rsid w:val="00C629FA"/>
    <w:rsid w:val="00D06813"/>
    <w:rsid w:val="00E242E3"/>
    <w:rsid w:val="69F370AF"/>
    <w:rsid w:val="6FDFF5E4"/>
    <w:rsid w:val="CEDFCDA2"/>
    <w:rsid w:val="DF6EE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uppressAutoHyphens w:val="0"/>
      <w:spacing w:before="340" w:after="330" w:line="578" w:lineRule="auto"/>
      <w:outlineLvl w:val="0"/>
    </w:pPr>
    <w:rPr>
      <w:rFonts w:ascii="Times New Roman" w:hAnsi="Times New Roman" w:eastAsia="黑体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9"/>
    <w:pPr>
      <w:keepNext/>
      <w:keepLines/>
      <w:suppressAutoHyphens w:val="0"/>
      <w:spacing w:before="260" w:after="260" w:line="600" w:lineRule="exact"/>
      <w:outlineLvl w:val="1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600" w:lineRule="exact"/>
      <w:jc w:val="center"/>
    </w:pPr>
    <w:rPr>
      <w:rFonts w:ascii="楷体_GB2312" w:hAnsi="Times New Roman" w:eastAsia="楷体_GB2312"/>
      <w:snapToGrid w:val="0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4"/>
    <w:semiHidden/>
    <w:qFormat/>
    <w:uiPriority w:val="9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2">
    <w:name w:val="标题 1 字符"/>
    <w:basedOn w:val="10"/>
    <w:link w:val="3"/>
    <w:qFormat/>
    <w:uiPriority w:val="9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paragraph" w:customStyle="1" w:styleId="13">
    <w:name w:val="样式 正文缩进 + 仿宋_GB2312 四号 首行缩进:  0 字符"/>
    <w:basedOn w:val="2"/>
    <w:qFormat/>
    <w:uiPriority w:val="0"/>
    <w:pPr>
      <w:spacing w:line="240" w:lineRule="auto"/>
    </w:pPr>
    <w:rPr>
      <w:rFonts w:ascii="Times New Roman" w:eastAsia="仿宋_GB2312"/>
      <w:spacing w:val="-10"/>
      <w:sz w:val="24"/>
      <w:szCs w:val="24"/>
    </w:rPr>
  </w:style>
  <w:style w:type="paragraph" w:customStyle="1" w:styleId="14">
    <w:name w:val="样式 正文缩进 + 仿宋_GB2312 四号 居中 首行缩进:  2 字符"/>
    <w:basedOn w:val="2"/>
    <w:qFormat/>
    <w:uiPriority w:val="0"/>
    <w:pPr>
      <w:ind w:firstLine="560"/>
    </w:pPr>
    <w:rPr>
      <w:rFonts w:hAnsi="仿宋_GB2312" w:cs="宋体"/>
      <w:szCs w:val="20"/>
    </w:rPr>
  </w:style>
  <w:style w:type="paragraph" w:customStyle="1" w:styleId="15">
    <w:name w:val="样式 正文缩进 + 仿宋_GB2312 四号 居中 首行缩进:  0 字符"/>
    <w:basedOn w:val="2"/>
    <w:qFormat/>
    <w:uiPriority w:val="0"/>
    <w:rPr>
      <w:rFonts w:cs="宋体"/>
      <w:szCs w:val="20"/>
    </w:rPr>
  </w:style>
  <w:style w:type="paragraph" w:customStyle="1" w:styleId="16">
    <w:name w:val="样式 正文缩进 + 仿宋_GB2312 四号 左 首行缩进:  0 字符"/>
    <w:basedOn w:val="2"/>
    <w:qFormat/>
    <w:uiPriority w:val="0"/>
    <w:pPr>
      <w:jc w:val="left"/>
    </w:pPr>
    <w:rPr>
      <w:rFonts w:cs="宋体"/>
      <w:szCs w:val="20"/>
    </w:rPr>
  </w:style>
  <w:style w:type="character" w:customStyle="1" w:styleId="17">
    <w:name w:val="页眉 字符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批注框文本 字符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504</Characters>
  <Lines>4</Lines>
  <Paragraphs>1</Paragraphs>
  <TotalTime>0</TotalTime>
  <ScaleCrop>false</ScaleCrop>
  <LinksUpToDate>false</LinksUpToDate>
  <CharactersWithSpaces>591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2024-05-15T02:01:00Z</dcterms:created>
  <dc:creator>修改理由</dc:creator>
  <cp:lastModifiedBy>user</cp:lastModifiedBy>
  <cp:lastPrinted>2024-05-15T02:08:00Z</cp:lastPrinted>
  <dcterms:modified xsi:type="dcterms:W3CDTF">2024-05-14T17:52:12Z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