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outlineLvl w:val="0"/>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 w:eastAsia="zh-CN"/>
        </w:rPr>
        <w:t>附件：</w:t>
      </w:r>
      <w:r>
        <w:rPr>
          <w:rFonts w:hint="eastAsia" w:ascii="黑体" w:hAnsi="黑体" w:eastAsia="黑体"/>
          <w:bCs/>
          <w:color w:val="000000"/>
          <w:sz w:val="32"/>
          <w:szCs w:val="32"/>
          <w:lang w:val="en-US" w:eastAsia="zh-CN"/>
        </w:rPr>
        <w:t>1-1</w:t>
      </w:r>
      <w:bookmarkStart w:id="0" w:name="_GoBack"/>
      <w:bookmarkEnd w:id="0"/>
    </w:p>
    <w:p>
      <w:pPr>
        <w:adjustRightInd w:val="0"/>
        <w:snapToGrid w:val="0"/>
        <w:spacing w:line="580" w:lineRule="exact"/>
        <w:jc w:val="left"/>
        <w:rPr>
          <w:rFonts w:hint="default" w:ascii="黑体" w:hAnsi="黑体" w:eastAsia="黑体"/>
          <w:bCs/>
          <w:color w:val="000000"/>
          <w:sz w:val="32"/>
          <w:szCs w:val="32"/>
          <w:lang w:val="en-US" w:eastAsia="zh-CN"/>
        </w:rPr>
      </w:pPr>
    </w:p>
    <w:p>
      <w:pPr>
        <w:adjustRightInd w:val="0"/>
        <w:snapToGrid w:val="0"/>
        <w:spacing w:line="580" w:lineRule="exact"/>
        <w:jc w:val="center"/>
        <w:outlineLvl w:val="0"/>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填  表  说  明</w:t>
      </w:r>
    </w:p>
    <w:p>
      <w:pPr>
        <w:adjustRightInd w:val="0"/>
        <w:snapToGrid w:val="0"/>
        <w:spacing w:line="580" w:lineRule="exact"/>
        <w:jc w:val="center"/>
        <w:rPr>
          <w:rFonts w:hint="eastAsia" w:ascii="方正小标宋简体" w:hAnsi="方正小标宋简体" w:eastAsia="方正小标宋简体" w:cs="方正小标宋简体"/>
          <w:bCs/>
          <w:color w:val="000000"/>
          <w:sz w:val="44"/>
          <w:szCs w:val="44"/>
        </w:rPr>
      </w:pPr>
    </w:p>
    <w:p>
      <w:pPr>
        <w:adjustRightInd w:val="0"/>
        <w:snapToGrid w:val="0"/>
        <w:spacing w:line="580" w:lineRule="exact"/>
        <w:ind w:firstLine="642" w:firstLineChars="200"/>
        <w:jc w:val="left"/>
        <w:outlineLvl w:val="0"/>
        <w:rPr>
          <w:rFonts w:ascii="楷体_GB2312" w:hAnsi="Times New Roman" w:eastAsia="楷体_GB2312"/>
          <w:b/>
          <w:bCs/>
          <w:color w:val="000000"/>
          <w:sz w:val="32"/>
          <w:szCs w:val="32"/>
        </w:rPr>
      </w:pPr>
      <w:r>
        <w:rPr>
          <w:rFonts w:hint="eastAsia" w:ascii="楷体_GB2312" w:hAnsi="Times New Roman" w:eastAsia="楷体_GB2312"/>
          <w:b/>
          <w:bCs/>
          <w:color w:val="000000"/>
          <w:sz w:val="32"/>
          <w:szCs w:val="32"/>
        </w:rPr>
        <w:t>一、封面</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1.设岗引才单位：填写单位全称（以单位公章全称为准），如，XX大学、XX农业科学院。</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2.现单位及职务：指拟聘专家目前的全职工作单位及担任的职务。</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3.推荐单位：指市（州）人力资源社会保障局、省级主管部门、中央在川单位主（代）管部门。</w:t>
      </w:r>
    </w:p>
    <w:p>
      <w:pPr>
        <w:adjustRightInd w:val="0"/>
        <w:snapToGrid w:val="0"/>
        <w:spacing w:line="580" w:lineRule="exact"/>
        <w:ind w:firstLine="642" w:firstLineChars="200"/>
        <w:jc w:val="left"/>
        <w:outlineLvl w:val="0"/>
        <w:rPr>
          <w:rFonts w:ascii="楷体_GB2312" w:hAnsi="Times New Roman" w:eastAsia="楷体_GB2312"/>
          <w:b/>
          <w:bCs/>
          <w:color w:val="000000"/>
          <w:sz w:val="32"/>
          <w:szCs w:val="32"/>
        </w:rPr>
      </w:pPr>
      <w:r>
        <w:rPr>
          <w:rFonts w:ascii="楷体_GB2312" w:hAnsi="Times New Roman" w:eastAsia="楷体_GB2312"/>
          <w:b/>
          <w:bCs/>
          <w:color w:val="000000"/>
          <w:sz w:val="32"/>
          <w:szCs w:val="32"/>
        </w:rPr>
        <w:t>二、拟设岗单位基本情况</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是否处于全省人才发展雁阵格局“1+3”相关市：拟设岗单位是否处于成都、绵阳、宜宾、泸州、南充、达州区域内。若“是”，需填写到具体隶属的市。</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2.是否为县（市、区）人才工作先行区区域内单位:拟设岗单位是否处于我省</w:t>
      </w:r>
      <w:r>
        <w:rPr>
          <w:rFonts w:ascii="Times New Roman" w:hAnsi="Times New Roman" w:eastAsia="仿宋_GB2312"/>
          <w:bCs/>
          <w:color w:val="000000"/>
          <w:sz w:val="32"/>
          <w:szCs w:val="32"/>
        </w:rPr>
        <w:t>30个</w:t>
      </w:r>
      <w:r>
        <w:rPr>
          <w:rFonts w:hint="eastAsia" w:ascii="Times New Roman" w:hAnsi="Times New Roman" w:eastAsia="仿宋_GB2312"/>
          <w:bCs/>
          <w:color w:val="000000"/>
          <w:sz w:val="32"/>
          <w:szCs w:val="32"/>
        </w:rPr>
        <w:t>县（市、区）</w:t>
      </w:r>
      <w:r>
        <w:rPr>
          <w:rFonts w:ascii="Times New Roman" w:hAnsi="Times New Roman" w:eastAsia="仿宋_GB2312"/>
          <w:bCs/>
          <w:color w:val="000000"/>
          <w:sz w:val="32"/>
          <w:szCs w:val="32"/>
        </w:rPr>
        <w:t>人才工作先行区</w:t>
      </w:r>
      <w:r>
        <w:rPr>
          <w:rFonts w:hint="eastAsia" w:ascii="Times New Roman" w:hAnsi="Times New Roman" w:eastAsia="仿宋_GB2312"/>
          <w:bCs/>
          <w:color w:val="000000"/>
          <w:sz w:val="32"/>
          <w:szCs w:val="32"/>
        </w:rPr>
        <w:t>区域内。若“是”，需填写隶属的县（市、区）名称。先行区名单：成都市青羊区、成都市新都区、成都市温江区、自贡市富顺县、攀枝花市米易县、泸州市泸县、泸州市龙马潭区、德阳市旌阳区、德阳市广汉市、绵阳市涪城区、绵阳市游仙区、广元市苍溪县、遂宁市射洪市、内江市东兴区、乐山市峨眉山市、乐山市犍为县、南充市嘉陵区、南充市高坪区、宜宾市翠屏区、宜宾市屏山县、广安市邻水县、达州市宣汉县、达州市大竹县、巴中市南江县、雅安市雨城区、眉山市青神县、资阳市安岳县、阿坝州汶川县、甘孜州康定市、凉山州西昌市。</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w:t>
      </w:r>
      <w:r>
        <w:rPr>
          <w:rFonts w:ascii="Times New Roman" w:hAnsi="Times New Roman" w:eastAsia="仿宋_GB2312"/>
          <w:bCs/>
          <w:color w:val="000000"/>
          <w:sz w:val="32"/>
          <w:szCs w:val="32"/>
        </w:rPr>
        <w:t>单位类型：根据单位性质选择</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个类型。</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.座机：按区号</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机号形式填写，如028—XXXXXXXX。</w:t>
      </w:r>
    </w:p>
    <w:p>
      <w:pPr>
        <w:adjustRightInd w:val="0"/>
        <w:snapToGrid w:val="0"/>
        <w:spacing w:line="580" w:lineRule="exact"/>
        <w:ind w:firstLine="642" w:firstLineChars="200"/>
        <w:jc w:val="left"/>
        <w:outlineLvl w:val="0"/>
        <w:rPr>
          <w:rFonts w:ascii="Times New Roman" w:hAnsi="Times New Roman" w:eastAsia="仿宋_GB2312"/>
          <w:bCs/>
          <w:color w:val="000000"/>
          <w:sz w:val="32"/>
          <w:szCs w:val="32"/>
        </w:rPr>
      </w:pPr>
      <w:r>
        <w:rPr>
          <w:rFonts w:ascii="楷体_GB2312" w:hAnsi="Times New Roman" w:eastAsia="楷体_GB2312"/>
          <w:b/>
          <w:bCs/>
          <w:color w:val="000000"/>
          <w:sz w:val="32"/>
          <w:szCs w:val="32"/>
        </w:rPr>
        <w:t>三、拟设岗</w:t>
      </w:r>
      <w:r>
        <w:rPr>
          <w:rFonts w:hint="eastAsia" w:ascii="楷体_GB2312" w:hAnsi="Times New Roman" w:eastAsia="楷体_GB2312"/>
          <w:b/>
          <w:bCs/>
          <w:color w:val="000000"/>
          <w:sz w:val="32"/>
          <w:szCs w:val="32"/>
        </w:rPr>
        <w:t>单位</w:t>
      </w:r>
      <w:r>
        <w:rPr>
          <w:rFonts w:ascii="楷体_GB2312" w:hAnsi="Times New Roman" w:eastAsia="楷体_GB2312"/>
          <w:b/>
          <w:bCs/>
          <w:color w:val="000000"/>
          <w:sz w:val="32"/>
          <w:szCs w:val="32"/>
        </w:rPr>
        <w:t>科研创新能力情况</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例举符合设岗单位申报推荐条件（三）（四）条的内容并做具体说明：指拟设岗单位根据</w:t>
      </w:r>
      <w:r>
        <w:rPr>
          <w:rFonts w:ascii="Times New Roman" w:hAnsi="Times New Roman" w:eastAsia="仿宋_GB2312"/>
          <w:bCs/>
          <w:color w:val="000000"/>
          <w:sz w:val="32"/>
          <w:szCs w:val="32"/>
        </w:rPr>
        <w:t>《四川省“天府学者”特聘专家制度实施办法（试行）》</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川人社发〔2020〕9号</w:t>
      </w:r>
      <w:r>
        <w:rPr>
          <w:rFonts w:hint="eastAsia" w:ascii="Times New Roman" w:hAnsi="Times New Roman" w:eastAsia="仿宋_GB2312"/>
          <w:bCs/>
          <w:color w:val="000000"/>
          <w:sz w:val="32"/>
          <w:szCs w:val="32"/>
        </w:rPr>
        <w:t>）第二章第七条的（三）（四）所要求的条件，自我评估符合哪些设岗条件，并进行具体说明。</w:t>
      </w:r>
    </w:p>
    <w:p>
      <w:pPr>
        <w:adjustRightInd w:val="0"/>
        <w:snapToGrid w:val="0"/>
        <w:spacing w:line="580" w:lineRule="exact"/>
        <w:ind w:firstLine="642" w:firstLineChars="200"/>
        <w:jc w:val="left"/>
        <w:outlineLvl w:val="0"/>
        <w:rPr>
          <w:rFonts w:ascii="楷体_GB2312" w:hAnsi="Times New Roman" w:eastAsia="楷体_GB2312"/>
          <w:b/>
          <w:bCs/>
          <w:color w:val="000000"/>
          <w:sz w:val="32"/>
          <w:szCs w:val="32"/>
        </w:rPr>
      </w:pPr>
      <w:r>
        <w:rPr>
          <w:rFonts w:hint="eastAsia" w:ascii="楷体_GB2312" w:hAnsi="Times New Roman" w:eastAsia="楷体_GB2312"/>
          <w:b/>
          <w:bCs/>
          <w:color w:val="000000"/>
          <w:sz w:val="32"/>
          <w:szCs w:val="32"/>
        </w:rPr>
        <w:t>四、设岗引才规划及预期目标</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1.合作项目专业领域：根据附件《学科、专业目录》，填写所涉及专业领域的二级学科、专业名称。若涉及学科、专业无二级学科、专业的，填写至一级学科。</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合作项目</w:t>
      </w:r>
      <w:r>
        <w:rPr>
          <w:rFonts w:hint="eastAsia" w:ascii="Times New Roman" w:hAnsi="Times New Roman" w:eastAsia="仿宋_GB2312"/>
          <w:bCs/>
          <w:color w:val="000000"/>
          <w:sz w:val="32"/>
          <w:szCs w:val="32"/>
        </w:rPr>
        <w:t>产业</w:t>
      </w:r>
      <w:r>
        <w:rPr>
          <w:rFonts w:ascii="Times New Roman" w:hAnsi="Times New Roman" w:eastAsia="仿宋_GB2312"/>
          <w:bCs/>
          <w:color w:val="000000"/>
          <w:sz w:val="32"/>
          <w:szCs w:val="32"/>
        </w:rPr>
        <w:t>领域</w:t>
      </w:r>
      <w:r>
        <w:rPr>
          <w:rFonts w:hint="eastAsia" w:ascii="Times New Roman" w:hAnsi="Times New Roman" w:eastAsia="仿宋_GB2312"/>
          <w:bCs/>
          <w:color w:val="000000"/>
          <w:sz w:val="32"/>
          <w:szCs w:val="32"/>
        </w:rPr>
        <w:t>：本栏目根据设岗单位和拟聘专家合作项目实际填写。若合作项目不属于特色优势产业、绿色低碳优势产业、传统优势产业的，请在“战略性新兴产业或其他”栏后填写具体涉及产业的名称；若合作项目不涉及产业的，该栏目不填写。</w:t>
      </w:r>
    </w:p>
    <w:p>
      <w:pPr>
        <w:adjustRightInd w:val="0"/>
        <w:snapToGrid w:val="0"/>
        <w:spacing w:line="580" w:lineRule="exact"/>
        <w:ind w:firstLine="642" w:firstLineChars="200"/>
        <w:jc w:val="left"/>
        <w:outlineLvl w:val="0"/>
        <w:rPr>
          <w:rFonts w:ascii="Times New Roman" w:hAnsi="Times New Roman" w:eastAsia="仿宋_GB2312"/>
          <w:bCs/>
          <w:color w:val="000000"/>
          <w:sz w:val="32"/>
          <w:szCs w:val="32"/>
        </w:rPr>
      </w:pPr>
      <w:r>
        <w:rPr>
          <w:rFonts w:hint="eastAsia" w:ascii="楷体_GB2312" w:hAnsi="Times New Roman" w:eastAsia="楷体_GB2312"/>
          <w:b/>
          <w:bCs/>
          <w:color w:val="000000"/>
          <w:sz w:val="32"/>
          <w:szCs w:val="32"/>
        </w:rPr>
        <w:t>五、</w:t>
      </w:r>
      <w:r>
        <w:rPr>
          <w:rFonts w:ascii="楷体_GB2312" w:hAnsi="Times New Roman" w:eastAsia="楷体_GB2312"/>
          <w:b/>
          <w:bCs/>
          <w:color w:val="000000"/>
          <w:sz w:val="32"/>
          <w:szCs w:val="32"/>
        </w:rPr>
        <w:t>聘期内约定的工作任务和条件</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本栏内主要填写拟聘专家与设岗单位之间约定的聘期内的工作任务和权力，应尽量予以量化，约定的内容作为能否选聘的主要评审内容，受聘成功后据此签订</w:t>
      </w:r>
      <w:r>
        <w:rPr>
          <w:rFonts w:hint="eastAsia" w:ascii="Times New Roman" w:hAnsi="Times New Roman" w:eastAsia="仿宋_GB2312"/>
          <w:bCs/>
          <w:color w:val="000000"/>
          <w:sz w:val="32"/>
          <w:szCs w:val="32"/>
        </w:rPr>
        <w:t>正式</w:t>
      </w:r>
      <w:r>
        <w:rPr>
          <w:rFonts w:ascii="Times New Roman" w:hAnsi="Times New Roman" w:eastAsia="仿宋_GB2312"/>
          <w:bCs/>
          <w:color w:val="000000"/>
          <w:sz w:val="32"/>
          <w:szCs w:val="32"/>
        </w:rPr>
        <w:t>聘任合同。</w:t>
      </w:r>
    </w:p>
    <w:p>
      <w:pPr>
        <w:adjustRightInd w:val="0"/>
        <w:snapToGrid w:val="0"/>
        <w:spacing w:line="580" w:lineRule="exact"/>
        <w:ind w:firstLine="642" w:firstLineChars="200"/>
        <w:jc w:val="left"/>
        <w:outlineLvl w:val="0"/>
        <w:rPr>
          <w:rFonts w:ascii="楷体_GB2312" w:hAnsi="Times New Roman" w:eastAsia="楷体_GB2312"/>
          <w:b/>
          <w:bCs/>
          <w:color w:val="000000"/>
          <w:sz w:val="32"/>
          <w:szCs w:val="32"/>
        </w:rPr>
      </w:pPr>
      <w:r>
        <w:rPr>
          <w:rFonts w:hint="eastAsia" w:ascii="楷体_GB2312" w:hAnsi="Times New Roman" w:eastAsia="楷体_GB2312"/>
          <w:b/>
          <w:bCs/>
          <w:color w:val="000000"/>
          <w:sz w:val="32"/>
          <w:szCs w:val="32"/>
        </w:rPr>
        <w:t>六</w:t>
      </w:r>
      <w:r>
        <w:rPr>
          <w:rFonts w:ascii="楷体_GB2312" w:hAnsi="Times New Roman" w:eastAsia="楷体_GB2312"/>
          <w:b/>
          <w:bCs/>
          <w:color w:val="000000"/>
          <w:sz w:val="32"/>
          <w:szCs w:val="32"/>
        </w:rPr>
        <w:t>、</w:t>
      </w:r>
      <w:r>
        <w:rPr>
          <w:rFonts w:hint="eastAsia" w:ascii="楷体_GB2312" w:hAnsi="Times New Roman" w:eastAsia="楷体_GB2312"/>
          <w:b/>
          <w:bCs/>
          <w:color w:val="000000"/>
          <w:sz w:val="32"/>
          <w:szCs w:val="32"/>
        </w:rPr>
        <w:t>拟聘专家团队成员信息</w:t>
      </w:r>
    </w:p>
    <w:p>
      <w:pPr>
        <w:adjustRightInd w:val="0"/>
        <w:snapToGrid w:val="0"/>
        <w:spacing w:line="580" w:lineRule="exact"/>
        <w:ind w:firstLine="640" w:firstLineChars="200"/>
        <w:jc w:val="left"/>
        <w:rPr>
          <w:rFonts w:ascii="楷体_GB2312" w:hAnsi="Times New Roman" w:eastAsia="楷体_GB2312"/>
          <w:b/>
          <w:bCs/>
          <w:color w:val="000000"/>
          <w:sz w:val="32"/>
          <w:szCs w:val="32"/>
        </w:rPr>
      </w:pPr>
      <w:r>
        <w:rPr>
          <w:rFonts w:hint="eastAsia" w:ascii="Times New Roman" w:hAnsi="Times New Roman" w:eastAsia="仿宋_GB2312"/>
          <w:bCs/>
          <w:color w:val="000000"/>
          <w:sz w:val="32"/>
          <w:szCs w:val="32"/>
        </w:rPr>
        <w:t>指每个岗位由特聘专家根据工作需要，自主配备或设岗单位支持配备一定数量的团队骨干，协助特聘专家开展工作。</w:t>
      </w:r>
    </w:p>
    <w:p>
      <w:pPr>
        <w:adjustRightInd w:val="0"/>
        <w:snapToGrid w:val="0"/>
        <w:spacing w:line="580" w:lineRule="exact"/>
        <w:ind w:firstLine="642" w:firstLineChars="200"/>
        <w:jc w:val="left"/>
        <w:outlineLvl w:val="0"/>
        <w:rPr>
          <w:rFonts w:ascii="楷体_GB2312" w:hAnsi="Times New Roman" w:eastAsia="楷体_GB2312"/>
          <w:b/>
          <w:bCs/>
          <w:color w:val="000000"/>
          <w:sz w:val="32"/>
          <w:szCs w:val="32"/>
        </w:rPr>
      </w:pPr>
      <w:r>
        <w:rPr>
          <w:rFonts w:hint="eastAsia" w:ascii="楷体_GB2312" w:hAnsi="Times New Roman" w:eastAsia="楷体_GB2312"/>
          <w:b/>
          <w:bCs/>
          <w:color w:val="000000"/>
          <w:sz w:val="32"/>
          <w:szCs w:val="32"/>
        </w:rPr>
        <w:t>七、</w:t>
      </w:r>
      <w:r>
        <w:rPr>
          <w:rFonts w:ascii="楷体_GB2312" w:hAnsi="Times New Roman" w:eastAsia="楷体_GB2312"/>
          <w:b/>
          <w:bCs/>
          <w:color w:val="000000"/>
          <w:sz w:val="32"/>
          <w:szCs w:val="32"/>
        </w:rPr>
        <w:t>拟聘专家简要情况</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1.出生年月：填写格式如下，1976.01。</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2.</w:t>
      </w:r>
      <w:r>
        <w:rPr>
          <w:rFonts w:hint="eastAsia" w:ascii="Times New Roman" w:hAnsi="Times New Roman" w:eastAsia="仿宋_GB2312"/>
          <w:bCs/>
          <w:color w:val="000000"/>
          <w:sz w:val="32"/>
          <w:szCs w:val="32"/>
        </w:rPr>
        <w:t>学历：填写国家承认的最高学历。</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填写下列学历之一（未毕业的，应注明结业、肄业）：博士研究生/硕士研究生/大学本科/大学专科。</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3.学位：国内外获得的最高学位。</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填写下列学位之一：博士/硕士/学士。</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4.毕业学校：最高学历（学位）的毕业学校（学校名称以毕业证书上的学校公章名称为准）。</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现</w:t>
      </w:r>
      <w:r>
        <w:rPr>
          <w:rFonts w:hint="eastAsia" w:ascii="Times New Roman" w:hAnsi="Times New Roman" w:eastAsia="仿宋_GB2312"/>
          <w:bCs/>
          <w:color w:val="000000"/>
          <w:sz w:val="32"/>
          <w:szCs w:val="32"/>
        </w:rPr>
        <w:t>工作</w:t>
      </w:r>
      <w:r>
        <w:rPr>
          <w:rFonts w:ascii="Times New Roman" w:hAnsi="Times New Roman" w:eastAsia="仿宋_GB2312"/>
          <w:bCs/>
          <w:color w:val="000000"/>
          <w:sz w:val="32"/>
          <w:szCs w:val="32"/>
        </w:rPr>
        <w:t>单位：填写目前全职工作单位。</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从事专业：指现正从事或擅长的学科、专业。根据附件《学科、专业目录》所列的二级学科、专业名称填写。</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.专业技术职务</w:t>
      </w:r>
      <w:r>
        <w:rPr>
          <w:rFonts w:hint="eastAsia" w:ascii="Times New Roman" w:hAnsi="Times New Roman" w:eastAsia="仿宋_GB2312"/>
          <w:bCs/>
          <w:color w:val="000000"/>
          <w:sz w:val="32"/>
          <w:szCs w:val="32"/>
        </w:rPr>
        <w:t>（称）</w:t>
      </w:r>
      <w:r>
        <w:rPr>
          <w:rFonts w:ascii="Times New Roman" w:hAnsi="Times New Roman" w:eastAsia="仿宋_GB2312"/>
          <w:bCs/>
          <w:color w:val="000000"/>
          <w:sz w:val="32"/>
          <w:szCs w:val="32"/>
        </w:rPr>
        <w:t>：填经人事部门正式批准或授权批准的专业技术职务（称）。名称要按国家公布的职务名称规范填写。如</w:t>
      </w:r>
      <w:r>
        <w:rPr>
          <w:rFonts w:hint="eastAsia" w:ascii="Times New Roman" w:hAnsi="Times New Roman" w:eastAsia="仿宋_GB2312"/>
          <w:bCs/>
          <w:color w:val="000000"/>
          <w:sz w:val="32"/>
          <w:szCs w:val="32"/>
        </w:rPr>
        <w:t>拟聘专家</w:t>
      </w:r>
      <w:r>
        <w:rPr>
          <w:rFonts w:ascii="Times New Roman" w:hAnsi="Times New Roman" w:eastAsia="仿宋_GB2312"/>
          <w:bCs/>
          <w:color w:val="000000"/>
          <w:sz w:val="32"/>
          <w:szCs w:val="32"/>
        </w:rPr>
        <w:t>现在海外任职，其职务名称要保留原文，并译成中文附在原文后。</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8.党政</w:t>
      </w:r>
      <w:r>
        <w:rPr>
          <w:rFonts w:ascii="Times New Roman" w:hAnsi="Times New Roman" w:eastAsia="仿宋_GB2312"/>
          <w:bCs/>
          <w:color w:val="000000"/>
          <w:sz w:val="32"/>
          <w:szCs w:val="32"/>
        </w:rPr>
        <w:t>职务：填写目前</w:t>
      </w:r>
      <w:r>
        <w:rPr>
          <w:rFonts w:hint="eastAsia" w:ascii="Times New Roman" w:hAnsi="Times New Roman" w:eastAsia="仿宋_GB2312"/>
          <w:bCs/>
          <w:color w:val="000000"/>
          <w:sz w:val="32"/>
          <w:szCs w:val="32"/>
        </w:rPr>
        <w:t>在</w:t>
      </w:r>
      <w:r>
        <w:rPr>
          <w:rFonts w:ascii="Times New Roman" w:hAnsi="Times New Roman" w:eastAsia="仿宋_GB2312"/>
          <w:bCs/>
          <w:color w:val="000000"/>
          <w:sz w:val="32"/>
          <w:szCs w:val="32"/>
        </w:rPr>
        <w:t>全职工作单位所</w:t>
      </w:r>
      <w:r>
        <w:rPr>
          <w:rFonts w:hint="eastAsia" w:ascii="Times New Roman" w:hAnsi="Times New Roman" w:eastAsia="仿宋_GB2312"/>
          <w:bCs/>
          <w:color w:val="000000"/>
          <w:sz w:val="32"/>
          <w:szCs w:val="32"/>
        </w:rPr>
        <w:t>担任的党政最高职务；高等院校党政职务只填至校（院）、系两级。</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9.博导年份：被有关学位委员会批准为博士生导师的年份。</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10.回国年份：指曾在海外（含台、港、澳地区）定居的华裔专家归国工作时间。含建国后从大陆出国留学、进修学成取得外国国籍或居住权的回国人员。</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11.何处归来：应与回国年份相对应。</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12.</w:t>
      </w:r>
      <w:r>
        <w:rPr>
          <w:rFonts w:ascii="Times New Roman" w:hAnsi="Times New Roman" w:eastAsia="仿宋_GB2312"/>
          <w:bCs/>
          <w:color w:val="000000"/>
          <w:sz w:val="32"/>
          <w:szCs w:val="32"/>
        </w:rPr>
        <w:t>主要学术</w:t>
      </w:r>
      <w:r>
        <w:rPr>
          <w:rFonts w:hint="eastAsia" w:ascii="Times New Roman" w:hAnsi="Times New Roman" w:eastAsia="仿宋_GB2312"/>
          <w:bCs/>
          <w:color w:val="000000"/>
          <w:sz w:val="32"/>
          <w:szCs w:val="32"/>
        </w:rPr>
        <w:t>组织</w:t>
      </w:r>
      <w:r>
        <w:rPr>
          <w:rFonts w:ascii="Times New Roman" w:hAnsi="Times New Roman" w:eastAsia="仿宋_GB2312"/>
          <w:bCs/>
          <w:color w:val="000000"/>
          <w:sz w:val="32"/>
          <w:szCs w:val="32"/>
        </w:rPr>
        <w:t>任职情况: 指是否担任各级科技委员会、学术委员会、专家委员会主任、副主任以及在全国性、全省性学术组织的任职情况。</w:t>
      </w:r>
    </w:p>
    <w:p>
      <w:pPr>
        <w:adjustRightInd w:val="0"/>
        <w:snapToGrid w:val="0"/>
        <w:spacing w:line="580" w:lineRule="exact"/>
        <w:ind w:firstLine="642" w:firstLineChars="200"/>
        <w:jc w:val="left"/>
        <w:outlineLvl w:val="0"/>
        <w:rPr>
          <w:rFonts w:ascii="楷体_GB2312" w:hAnsi="Times New Roman" w:eastAsia="楷体_GB2312"/>
          <w:b/>
          <w:bCs/>
          <w:color w:val="000000"/>
          <w:sz w:val="32"/>
          <w:szCs w:val="32"/>
        </w:rPr>
      </w:pPr>
      <w:r>
        <w:rPr>
          <w:rFonts w:hint="eastAsia" w:ascii="楷体_GB2312" w:hAnsi="Times New Roman" w:eastAsia="楷体_GB2312"/>
          <w:b/>
          <w:bCs/>
          <w:color w:val="000000"/>
          <w:sz w:val="32"/>
          <w:szCs w:val="32"/>
        </w:rPr>
        <w:t>八</w:t>
      </w:r>
      <w:r>
        <w:rPr>
          <w:rFonts w:ascii="楷体_GB2312" w:hAnsi="Times New Roman" w:eastAsia="楷体_GB2312"/>
          <w:b/>
          <w:bCs/>
          <w:color w:val="000000"/>
          <w:sz w:val="32"/>
          <w:szCs w:val="32"/>
        </w:rPr>
        <w:t>、拟聘专家近五年取得的主要学术技术成就</w:t>
      </w:r>
    </w:p>
    <w:p>
      <w:pPr>
        <w:adjustRightInd w:val="0"/>
        <w:snapToGrid w:val="0"/>
        <w:spacing w:line="580" w:lineRule="exact"/>
        <w:ind w:firstLine="640" w:firstLineChars="200"/>
        <w:jc w:val="left"/>
        <w:rPr>
          <w:rFonts w:ascii="楷体_GB2312" w:hAnsi="Times New Roman" w:eastAsia="楷体_GB2312"/>
          <w:b/>
          <w:bCs/>
          <w:color w:val="000000"/>
          <w:sz w:val="32"/>
          <w:szCs w:val="32"/>
        </w:rPr>
      </w:pPr>
      <w:r>
        <w:rPr>
          <w:rFonts w:ascii="Times New Roman" w:hAnsi="Times New Roman" w:eastAsia="仿宋_GB2312"/>
          <w:bCs/>
          <w:color w:val="000000"/>
          <w:sz w:val="32"/>
          <w:szCs w:val="32"/>
        </w:rPr>
        <w:t>本栏目主要填写拟</w:t>
      </w:r>
      <w:r>
        <w:rPr>
          <w:rFonts w:hint="eastAsia" w:ascii="Times New Roman" w:hAnsi="Times New Roman" w:eastAsia="仿宋_GB2312"/>
          <w:bCs/>
          <w:color w:val="000000"/>
          <w:sz w:val="32"/>
          <w:szCs w:val="32"/>
        </w:rPr>
        <w:t>聘专家</w:t>
      </w:r>
      <w:r>
        <w:rPr>
          <w:rFonts w:ascii="Times New Roman" w:hAnsi="Times New Roman" w:eastAsia="仿宋_GB2312"/>
          <w:bCs/>
          <w:color w:val="000000"/>
          <w:sz w:val="32"/>
          <w:szCs w:val="32"/>
        </w:rPr>
        <w:t>近五年</w:t>
      </w:r>
      <w:r>
        <w:rPr>
          <w:rFonts w:hint="eastAsia" w:ascii="Times New Roman" w:hAnsi="Times New Roman" w:eastAsia="仿宋_GB2312"/>
          <w:bCs/>
          <w:color w:val="000000"/>
          <w:sz w:val="32"/>
          <w:szCs w:val="32"/>
        </w:rPr>
        <w:t>来</w:t>
      </w:r>
      <w:r>
        <w:rPr>
          <w:rFonts w:ascii="Times New Roman" w:hAnsi="Times New Roman" w:eastAsia="仿宋_GB2312"/>
          <w:bCs/>
          <w:color w:val="000000"/>
          <w:sz w:val="32"/>
          <w:szCs w:val="32"/>
        </w:rPr>
        <w:t>取得</w:t>
      </w:r>
      <w:r>
        <w:rPr>
          <w:rFonts w:hint="eastAsia" w:ascii="Times New Roman" w:hAnsi="Times New Roman" w:eastAsia="仿宋_GB2312"/>
          <w:bCs/>
          <w:color w:val="000000"/>
          <w:sz w:val="32"/>
          <w:szCs w:val="32"/>
        </w:rPr>
        <w:t>的最具代表性</w:t>
      </w:r>
      <w:r>
        <w:rPr>
          <w:rFonts w:ascii="Times New Roman" w:hAnsi="Times New Roman" w:eastAsia="仿宋_GB2312"/>
          <w:bCs/>
          <w:color w:val="000000"/>
          <w:sz w:val="32"/>
          <w:szCs w:val="32"/>
        </w:rPr>
        <w:t>的成果。“近五年”起算时间为201</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rPr>
        <w:t>1月</w:t>
      </w:r>
      <w:r>
        <w:rPr>
          <w:rFonts w:ascii="Times New Roman" w:hAnsi="Times New Roman" w:eastAsia="仿宋_GB2312"/>
          <w:bCs/>
          <w:color w:val="000000"/>
          <w:sz w:val="32"/>
          <w:szCs w:val="32"/>
        </w:rPr>
        <w:t>，本表中所有“近五年”均按此解释。</w:t>
      </w:r>
    </w:p>
    <w:p>
      <w:pPr>
        <w:adjustRightInd w:val="0"/>
        <w:snapToGrid w:val="0"/>
        <w:spacing w:line="580" w:lineRule="exact"/>
        <w:ind w:firstLine="642" w:firstLineChars="200"/>
        <w:jc w:val="left"/>
        <w:outlineLvl w:val="1"/>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（一）</w:t>
      </w:r>
      <w:r>
        <w:rPr>
          <w:rFonts w:ascii="Times New Roman" w:hAnsi="Times New Roman" w:eastAsia="仿宋_GB2312"/>
          <w:b/>
          <w:bCs/>
          <w:color w:val="000000"/>
          <w:sz w:val="32"/>
          <w:szCs w:val="32"/>
        </w:rPr>
        <w:t>近五年承担的主要科研项目</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1.项目名称：请依次填写国家级科研项目、国际合作课题、省部级科研项目；地厅级科研项目不填。</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2.项目性质及来源：填写项目的具体性质，如 “国家杰出青年科学基金” “国家自然科学基金”等。</w:t>
      </w:r>
    </w:p>
    <w:p>
      <w:pPr>
        <w:adjustRightInd w:val="0"/>
        <w:snapToGrid w:val="0"/>
        <w:spacing w:line="580" w:lineRule="exact"/>
        <w:ind w:firstLine="642" w:firstLineChars="200"/>
        <w:jc w:val="left"/>
        <w:outlineLvl w:val="1"/>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（二）</w:t>
      </w:r>
      <w:r>
        <w:rPr>
          <w:rFonts w:ascii="Times New Roman" w:hAnsi="Times New Roman" w:eastAsia="仿宋_GB2312"/>
          <w:b/>
          <w:bCs/>
          <w:color w:val="000000"/>
          <w:sz w:val="32"/>
          <w:szCs w:val="32"/>
        </w:rPr>
        <w:t xml:space="preserve"> 拟聘专家近五年获得的重要科研奖项</w:t>
      </w:r>
    </w:p>
    <w:p>
      <w:pPr>
        <w:adjustRightInd w:val="0"/>
        <w:snapToGrid w:val="0"/>
        <w:spacing w:line="58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获奖项目名称：请依次填写国家级科技奖励、国家级社科奖励；省部级科技奖励（二等以上）、省部级社科奖（二等以上）；国际学术奖励。</w:t>
      </w:r>
    </w:p>
    <w:p>
      <w:pPr>
        <w:adjustRightInd w:val="0"/>
        <w:snapToGrid w:val="0"/>
        <w:spacing w:line="580" w:lineRule="exact"/>
        <w:ind w:firstLine="642" w:firstLineChars="200"/>
        <w:jc w:val="left"/>
        <w:outlineLvl w:val="0"/>
        <w:rPr>
          <w:rFonts w:ascii="楷体_GB2312" w:hAnsi="Times New Roman" w:eastAsia="楷体_GB2312"/>
          <w:b/>
          <w:bCs/>
          <w:color w:val="000000"/>
          <w:sz w:val="32"/>
          <w:szCs w:val="32"/>
        </w:rPr>
      </w:pPr>
      <w:r>
        <w:rPr>
          <w:rFonts w:hint="eastAsia" w:ascii="楷体_GB2312" w:hAnsi="Times New Roman" w:eastAsia="楷体_GB2312"/>
          <w:b/>
          <w:bCs/>
          <w:color w:val="000000"/>
          <w:sz w:val="32"/>
          <w:szCs w:val="32"/>
        </w:rPr>
        <w:t>九、各级推荐单位意见</w:t>
      </w:r>
    </w:p>
    <w:p>
      <w:pPr>
        <w:adjustRightInd w:val="0"/>
        <w:snapToGrid w:val="0"/>
        <w:spacing w:line="580" w:lineRule="exact"/>
        <w:ind w:firstLine="640" w:firstLineChars="200"/>
        <w:jc w:val="left"/>
        <w:rPr>
          <w:rFonts w:ascii="仿宋_GB2312" w:hAnsi="仿宋_GB2312" w:eastAsia="楷体_GB2312"/>
          <w:b/>
          <w:bCs/>
          <w:sz w:val="84"/>
        </w:rPr>
      </w:pPr>
      <w:r>
        <w:rPr>
          <w:rFonts w:hint="eastAsia" w:ascii="Times New Roman" w:hAnsi="Times New Roman" w:eastAsia="仿宋_GB2312"/>
          <w:bCs/>
          <w:color w:val="000000"/>
          <w:sz w:val="32"/>
          <w:szCs w:val="32"/>
        </w:rPr>
        <w:t>各级推荐单位按照隶属关系逐级审核后，报经市（州）人力资源社会保障局或省级主管部门或中央在川单位主（代）管部门审核盖章后报人力资源社会保障厅。中央在川单位在川无主（代）管部门的，由中央在川单位填写。</w:t>
      </w: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hint="eastAsia" w:ascii="方正魏碑简体" w:hAnsi="仿宋_GB2312" w:eastAsia="方正魏碑简体"/>
          <w:bCs/>
          <w:sz w:val="84"/>
        </w:rPr>
      </w:pPr>
    </w:p>
    <w:p>
      <w:pPr>
        <w:jc w:val="center"/>
        <w:outlineLvl w:val="0"/>
        <w:rPr>
          <w:rFonts w:ascii="方正魏碑简体" w:hAnsi="仿宋_GB2312" w:eastAsia="方正魏碑简体"/>
          <w:bCs/>
          <w:sz w:val="84"/>
        </w:rPr>
      </w:pPr>
      <w:r>
        <w:rPr>
          <w:rFonts w:hint="eastAsia" w:ascii="方正魏碑简体" w:hAnsi="仿宋_GB2312" w:eastAsia="方正魏碑简体"/>
          <w:bCs/>
          <w:sz w:val="84"/>
        </w:rPr>
        <w:t>学科、专业目录</w:t>
      </w:r>
    </w:p>
    <w:p>
      <w:pPr>
        <w:jc w:val="center"/>
        <w:rPr>
          <w:rFonts w:ascii="仿宋_GB2312" w:hAnsi="仿宋_GB2312" w:eastAsia="楷体_GB2312"/>
          <w:b/>
          <w:bCs/>
          <w:sz w:val="84"/>
        </w:rPr>
      </w:pPr>
    </w:p>
    <w:p>
      <w:pPr>
        <w:jc w:val="center"/>
        <w:rPr>
          <w:rFonts w:ascii="仿宋_GB2312" w:hAnsi="仿宋_GB2312" w:eastAsia="楷体_GB2312"/>
          <w:b/>
          <w:bCs/>
          <w:sz w:val="84"/>
        </w:rPr>
      </w:pPr>
    </w:p>
    <w:p>
      <w:pPr>
        <w:jc w:val="center"/>
        <w:rPr>
          <w:rFonts w:ascii="仿宋_GB2312" w:hAnsi="仿宋_GB2312" w:eastAsia="楷体_GB2312"/>
          <w:b/>
          <w:bCs/>
          <w:sz w:val="84"/>
        </w:rPr>
      </w:pPr>
    </w:p>
    <w:p>
      <w:pPr>
        <w:jc w:val="center"/>
        <w:rPr>
          <w:rFonts w:ascii="仿宋_GB2312" w:hAnsi="仿宋_GB2312" w:eastAsia="楷体_GB2312"/>
          <w:b/>
          <w:bCs/>
          <w:sz w:val="84"/>
        </w:rPr>
      </w:pPr>
    </w:p>
    <w:p>
      <w:pPr>
        <w:jc w:val="center"/>
        <w:rPr>
          <w:rFonts w:ascii="仿宋_GB2312" w:hAnsi="仿宋_GB2312" w:eastAsia="楷体_GB2312"/>
          <w:b/>
          <w:bCs/>
          <w:sz w:val="84"/>
        </w:rPr>
      </w:pPr>
    </w:p>
    <w:p>
      <w:pPr>
        <w:jc w:val="center"/>
        <w:rPr>
          <w:rFonts w:ascii="仿宋_GB2312" w:hAnsi="仿宋_GB2312" w:eastAsia="楷体_GB2312"/>
          <w:b/>
          <w:bCs/>
          <w:sz w:val="84"/>
        </w:rPr>
      </w:pPr>
    </w:p>
    <w:p>
      <w:pPr>
        <w:jc w:val="center"/>
        <w:rPr>
          <w:rFonts w:ascii="仿宋_GB2312" w:hAnsi="仿宋_GB2312" w:eastAsia="楷体_GB2312"/>
          <w:b/>
          <w:bCs/>
          <w:sz w:val="84"/>
        </w:rPr>
      </w:pPr>
    </w:p>
    <w:p>
      <w:pPr>
        <w:jc w:val="center"/>
        <w:rPr>
          <w:rFonts w:ascii="仿宋_GB2312" w:hAnsi="仿宋_GB2312" w:eastAsia="楷体_GB2312"/>
          <w:b/>
          <w:bCs/>
          <w:sz w:val="84"/>
        </w:rPr>
      </w:pPr>
    </w:p>
    <w:p>
      <w:pPr>
        <w:jc w:val="center"/>
        <w:rPr>
          <w:rFonts w:ascii="仿宋_GB2312" w:hAnsi="仿宋_GB2312" w:eastAsia="楷体_GB2312"/>
          <w:b/>
          <w:bCs/>
          <w:sz w:val="84"/>
        </w:rPr>
      </w:pPr>
    </w:p>
    <w:p>
      <w:pPr>
        <w:adjustRightInd w:val="0"/>
        <w:snapToGrid w:val="0"/>
        <w:spacing w:line="640" w:lineRule="exact"/>
        <w:jc w:val="center"/>
        <w:outlineLvl w:val="0"/>
        <w:rPr>
          <w:rFonts w:ascii="楷体_GB2312" w:hAnsi="仿宋_GB2312" w:eastAsia="楷体_GB2312"/>
          <w:bCs/>
          <w:sz w:val="36"/>
          <w:szCs w:val="36"/>
        </w:rPr>
      </w:pPr>
      <w:r>
        <w:rPr>
          <w:rFonts w:hint="eastAsia" w:ascii="楷体_GB2312" w:eastAsia="楷体_GB2312"/>
          <w:bCs/>
          <w:sz w:val="36"/>
          <w:szCs w:val="36"/>
        </w:rPr>
        <w:t>四川省人力资源和社会保障厅</w:t>
      </w:r>
    </w:p>
    <w:p>
      <w:pPr>
        <w:adjustRightInd w:val="0"/>
        <w:snapToGrid w:val="0"/>
        <w:spacing w:line="640" w:lineRule="exact"/>
        <w:jc w:val="center"/>
        <w:outlineLvl w:val="0"/>
        <w:rPr>
          <w:rFonts w:ascii="楷体_GB2312" w:hAnsi="仿宋_GB2312" w:eastAsia="楷体_GB2312"/>
          <w:bCs/>
          <w:sz w:val="36"/>
          <w:szCs w:val="36"/>
        </w:rPr>
      </w:pPr>
      <w:r>
        <w:rPr>
          <w:rFonts w:hint="eastAsia" w:ascii="楷体_GB2312" w:hAnsi="仿宋_GB2312" w:eastAsia="楷体_GB2312"/>
          <w:bCs/>
          <w:sz w:val="36"/>
          <w:szCs w:val="36"/>
        </w:rPr>
        <w:t>2023年制</w:t>
      </w:r>
    </w:p>
    <w:p>
      <w:pPr>
        <w:ind w:firstLine="1897" w:firstLineChars="900"/>
        <w:rPr>
          <w:rFonts w:ascii="仿宋_GB2312" w:hAnsi="仿宋_GB2312"/>
          <w:b/>
          <w:bCs/>
        </w:rPr>
      </w:pPr>
    </w:p>
    <w:p>
      <w:pPr>
        <w:ind w:firstLine="3617" w:firstLineChars="1001"/>
        <w:rPr>
          <w:rFonts w:ascii="仿宋_GB2312" w:hAnsi="仿宋_GB2312"/>
          <w:b/>
          <w:bCs/>
          <w:sz w:val="36"/>
        </w:rPr>
      </w:pPr>
      <w:r>
        <w:rPr>
          <w:rFonts w:ascii="仿宋_GB2312" w:hAnsi="仿宋_GB2312"/>
          <w:b/>
          <w:bCs/>
          <w:sz w:val="36"/>
        </w:rPr>
        <w:br w:type="page"/>
      </w:r>
    </w:p>
    <w:p>
      <w:pPr>
        <w:adjustRightInd w:val="0"/>
        <w:snapToGrid w:val="0"/>
        <w:spacing w:line="640" w:lineRule="exact"/>
        <w:jc w:val="center"/>
        <w:rPr>
          <w:rFonts w:ascii="方正小标宋简体" w:hAnsi="仿宋_GB2312" w:eastAsia="方正小标宋简体"/>
          <w:bCs/>
          <w:sz w:val="36"/>
          <w:szCs w:val="36"/>
        </w:rPr>
      </w:pPr>
    </w:p>
    <w:p>
      <w:pPr>
        <w:adjustRightInd w:val="0"/>
        <w:snapToGrid w:val="0"/>
        <w:spacing w:line="640" w:lineRule="exact"/>
        <w:jc w:val="center"/>
        <w:outlineLvl w:val="0"/>
        <w:rPr>
          <w:rFonts w:ascii="方正小标宋简体" w:hAnsi="仿宋_GB2312" w:eastAsia="方正小标宋简体"/>
          <w:bCs/>
          <w:sz w:val="36"/>
          <w:szCs w:val="36"/>
        </w:rPr>
      </w:pPr>
      <w:r>
        <w:rPr>
          <w:rFonts w:hint="eastAsia" w:ascii="方正小标宋简体" w:hAnsi="仿宋_GB2312" w:eastAsia="方正小标宋简体"/>
          <w:bCs/>
          <w:sz w:val="36"/>
          <w:szCs w:val="36"/>
        </w:rPr>
        <w:t>说  明</w:t>
      </w:r>
    </w:p>
    <w:p>
      <w:pPr>
        <w:adjustRightInd w:val="0"/>
        <w:snapToGrid w:val="0"/>
        <w:spacing w:line="540" w:lineRule="exact"/>
        <w:ind w:firstLine="562" w:firstLineChars="200"/>
        <w:rPr>
          <w:rFonts w:ascii="仿宋_GB2312" w:hAnsi="仿宋_GB2312" w:eastAsia="仿宋_GB2312"/>
          <w:b/>
          <w:bCs/>
          <w:sz w:val="28"/>
          <w:szCs w:val="28"/>
        </w:rPr>
      </w:pP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1、本目录供填写</w:t>
      </w:r>
      <w:r>
        <w:rPr>
          <w:rFonts w:hint="eastAsia" w:ascii="Times New Roman" w:hAnsi="Times New Roman" w:eastAsia="仿宋_GB2312"/>
          <w:kern w:val="0"/>
          <w:sz w:val="32"/>
          <w:szCs w:val="32"/>
        </w:rPr>
        <w:t>《四川省“天府学者”特聘专家选聘推荐表》</w:t>
      </w:r>
      <w:r>
        <w:rPr>
          <w:rFonts w:hint="eastAsia" w:ascii="仿宋_GB2312" w:eastAsia="仿宋_GB2312"/>
          <w:sz w:val="32"/>
          <w:szCs w:val="32"/>
        </w:rPr>
        <w:t>使用。</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2、本目录中：一至十三所列为学科、专业门类，1至102所列为一级学科、专业，其余所列为二级学科、专业。</w:t>
      </w:r>
    </w:p>
    <w:p>
      <w:pPr>
        <w:spacing w:line="600" w:lineRule="exact"/>
        <w:ind w:left="3598" w:leftChars="385" w:hanging="2790" w:hangingChars="872"/>
        <w:rPr>
          <w:rFonts w:ascii="宋体" w:hAnsi="宋体"/>
          <w:sz w:val="32"/>
          <w:szCs w:val="32"/>
        </w:rPr>
      </w:pPr>
    </w:p>
    <w:p>
      <w:pPr>
        <w:snapToGrid w:val="0"/>
        <w:spacing w:line="600" w:lineRule="exact"/>
        <w:jc w:val="center"/>
        <w:rPr>
          <w:rFonts w:ascii="宋体" w:hAnsi="宋体" w:cs="Arial"/>
          <w:b/>
          <w:bCs/>
          <w:sz w:val="36"/>
          <w:szCs w:val="36"/>
        </w:rPr>
      </w:pPr>
    </w:p>
    <w:p>
      <w:pPr>
        <w:snapToGrid w:val="0"/>
        <w:spacing w:line="600" w:lineRule="exact"/>
        <w:jc w:val="center"/>
        <w:rPr>
          <w:rFonts w:ascii="宋体" w:hAnsi="宋体" w:cs="Arial"/>
          <w:b/>
          <w:bCs/>
          <w:sz w:val="36"/>
          <w:szCs w:val="36"/>
        </w:rPr>
      </w:pPr>
    </w:p>
    <w:p>
      <w:pPr>
        <w:snapToGrid w:val="0"/>
        <w:spacing w:line="600" w:lineRule="exact"/>
        <w:jc w:val="center"/>
        <w:rPr>
          <w:rFonts w:ascii="宋体" w:hAnsi="宋体" w:cs="Arial"/>
          <w:b/>
          <w:bCs/>
          <w:sz w:val="36"/>
          <w:szCs w:val="36"/>
        </w:rPr>
      </w:pPr>
    </w:p>
    <w:p>
      <w:pPr>
        <w:snapToGrid w:val="0"/>
        <w:spacing w:line="600" w:lineRule="exact"/>
        <w:jc w:val="center"/>
        <w:rPr>
          <w:rFonts w:ascii="宋体" w:hAnsi="宋体" w:cs="Arial"/>
          <w:b/>
          <w:bCs/>
          <w:sz w:val="36"/>
          <w:szCs w:val="36"/>
        </w:rPr>
      </w:pPr>
    </w:p>
    <w:p>
      <w:pPr>
        <w:snapToGrid w:val="0"/>
        <w:spacing w:line="600" w:lineRule="exact"/>
        <w:jc w:val="center"/>
        <w:rPr>
          <w:rFonts w:ascii="宋体" w:hAnsi="宋体" w:eastAsia="仿宋_GB2312" w:cs="Arial"/>
          <w:b/>
          <w:bCs/>
          <w:sz w:val="36"/>
          <w:szCs w:val="36"/>
        </w:rPr>
      </w:pPr>
      <w:r>
        <w:rPr>
          <w:rFonts w:ascii="宋体" w:hAnsi="宋体" w:cs="Arial"/>
          <w:b/>
          <w:bCs/>
          <w:sz w:val="36"/>
          <w:szCs w:val="36"/>
        </w:rPr>
        <w:br w:type="page"/>
      </w:r>
    </w:p>
    <w:p>
      <w:pPr>
        <w:snapToGrid w:val="0"/>
        <w:spacing w:line="264" w:lineRule="auto"/>
        <w:jc w:val="center"/>
        <w:outlineLvl w:val="0"/>
        <w:rPr>
          <w:rFonts w:ascii="黑体" w:hAnsi="黑体" w:eastAsia="黑体" w:cs="Arial"/>
          <w:bCs/>
          <w:sz w:val="24"/>
          <w:szCs w:val="24"/>
        </w:rPr>
      </w:pPr>
      <w:r>
        <w:rPr>
          <w:rFonts w:hint="eastAsia" w:ascii="黑体" w:hAnsi="黑体" w:eastAsia="黑体" w:cs="Arial"/>
          <w:bCs/>
          <w:sz w:val="24"/>
          <w:szCs w:val="24"/>
        </w:rPr>
        <w:t>一、哲学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b/>
          <w:bCs/>
          <w:sz w:val="24"/>
          <w:szCs w:val="24"/>
        </w:rPr>
        <w:t>1、哲学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马克思主义哲学        中国哲学           外国哲学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逻辑学                伦理学             美学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宗教学                科学技术哲学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二、经济学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2、理论经济学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政治经济学            经济思想史           经济史</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西方经济学            世界经济      人口、资源与环境经济学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3、应用经济学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国民经济学            区域经济学            财政学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金融学                产业经济学            国际贸易学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劳动经济学            统计学               数量经济学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国防经济</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三、法学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4、法学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法学理论              法律史             宪法学与行政法学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刑法学                民商法学               诉讼法学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经济法学              环境与资源保护法学       国际法学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军事法学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5、政治学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政治学理论          中外政治制度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科学社会主义与国际共产主义运动             中共党史</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国际政治             国际关系              外交学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6、社会学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社会学               人口学                人类学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民俗学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7、民族学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民族学        马克思主义民族理论与政策    中国少数民族经济</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中国少数民族史      中国少数民族艺术</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8、马克思主义理论</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马克思主义基本原理   马克思主义发展史  马克思主义中国化研究</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国外马克思主义研究   思想政治教育  中国近现代史基本问题研究</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9、公安学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四、教育学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10、教育学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教育学原理          课程与教学论         教育史</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比较教育学          学前教育学          高等教育学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成人教育学          职业技术教育学      特殊教育学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教育技术学          教育法学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11、心理学（可归教育学、理学）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基础心理学         发展与教育心理学         应用心理学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12、体育学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体育人文社会学       运动人体科学        体育教育训练学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 xml:space="preserve">民族传统体育学 </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五、文学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13、中国语言文学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文艺学              语言学及应用语言学      汉语言文字学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中国古典文献学        中国古代文学          中国现当代文学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中国少数民族语言文学   比较文学与世界文学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14、外国语言文学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英语语言文学          俄语语言文学          法语语言文学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德语语言文学          日语语言文学          印度语言文学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西班牙语语言文学      阿拉伯语语言文学      欧洲语言文学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亚非语言文学          外国语言学及应用语言学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15、新闻传播学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新闻学                传播学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六、历史学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16、考古学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17、中国史</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18、世界史</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七、理学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19、数学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基础数学            计算数学              概率论与数理统计</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应用数学            运筹学与控制论</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20、物理学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理论物理           粒子物理与原子核物理      原子与分子物理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等离子体物理         凝聚态物理               声学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光学                 无线电物理</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21、化学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无机化学              分析化学               有机化学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物理化学             高分子化学与物理</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22、天文学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天体物理             天体测量与天体力学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23、地理学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自然地理学           人文地理学      地图学与地理信息系统</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24、大气科学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气象学               大气物理学与大气环境</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25、海洋科学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物理海洋学              海洋化学            海洋生物学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海洋地质</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26、地球物理学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固体地球物理学          空间物理学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27、地质学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矿物学、岩石学、矿床学      地球化学     古生物学与地层学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构造地质学              第四纪地质学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28、生物学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植物学                动物学               生理学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水生生物学            微生物学             神经生物学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遗传学                发育生物学           细胞生物学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生物化学与分子生物学     生物物理学        生态学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29、系统科学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系统理论             系统分析与集成</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30、科学技术史（可归理学、工学、农学、医学）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31、生态学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32、统计学（可归理学、经济学）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八、工学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33、力学（可归工学、理学）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一般力学与力学基础     固体力学          流体力学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工程力学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34、机械工程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机械制造及其自动化     机械电子工程      机械设计及理论</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车辆工程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35、光学工程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36、仪器科学与技术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精密仪器及机械         测试计量技术及仪器</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37、材料科学与工程（可归工学、理学）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材料物理与化学           材料学            材料加工工程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38、冶金工程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冶金物理化学             钢铁冶金          有色金属冶金</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39、动力工程及工程热物理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工程热物理              热能工程           动力机械及工程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流体机械及工程          制冷及低温工程     化工过程机械</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40、电气工程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电机与电器          电力系统及其自动化    高电压与绝缘技术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电力电子与电力传动     电工理论与新技术</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41、电子科学与技术（可归工学、理学）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物理电子学             电路与系统      微电子学与固体电子学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电磁场与微波技术</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42、信息与通信工程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通信与信息系统         信号与信息处理</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43、控制科学与工程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控制理论与控制工程     检测技术与自动化装置       系统工程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模式识别与智能系统       导航、制导与控制</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44、计算机科学与技术（可归工学、理学）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计算机系统结构          计算机软件与理论     计算机应用技术</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45、建筑学</w:t>
      </w:r>
    </w:p>
    <w:p>
      <w:pPr>
        <w:snapToGrid w:val="0"/>
        <w:spacing w:line="400" w:lineRule="exact"/>
        <w:ind w:firstLine="624"/>
        <w:rPr>
          <w:rFonts w:ascii="宋体" w:hAnsi="宋体" w:cs="宋体"/>
          <w:color w:val="000000"/>
          <w:kern w:val="0"/>
          <w:sz w:val="24"/>
        </w:rPr>
      </w:pPr>
      <w:r>
        <w:rPr>
          <w:rFonts w:hint="eastAsia" w:ascii="仿宋_GB2312" w:hAnsi="宋体" w:eastAsia="仿宋_GB2312" w:cs="Arial"/>
          <w:bCs/>
          <w:sz w:val="24"/>
          <w:szCs w:val="24"/>
        </w:rPr>
        <w:t>建筑历史与理论          建筑设计及其理论       城市规划与设计</w:t>
      </w:r>
    </w:p>
    <w:p>
      <w:pPr>
        <w:snapToGrid w:val="0"/>
        <w:spacing w:line="400" w:lineRule="exact"/>
        <w:ind w:firstLine="624"/>
        <w:rPr>
          <w:rFonts w:ascii="仿宋_GB2312" w:hAnsi="宋体" w:eastAsia="仿宋_GB2312" w:cs="Arial"/>
          <w:bCs/>
          <w:sz w:val="24"/>
          <w:szCs w:val="24"/>
        </w:rPr>
      </w:pPr>
      <w:r>
        <w:rPr>
          <w:rFonts w:hint="eastAsia" w:ascii="仿宋_GB2312" w:hAnsi="宋体" w:eastAsia="仿宋_GB2312" w:cs="Arial"/>
          <w:bCs/>
          <w:sz w:val="24"/>
          <w:szCs w:val="24"/>
        </w:rPr>
        <w:t>建筑技术科学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46、土木工程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岩土工程                结构工程               市政工程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供热、供燃气、通风及空调工程        防灾减灾工程及防护工程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桥梁与隧道工程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47、水利工程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水文学及水资源      水力学及河流动力学         水工结构工程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水利水电工程        港口、海岸及近海工程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48、测绘科学与技术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 xml:space="preserve">大地测量学与测量工程      摄影测量与遥感  </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地图制图学与地理信息工程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49、化学工程与技术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化学工程                 化学工艺             生物化工</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应用化学                 工业催化</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50、地质资源与地质工程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矿产普查与勘探        地球探测与信息技术         地质工程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51、矿业工程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采矿工程               矿物加工工程          安全技术及工程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52、石油与天然气工程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油气井工程             油气田开发工程          油气储运工程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53、纺织科学与工程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纺织工程          纺织材料与纺织品设计   纺织化学与染整工程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服装设计与工程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54、轻工技术与工程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制浆造纸工程             制糖工程                 发酵工程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皮革化学与工程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55、交通运输工程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道路与铁道工程       交通信息工程及控制  交通运输规划与管理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载运工具运用工程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56、船舶与海洋工程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船舶与海洋结构物设计制造      轮机工程          水声工程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57、航空宇航科学与技术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飞行器设计       航空宇航推进理论与工程    航空宇航制造工程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人机与环境工程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58、兵器科学与技术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武器系统与运用工程                兵器发射理论与技术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火炮、自动武器与弹药工程          军事化学与烟火技术</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59、核科学与技术</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核能科学与工程         核燃料循环与材料       核技术及应用</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辐射防护及环境保护</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60、农业工程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农业机械化工程      农业水土工程   农业生物环境与能源工程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农业电气化与自动化</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61、林业工程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森林工程            木材科学与技术      林产化学加工工程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62、环境科学与工程（可归工学、理学、农学）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环境科学            环境工程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63、生物医学工程（可归工学、理学、医学）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64、食品科学与工程（可归工学、农学）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食品科学    粮食、油脂及植物蛋白工程    农产品加工及贮藏工程</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水产品加工及贮藏工程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65、城乡规划学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66、风景园林学（可归工学、农学）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67、软件工程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68、生物工程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69、安全科学与工程</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70、公安技术</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71、网络空间安全</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九、农学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72、作物学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作物栽培学与耕作学       作物遗传育种</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73、园艺学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果树学                   蔬菜学                   茶学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74、农业资源与环境</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土壤学                   植物营养学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75、植物保护</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植物病理学              农业昆虫与害虫防治       农药学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76、畜牧学</w:t>
      </w:r>
    </w:p>
    <w:p>
      <w:pPr>
        <w:snapToGrid w:val="0"/>
        <w:spacing w:line="400" w:lineRule="exact"/>
        <w:ind w:firstLine="624"/>
        <w:rPr>
          <w:rFonts w:ascii="宋体" w:hAnsi="宋体" w:cs="宋体"/>
          <w:color w:val="000000"/>
          <w:kern w:val="0"/>
          <w:sz w:val="24"/>
        </w:rPr>
      </w:pPr>
      <w:r>
        <w:rPr>
          <w:rFonts w:hint="eastAsia" w:ascii="仿宋_GB2312" w:hAnsi="宋体" w:eastAsia="仿宋_GB2312" w:cs="Arial"/>
          <w:sz w:val="24"/>
          <w:szCs w:val="24"/>
        </w:rPr>
        <w:t>动物遗传育种与繁殖     动物营养与饲料科学       草业科学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特种经济动物饲养</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77、兽医学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基础兽医学             预防兽医学              临床兽医学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78、林学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林木遗传育种           森林培育                森林保护学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森林经理学      野生动植物保护与利用     园林植物与观赏园艺</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水土保持与荒漠化防治</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79、水产</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水产养殖            捕捞学               渔业资源</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80、草学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十、医学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81、基础医学（可归医学、理学）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人体解剖与组织胚胎学        免疫学           病原生物学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病理学与病理生理学          法医学           放射医学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82、临床医学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内科学                     儿科学            老年医学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神经病学              精神病与精神卫生学     皮肤病与性病学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影像医学与核医学        临床检验诊断学       护理学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 xml:space="preserve">外科学                    妇产科学           眼科学            </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 xml:space="preserve">耳鼻咽喉科学              肿瘤学             康复医学与理疗学       </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运动医学                  麻醉学             急诊医学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83、口腔医学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口腔基础医学              口腔临床医学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84、公共卫生与预防医学（可归医学、理学）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流行病与卫生统计学     劳动卫生与环境卫生学   营养与食品卫生学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儿少卫生与妇幼保健学        卫生毒理学         军事预防医学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85、中医学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中医基础理论          中医临床基础           中医医史文献</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方剂学                中医诊断学             中医内科学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中医外科学            中医骨伤科学           中医妇科学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中医儿科学            中医五官科学           针灸推拿学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民族医学（含：藏医学、蒙医学等）</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86、中西医结合</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中西医结合基础         中西医结合临床</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87、药学（可归医学、理学）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药物化学                  药剂学               生药学</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药物分析学           微生物与生化药学          药理学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88、中药学（可归医学、理学）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89、特种医学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90、医学技术（可归医学、理学）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91、护理学（可归医学、理学）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十一、管理学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92、管理科学与工程（可归管理学、工学）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93、工商管理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会计学                    企业管理               旅游管理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技术经济及管理</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94、农林经济管理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农业经济管理             林业经济管理</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95、公共管理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行政管理          社会医学与卫生事业管理     教育经济与管理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社会保障               土地资源管理</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96、图书情报与档案管理</w:t>
      </w:r>
    </w:p>
    <w:p>
      <w:pPr>
        <w:snapToGrid w:val="0"/>
        <w:spacing w:line="400" w:lineRule="exact"/>
        <w:ind w:firstLine="624"/>
        <w:rPr>
          <w:rFonts w:ascii="仿宋_GB2312" w:hAnsi="宋体" w:eastAsia="仿宋_GB2312" w:cs="Arial"/>
          <w:sz w:val="24"/>
          <w:szCs w:val="24"/>
        </w:rPr>
      </w:pPr>
      <w:r>
        <w:rPr>
          <w:rFonts w:hint="eastAsia" w:ascii="仿宋_GB2312" w:hAnsi="宋体" w:eastAsia="仿宋_GB2312" w:cs="Arial"/>
          <w:sz w:val="24"/>
          <w:szCs w:val="24"/>
        </w:rPr>
        <w:t>图书馆学               情报学                  档案学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十二、艺术学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97、艺术学理论</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98、音乐与舞蹈学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99、戏剧与影视学</w:t>
      </w:r>
    </w:p>
    <w:p>
      <w:pPr>
        <w:snapToGrid w:val="0"/>
        <w:spacing w:line="400" w:lineRule="exact"/>
        <w:ind w:firstLine="624"/>
        <w:rPr>
          <w:rFonts w:ascii="仿宋_GB2312" w:hAnsi="宋体" w:eastAsia="仿宋_GB2312" w:cs="Arial"/>
          <w:b/>
          <w:bCs/>
          <w:sz w:val="24"/>
          <w:szCs w:val="24"/>
        </w:rPr>
      </w:pPr>
      <w:r>
        <w:rPr>
          <w:rFonts w:hint="eastAsia" w:ascii="仿宋_GB2312" w:hAnsi="宋体" w:eastAsia="仿宋_GB2312" w:cs="Arial"/>
          <w:b/>
          <w:bCs/>
          <w:sz w:val="24"/>
          <w:szCs w:val="24"/>
        </w:rPr>
        <w:t>100、美术学</w:t>
      </w:r>
    </w:p>
    <w:p>
      <w:pPr>
        <w:snapToGrid w:val="0"/>
        <w:spacing w:line="400" w:lineRule="exact"/>
        <w:ind w:firstLine="624"/>
        <w:rPr>
          <w:rFonts w:ascii="仿宋_GB2312" w:hAnsi="宋体" w:eastAsia="仿宋_GB2312"/>
          <w:sz w:val="24"/>
          <w:szCs w:val="24"/>
        </w:rPr>
      </w:pPr>
      <w:r>
        <w:rPr>
          <w:rFonts w:hint="eastAsia" w:ascii="仿宋_GB2312" w:hAnsi="宋体" w:eastAsia="仿宋_GB2312" w:cs="Arial"/>
          <w:b/>
          <w:bCs/>
          <w:sz w:val="24"/>
          <w:szCs w:val="24"/>
        </w:rPr>
        <w:t>101、设计学（可归艺术学、工学）</w:t>
      </w:r>
    </w:p>
    <w:p>
      <w:pPr>
        <w:snapToGrid w:val="0"/>
        <w:spacing w:line="400" w:lineRule="exact"/>
        <w:jc w:val="center"/>
        <w:outlineLvl w:val="0"/>
        <w:rPr>
          <w:rFonts w:ascii="黑体" w:hAnsi="黑体" w:eastAsia="黑体" w:cs="Arial"/>
          <w:bCs/>
          <w:sz w:val="24"/>
          <w:szCs w:val="24"/>
        </w:rPr>
      </w:pPr>
      <w:r>
        <w:rPr>
          <w:rFonts w:hint="eastAsia" w:ascii="黑体" w:hAnsi="黑体" w:eastAsia="黑体" w:cs="Arial"/>
          <w:bCs/>
          <w:sz w:val="24"/>
          <w:szCs w:val="24"/>
        </w:rPr>
        <w:t>十三、中小学教育学</w:t>
      </w:r>
    </w:p>
    <w:p>
      <w:pPr>
        <w:tabs>
          <w:tab w:val="left" w:pos="7520"/>
        </w:tabs>
        <w:adjustRightInd w:val="0"/>
        <w:snapToGrid w:val="0"/>
        <w:spacing w:line="400" w:lineRule="exact"/>
        <w:ind w:firstLine="624"/>
        <w:rPr>
          <w:rFonts w:ascii="仿宋_GB2312" w:hAnsi="宋体" w:eastAsia="仿宋_GB2312" w:cs="Arial"/>
          <w:b/>
          <w:sz w:val="24"/>
          <w:szCs w:val="24"/>
        </w:rPr>
      </w:pPr>
      <w:r>
        <w:rPr>
          <w:rFonts w:hint="eastAsia" w:ascii="仿宋_GB2312" w:hAnsi="宋体" w:eastAsia="仿宋_GB2312" w:cs="Arial"/>
          <w:b/>
          <w:sz w:val="24"/>
          <w:szCs w:val="24"/>
        </w:rPr>
        <w:t>102、中、小学教育学</w:t>
      </w:r>
    </w:p>
    <w:p>
      <w:pPr>
        <w:adjustRightInd w:val="0"/>
        <w:snapToGrid w:val="0"/>
        <w:spacing w:line="400" w:lineRule="exact"/>
        <w:ind w:firstLine="624"/>
        <w:rPr>
          <w:rFonts w:ascii="仿宋_GB2312" w:hAnsi="宋体" w:eastAsia="仿宋_GB2312"/>
          <w:sz w:val="24"/>
          <w:szCs w:val="24"/>
        </w:rPr>
      </w:pPr>
      <w:r>
        <w:rPr>
          <w:rFonts w:hint="eastAsia" w:ascii="仿宋_GB2312" w:hAnsi="宋体" w:eastAsia="仿宋_GB2312" w:cs="Arial"/>
          <w:sz w:val="24"/>
          <w:szCs w:val="24"/>
        </w:rPr>
        <w:t>学前教育学             普通教育学              职业技术教育学</w:t>
      </w:r>
    </w:p>
    <w:p>
      <w:pPr>
        <w:adjustRightInd w:val="0"/>
        <w:snapToGrid w:val="0"/>
        <w:spacing w:line="580" w:lineRule="exact"/>
        <w:ind w:firstLine="640" w:firstLineChars="200"/>
        <w:jc w:val="left"/>
        <w:rPr>
          <w:rFonts w:ascii="Times New Roman" w:hAnsi="Times New Roman" w:eastAsia="仿宋_GB2312"/>
          <w:bCs/>
          <w:color w:val="000000"/>
          <w:sz w:val="32"/>
          <w:szCs w:val="32"/>
        </w:rPr>
      </w:pPr>
    </w:p>
    <w:p>
      <w:pPr>
        <w:spacing w:line="590" w:lineRule="exact"/>
        <w:jc w:val="left"/>
        <w:rPr>
          <w:rFonts w:ascii="Times New Roman" w:hAnsi="Times New Roman" w:eastAsia="仿宋_GB2312"/>
          <w:color w:val="000000"/>
          <w:sz w:val="32"/>
          <w:szCs w:val="32"/>
        </w:rPr>
      </w:pPr>
    </w:p>
    <w:sectPr>
      <w:footerReference r:id="rId3" w:type="default"/>
      <w:footerReference r:id="rId4" w:type="even"/>
      <w:pgSz w:w="11906" w:h="16838"/>
      <w:pgMar w:top="1928" w:right="1418" w:bottom="147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485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4858"/>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2MDA3MjY2ZjI3Yzc5Njg2ZDc0MTBjY2U4ODQ2NzcifQ=="/>
  </w:docVars>
  <w:rsids>
    <w:rsidRoot w:val="00E14FDF"/>
    <w:rsid w:val="00002C0B"/>
    <w:rsid w:val="00004108"/>
    <w:rsid w:val="00004FE9"/>
    <w:rsid w:val="00006F15"/>
    <w:rsid w:val="00020CB9"/>
    <w:rsid w:val="00022C99"/>
    <w:rsid w:val="000237A2"/>
    <w:rsid w:val="000348D7"/>
    <w:rsid w:val="00035DAE"/>
    <w:rsid w:val="00041AD5"/>
    <w:rsid w:val="00042A97"/>
    <w:rsid w:val="00047AE3"/>
    <w:rsid w:val="0005316B"/>
    <w:rsid w:val="00060969"/>
    <w:rsid w:val="00062DAC"/>
    <w:rsid w:val="00065CB8"/>
    <w:rsid w:val="000664A2"/>
    <w:rsid w:val="00073174"/>
    <w:rsid w:val="00073EFE"/>
    <w:rsid w:val="00075A4A"/>
    <w:rsid w:val="000775CA"/>
    <w:rsid w:val="000841AD"/>
    <w:rsid w:val="00085635"/>
    <w:rsid w:val="00086092"/>
    <w:rsid w:val="000877CA"/>
    <w:rsid w:val="0009226B"/>
    <w:rsid w:val="00093D5D"/>
    <w:rsid w:val="00097846"/>
    <w:rsid w:val="00097E9F"/>
    <w:rsid w:val="000A3C8A"/>
    <w:rsid w:val="000A4952"/>
    <w:rsid w:val="000B5A07"/>
    <w:rsid w:val="000B6862"/>
    <w:rsid w:val="000B6C5C"/>
    <w:rsid w:val="000C3E14"/>
    <w:rsid w:val="000C7C34"/>
    <w:rsid w:val="000D339A"/>
    <w:rsid w:val="000D6F63"/>
    <w:rsid w:val="000E2995"/>
    <w:rsid w:val="000E3680"/>
    <w:rsid w:val="000E731A"/>
    <w:rsid w:val="000E7ADF"/>
    <w:rsid w:val="000F2F79"/>
    <w:rsid w:val="000F43A9"/>
    <w:rsid w:val="000F7098"/>
    <w:rsid w:val="000F7A7B"/>
    <w:rsid w:val="000F7D67"/>
    <w:rsid w:val="00102038"/>
    <w:rsid w:val="00106A7F"/>
    <w:rsid w:val="0011117D"/>
    <w:rsid w:val="001137E6"/>
    <w:rsid w:val="0011470F"/>
    <w:rsid w:val="00115492"/>
    <w:rsid w:val="00115A1F"/>
    <w:rsid w:val="00126FBE"/>
    <w:rsid w:val="0013256A"/>
    <w:rsid w:val="001329D2"/>
    <w:rsid w:val="00135E39"/>
    <w:rsid w:val="00141F3F"/>
    <w:rsid w:val="00142D09"/>
    <w:rsid w:val="00147653"/>
    <w:rsid w:val="00147864"/>
    <w:rsid w:val="00154E6B"/>
    <w:rsid w:val="0016130B"/>
    <w:rsid w:val="0016206B"/>
    <w:rsid w:val="00163C60"/>
    <w:rsid w:val="00165CFE"/>
    <w:rsid w:val="00166AFC"/>
    <w:rsid w:val="00167271"/>
    <w:rsid w:val="001733B8"/>
    <w:rsid w:val="001744D7"/>
    <w:rsid w:val="001832C1"/>
    <w:rsid w:val="00184CD7"/>
    <w:rsid w:val="001874EE"/>
    <w:rsid w:val="00191D09"/>
    <w:rsid w:val="001930A9"/>
    <w:rsid w:val="001A0329"/>
    <w:rsid w:val="001A3F40"/>
    <w:rsid w:val="001A51EA"/>
    <w:rsid w:val="001B4189"/>
    <w:rsid w:val="001C090A"/>
    <w:rsid w:val="001C27C8"/>
    <w:rsid w:val="001C29AA"/>
    <w:rsid w:val="001C53D5"/>
    <w:rsid w:val="001D3AFF"/>
    <w:rsid w:val="001D5547"/>
    <w:rsid w:val="001D67E3"/>
    <w:rsid w:val="001E292F"/>
    <w:rsid w:val="001E4396"/>
    <w:rsid w:val="001E43E0"/>
    <w:rsid w:val="001F4D77"/>
    <w:rsid w:val="001F776D"/>
    <w:rsid w:val="00200788"/>
    <w:rsid w:val="0020101B"/>
    <w:rsid w:val="00201B35"/>
    <w:rsid w:val="0020577B"/>
    <w:rsid w:val="00214070"/>
    <w:rsid w:val="0021573F"/>
    <w:rsid w:val="0022252B"/>
    <w:rsid w:val="00230115"/>
    <w:rsid w:val="00231DD9"/>
    <w:rsid w:val="00233043"/>
    <w:rsid w:val="00233D50"/>
    <w:rsid w:val="00237C00"/>
    <w:rsid w:val="0024050E"/>
    <w:rsid w:val="0024185E"/>
    <w:rsid w:val="0024457E"/>
    <w:rsid w:val="00245754"/>
    <w:rsid w:val="00246D76"/>
    <w:rsid w:val="002506AB"/>
    <w:rsid w:val="00250AB9"/>
    <w:rsid w:val="002570C3"/>
    <w:rsid w:val="0026098B"/>
    <w:rsid w:val="00266668"/>
    <w:rsid w:val="0026691D"/>
    <w:rsid w:val="00273E8F"/>
    <w:rsid w:val="0027575C"/>
    <w:rsid w:val="00282590"/>
    <w:rsid w:val="00290309"/>
    <w:rsid w:val="00292A99"/>
    <w:rsid w:val="00297B14"/>
    <w:rsid w:val="002A1A04"/>
    <w:rsid w:val="002A2B6C"/>
    <w:rsid w:val="002A3A31"/>
    <w:rsid w:val="002A5F46"/>
    <w:rsid w:val="002A7761"/>
    <w:rsid w:val="002B0B03"/>
    <w:rsid w:val="002B7BD8"/>
    <w:rsid w:val="002C2318"/>
    <w:rsid w:val="002C4F7F"/>
    <w:rsid w:val="002C4FB7"/>
    <w:rsid w:val="002D20F3"/>
    <w:rsid w:val="002D73D9"/>
    <w:rsid w:val="002E0BC7"/>
    <w:rsid w:val="002E1B22"/>
    <w:rsid w:val="002E2839"/>
    <w:rsid w:val="002E610A"/>
    <w:rsid w:val="002F3A2A"/>
    <w:rsid w:val="002F43F2"/>
    <w:rsid w:val="002F7FF3"/>
    <w:rsid w:val="003004CF"/>
    <w:rsid w:val="0030133F"/>
    <w:rsid w:val="00301FC7"/>
    <w:rsid w:val="00303B08"/>
    <w:rsid w:val="0031458E"/>
    <w:rsid w:val="00316571"/>
    <w:rsid w:val="0032157E"/>
    <w:rsid w:val="00323D9C"/>
    <w:rsid w:val="00335F7A"/>
    <w:rsid w:val="003420C6"/>
    <w:rsid w:val="00344064"/>
    <w:rsid w:val="00362AE2"/>
    <w:rsid w:val="00363C6D"/>
    <w:rsid w:val="00364458"/>
    <w:rsid w:val="003648DD"/>
    <w:rsid w:val="003668CA"/>
    <w:rsid w:val="003711EB"/>
    <w:rsid w:val="00372C7A"/>
    <w:rsid w:val="00372FCA"/>
    <w:rsid w:val="00373E39"/>
    <w:rsid w:val="003767A9"/>
    <w:rsid w:val="00383AFB"/>
    <w:rsid w:val="00384930"/>
    <w:rsid w:val="00391768"/>
    <w:rsid w:val="00392D1B"/>
    <w:rsid w:val="003943B4"/>
    <w:rsid w:val="00397ED5"/>
    <w:rsid w:val="003A1415"/>
    <w:rsid w:val="003A25C9"/>
    <w:rsid w:val="003A2B69"/>
    <w:rsid w:val="003A3234"/>
    <w:rsid w:val="003B0220"/>
    <w:rsid w:val="003B1509"/>
    <w:rsid w:val="003B17AB"/>
    <w:rsid w:val="003B19DF"/>
    <w:rsid w:val="003B25EB"/>
    <w:rsid w:val="003C22DC"/>
    <w:rsid w:val="003C4008"/>
    <w:rsid w:val="003C4296"/>
    <w:rsid w:val="003C4C59"/>
    <w:rsid w:val="003C5639"/>
    <w:rsid w:val="003C6837"/>
    <w:rsid w:val="003E18D8"/>
    <w:rsid w:val="003E7CA5"/>
    <w:rsid w:val="003F585F"/>
    <w:rsid w:val="003F6884"/>
    <w:rsid w:val="003F6994"/>
    <w:rsid w:val="003F75E5"/>
    <w:rsid w:val="004012C9"/>
    <w:rsid w:val="0040225E"/>
    <w:rsid w:val="0041356A"/>
    <w:rsid w:val="00416B4E"/>
    <w:rsid w:val="00424047"/>
    <w:rsid w:val="0042711B"/>
    <w:rsid w:val="004307AE"/>
    <w:rsid w:val="00430C79"/>
    <w:rsid w:val="004316A3"/>
    <w:rsid w:val="004352FC"/>
    <w:rsid w:val="00435EC0"/>
    <w:rsid w:val="00436114"/>
    <w:rsid w:val="00437405"/>
    <w:rsid w:val="00437534"/>
    <w:rsid w:val="00440C5E"/>
    <w:rsid w:val="00441C85"/>
    <w:rsid w:val="004463EC"/>
    <w:rsid w:val="0046220A"/>
    <w:rsid w:val="00462CB6"/>
    <w:rsid w:val="004655E7"/>
    <w:rsid w:val="004751B9"/>
    <w:rsid w:val="0047756B"/>
    <w:rsid w:val="00483F59"/>
    <w:rsid w:val="00484D24"/>
    <w:rsid w:val="00485817"/>
    <w:rsid w:val="00491BDF"/>
    <w:rsid w:val="00496D9D"/>
    <w:rsid w:val="004975CD"/>
    <w:rsid w:val="0049774D"/>
    <w:rsid w:val="004A3B66"/>
    <w:rsid w:val="004A3EFF"/>
    <w:rsid w:val="004A45DF"/>
    <w:rsid w:val="004A6DEF"/>
    <w:rsid w:val="004A79BD"/>
    <w:rsid w:val="004B37C6"/>
    <w:rsid w:val="004B5E5E"/>
    <w:rsid w:val="004C1B51"/>
    <w:rsid w:val="004C579D"/>
    <w:rsid w:val="004D6CAC"/>
    <w:rsid w:val="004E182D"/>
    <w:rsid w:val="004E1F1F"/>
    <w:rsid w:val="004E536E"/>
    <w:rsid w:val="004F0148"/>
    <w:rsid w:val="004F1CE9"/>
    <w:rsid w:val="004F35B6"/>
    <w:rsid w:val="0050227E"/>
    <w:rsid w:val="00505FFE"/>
    <w:rsid w:val="005172D2"/>
    <w:rsid w:val="00521056"/>
    <w:rsid w:val="00522292"/>
    <w:rsid w:val="00525F3F"/>
    <w:rsid w:val="00530899"/>
    <w:rsid w:val="00532EDB"/>
    <w:rsid w:val="00540820"/>
    <w:rsid w:val="005525CA"/>
    <w:rsid w:val="005564B1"/>
    <w:rsid w:val="005568CC"/>
    <w:rsid w:val="00560B00"/>
    <w:rsid w:val="005728BB"/>
    <w:rsid w:val="00576265"/>
    <w:rsid w:val="0057630C"/>
    <w:rsid w:val="00581950"/>
    <w:rsid w:val="00587F4A"/>
    <w:rsid w:val="00590D30"/>
    <w:rsid w:val="00591E95"/>
    <w:rsid w:val="0059367C"/>
    <w:rsid w:val="00596209"/>
    <w:rsid w:val="005967F5"/>
    <w:rsid w:val="005A1CE4"/>
    <w:rsid w:val="005A4429"/>
    <w:rsid w:val="005B1BD3"/>
    <w:rsid w:val="005B5E98"/>
    <w:rsid w:val="005B6693"/>
    <w:rsid w:val="005C1FE4"/>
    <w:rsid w:val="005C431F"/>
    <w:rsid w:val="005C7137"/>
    <w:rsid w:val="005D183A"/>
    <w:rsid w:val="005D287B"/>
    <w:rsid w:val="005D36E0"/>
    <w:rsid w:val="005D6ACE"/>
    <w:rsid w:val="005E6064"/>
    <w:rsid w:val="005E7A7D"/>
    <w:rsid w:val="005F62AC"/>
    <w:rsid w:val="005F6BA0"/>
    <w:rsid w:val="00601F7E"/>
    <w:rsid w:val="0060489C"/>
    <w:rsid w:val="006143FC"/>
    <w:rsid w:val="00614442"/>
    <w:rsid w:val="00614D8C"/>
    <w:rsid w:val="006239A0"/>
    <w:rsid w:val="006241D4"/>
    <w:rsid w:val="00625E89"/>
    <w:rsid w:val="00630026"/>
    <w:rsid w:val="0063218D"/>
    <w:rsid w:val="00632D41"/>
    <w:rsid w:val="00640143"/>
    <w:rsid w:val="0064340A"/>
    <w:rsid w:val="0064578E"/>
    <w:rsid w:val="00647B6A"/>
    <w:rsid w:val="00652783"/>
    <w:rsid w:val="00653324"/>
    <w:rsid w:val="00655B2A"/>
    <w:rsid w:val="00663245"/>
    <w:rsid w:val="0066429A"/>
    <w:rsid w:val="00664829"/>
    <w:rsid w:val="006679CC"/>
    <w:rsid w:val="0067235B"/>
    <w:rsid w:val="0067376B"/>
    <w:rsid w:val="0067508A"/>
    <w:rsid w:val="00677455"/>
    <w:rsid w:val="0068567F"/>
    <w:rsid w:val="00686BF9"/>
    <w:rsid w:val="00690946"/>
    <w:rsid w:val="00693381"/>
    <w:rsid w:val="006965DD"/>
    <w:rsid w:val="0069756D"/>
    <w:rsid w:val="006A28BB"/>
    <w:rsid w:val="006A4419"/>
    <w:rsid w:val="006B0905"/>
    <w:rsid w:val="006B1284"/>
    <w:rsid w:val="006B732F"/>
    <w:rsid w:val="006B7EB1"/>
    <w:rsid w:val="006C18BC"/>
    <w:rsid w:val="006C2E60"/>
    <w:rsid w:val="006C3DC3"/>
    <w:rsid w:val="006D5059"/>
    <w:rsid w:val="006E2746"/>
    <w:rsid w:val="006E2946"/>
    <w:rsid w:val="006E4767"/>
    <w:rsid w:val="006E7209"/>
    <w:rsid w:val="00705E25"/>
    <w:rsid w:val="00714644"/>
    <w:rsid w:val="00714897"/>
    <w:rsid w:val="00716B89"/>
    <w:rsid w:val="00717774"/>
    <w:rsid w:val="00723D62"/>
    <w:rsid w:val="00727095"/>
    <w:rsid w:val="007335EA"/>
    <w:rsid w:val="00741E21"/>
    <w:rsid w:val="00742113"/>
    <w:rsid w:val="0074301B"/>
    <w:rsid w:val="00750751"/>
    <w:rsid w:val="0075105D"/>
    <w:rsid w:val="007529BB"/>
    <w:rsid w:val="007575EA"/>
    <w:rsid w:val="007577B7"/>
    <w:rsid w:val="007578E1"/>
    <w:rsid w:val="007655A2"/>
    <w:rsid w:val="00765A3D"/>
    <w:rsid w:val="007674DE"/>
    <w:rsid w:val="00767879"/>
    <w:rsid w:val="007704C3"/>
    <w:rsid w:val="00771479"/>
    <w:rsid w:val="00774F93"/>
    <w:rsid w:val="0078240C"/>
    <w:rsid w:val="007835F0"/>
    <w:rsid w:val="0078623D"/>
    <w:rsid w:val="007965FF"/>
    <w:rsid w:val="007A02A9"/>
    <w:rsid w:val="007A0710"/>
    <w:rsid w:val="007A2CFF"/>
    <w:rsid w:val="007A51F7"/>
    <w:rsid w:val="007A706C"/>
    <w:rsid w:val="007A79F4"/>
    <w:rsid w:val="007B0E7B"/>
    <w:rsid w:val="007B3B97"/>
    <w:rsid w:val="007B446D"/>
    <w:rsid w:val="007B473B"/>
    <w:rsid w:val="007B4B1D"/>
    <w:rsid w:val="007C35C4"/>
    <w:rsid w:val="007C4923"/>
    <w:rsid w:val="007D0137"/>
    <w:rsid w:val="007D106E"/>
    <w:rsid w:val="007D421C"/>
    <w:rsid w:val="007D6B87"/>
    <w:rsid w:val="007E1C92"/>
    <w:rsid w:val="007E1DC2"/>
    <w:rsid w:val="007E7326"/>
    <w:rsid w:val="007F1B60"/>
    <w:rsid w:val="007F21CF"/>
    <w:rsid w:val="007F2B03"/>
    <w:rsid w:val="008043DF"/>
    <w:rsid w:val="00814318"/>
    <w:rsid w:val="00826F9C"/>
    <w:rsid w:val="00827304"/>
    <w:rsid w:val="00830155"/>
    <w:rsid w:val="0083481D"/>
    <w:rsid w:val="00860BA8"/>
    <w:rsid w:val="0086187B"/>
    <w:rsid w:val="00863DF6"/>
    <w:rsid w:val="008658D3"/>
    <w:rsid w:val="00866A73"/>
    <w:rsid w:val="0086723F"/>
    <w:rsid w:val="00873B7D"/>
    <w:rsid w:val="00875878"/>
    <w:rsid w:val="008765A7"/>
    <w:rsid w:val="00883107"/>
    <w:rsid w:val="008839A5"/>
    <w:rsid w:val="00885023"/>
    <w:rsid w:val="00887BEB"/>
    <w:rsid w:val="00895BCE"/>
    <w:rsid w:val="008A0A20"/>
    <w:rsid w:val="008A0AD6"/>
    <w:rsid w:val="008A19A9"/>
    <w:rsid w:val="008B287E"/>
    <w:rsid w:val="008B4DD3"/>
    <w:rsid w:val="008B7FBC"/>
    <w:rsid w:val="008C379B"/>
    <w:rsid w:val="008D1AF1"/>
    <w:rsid w:val="008D3402"/>
    <w:rsid w:val="008D34FD"/>
    <w:rsid w:val="008D3E93"/>
    <w:rsid w:val="008D60D8"/>
    <w:rsid w:val="008E19CA"/>
    <w:rsid w:val="008F120F"/>
    <w:rsid w:val="008F1B60"/>
    <w:rsid w:val="008F1F8F"/>
    <w:rsid w:val="008F55B0"/>
    <w:rsid w:val="00903186"/>
    <w:rsid w:val="0091231D"/>
    <w:rsid w:val="00912E41"/>
    <w:rsid w:val="00915AAF"/>
    <w:rsid w:val="00917923"/>
    <w:rsid w:val="00922CCF"/>
    <w:rsid w:val="009374C8"/>
    <w:rsid w:val="0094352D"/>
    <w:rsid w:val="00943627"/>
    <w:rsid w:val="00944290"/>
    <w:rsid w:val="009507EF"/>
    <w:rsid w:val="00951E7C"/>
    <w:rsid w:val="00955C81"/>
    <w:rsid w:val="00960F95"/>
    <w:rsid w:val="00964330"/>
    <w:rsid w:val="00966315"/>
    <w:rsid w:val="00967FBF"/>
    <w:rsid w:val="009727E9"/>
    <w:rsid w:val="00973157"/>
    <w:rsid w:val="009802A0"/>
    <w:rsid w:val="00981EDD"/>
    <w:rsid w:val="00985DEC"/>
    <w:rsid w:val="00996813"/>
    <w:rsid w:val="009A06F3"/>
    <w:rsid w:val="009A19E6"/>
    <w:rsid w:val="009A26B2"/>
    <w:rsid w:val="009A69E4"/>
    <w:rsid w:val="009B2799"/>
    <w:rsid w:val="009B4B73"/>
    <w:rsid w:val="009B67F9"/>
    <w:rsid w:val="009B6D0C"/>
    <w:rsid w:val="009C6893"/>
    <w:rsid w:val="009E436B"/>
    <w:rsid w:val="009E641D"/>
    <w:rsid w:val="009E7BE0"/>
    <w:rsid w:val="009F029A"/>
    <w:rsid w:val="009F049A"/>
    <w:rsid w:val="009F2153"/>
    <w:rsid w:val="009F23C6"/>
    <w:rsid w:val="00A1094C"/>
    <w:rsid w:val="00A16478"/>
    <w:rsid w:val="00A201EF"/>
    <w:rsid w:val="00A2410C"/>
    <w:rsid w:val="00A247D1"/>
    <w:rsid w:val="00A25933"/>
    <w:rsid w:val="00A25E28"/>
    <w:rsid w:val="00A26FA3"/>
    <w:rsid w:val="00A30A89"/>
    <w:rsid w:val="00A34B9E"/>
    <w:rsid w:val="00A4102B"/>
    <w:rsid w:val="00A44C9F"/>
    <w:rsid w:val="00A4704D"/>
    <w:rsid w:val="00A534D5"/>
    <w:rsid w:val="00A57D92"/>
    <w:rsid w:val="00A60679"/>
    <w:rsid w:val="00A71C98"/>
    <w:rsid w:val="00A73CCD"/>
    <w:rsid w:val="00A8352D"/>
    <w:rsid w:val="00A83E87"/>
    <w:rsid w:val="00A87FC9"/>
    <w:rsid w:val="00A92438"/>
    <w:rsid w:val="00A94DC2"/>
    <w:rsid w:val="00AA18C5"/>
    <w:rsid w:val="00AA1C03"/>
    <w:rsid w:val="00AB0F30"/>
    <w:rsid w:val="00AB2597"/>
    <w:rsid w:val="00AB2C8A"/>
    <w:rsid w:val="00AB2D80"/>
    <w:rsid w:val="00AC3C4D"/>
    <w:rsid w:val="00AC5AB2"/>
    <w:rsid w:val="00AC74D9"/>
    <w:rsid w:val="00AD3136"/>
    <w:rsid w:val="00AD5316"/>
    <w:rsid w:val="00AE1A45"/>
    <w:rsid w:val="00AE2992"/>
    <w:rsid w:val="00AE34B7"/>
    <w:rsid w:val="00AE39B0"/>
    <w:rsid w:val="00AE3A31"/>
    <w:rsid w:val="00AE49C3"/>
    <w:rsid w:val="00AE5FB0"/>
    <w:rsid w:val="00AF1A0A"/>
    <w:rsid w:val="00AF21AF"/>
    <w:rsid w:val="00AF36B8"/>
    <w:rsid w:val="00AF5A71"/>
    <w:rsid w:val="00B00DB5"/>
    <w:rsid w:val="00B024D7"/>
    <w:rsid w:val="00B03127"/>
    <w:rsid w:val="00B1060E"/>
    <w:rsid w:val="00B12131"/>
    <w:rsid w:val="00B127A0"/>
    <w:rsid w:val="00B12FF3"/>
    <w:rsid w:val="00B15F38"/>
    <w:rsid w:val="00B172F5"/>
    <w:rsid w:val="00B20363"/>
    <w:rsid w:val="00B211CE"/>
    <w:rsid w:val="00B2245C"/>
    <w:rsid w:val="00B26374"/>
    <w:rsid w:val="00B26CB9"/>
    <w:rsid w:val="00B27B81"/>
    <w:rsid w:val="00B30F1C"/>
    <w:rsid w:val="00B31AB0"/>
    <w:rsid w:val="00B33AED"/>
    <w:rsid w:val="00B41257"/>
    <w:rsid w:val="00B4660F"/>
    <w:rsid w:val="00B534C5"/>
    <w:rsid w:val="00B535BB"/>
    <w:rsid w:val="00B54F1A"/>
    <w:rsid w:val="00B76307"/>
    <w:rsid w:val="00B76378"/>
    <w:rsid w:val="00B76B50"/>
    <w:rsid w:val="00B807FB"/>
    <w:rsid w:val="00B80A43"/>
    <w:rsid w:val="00B81D0C"/>
    <w:rsid w:val="00B8260B"/>
    <w:rsid w:val="00B84FDA"/>
    <w:rsid w:val="00B91ACD"/>
    <w:rsid w:val="00B979C9"/>
    <w:rsid w:val="00BA3EDD"/>
    <w:rsid w:val="00BA3F50"/>
    <w:rsid w:val="00BA4778"/>
    <w:rsid w:val="00BA4C13"/>
    <w:rsid w:val="00BB297E"/>
    <w:rsid w:val="00BB3B06"/>
    <w:rsid w:val="00BB5071"/>
    <w:rsid w:val="00BB6AE5"/>
    <w:rsid w:val="00BB72C2"/>
    <w:rsid w:val="00BC6DDC"/>
    <w:rsid w:val="00BD0EF4"/>
    <w:rsid w:val="00BD1BC8"/>
    <w:rsid w:val="00BD5AD2"/>
    <w:rsid w:val="00BE3344"/>
    <w:rsid w:val="00BF1B2B"/>
    <w:rsid w:val="00BF2D23"/>
    <w:rsid w:val="00BF6337"/>
    <w:rsid w:val="00C02E11"/>
    <w:rsid w:val="00C04101"/>
    <w:rsid w:val="00C10F55"/>
    <w:rsid w:val="00C1132A"/>
    <w:rsid w:val="00C11638"/>
    <w:rsid w:val="00C20B69"/>
    <w:rsid w:val="00C20EF1"/>
    <w:rsid w:val="00C2314A"/>
    <w:rsid w:val="00C24E0E"/>
    <w:rsid w:val="00C277B3"/>
    <w:rsid w:val="00C30826"/>
    <w:rsid w:val="00C35294"/>
    <w:rsid w:val="00C35F82"/>
    <w:rsid w:val="00C418F4"/>
    <w:rsid w:val="00C4225E"/>
    <w:rsid w:val="00C452FC"/>
    <w:rsid w:val="00C4590A"/>
    <w:rsid w:val="00C46A73"/>
    <w:rsid w:val="00C51A3E"/>
    <w:rsid w:val="00C5388B"/>
    <w:rsid w:val="00C553AA"/>
    <w:rsid w:val="00C6119E"/>
    <w:rsid w:val="00C65480"/>
    <w:rsid w:val="00C65FE0"/>
    <w:rsid w:val="00C74636"/>
    <w:rsid w:val="00C7469C"/>
    <w:rsid w:val="00C76A4C"/>
    <w:rsid w:val="00C76D98"/>
    <w:rsid w:val="00C77CDF"/>
    <w:rsid w:val="00C84DE8"/>
    <w:rsid w:val="00C9093F"/>
    <w:rsid w:val="00C94EEF"/>
    <w:rsid w:val="00CA0200"/>
    <w:rsid w:val="00CA0AB2"/>
    <w:rsid w:val="00CA7906"/>
    <w:rsid w:val="00CB0143"/>
    <w:rsid w:val="00CB314A"/>
    <w:rsid w:val="00CB4B53"/>
    <w:rsid w:val="00CB551F"/>
    <w:rsid w:val="00CC31FD"/>
    <w:rsid w:val="00CD35F9"/>
    <w:rsid w:val="00CD50CA"/>
    <w:rsid w:val="00CD5F23"/>
    <w:rsid w:val="00CD60F2"/>
    <w:rsid w:val="00CE2209"/>
    <w:rsid w:val="00CE2564"/>
    <w:rsid w:val="00D0641C"/>
    <w:rsid w:val="00D11421"/>
    <w:rsid w:val="00D11B42"/>
    <w:rsid w:val="00D12F59"/>
    <w:rsid w:val="00D33F8A"/>
    <w:rsid w:val="00D407BC"/>
    <w:rsid w:val="00D40EC2"/>
    <w:rsid w:val="00D41436"/>
    <w:rsid w:val="00D4250B"/>
    <w:rsid w:val="00D42C32"/>
    <w:rsid w:val="00D43909"/>
    <w:rsid w:val="00D43F62"/>
    <w:rsid w:val="00D551FA"/>
    <w:rsid w:val="00D56467"/>
    <w:rsid w:val="00D56644"/>
    <w:rsid w:val="00D6136C"/>
    <w:rsid w:val="00D7728A"/>
    <w:rsid w:val="00D81361"/>
    <w:rsid w:val="00D9010A"/>
    <w:rsid w:val="00D91DDD"/>
    <w:rsid w:val="00D929BE"/>
    <w:rsid w:val="00D9422D"/>
    <w:rsid w:val="00D95F56"/>
    <w:rsid w:val="00DA0C96"/>
    <w:rsid w:val="00DA1E5F"/>
    <w:rsid w:val="00DA3024"/>
    <w:rsid w:val="00DA331E"/>
    <w:rsid w:val="00DB0A5C"/>
    <w:rsid w:val="00DB1511"/>
    <w:rsid w:val="00DB1C15"/>
    <w:rsid w:val="00DB3CE7"/>
    <w:rsid w:val="00DB4D15"/>
    <w:rsid w:val="00DB624B"/>
    <w:rsid w:val="00DC3462"/>
    <w:rsid w:val="00DC41DA"/>
    <w:rsid w:val="00DC69F0"/>
    <w:rsid w:val="00DD11F4"/>
    <w:rsid w:val="00DD1A5F"/>
    <w:rsid w:val="00DD31EC"/>
    <w:rsid w:val="00DD39F9"/>
    <w:rsid w:val="00DD52A0"/>
    <w:rsid w:val="00DE171E"/>
    <w:rsid w:val="00DE4925"/>
    <w:rsid w:val="00DF0B09"/>
    <w:rsid w:val="00DF0F1E"/>
    <w:rsid w:val="00DF64F0"/>
    <w:rsid w:val="00E047B3"/>
    <w:rsid w:val="00E064F4"/>
    <w:rsid w:val="00E0676A"/>
    <w:rsid w:val="00E12A51"/>
    <w:rsid w:val="00E14FDF"/>
    <w:rsid w:val="00E159C2"/>
    <w:rsid w:val="00E233D8"/>
    <w:rsid w:val="00E24287"/>
    <w:rsid w:val="00E26DD6"/>
    <w:rsid w:val="00E33ECA"/>
    <w:rsid w:val="00E3529D"/>
    <w:rsid w:val="00E378A1"/>
    <w:rsid w:val="00E4756A"/>
    <w:rsid w:val="00E5095B"/>
    <w:rsid w:val="00E509E6"/>
    <w:rsid w:val="00E54B59"/>
    <w:rsid w:val="00E55DF3"/>
    <w:rsid w:val="00E57BD2"/>
    <w:rsid w:val="00E65F86"/>
    <w:rsid w:val="00E72840"/>
    <w:rsid w:val="00E73683"/>
    <w:rsid w:val="00E75639"/>
    <w:rsid w:val="00E80772"/>
    <w:rsid w:val="00E82AF8"/>
    <w:rsid w:val="00E874F9"/>
    <w:rsid w:val="00E9776B"/>
    <w:rsid w:val="00EA0B22"/>
    <w:rsid w:val="00EA0D52"/>
    <w:rsid w:val="00EA54AC"/>
    <w:rsid w:val="00EB034D"/>
    <w:rsid w:val="00EB166F"/>
    <w:rsid w:val="00EB4753"/>
    <w:rsid w:val="00EB60B4"/>
    <w:rsid w:val="00EB6DC3"/>
    <w:rsid w:val="00EC16B1"/>
    <w:rsid w:val="00EC2326"/>
    <w:rsid w:val="00EC380A"/>
    <w:rsid w:val="00EC5430"/>
    <w:rsid w:val="00EC6957"/>
    <w:rsid w:val="00EC7842"/>
    <w:rsid w:val="00ED5097"/>
    <w:rsid w:val="00EE1AE0"/>
    <w:rsid w:val="00EE2AFF"/>
    <w:rsid w:val="00EE38A4"/>
    <w:rsid w:val="00EE574E"/>
    <w:rsid w:val="00EE60F2"/>
    <w:rsid w:val="00EF03BA"/>
    <w:rsid w:val="00EF32BA"/>
    <w:rsid w:val="00EF3D0B"/>
    <w:rsid w:val="00EF55A2"/>
    <w:rsid w:val="00EF7DFE"/>
    <w:rsid w:val="00F02C52"/>
    <w:rsid w:val="00F04503"/>
    <w:rsid w:val="00F10AA9"/>
    <w:rsid w:val="00F11DB0"/>
    <w:rsid w:val="00F13371"/>
    <w:rsid w:val="00F1470E"/>
    <w:rsid w:val="00F1635A"/>
    <w:rsid w:val="00F1689C"/>
    <w:rsid w:val="00F17598"/>
    <w:rsid w:val="00F20144"/>
    <w:rsid w:val="00F22734"/>
    <w:rsid w:val="00F2487D"/>
    <w:rsid w:val="00F312ED"/>
    <w:rsid w:val="00F3565F"/>
    <w:rsid w:val="00F41296"/>
    <w:rsid w:val="00F461CC"/>
    <w:rsid w:val="00F53B82"/>
    <w:rsid w:val="00F54D67"/>
    <w:rsid w:val="00F6471D"/>
    <w:rsid w:val="00F65C64"/>
    <w:rsid w:val="00F67E2B"/>
    <w:rsid w:val="00F71798"/>
    <w:rsid w:val="00F71A37"/>
    <w:rsid w:val="00F7328A"/>
    <w:rsid w:val="00F73F58"/>
    <w:rsid w:val="00F75203"/>
    <w:rsid w:val="00F7794F"/>
    <w:rsid w:val="00F91A7C"/>
    <w:rsid w:val="00F9310B"/>
    <w:rsid w:val="00F970C6"/>
    <w:rsid w:val="00FA4AD8"/>
    <w:rsid w:val="00FB4D13"/>
    <w:rsid w:val="00FB591B"/>
    <w:rsid w:val="00FB6DC0"/>
    <w:rsid w:val="00FC3A14"/>
    <w:rsid w:val="00FD089C"/>
    <w:rsid w:val="00FD50FF"/>
    <w:rsid w:val="00FD5285"/>
    <w:rsid w:val="00FE2BC6"/>
    <w:rsid w:val="00FE7BC4"/>
    <w:rsid w:val="00FF184C"/>
    <w:rsid w:val="3E71588C"/>
    <w:rsid w:val="749B37CC"/>
    <w:rsid w:val="C2B634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uiPriority w:val="0"/>
    <w:pPr>
      <w:spacing w:line="600" w:lineRule="exact"/>
      <w:ind w:firstLine="720" w:firstLineChars="200"/>
    </w:pPr>
    <w:rPr>
      <w:rFonts w:ascii="仿宋_GB2312" w:hAnsi="宋体" w:eastAsia="仿宋_GB2312"/>
      <w:sz w:val="36"/>
      <w:szCs w:val="30"/>
    </w:rPr>
  </w:style>
  <w:style w:type="paragraph" w:styleId="3">
    <w:name w:val="Date"/>
    <w:basedOn w:val="1"/>
    <w:next w:val="1"/>
    <w:link w:val="17"/>
    <w:semiHidden/>
    <w:qFormat/>
    <w:uiPriority w:val="99"/>
    <w:pPr>
      <w:ind w:left="100" w:leftChars="250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qFormat/>
    <w:uiPriority w:val="99"/>
    <w:pPr>
      <w:snapToGrid w:val="0"/>
      <w:jc w:val="left"/>
    </w:pPr>
    <w:rPr>
      <w:rFonts w:ascii="Times New Roman" w:hAnsi="Times New Roman"/>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themeColor="hyperlink"/>
      <w:u w:val="single"/>
    </w:rPr>
  </w:style>
  <w:style w:type="character" w:styleId="12">
    <w:name w:val="footnote reference"/>
    <w:basedOn w:val="9"/>
    <w:semiHidden/>
    <w:qFormat/>
    <w:uiPriority w:val="99"/>
    <w:rPr>
      <w:rFonts w:cs="Times New Roman"/>
      <w:vertAlign w:val="superscript"/>
    </w:rPr>
  </w:style>
  <w:style w:type="paragraph" w:styleId="13">
    <w:name w:val="List Paragraph"/>
    <w:basedOn w:val="1"/>
    <w:qFormat/>
    <w:uiPriority w:val="99"/>
    <w:pPr>
      <w:ind w:firstLine="420" w:firstLineChars="200"/>
    </w:pPr>
  </w:style>
  <w:style w:type="character" w:customStyle="1" w:styleId="14">
    <w:name w:val="页眉 Char"/>
    <w:basedOn w:val="9"/>
    <w:link w:val="5"/>
    <w:qFormat/>
    <w:locked/>
    <w:uiPriority w:val="99"/>
    <w:rPr>
      <w:rFonts w:cs="Times New Roman"/>
      <w:sz w:val="18"/>
      <w:szCs w:val="18"/>
    </w:rPr>
  </w:style>
  <w:style w:type="character" w:customStyle="1" w:styleId="15">
    <w:name w:val="页脚 Char"/>
    <w:basedOn w:val="9"/>
    <w:link w:val="4"/>
    <w:qFormat/>
    <w:locked/>
    <w:uiPriority w:val="99"/>
    <w:rPr>
      <w:rFonts w:cs="Times New Roman"/>
      <w:sz w:val="18"/>
      <w:szCs w:val="18"/>
    </w:rPr>
  </w:style>
  <w:style w:type="character" w:customStyle="1" w:styleId="16">
    <w:name w:val="脚注文本 Char"/>
    <w:basedOn w:val="9"/>
    <w:link w:val="6"/>
    <w:semiHidden/>
    <w:qFormat/>
    <w:locked/>
    <w:uiPriority w:val="99"/>
    <w:rPr>
      <w:rFonts w:ascii="Times New Roman" w:hAnsi="Times New Roman" w:eastAsia="宋体" w:cs="Times New Roman"/>
      <w:sz w:val="18"/>
      <w:szCs w:val="18"/>
    </w:rPr>
  </w:style>
  <w:style w:type="character" w:customStyle="1" w:styleId="17">
    <w:name w:val="日期 Char"/>
    <w:basedOn w:val="9"/>
    <w:link w:val="3"/>
    <w:semiHidden/>
    <w:qFormat/>
    <w:locked/>
    <w:uiPriority w:val="99"/>
    <w:rPr>
      <w:rFonts w:cs="Times New Roman"/>
    </w:rPr>
  </w:style>
  <w:style w:type="paragraph" w:customStyle="1" w:styleId="18">
    <w:name w:val="标准"/>
    <w:basedOn w:val="1"/>
    <w:qFormat/>
    <w:uiPriority w:val="0"/>
    <w:pPr>
      <w:adjustRightInd w:val="0"/>
      <w:spacing w:before="120" w:after="120" w:line="312" w:lineRule="atLeast"/>
      <w:textAlignment w:val="baseline"/>
    </w:pPr>
    <w:rPr>
      <w:rFonts w:ascii="宋体" w:hAnsi="Times New Roman"/>
      <w:kern w:val="0"/>
      <w:szCs w:val="20"/>
    </w:rPr>
  </w:style>
  <w:style w:type="character" w:customStyle="1" w:styleId="19">
    <w:name w:val="正文文本缩进 Char"/>
    <w:basedOn w:val="9"/>
    <w:link w:val="2"/>
    <w:qFormat/>
    <w:uiPriority w:val="0"/>
    <w:rPr>
      <w:rFonts w:ascii="仿宋_GB2312" w:hAnsi="宋体" w:eastAsia="仿宋_GB2312"/>
      <w:kern w:val="2"/>
      <w:sz w:val="36"/>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中国联想科技</Company>
  <Pages>14</Pages>
  <Words>1169</Words>
  <Characters>6664</Characters>
  <Lines>55</Lines>
  <Paragraphs>15</Paragraphs>
  <TotalTime>58</TotalTime>
  <ScaleCrop>false</ScaleCrop>
  <LinksUpToDate>false</LinksUpToDate>
  <CharactersWithSpaces>7818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2021-03-21T11:30:00Z</dcterms:created>
  <dc:creator>人才处-覃文登</dc:creator>
  <cp:lastModifiedBy>user</cp:lastModifiedBy>
  <cp:lastPrinted>2022-02-17T11:02:00Z</cp:lastPrinted>
  <dcterms:modified xsi:type="dcterms:W3CDTF">2023-04-06T16:37:35Z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81D5931E7006419AB2304BE4BFF196FA</vt:lpwstr>
  </property>
</Properties>
</file>