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四川省工伤保险费率管理办法（征求意见稿）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</w:t>
      </w:r>
      <w:r>
        <w:rPr>
          <w:rFonts w:ascii="黑体" w:hAnsi="黑体" w:eastAsia="黑体" w:cs="Times New Roman"/>
          <w:sz w:val="32"/>
          <w:szCs w:val="32"/>
        </w:rPr>
        <w:t>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2022年12月，人力资源社会保障部、财政部、国家税务总局印发《关于进一步推进完善工伤保险省级统筹制度的通知》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人社部发〔20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，明确要求统一省内费率政策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我们结合工作实际，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起草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了《四川省工伤保险费率管理办法（征求意见稿）》（以下简称《管理办法》）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二</w:t>
      </w:r>
      <w:r>
        <w:rPr>
          <w:rFonts w:ascii="黑体" w:hAnsi="黑体" w:eastAsia="黑体" w:cs="Times New Roman"/>
          <w:sz w:val="32"/>
          <w:szCs w:val="32"/>
        </w:rPr>
        <w:t>、起草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起草工作于2023年1月启动，</w:t>
      </w:r>
      <w:r>
        <w:rPr>
          <w:rFonts w:ascii="Times New Roman" w:hAnsi="Times New Roman" w:eastAsia="仿宋_GB2312"/>
          <w:sz w:val="32"/>
          <w:szCs w:val="32"/>
        </w:rPr>
        <w:t>在起草过程中，我们会同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财政厅、国家税务总局四川省税务局</w:t>
      </w:r>
      <w:r>
        <w:rPr>
          <w:rFonts w:ascii="Times New Roman" w:hAnsi="Times New Roman" w:eastAsia="仿宋_GB2312"/>
          <w:sz w:val="32"/>
          <w:szCs w:val="32"/>
        </w:rPr>
        <w:t>，进行了大量调查研究、实地调研，认真学习领会了相关政策，充分吸纳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各市（州）工伤保险费率政策，起草了《管理办法》。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初稿完成后，先后征求了省级相关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各市（州）人力资源和社会保障局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重点</w:t>
      </w:r>
      <w:r>
        <w:rPr>
          <w:rFonts w:ascii="黑体" w:hAnsi="黑体" w:eastAsia="黑体" w:cs="Times New Roman"/>
          <w:sz w:val="32"/>
          <w:szCs w:val="32"/>
        </w:rPr>
        <w:t>内容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（一）关于行业基准费率的动态调整。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按照“以支定收、收支平衡”的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原则，</w:t>
      </w:r>
      <w:r>
        <w:rPr>
          <w:rFonts w:ascii="Times New Roman" w:hAnsi="Times New Roman" w:eastAsia="仿宋_GB2312" w:cs="Times New Roman"/>
          <w:sz w:val="32"/>
          <w:szCs w:val="32"/>
        </w:rPr>
        <w:t>动态调整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基准费率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工伤保险基金结存保持在合理适度的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范围，有效的保障工伤保险基金长期平稳运行，促进全省工伤保险高质量、可持续发展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）关于浮动费率的考核指标。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用人单位支出额大于缴费额时，应上浮费率；用人单位支出额小于缴费额时，则应下浮。并结合各市、州情况，参照其他省份做法，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确定以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支缴率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作为主要考核指标，并明确浮动比例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工伤发生率、安全生产及职业病防治情况作为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辅助</w:t>
      </w:r>
      <w:r>
        <w:rPr>
          <w:rFonts w:ascii="Times New Roman" w:hAnsi="Times New Roman" w:eastAsia="仿宋_GB2312" w:cs="Times New Roman"/>
          <w:sz w:val="32"/>
          <w:szCs w:val="32"/>
        </w:rPr>
        <w:t>考核指标。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）关于不纳入浮动考核的情形。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z w:val="32"/>
          <w:szCs w:val="32"/>
        </w:rPr>
        <w:t>伤保险费率浮动主要是促进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</w:t>
      </w:r>
      <w:r>
        <w:rPr>
          <w:rFonts w:ascii="Times New Roman" w:hAnsi="Times New Roman" w:eastAsia="仿宋_GB2312" w:cs="Times New Roman"/>
          <w:sz w:val="32"/>
          <w:szCs w:val="32"/>
        </w:rPr>
        <w:t>人单位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安全</w:t>
      </w:r>
      <w:r>
        <w:rPr>
          <w:rFonts w:ascii="Times New Roman" w:hAnsi="Times New Roman" w:eastAsia="仿宋_GB2312" w:cs="Times New Roman"/>
          <w:sz w:val="32"/>
          <w:szCs w:val="32"/>
        </w:rPr>
        <w:t>生产，开展工伤预防。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</w:t>
      </w:r>
      <w:r>
        <w:rPr>
          <w:rFonts w:ascii="Times New Roman" w:hAnsi="Times New Roman" w:eastAsia="仿宋_GB2312" w:cs="Times New Roman"/>
          <w:sz w:val="32"/>
          <w:szCs w:val="32"/>
        </w:rPr>
        <w:t>省内各地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情况</w:t>
      </w:r>
      <w:r>
        <w:rPr>
          <w:rFonts w:ascii="Times New Roman" w:hAnsi="Times New Roman" w:eastAsia="仿宋_GB2312" w:cs="Times New Roman"/>
          <w:sz w:val="32"/>
          <w:szCs w:val="32"/>
        </w:rPr>
        <w:t>，结合重庆市等周边省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市规定，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》将</w:t>
      </w:r>
      <w:r>
        <w:rPr>
          <w:rFonts w:ascii="Times New Roman" w:hAnsi="Times New Roman" w:eastAsia="仿宋_GB2312" w:cs="Times New Roman"/>
          <w:sz w:val="32"/>
          <w:szCs w:val="32"/>
        </w:rPr>
        <w:t>抢险救灾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伤残军人旧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伤</w:t>
      </w:r>
      <w:r>
        <w:rPr>
          <w:rFonts w:ascii="Times New Roman" w:hAnsi="Times New Roman" w:eastAsia="仿宋_GB2312" w:cs="Times New Roman"/>
          <w:sz w:val="32"/>
          <w:szCs w:val="32"/>
        </w:rPr>
        <w:t>复发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</w:t>
      </w:r>
      <w:r>
        <w:rPr>
          <w:rFonts w:ascii="Times New Roman" w:hAnsi="Times New Roman" w:eastAsia="仿宋_GB2312" w:cs="Times New Roman"/>
          <w:sz w:val="32"/>
          <w:szCs w:val="32"/>
        </w:rPr>
        <w:t>然灾害、康复费用和老工伤统筹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五类情形不纳入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z w:val="32"/>
          <w:szCs w:val="32"/>
        </w:rPr>
        <w:t>伤保险费率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浮动考核范围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）关于不予下浮的情形。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用人单位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</w:t>
      </w:r>
      <w:r>
        <w:rPr>
          <w:rFonts w:ascii="Times New Roman" w:hAnsi="Times New Roman" w:eastAsia="仿宋_GB2312" w:cs="Times New Roman"/>
          <w:sz w:val="32"/>
          <w:szCs w:val="32"/>
        </w:rPr>
        <w:t>有不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履行</w:t>
      </w:r>
      <w:r>
        <w:rPr>
          <w:rFonts w:ascii="Times New Roman" w:hAnsi="Times New Roman" w:eastAsia="仿宋_GB2312" w:cs="Times New Roman"/>
          <w:sz w:val="32"/>
          <w:szCs w:val="32"/>
        </w:rPr>
        <w:t>工伤保险相关法定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义务等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违法行为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的，费率不</w:t>
      </w:r>
      <w:r>
        <w:rPr>
          <w:rFonts w:ascii="Times New Roman" w:hAnsi="Times New Roman" w:eastAsia="仿宋_GB2312" w:cs="Times New Roman"/>
          <w:sz w:val="32"/>
          <w:szCs w:val="32"/>
        </w:rPr>
        <w:t>予下浮。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是未依法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履行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参保义务。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建筑</w:t>
      </w:r>
      <w:r>
        <w:rPr>
          <w:rFonts w:ascii="Times New Roman" w:hAnsi="Times New Roman" w:eastAsia="仿宋_GB2312" w:cs="Times New Roman"/>
          <w:sz w:val="32"/>
          <w:szCs w:val="32"/>
        </w:rPr>
        <w:t>施工企业承包工程建设项目，应按项目参加工伤保险而未参加的，</w:t>
      </w:r>
      <w:r>
        <w:rPr>
          <w:rFonts w:ascii="Times New Roman" w:hAnsi="Times New Roman" w:eastAsia="仿宋_GB2312" w:cs="Times New Roman"/>
          <w:strike w:val="0"/>
          <w:dstrike w:val="0"/>
          <w:sz w:val="32"/>
          <w:szCs w:val="32"/>
        </w:rPr>
        <w:t>其按用人单位参保符合下浮费率情形的，</w:t>
      </w:r>
      <w:r>
        <w:rPr>
          <w:rFonts w:ascii="Times New Roman" w:hAnsi="Times New Roman" w:eastAsia="仿宋_GB2312" w:cs="Times New Roman"/>
          <w:sz w:val="32"/>
          <w:szCs w:val="32"/>
        </w:rPr>
        <w:t>不予下浮。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是未依法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履行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缴费义务。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包括欠</w:t>
      </w:r>
      <w:r>
        <w:rPr>
          <w:rFonts w:ascii="Times New Roman" w:hAnsi="Times New Roman" w:eastAsia="仿宋_GB2312" w:cs="Times New Roman"/>
          <w:sz w:val="32"/>
          <w:szCs w:val="32"/>
        </w:rPr>
        <w:t>缴、少缴、断续缴纳等情况。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未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依法履行职业病防治义务。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包括未按照法律法规相关要求落实职业病防治管理措施等。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是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骗取工伤保险待遇。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黑体" w:eastAsia="黑体"/>
          <w:b/>
          <w:sz w:val="32"/>
          <w:szCs w:val="32"/>
        </w:rPr>
        <w:t>四、施行日期及有效期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管理办法</w:t>
      </w:r>
      <w:r>
        <w:rPr>
          <w:rFonts w:ascii="Times New Roman" w:hAnsi="Times New Roman" w:eastAsia="仿宋_GB2312"/>
          <w:sz w:val="32"/>
          <w:szCs w:val="32"/>
        </w:rPr>
        <w:t>》自印发之日起施行，有效期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ms Rmn">
    <w:altName w:val="Noto Serif Bengali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jUzZjVhOGMwYzA4MGU2N2U5MTMwMGExYWE5OTAifQ=="/>
  </w:docVars>
  <w:rsids>
    <w:rsidRoot w:val="00000000"/>
    <w:rsid w:val="001E1492"/>
    <w:rsid w:val="1C057CD0"/>
    <w:rsid w:val="1CD67D0F"/>
    <w:rsid w:val="21E605DC"/>
    <w:rsid w:val="265E2A68"/>
    <w:rsid w:val="39B43651"/>
    <w:rsid w:val="3D9C781D"/>
    <w:rsid w:val="53F227CE"/>
    <w:rsid w:val="5BCE03A3"/>
    <w:rsid w:val="7C0A3F55"/>
    <w:rsid w:val="7CA5146C"/>
    <w:rsid w:val="7DFF6C3E"/>
    <w:rsid w:val="FBF58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2719</Words>
  <Characters>2832</Characters>
  <Lines>0</Lines>
  <Paragraphs>0</Paragraphs>
  <TotalTime>2</TotalTime>
  <ScaleCrop>false</ScaleCrop>
  <LinksUpToDate>false</LinksUpToDate>
  <CharactersWithSpaces>2838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2023-03-14T18:43:00Z</dcterms:created>
  <dc:creator>Administrator</dc:creator>
  <cp:lastModifiedBy>user</cp:lastModifiedBy>
  <cp:lastPrinted>2023-03-15T17:18:00Z</cp:lastPrinted>
  <dcterms:modified xsi:type="dcterms:W3CDTF">2023-03-21T09:17:17Z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9DF92D8A04784048A603EA26A0A76545</vt:lpwstr>
  </property>
</Properties>
</file>