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Style w:val="11"/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</w:pPr>
      <w:r>
        <w:rPr>
          <w:rStyle w:val="11"/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>附件：3</w:t>
      </w:r>
    </w:p>
    <w:p>
      <w:pPr>
        <w:widowControl/>
        <w:adjustRightInd w:val="0"/>
        <w:snapToGrid w:val="0"/>
        <w:jc w:val="center"/>
        <w:rPr>
          <w:rStyle w:val="11"/>
          <w:rFonts w:hint="default" w:ascii="黑体" w:eastAsia="黑体"/>
          <w:b w:val="0"/>
          <w:sz w:val="44"/>
          <w:szCs w:val="44"/>
        </w:rPr>
      </w:pPr>
      <w:r>
        <w:rPr>
          <w:rStyle w:val="11"/>
          <w:rFonts w:ascii="黑体" w:eastAsia="黑体"/>
          <w:b w:val="0"/>
          <w:sz w:val="44"/>
          <w:szCs w:val="44"/>
        </w:rPr>
        <w:t>评分标准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32"/>
          <w:szCs w:val="32"/>
        </w:rPr>
      </w:pPr>
    </w:p>
    <w:tbl>
      <w:tblPr>
        <w:tblStyle w:val="9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18"/>
        <w:gridCol w:w="1269"/>
        <w:gridCol w:w="1438"/>
        <w:gridCol w:w="2100"/>
        <w:gridCol w:w="1254"/>
        <w:gridCol w:w="944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公司名称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OLE_LINK3"/>
            <w:bookmarkStart w:id="1" w:name="OLE_LINK4"/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评审项目</w:t>
            </w:r>
          </w:p>
        </w:tc>
        <w:tc>
          <w:tcPr>
            <w:tcW w:w="6061" w:type="dxa"/>
            <w:gridSpan w:val="4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评分标准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报价</w:t>
            </w:r>
          </w:p>
        </w:tc>
        <w:tc>
          <w:tcPr>
            <w:tcW w:w="6061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以本次全部有效《投标文件》的报价的平均价为基准价，基准价10%范围内或等于基准价得满分。每低于基准价10%（含10%）或者高于基准价10%（含10%）扣1分，直至扣完为止。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服务方案</w:t>
            </w:r>
          </w:p>
        </w:tc>
        <w:tc>
          <w:tcPr>
            <w:tcW w:w="6061" w:type="dxa"/>
            <w:gridSpan w:val="4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根据各比选方对本项目背景和需求的整体理解，提供完整性、专业性、针对性和实用性的组织服务方案，由评审小组对服务方案优化程度进行等级对比打分，一等计分区间为50-40分，二等计分区间为39-30分，三等计分区间为30分以下。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团队能力</w:t>
            </w:r>
          </w:p>
        </w:tc>
        <w:tc>
          <w:tcPr>
            <w:tcW w:w="6061" w:type="dxa"/>
            <w:gridSpan w:val="4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在此次物业服务工作中配置不少于10名，内容包括但不限于</w:t>
            </w:r>
            <w:r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安保人员4名、保洁人员3名、水电工1名、会务2名。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每少1人扣1分。</w:t>
            </w:r>
            <w:bookmarkStart w:id="2" w:name="_GoBack"/>
            <w:bookmarkEnd w:id="2"/>
          </w:p>
        </w:tc>
        <w:tc>
          <w:tcPr>
            <w:tcW w:w="94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管理制度</w:t>
            </w:r>
          </w:p>
        </w:tc>
        <w:tc>
          <w:tcPr>
            <w:tcW w:w="6061" w:type="dxa"/>
            <w:gridSpan w:val="4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提供各类内部管理制度、紧急（突发）事件处理方案、安全服务质量标准、职业道德规范、工作纪律、管理规定、岗位职责等，以及对该项目各项管理服务质量指标的承诺，每具有1个制度的得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分，最多得 10 分。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6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评委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总分</w:t>
            </w:r>
          </w:p>
        </w:tc>
        <w:tc>
          <w:tcPr>
            <w:tcW w:w="2100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bookmarkEnd w:id="0"/>
      <w:bookmarkEnd w:id="1"/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 w:tentative="0">
      <w:start w:val="1"/>
      <w:numFmt w:val="decimal"/>
      <w:lvlText w:val="第%1章"/>
      <w:lvlJc w:val="left"/>
      <w:pPr>
        <w:ind w:left="283" w:hanging="425"/>
      </w:pPr>
      <w:rPr>
        <w:rFonts w:hint="default" w:ascii="Times New Roman" w:hAnsi="Times New Roman" w:eastAsia="宋体"/>
        <w:b/>
        <w:i w:val="0"/>
        <w:sz w:val="32"/>
        <w:szCs w:val="32"/>
      </w:rPr>
    </w:lvl>
    <w:lvl w:ilvl="1" w:tentative="0">
      <w:start w:val="1"/>
      <w:numFmt w:val="decimal"/>
      <w:pStyle w:val="4"/>
      <w:suff w:val="nothing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1135" w:hanging="567"/>
      </w:pPr>
      <w:rPr>
        <w:rFonts w:hint="default" w:ascii="Times New Roman" w:hAnsi="Times New Roman" w:eastAsia="宋体" w:cs="Times New Roman"/>
        <w:b/>
        <w:i w:val="0"/>
        <w:sz w:val="28"/>
      </w:rPr>
    </w:lvl>
    <w:lvl w:ilvl="3" w:tentative="0">
      <w:start w:val="1"/>
      <w:numFmt w:val="decimal"/>
      <w:suff w:val="nothing"/>
      <w:lvlText w:val="%1.%2.%3.%4"/>
      <w:lvlJc w:val="left"/>
      <w:pPr>
        <w:ind w:left="708" w:hanging="708"/>
      </w:pPr>
      <w:rPr>
        <w:rFonts w:hint="default" w:ascii="Times New Roman" w:hAnsi="Times New Roman" w:eastAsia="宋体" w:cs="Times New Roman"/>
        <w:b/>
        <w:i w:val="0"/>
        <w:strike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NDlmNjFjZTFhMGI5NTY2ZThjMzllYmMyOGIxMzgifQ=="/>
  </w:docVars>
  <w:rsids>
    <w:rsidRoot w:val="00DF074E"/>
    <w:rsid w:val="0000181F"/>
    <w:rsid w:val="0004613C"/>
    <w:rsid w:val="000F0839"/>
    <w:rsid w:val="00142847"/>
    <w:rsid w:val="001E6F6D"/>
    <w:rsid w:val="001F08C0"/>
    <w:rsid w:val="00212B24"/>
    <w:rsid w:val="00263E3B"/>
    <w:rsid w:val="002946D3"/>
    <w:rsid w:val="002B34BB"/>
    <w:rsid w:val="00381835"/>
    <w:rsid w:val="004415B3"/>
    <w:rsid w:val="00501FE0"/>
    <w:rsid w:val="0061380D"/>
    <w:rsid w:val="006618B6"/>
    <w:rsid w:val="00685682"/>
    <w:rsid w:val="006A10B1"/>
    <w:rsid w:val="007669D2"/>
    <w:rsid w:val="00854C5F"/>
    <w:rsid w:val="00877987"/>
    <w:rsid w:val="009D56F0"/>
    <w:rsid w:val="00AA65D2"/>
    <w:rsid w:val="00AB4B76"/>
    <w:rsid w:val="00B25A4C"/>
    <w:rsid w:val="00B40768"/>
    <w:rsid w:val="00B902A4"/>
    <w:rsid w:val="00BE5607"/>
    <w:rsid w:val="00C15E26"/>
    <w:rsid w:val="00CB2006"/>
    <w:rsid w:val="00D17C29"/>
    <w:rsid w:val="00D5373A"/>
    <w:rsid w:val="00DD394E"/>
    <w:rsid w:val="00DF074E"/>
    <w:rsid w:val="00E23118"/>
    <w:rsid w:val="00EC2D3A"/>
    <w:rsid w:val="1585278B"/>
    <w:rsid w:val="24AB652A"/>
    <w:rsid w:val="28A643DA"/>
    <w:rsid w:val="31C23BEA"/>
    <w:rsid w:val="39C36B63"/>
    <w:rsid w:val="4638615B"/>
    <w:rsid w:val="4C6340E3"/>
    <w:rsid w:val="4E983073"/>
    <w:rsid w:val="5470574D"/>
    <w:rsid w:val="5A6214D1"/>
    <w:rsid w:val="6F7D2250"/>
    <w:rsid w:val="7E6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hint="eastAsia" w:ascii="宋体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numPr>
        <w:ilvl w:val="1"/>
        <w:numId w:val="1"/>
      </w:numPr>
      <w:tabs>
        <w:tab w:val="left" w:pos="426"/>
        <w:tab w:val="left" w:pos="567"/>
      </w:tabs>
      <w:spacing w:line="360" w:lineRule="auto"/>
      <w:ind w:left="709"/>
      <w:jc w:val="both"/>
      <w:outlineLvl w:val="1"/>
    </w:pPr>
    <w:rPr>
      <w:rFonts w:hint="default" w:hAnsi="宋体"/>
      <w:b/>
      <w:bCs/>
      <w:iCs/>
      <w:kern w:val="0"/>
      <w:sz w:val="28"/>
      <w:szCs w:val="28"/>
    </w:rPr>
  </w:style>
  <w:style w:type="paragraph" w:styleId="5">
    <w:name w:val="heading 3"/>
    <w:basedOn w:val="1"/>
    <w:next w:val="1"/>
    <w:link w:val="16"/>
    <w:qFormat/>
    <w:uiPriority w:val="0"/>
    <w:pPr>
      <w:keepNext/>
      <w:keepLines/>
      <w:numPr>
        <w:ilvl w:val="2"/>
        <w:numId w:val="1"/>
      </w:numPr>
      <w:spacing w:line="360" w:lineRule="auto"/>
      <w:ind w:left="567"/>
      <w:jc w:val="both"/>
      <w:outlineLvl w:val="2"/>
    </w:pPr>
    <w:rPr>
      <w:rFonts w:hint="default" w:hAnsi="宋体"/>
      <w:b/>
      <w:bCs/>
      <w:color w:val="00000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kern w:val="0"/>
      <w:sz w:val="21"/>
    </w:rPr>
  </w:style>
  <w:style w:type="paragraph" w:styleId="3">
    <w:name w:val="Body Text First Indent"/>
    <w:basedOn w:val="2"/>
    <w:qFormat/>
    <w:uiPriority w:val="0"/>
    <w:pPr>
      <w:widowControl w:val="0"/>
      <w:ind w:firstLine="420" w:firstLineChars="100"/>
      <w:jc w:val="both"/>
    </w:pPr>
    <w:rPr>
      <w:rFonts w:ascii="宋体" w:hAnsi="宋体"/>
      <w:kern w:val="2"/>
      <w:sz w:val="21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</w:pPr>
    <w:rPr>
      <w:rFonts w:hint="eastAsia" w:ascii="宋体" w:hAnsi="Times New Roman" w:eastAsia="宋体" w:cs="Times New Roman"/>
      <w:kern w:val="2"/>
      <w:sz w:val="24"/>
      <w:szCs w:val="20"/>
      <w:lang w:val="en-US" w:eastAsia="zh-CN" w:bidi="ar-SA"/>
    </w:rPr>
  </w:style>
  <w:style w:type="character" w:styleId="11">
    <w:name w:val="Strong"/>
    <w:qFormat/>
    <w:uiPriority w:val="0"/>
    <w:rPr>
      <w:b/>
    </w:rPr>
  </w:style>
  <w:style w:type="paragraph" w:customStyle="1" w:styleId="12">
    <w:name w:val="Char"/>
    <w:basedOn w:val="1"/>
    <w:qFormat/>
    <w:uiPriority w:val="0"/>
    <w:pPr>
      <w:spacing w:line="240" w:lineRule="atLeast"/>
      <w:ind w:left="420" w:firstLine="420"/>
      <w:jc w:val="both"/>
    </w:pPr>
    <w:rPr>
      <w:rFonts w:hint="default" w:ascii="Times New Roman"/>
      <w:kern w:val="0"/>
      <w:sz w:val="21"/>
      <w:szCs w:val="21"/>
    </w:rPr>
  </w:style>
  <w:style w:type="character" w:customStyle="1" w:styleId="13">
    <w:name w:val="页眉 Char"/>
    <w:basedOn w:val="10"/>
    <w:link w:val="7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5">
    <w:name w:val="标题 2 Char"/>
    <w:basedOn w:val="10"/>
    <w:link w:val="4"/>
    <w:qFormat/>
    <w:uiPriority w:val="0"/>
    <w:rPr>
      <w:rFonts w:ascii="宋体" w:hAnsi="宋体" w:eastAsia="宋体" w:cs="Times New Roman"/>
      <w:b/>
      <w:bCs/>
      <w:iCs/>
      <w:kern w:val="0"/>
      <w:sz w:val="28"/>
      <w:szCs w:val="28"/>
    </w:rPr>
  </w:style>
  <w:style w:type="character" w:customStyle="1" w:styleId="16">
    <w:name w:val="标题 3 Char"/>
    <w:basedOn w:val="10"/>
    <w:link w:val="5"/>
    <w:qFormat/>
    <w:uiPriority w:val="0"/>
    <w:rPr>
      <w:rFonts w:ascii="宋体" w:hAnsi="宋体" w:eastAsia="宋体" w:cs="Times New Roman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374</Words>
  <Characters>399</Characters>
  <Lines>5</Lines>
  <Paragraphs>1</Paragraphs>
  <TotalTime>2</TotalTime>
  <ScaleCrop>false</ScaleCrop>
  <LinksUpToDate>false</LinksUpToDate>
  <CharactersWithSpaces>401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2020-11-02T11:02:00Z</dcterms:created>
  <dc:creator>Lenovo</dc:creator>
  <cp:lastModifiedBy>Administrator</cp:lastModifiedBy>
  <cp:lastPrinted>2022-04-20T01:42:00Z</cp:lastPrinted>
  <dcterms:modified xsi:type="dcterms:W3CDTF">2022-05-23T01:13:45Z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E854BD6320F94CC0BA77D1AC2B440E08</vt:lpwstr>
  </property>
</Properties>
</file>