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val="0"/>
        <w:autoSpaceDN/>
        <w:bidi w:val="0"/>
        <w:adjustRightInd/>
        <w:snapToGrid/>
        <w:spacing w:line="580" w:lineRule="exact"/>
        <w:ind w:left="-420" w:leftChars="-200"/>
        <w:jc w:val="left"/>
        <w:textAlignment w:val="auto"/>
        <w:rPr>
          <w:rFonts w:hint="eastAsia" w:ascii="仿宋" w:hAnsi="仿宋" w:eastAsia="仿宋"/>
          <w:sz w:val="32"/>
          <w:szCs w:val="32"/>
        </w:rPr>
      </w:pPr>
      <w:r>
        <w:rPr>
          <w:rFonts w:hint="eastAsia" w:ascii="黑体" w:hAnsi="黑体" w:eastAsia="黑体"/>
          <w:color w:val="000000"/>
          <w:kern w:val="2"/>
          <w:sz w:val="32"/>
          <w:szCs w:val="32"/>
        </w:rPr>
        <w:t>附件</w:t>
      </w:r>
      <w:bookmarkStart w:id="0" w:name="_GoBack"/>
      <w:bookmarkEnd w:id="0"/>
    </w:p>
    <w:tbl>
      <w:tblPr>
        <w:tblStyle w:val="4"/>
        <w:tblW w:w="10640" w:type="dxa"/>
        <w:jc w:val="center"/>
        <w:tblLayout w:type="fixed"/>
        <w:tblCellMar>
          <w:top w:w="0" w:type="dxa"/>
          <w:left w:w="108" w:type="dxa"/>
          <w:bottom w:w="0" w:type="dxa"/>
          <w:right w:w="108" w:type="dxa"/>
        </w:tblCellMar>
      </w:tblPr>
      <w:tblGrid>
        <w:gridCol w:w="698"/>
        <w:gridCol w:w="1189"/>
        <w:gridCol w:w="1974"/>
        <w:gridCol w:w="3459"/>
        <w:gridCol w:w="2244"/>
        <w:gridCol w:w="1076"/>
      </w:tblGrid>
      <w:tr>
        <w:tblPrEx>
          <w:tblCellMar>
            <w:top w:w="0" w:type="dxa"/>
            <w:left w:w="108" w:type="dxa"/>
            <w:bottom w:w="0" w:type="dxa"/>
            <w:right w:w="108" w:type="dxa"/>
          </w:tblCellMar>
        </w:tblPrEx>
        <w:trPr>
          <w:trHeight w:val="736" w:hRule="atLeast"/>
          <w:jc w:val="center"/>
        </w:trPr>
        <w:tc>
          <w:tcPr>
            <w:tcW w:w="10640" w:type="dxa"/>
            <w:gridSpan w:val="6"/>
            <w:tcBorders>
              <w:top w:val="nil"/>
              <w:left w:val="nil"/>
              <w:bottom w:val="single" w:color="000000" w:sz="4" w:space="0"/>
              <w:right w:val="nil"/>
            </w:tcBorders>
            <w:vAlign w:val="center"/>
          </w:tcPr>
          <w:p>
            <w:pPr>
              <w:widowControl/>
              <w:jc w:val="center"/>
              <w:textAlignment w:val="center"/>
              <w:rPr>
                <w:rFonts w:ascii="黑体" w:hAnsi="宋体" w:eastAsia="黑体"/>
                <w:color w:val="000000"/>
                <w:sz w:val="40"/>
                <w:szCs w:val="40"/>
              </w:rPr>
            </w:pPr>
            <w:r>
              <w:rPr>
                <w:rFonts w:hint="eastAsia" w:ascii="黑体" w:hAnsi="宋体" w:eastAsia="黑体"/>
                <w:color w:val="000000"/>
                <w:kern w:val="0"/>
                <w:sz w:val="40"/>
                <w:szCs w:val="40"/>
              </w:rPr>
              <w:t>2022年四川省高技能人才培养研究课题拟立项名单</w:t>
            </w:r>
          </w:p>
        </w:tc>
      </w:tr>
      <w:tr>
        <w:tblPrEx>
          <w:tblCellMar>
            <w:top w:w="0" w:type="dxa"/>
            <w:left w:w="108" w:type="dxa"/>
            <w:bottom w:w="0" w:type="dxa"/>
            <w:right w:w="108" w:type="dxa"/>
          </w:tblCellMar>
        </w:tblPrEx>
        <w:trPr>
          <w:trHeight w:val="587" w:hRule="atLeast"/>
          <w:jc w:val="center"/>
        </w:trPr>
        <w:tc>
          <w:tcPr>
            <w:tcW w:w="698"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序号</w:t>
            </w:r>
          </w:p>
        </w:tc>
        <w:tc>
          <w:tcPr>
            <w:tcW w:w="1189"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申报研究类型</w:t>
            </w:r>
          </w:p>
        </w:tc>
        <w:tc>
          <w:tcPr>
            <w:tcW w:w="197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选题方向</w:t>
            </w:r>
          </w:p>
        </w:tc>
        <w:tc>
          <w:tcPr>
            <w:tcW w:w="3459"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课题名称</w:t>
            </w:r>
          </w:p>
        </w:tc>
        <w:tc>
          <w:tcPr>
            <w:tcW w:w="224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负责人所在单位</w:t>
            </w:r>
          </w:p>
        </w:tc>
        <w:tc>
          <w:tcPr>
            <w:tcW w:w="1076"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宋体" w:eastAsia="黑体"/>
                <w:color w:val="000000"/>
                <w:sz w:val="24"/>
                <w:szCs w:val="24"/>
              </w:rPr>
            </w:pPr>
            <w:r>
              <w:rPr>
                <w:rFonts w:hint="eastAsia" w:ascii="黑体" w:hAnsi="宋体" w:eastAsia="黑体"/>
                <w:color w:val="000000"/>
                <w:kern w:val="0"/>
                <w:sz w:val="24"/>
                <w:szCs w:val="24"/>
              </w:rPr>
              <w:t>课题负责人</w:t>
            </w:r>
          </w:p>
        </w:tc>
      </w:tr>
      <w:tr>
        <w:tblPrEx>
          <w:tblCellMar>
            <w:top w:w="0" w:type="dxa"/>
            <w:left w:w="108" w:type="dxa"/>
            <w:bottom w:w="0" w:type="dxa"/>
            <w:right w:w="108" w:type="dxa"/>
          </w:tblCellMar>
        </w:tblPrEx>
        <w:trPr>
          <w:trHeight w:val="312" w:hRule="atLeast"/>
          <w:jc w:val="center"/>
        </w:trPr>
        <w:tc>
          <w:tcPr>
            <w:tcW w:w="698"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宋体" w:eastAsia="黑体"/>
                <w:color w:val="000000"/>
                <w:sz w:val="24"/>
                <w:szCs w:val="24"/>
              </w:rPr>
            </w:pPr>
          </w:p>
        </w:tc>
        <w:tc>
          <w:tcPr>
            <w:tcW w:w="1189"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宋体" w:eastAsia="黑体"/>
                <w:color w:val="000000"/>
                <w:sz w:val="24"/>
                <w:szCs w:val="24"/>
              </w:rPr>
            </w:pPr>
          </w:p>
        </w:tc>
        <w:tc>
          <w:tcPr>
            <w:tcW w:w="1974"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宋体" w:eastAsia="黑体"/>
                <w:color w:val="000000"/>
                <w:sz w:val="24"/>
                <w:szCs w:val="24"/>
              </w:rPr>
            </w:pPr>
          </w:p>
        </w:tc>
        <w:tc>
          <w:tcPr>
            <w:tcW w:w="3459"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宋体" w:eastAsia="黑体"/>
                <w:color w:val="000000"/>
                <w:sz w:val="24"/>
                <w:szCs w:val="24"/>
              </w:rPr>
            </w:pPr>
          </w:p>
        </w:tc>
        <w:tc>
          <w:tcPr>
            <w:tcW w:w="2244"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宋体" w:eastAsia="黑体"/>
                <w:color w:val="000000"/>
                <w:sz w:val="24"/>
                <w:szCs w:val="24"/>
              </w:rPr>
            </w:pPr>
          </w:p>
        </w:tc>
        <w:tc>
          <w:tcPr>
            <w:tcW w:w="1076" w:type="dxa"/>
            <w:vMerge w:val="continue"/>
            <w:tcBorders>
              <w:top w:val="single" w:color="000000" w:sz="4" w:space="0"/>
              <w:left w:val="nil"/>
              <w:bottom w:val="single" w:color="000000" w:sz="4" w:space="0"/>
              <w:right w:val="single" w:color="000000" w:sz="4" w:space="0"/>
            </w:tcBorders>
            <w:vAlign w:val="center"/>
          </w:tcPr>
          <w:p>
            <w:pPr>
              <w:widowControl/>
              <w:jc w:val="left"/>
              <w:rPr>
                <w:rFonts w:ascii="黑体" w:hAnsi="宋体" w:eastAsia="黑体"/>
                <w:color w:val="000000"/>
                <w:sz w:val="24"/>
                <w:szCs w:val="24"/>
              </w:rPr>
            </w:pPr>
          </w:p>
        </w:tc>
      </w:tr>
      <w:tr>
        <w:tblPrEx>
          <w:tblCellMar>
            <w:top w:w="0" w:type="dxa"/>
            <w:left w:w="108" w:type="dxa"/>
            <w:bottom w:w="0" w:type="dxa"/>
            <w:right w:w="108" w:type="dxa"/>
          </w:tblCellMar>
        </w:tblPrEx>
        <w:trPr>
          <w:trHeight w:val="605"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综合研究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产教融合培养模式研究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中国特色学徒制高技能人才培养路径研究-以数控技术专业为例</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成都市技师学院</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马冰清</w:t>
            </w:r>
          </w:p>
        </w:tc>
      </w:tr>
      <w:tr>
        <w:tblPrEx>
          <w:tblCellMar>
            <w:top w:w="0" w:type="dxa"/>
            <w:left w:w="108" w:type="dxa"/>
            <w:bottom w:w="0" w:type="dxa"/>
            <w:right w:w="108" w:type="dxa"/>
          </w:tblCellMar>
        </w:tblPrEx>
        <w:trPr>
          <w:trHeight w:val="605"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2</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应用研究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工匠精神培育研究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智能制造背景下四川高技能人才工匠精神培养研究</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西华大学</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何春燕</w:t>
            </w:r>
          </w:p>
        </w:tc>
      </w:tr>
      <w:tr>
        <w:tblPrEx>
          <w:tblCellMar>
            <w:top w:w="0" w:type="dxa"/>
            <w:left w:w="108" w:type="dxa"/>
            <w:bottom w:w="0" w:type="dxa"/>
            <w:right w:w="108" w:type="dxa"/>
          </w:tblCellMar>
        </w:tblPrEx>
        <w:trPr>
          <w:trHeight w:val="605"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3</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综合研究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技工院校一体化联动机制研究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技工院校一体化教师“五级进阶”培养研究</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四川交通技师学院</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曾祥亮</w:t>
            </w:r>
          </w:p>
        </w:tc>
      </w:tr>
      <w:tr>
        <w:tblPrEx>
          <w:tblCellMar>
            <w:top w:w="0" w:type="dxa"/>
            <w:left w:w="108" w:type="dxa"/>
            <w:bottom w:w="0" w:type="dxa"/>
            <w:right w:w="108" w:type="dxa"/>
          </w:tblCellMar>
        </w:tblPrEx>
        <w:trPr>
          <w:trHeight w:val="605"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4</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综合研究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课程思政建设研究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新时代高技能人才培养模式下技工院校机电专业课程思政研究</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眉山工程技师学院</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王刚</w:t>
            </w:r>
          </w:p>
        </w:tc>
      </w:tr>
      <w:tr>
        <w:tblPrEx>
          <w:tblCellMar>
            <w:top w:w="0" w:type="dxa"/>
            <w:left w:w="108" w:type="dxa"/>
            <w:bottom w:w="0" w:type="dxa"/>
            <w:right w:w="108" w:type="dxa"/>
          </w:tblCellMar>
        </w:tblPrEx>
        <w:trPr>
          <w:trHeight w:val="605"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5</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综合研究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其他</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高技能人才培养效率测评及发展路径研究</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泸州职业技术学院</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陈光玖</w:t>
            </w:r>
          </w:p>
        </w:tc>
      </w:tr>
      <w:tr>
        <w:tblPrEx>
          <w:tblCellMar>
            <w:top w:w="0" w:type="dxa"/>
            <w:left w:w="108" w:type="dxa"/>
            <w:bottom w:w="0" w:type="dxa"/>
            <w:right w:w="108" w:type="dxa"/>
          </w:tblCellMar>
        </w:tblPrEx>
        <w:trPr>
          <w:trHeight w:val="829"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综合研究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技工院校专业与区域经济发展研究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技工院校康养类高技能人才培养与区域农村养老服务体系建设路径研究</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四川理工技师学院</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郭飞祥</w:t>
            </w:r>
          </w:p>
        </w:tc>
      </w:tr>
      <w:tr>
        <w:tblPrEx>
          <w:tblCellMar>
            <w:top w:w="0" w:type="dxa"/>
            <w:left w:w="108" w:type="dxa"/>
            <w:bottom w:w="0" w:type="dxa"/>
            <w:right w:w="108" w:type="dxa"/>
          </w:tblCellMar>
        </w:tblPrEx>
        <w:trPr>
          <w:trHeight w:val="64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7</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综合研究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技工教育集团实体化运作研究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基于新制度主义的教育服务组织建构——着力技能人才培养适应性难题的解决路径</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四川核工业技师学院</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蒋杰</w:t>
            </w:r>
          </w:p>
        </w:tc>
      </w:tr>
      <w:tr>
        <w:tblPrEx>
          <w:tblCellMar>
            <w:top w:w="0" w:type="dxa"/>
            <w:left w:w="108" w:type="dxa"/>
            <w:bottom w:w="0" w:type="dxa"/>
            <w:right w:w="108" w:type="dxa"/>
          </w:tblCellMar>
        </w:tblPrEx>
        <w:trPr>
          <w:trHeight w:val="64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8</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应用研究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职业培训助力乡村振兴研究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职业技能培训助力四川乡村振兴的实效评价和政策建议研究</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成都精沛职业技能培训中心</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付尚波</w:t>
            </w:r>
          </w:p>
        </w:tc>
      </w:tr>
      <w:tr>
        <w:tblPrEx>
          <w:tblCellMar>
            <w:top w:w="0" w:type="dxa"/>
            <w:left w:w="108" w:type="dxa"/>
            <w:bottom w:w="0" w:type="dxa"/>
            <w:right w:w="108" w:type="dxa"/>
          </w:tblCellMar>
        </w:tblPrEx>
        <w:trPr>
          <w:trHeight w:val="829"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9</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应用研究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职业培训高质量发展研究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智能制造产业链与职业技能培训</w:t>
            </w:r>
            <w:r>
              <w:rPr>
                <w:rFonts w:hint="eastAsia" w:ascii="宋体" w:hAnsi="宋体"/>
                <w:color w:val="000000"/>
                <w:kern w:val="0"/>
                <w:sz w:val="20"/>
                <w:szCs w:val="20"/>
              </w:rPr>
              <w:br w:type="textWrapping"/>
            </w:r>
            <w:r>
              <w:rPr>
                <w:rFonts w:hint="eastAsia" w:ascii="宋体" w:hAnsi="宋体"/>
                <w:color w:val="000000"/>
                <w:kern w:val="0"/>
                <w:sz w:val="20"/>
                <w:szCs w:val="20"/>
              </w:rPr>
              <w:t>链有效衔接模式研究-以企业新型学徒制为例</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四川锅炉高级技工学校</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0"/>
                <w:szCs w:val="20"/>
              </w:rPr>
            </w:pPr>
            <w:r>
              <w:rPr>
                <w:rFonts w:hint="eastAsia" w:ascii="宋体" w:hAnsi="宋体"/>
                <w:color w:val="000000"/>
                <w:kern w:val="0"/>
                <w:sz w:val="20"/>
                <w:szCs w:val="20"/>
              </w:rPr>
              <w:t>强娜宁</w:t>
            </w:r>
          </w:p>
        </w:tc>
      </w:tr>
      <w:tr>
        <w:tblPrEx>
          <w:tblCellMar>
            <w:top w:w="0" w:type="dxa"/>
            <w:left w:w="108" w:type="dxa"/>
            <w:bottom w:w="0" w:type="dxa"/>
            <w:right w:w="108" w:type="dxa"/>
          </w:tblCellMar>
        </w:tblPrEx>
        <w:trPr>
          <w:trHeight w:val="829"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10</w:t>
            </w:r>
          </w:p>
        </w:tc>
        <w:tc>
          <w:tcPr>
            <w:tcW w:w="118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应用研究</w:t>
            </w:r>
          </w:p>
        </w:tc>
        <w:tc>
          <w:tcPr>
            <w:tcW w:w="197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职业培训助力乡村振兴研究</w:t>
            </w:r>
          </w:p>
        </w:tc>
        <w:tc>
          <w:tcPr>
            <w:tcW w:w="345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订单式职业技能培训助力乡村振兴的“小金”模式探索与实践</w:t>
            </w:r>
          </w:p>
        </w:tc>
        <w:tc>
          <w:tcPr>
            <w:tcW w:w="22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四川矿产机电技师学院</w:t>
            </w:r>
          </w:p>
        </w:tc>
        <w:tc>
          <w:tcPr>
            <w:tcW w:w="10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kern w:val="0"/>
                <w:sz w:val="20"/>
                <w:szCs w:val="20"/>
              </w:rPr>
            </w:pPr>
            <w:r>
              <w:rPr>
                <w:rFonts w:hint="eastAsia" w:ascii="宋体" w:hAnsi="宋体"/>
                <w:color w:val="000000"/>
                <w:kern w:val="0"/>
                <w:sz w:val="20"/>
                <w:szCs w:val="20"/>
              </w:rPr>
              <w:t>韦林</w:t>
            </w:r>
          </w:p>
        </w:tc>
      </w:tr>
    </w:tbl>
    <w:p>
      <w:pPr>
        <w:pStyle w:val="2"/>
        <w:ind w:left="0" w:leftChars="0" w:firstLine="0" w:firstLineChars="0"/>
        <w:rPr>
          <w:rFonts w:hint="eastAsia" w:ascii="仿宋" w:hAnsi="仿宋" w:eastAsia="仿宋"/>
        </w:rPr>
      </w:pPr>
      <w:r>
        <w:rPr>
          <w:rFonts w:hint="eastAsia" w:ascii="仿宋" w:hAnsi="仿宋" w:eastAsia="仿宋"/>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0248"/>
    <w:rsid w:val="0005091D"/>
    <w:rsid w:val="003C0248"/>
    <w:rsid w:val="4BFF09BA"/>
    <w:rsid w:val="F3F45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7"/>
    <w:unhideWhenUsed/>
    <w:qFormat/>
    <w:uiPriority w:val="99"/>
    <w:pPr>
      <w:spacing w:before="100" w:beforeAutospacing="1"/>
      <w:ind w:firstLine="420" w:firstLineChars="200"/>
    </w:pPr>
    <w:rPr>
      <w:sz w:val="32"/>
      <w:szCs w:val="32"/>
    </w:r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Char"/>
    <w:basedOn w:val="5"/>
    <w:link w:val="3"/>
    <w:semiHidden/>
    <w:qFormat/>
    <w:uiPriority w:val="99"/>
    <w:rPr>
      <w:rFonts w:ascii="Times New Roman" w:hAnsi="Times New Roman" w:eastAsia="宋体" w:cs="Times New Roman"/>
      <w:szCs w:val="21"/>
    </w:rPr>
  </w:style>
  <w:style w:type="character" w:customStyle="1" w:styleId="7">
    <w:name w:val="正文首行缩进 2 Char"/>
    <w:basedOn w:val="6"/>
    <w:link w:val="2"/>
    <w:qFormat/>
    <w:uiPriority w:val="99"/>
    <w:rPr>
      <w:sz w:val="32"/>
      <w:szCs w:val="32"/>
    </w:rPr>
  </w:style>
  <w:style w:type="paragraph" w:customStyle="1" w:styleId="8">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578</Characters>
  <Lines>4</Lines>
  <Paragraphs>1</Paragraphs>
  <TotalTime>12</TotalTime>
  <ScaleCrop>false</ScaleCrop>
  <LinksUpToDate>false</LinksUpToDate>
  <CharactersWithSpaces>678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2022-12-26T22:17:00Z</dcterms:created>
  <dc:creator>Administrator</dc:creator>
  <cp:lastModifiedBy>user</cp:lastModifiedBy>
  <dcterms:modified xsi:type="dcterms:W3CDTF">2022-12-26T17:16:15Z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