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4B1D" w:rsidRPr="00D065F4" w:rsidRDefault="00F94B1D">
      <w:pPr>
        <w:ind w:leftChars="0" w:left="0"/>
        <w:jc w:val="center"/>
        <w:rPr>
          <w:rFonts w:ascii="方正小标宋简体" w:eastAsia="方正小标宋简体" w:hAnsi="方正小标宋_GBK" w:cs="Times New Roman"/>
          <w:sz w:val="44"/>
          <w:szCs w:val="44"/>
        </w:rPr>
      </w:pPr>
      <w:r w:rsidRPr="00D065F4">
        <w:rPr>
          <w:rFonts w:ascii="方正小标宋简体" w:eastAsia="方正小标宋简体" w:hAnsi="方正小标宋_GBK" w:cs="方正小标宋简体" w:hint="eastAsia"/>
          <w:sz w:val="44"/>
          <w:szCs w:val="44"/>
        </w:rPr>
        <w:t>川渝地区</w:t>
      </w:r>
      <w:r w:rsidRPr="00D065F4">
        <w:rPr>
          <w:rFonts w:ascii="方正小标宋简体" w:eastAsia="方正小标宋简体" w:hAnsi="方正小标宋_GBK" w:cs="方正小标宋简体"/>
          <w:sz w:val="44"/>
          <w:szCs w:val="44"/>
        </w:rPr>
        <w:t>2021</w:t>
      </w:r>
      <w:r w:rsidRPr="00D065F4">
        <w:rPr>
          <w:rFonts w:ascii="方正小标宋简体" w:eastAsia="方正小标宋简体" w:hAnsi="方正小标宋_GBK" w:cs="方正小标宋简体" w:hint="eastAsia"/>
          <w:sz w:val="44"/>
          <w:szCs w:val="44"/>
        </w:rPr>
        <w:t>年人力资源市场工资价位</w:t>
      </w:r>
    </w:p>
    <w:p w:rsidR="00F94B1D" w:rsidRDefault="00F94B1D">
      <w:pPr>
        <w:ind w:leftChars="0" w:left="0"/>
        <w:jc w:val="center"/>
        <w:rPr>
          <w:rFonts w:ascii="方正小标宋_GBK" w:eastAsia="方正小标宋_GBK" w:hAnsi="方正小标宋_GBK" w:cs="Times New Roman"/>
          <w:sz w:val="44"/>
          <w:szCs w:val="44"/>
        </w:rPr>
      </w:pPr>
      <w:r w:rsidRPr="00D065F4">
        <w:rPr>
          <w:rFonts w:ascii="方正小标宋简体" w:eastAsia="方正小标宋简体" w:hAnsi="方正小标宋_GBK" w:cs="方正小标宋简体" w:hint="eastAsia"/>
          <w:sz w:val="44"/>
          <w:szCs w:val="44"/>
        </w:rPr>
        <w:t>及企业人工成本信息</w:t>
      </w:r>
    </w:p>
    <w:p w:rsidR="00F94B1D" w:rsidRDefault="00F94B1D" w:rsidP="00D065F4">
      <w:pPr>
        <w:ind w:leftChars="0" w:left="0" w:firstLineChars="200" w:firstLine="31680"/>
        <w:rPr>
          <w:rFonts w:ascii="FangSong_GB2312" w:eastAsia="FangSong_GB2312" w:hAnsi="FangSong_GB2312" w:cs="Times New Roman"/>
        </w:rPr>
      </w:pPr>
    </w:p>
    <w:p w:rsidR="00F94B1D" w:rsidRDefault="00F94B1D" w:rsidP="00D065F4">
      <w:pPr>
        <w:spacing w:line="240" w:lineRule="auto"/>
        <w:ind w:left="31680"/>
        <w:jc w:val="center"/>
        <w:rPr>
          <w:rFonts w:ascii="Times New Roman" w:eastAsia="黑体" w:hAnsi="Times New Roman" w:cs="Times New Roman"/>
          <w:sz w:val="36"/>
          <w:szCs w:val="36"/>
        </w:rPr>
      </w:pPr>
      <w:r>
        <w:rPr>
          <w:rFonts w:ascii="Times New Roman" w:eastAsia="黑体" w:hAnsi="Times New Roman" w:cs="黑体" w:hint="eastAsia"/>
          <w:sz w:val="36"/>
          <w:szCs w:val="36"/>
        </w:rPr>
        <w:t>发布说明</w:t>
      </w:r>
    </w:p>
    <w:p w:rsidR="00F94B1D" w:rsidRPr="00D065F4" w:rsidRDefault="00F94B1D" w:rsidP="00D065F4">
      <w:pPr>
        <w:ind w:leftChars="0" w:left="0" w:firstLineChars="200" w:firstLine="31680"/>
        <w:rPr>
          <w:rFonts w:ascii="楷体_GB2312" w:eastAsia="楷体_GB2312" w:hAnsi="方正仿宋_GBK" w:cs="Times New Roman"/>
        </w:rPr>
      </w:pPr>
      <w:r w:rsidRPr="00D065F4">
        <w:rPr>
          <w:rFonts w:ascii="楷体_GB2312" w:eastAsia="楷体_GB2312" w:hAnsi="方正仿宋_GBK" w:cs="楷体_GB2312" w:hint="eastAsia"/>
        </w:rPr>
        <w:t>本次发布的《</w:t>
      </w:r>
      <w:r w:rsidRPr="00D065F4">
        <w:rPr>
          <w:rFonts w:ascii="楷体_GB2312" w:eastAsia="楷体_GB2312" w:hAnsi="方正仿宋_GBK" w:cs="楷体_GB2312" w:hint="eastAsia"/>
          <w:lang/>
        </w:rPr>
        <w:t>川渝地区</w:t>
      </w:r>
      <w:r w:rsidRPr="00D065F4">
        <w:rPr>
          <w:rFonts w:ascii="楷体_GB2312" w:eastAsia="楷体_GB2312" w:hAnsi="方正仿宋_GBK" w:cs="楷体_GB2312"/>
        </w:rPr>
        <w:t>2021</w:t>
      </w:r>
      <w:r w:rsidRPr="00D065F4">
        <w:rPr>
          <w:rFonts w:ascii="楷体_GB2312" w:eastAsia="楷体_GB2312" w:hAnsi="方正仿宋_GBK" w:cs="楷体_GB2312" w:hint="eastAsia"/>
        </w:rPr>
        <w:t>年人力资源市场工资价位</w:t>
      </w:r>
      <w:r w:rsidRPr="00D065F4">
        <w:rPr>
          <w:rFonts w:ascii="楷体_GB2312" w:eastAsia="楷体_GB2312" w:hAnsi="方正仿宋_GBK" w:cs="楷体_GB2312" w:hint="eastAsia"/>
          <w:lang/>
        </w:rPr>
        <w:t>及</w:t>
      </w:r>
      <w:r w:rsidRPr="00D065F4">
        <w:rPr>
          <w:rFonts w:ascii="楷体_GB2312" w:eastAsia="楷体_GB2312" w:hAnsi="方正仿宋_GBK" w:cs="楷体_GB2312" w:hint="eastAsia"/>
        </w:rPr>
        <w:t>企业人工成本信息》</w:t>
      </w:r>
      <w:r w:rsidRPr="00D065F4">
        <w:rPr>
          <w:rFonts w:ascii="楷体_GB2312" w:eastAsia="楷体_GB2312" w:hAnsi="方正仿宋_GBK" w:cs="楷体_GB2312" w:hint="eastAsia"/>
          <w:lang/>
        </w:rPr>
        <w:t>是</w:t>
      </w:r>
      <w:r w:rsidRPr="00D065F4">
        <w:rPr>
          <w:rFonts w:ascii="楷体_GB2312" w:eastAsia="楷体_GB2312" w:hAnsi="方正仿宋_GBK" w:cs="楷体_GB2312" w:hint="eastAsia"/>
        </w:rPr>
        <w:t>通过对</w:t>
      </w:r>
      <w:r w:rsidRPr="00D065F4">
        <w:rPr>
          <w:rFonts w:ascii="楷体_GB2312" w:eastAsia="楷体_GB2312" w:hAnsi="方正仿宋_GBK" w:cs="楷体_GB2312"/>
        </w:rPr>
        <w:t>2021</w:t>
      </w:r>
      <w:r w:rsidRPr="00D065F4">
        <w:rPr>
          <w:rFonts w:ascii="楷体_GB2312" w:eastAsia="楷体_GB2312" w:hAnsi="方正仿宋_GBK" w:cs="楷体_GB2312" w:hint="eastAsia"/>
        </w:rPr>
        <w:t>年</w:t>
      </w:r>
      <w:r w:rsidRPr="00D065F4">
        <w:rPr>
          <w:rFonts w:ascii="楷体_GB2312" w:eastAsia="楷体_GB2312" w:hAnsi="方正仿宋_GBK" w:cs="楷体_GB2312" w:hint="eastAsia"/>
          <w:lang/>
        </w:rPr>
        <w:t>川渝地区</w:t>
      </w:r>
      <w:r w:rsidRPr="00D065F4">
        <w:rPr>
          <w:rFonts w:ascii="楷体_GB2312" w:eastAsia="楷体_GB2312" w:hAnsi="方正仿宋_GBK" w:cs="楷体_GB2312"/>
        </w:rPr>
        <w:t>18</w:t>
      </w:r>
      <w:r w:rsidRPr="00D065F4">
        <w:rPr>
          <w:rFonts w:ascii="楷体_GB2312" w:eastAsia="楷体_GB2312" w:hAnsi="方正仿宋_GBK" w:cs="楷体_GB2312" w:hint="eastAsia"/>
        </w:rPr>
        <w:t>个行业门类的</w:t>
      </w:r>
      <w:r w:rsidRPr="00D065F4">
        <w:rPr>
          <w:rFonts w:ascii="楷体_GB2312" w:eastAsia="楷体_GB2312" w:hAnsi="方正仿宋_GBK" w:cs="楷体_GB2312"/>
        </w:rPr>
        <w:t>13495</w:t>
      </w:r>
      <w:r w:rsidRPr="00D065F4">
        <w:rPr>
          <w:rFonts w:ascii="楷体_GB2312" w:eastAsia="楷体_GB2312" w:hAnsi="方正仿宋_GBK" w:cs="楷体_GB2312" w:hint="eastAsia"/>
        </w:rPr>
        <w:t>户企业人工成本和</w:t>
      </w:r>
      <w:r w:rsidRPr="00D065F4">
        <w:rPr>
          <w:rFonts w:ascii="楷体_GB2312" w:eastAsia="楷体_GB2312" w:hAnsi="方正仿宋_GBK" w:cs="楷体_GB2312"/>
        </w:rPr>
        <w:t>183</w:t>
      </w:r>
      <w:r w:rsidRPr="00D065F4">
        <w:rPr>
          <w:rFonts w:ascii="楷体_GB2312" w:eastAsia="楷体_GB2312" w:hAnsi="方正仿宋_GBK" w:cs="楷体_GB2312"/>
          <w:lang/>
        </w:rPr>
        <w:t>.7</w:t>
      </w:r>
      <w:r w:rsidRPr="00D065F4">
        <w:rPr>
          <w:rFonts w:ascii="楷体_GB2312" w:eastAsia="楷体_GB2312" w:hAnsi="方正仿宋_GBK" w:cs="楷体_GB2312" w:hint="eastAsia"/>
          <w:lang/>
        </w:rPr>
        <w:t>万</w:t>
      </w:r>
      <w:r w:rsidRPr="00D065F4">
        <w:rPr>
          <w:rFonts w:ascii="楷体_GB2312" w:eastAsia="楷体_GB2312" w:hAnsi="方正仿宋_GBK" w:cs="楷体_GB2312" w:hint="eastAsia"/>
        </w:rPr>
        <w:t>名职工工资报酬情况进行调查，并对调查数据进行筛选、汇总、分析形成的。本次发布的内容主要包括不同行业从业人员、不同岗位等级从业人员、不同职业中类从业人员的工资价位</w:t>
      </w:r>
      <w:r w:rsidRPr="00D065F4">
        <w:rPr>
          <w:rFonts w:ascii="楷体_GB2312" w:eastAsia="楷体_GB2312" w:hAnsi="方正仿宋_GBK" w:cs="楷体_GB2312" w:hint="eastAsia"/>
          <w:lang/>
        </w:rPr>
        <w:t>以及</w:t>
      </w:r>
      <w:r w:rsidRPr="00D065F4">
        <w:rPr>
          <w:rFonts w:ascii="楷体_GB2312" w:eastAsia="楷体_GB2312" w:hAnsi="方正仿宋_GBK" w:cs="楷体_GB2312" w:hint="eastAsia"/>
        </w:rPr>
        <w:t>不同行业门类企业的人工成本水平。工资价位和企业人工成本水平发布</w:t>
      </w:r>
      <w:r w:rsidRPr="00D065F4">
        <w:rPr>
          <w:rFonts w:ascii="楷体_GB2312" w:eastAsia="楷体_GB2312" w:hAnsi="方正仿宋_GBK" w:cs="楷体_GB2312"/>
        </w:rPr>
        <w:t>10%</w:t>
      </w:r>
      <w:r w:rsidRPr="00D065F4">
        <w:rPr>
          <w:rFonts w:ascii="楷体_GB2312" w:eastAsia="楷体_GB2312" w:hAnsi="方正仿宋_GBK" w:cs="楷体_GB2312" w:hint="eastAsia"/>
        </w:rPr>
        <w:t>分位、</w:t>
      </w:r>
      <w:r w:rsidRPr="00D065F4">
        <w:rPr>
          <w:rFonts w:ascii="楷体_GB2312" w:eastAsia="楷体_GB2312" w:hAnsi="方正仿宋_GBK" w:cs="楷体_GB2312"/>
        </w:rPr>
        <w:t>25%</w:t>
      </w:r>
      <w:r w:rsidRPr="00D065F4">
        <w:rPr>
          <w:rFonts w:ascii="楷体_GB2312" w:eastAsia="楷体_GB2312" w:hAnsi="方正仿宋_GBK" w:cs="楷体_GB2312" w:hint="eastAsia"/>
        </w:rPr>
        <w:t>分位、</w:t>
      </w:r>
      <w:r w:rsidRPr="00D065F4">
        <w:rPr>
          <w:rFonts w:ascii="楷体_GB2312" w:eastAsia="楷体_GB2312" w:hAnsi="方正仿宋_GBK" w:cs="楷体_GB2312"/>
        </w:rPr>
        <w:t>50%</w:t>
      </w:r>
      <w:r w:rsidRPr="00D065F4">
        <w:rPr>
          <w:rFonts w:ascii="楷体_GB2312" w:eastAsia="楷体_GB2312" w:hAnsi="方正仿宋_GBK" w:cs="楷体_GB2312" w:hint="eastAsia"/>
        </w:rPr>
        <w:t>分位、</w:t>
      </w:r>
      <w:r w:rsidRPr="00D065F4">
        <w:rPr>
          <w:rFonts w:ascii="楷体_GB2312" w:eastAsia="楷体_GB2312" w:hAnsi="方正仿宋_GBK" w:cs="楷体_GB2312"/>
        </w:rPr>
        <w:t>75%</w:t>
      </w:r>
      <w:r w:rsidRPr="00D065F4">
        <w:rPr>
          <w:rFonts w:ascii="楷体_GB2312" w:eastAsia="楷体_GB2312" w:hAnsi="方正仿宋_GBK" w:cs="楷体_GB2312" w:hint="eastAsia"/>
        </w:rPr>
        <w:t>分位和</w:t>
      </w:r>
      <w:r w:rsidRPr="00D065F4">
        <w:rPr>
          <w:rFonts w:ascii="楷体_GB2312" w:eastAsia="楷体_GB2312" w:hAnsi="方正仿宋_GBK" w:cs="楷体_GB2312"/>
        </w:rPr>
        <w:t>90%</w:t>
      </w:r>
      <w:r w:rsidRPr="00D065F4">
        <w:rPr>
          <w:rFonts w:ascii="楷体_GB2312" w:eastAsia="楷体_GB2312" w:hAnsi="方正仿宋_GBK" w:cs="楷体_GB2312" w:hint="eastAsia"/>
        </w:rPr>
        <w:t>分位，适于不同企业的需求。其中，</w:t>
      </w:r>
      <w:r w:rsidRPr="00D065F4">
        <w:rPr>
          <w:rFonts w:ascii="楷体_GB2312" w:eastAsia="楷体_GB2312" w:hAnsi="方正仿宋_GBK" w:cs="楷体_GB2312"/>
        </w:rPr>
        <w:t>50%</w:t>
      </w:r>
      <w:r w:rsidRPr="00D065F4">
        <w:rPr>
          <w:rFonts w:ascii="楷体_GB2312" w:eastAsia="楷体_GB2312" w:hAnsi="方正仿宋_GBK" w:cs="楷体_GB2312" w:hint="eastAsia"/>
        </w:rPr>
        <w:t>分位（即中位数）代表数据的中间水平，指的是有一半的样本低于该数值，并不等于平均值。</w:t>
      </w:r>
    </w:p>
    <w:p w:rsidR="00F94B1D" w:rsidRDefault="00F94B1D" w:rsidP="00436F9B">
      <w:pPr>
        <w:ind w:left="31680"/>
        <w:rPr>
          <w:rFonts w:ascii="黑体" w:eastAsia="黑体" w:hAnsi="黑体" w:cs="Times New Roman"/>
          <w:lang/>
        </w:rPr>
      </w:pPr>
      <w:r>
        <w:rPr>
          <w:rFonts w:ascii="FangSong_GB2312" w:eastAsia="FangSong_GB2312" w:hAnsi="FangSong_GB2312" w:cs="Times New Roman"/>
        </w:rPr>
        <w:br w:type="page"/>
      </w:r>
      <w:bookmarkStart w:id="0" w:name="_GoBack"/>
    </w:p>
    <w:bookmarkEnd w:id="0"/>
    <w:p w:rsidR="00F94B1D" w:rsidRPr="00D065F4" w:rsidRDefault="00F94B1D" w:rsidP="00D065F4">
      <w:pPr>
        <w:adjustRightInd w:val="0"/>
        <w:snapToGrid w:val="0"/>
        <w:spacing w:line="640" w:lineRule="exact"/>
        <w:ind w:left="31680"/>
        <w:jc w:val="center"/>
        <w:rPr>
          <w:rFonts w:ascii="方正小标宋简体" w:eastAsia="方正小标宋简体" w:hAnsi="方正小标宋_GBK" w:cs="Times New Roman"/>
          <w:color w:val="000000"/>
          <w:sz w:val="44"/>
          <w:szCs w:val="44"/>
        </w:rPr>
      </w:pPr>
      <w:r w:rsidRPr="00D065F4">
        <w:rPr>
          <w:rFonts w:ascii="方正小标宋简体" w:eastAsia="方正小标宋简体" w:hAnsi="方正小标宋_GBK" w:cs="方正小标宋简体" w:hint="eastAsia"/>
          <w:color w:val="000000"/>
          <w:sz w:val="44"/>
          <w:szCs w:val="44"/>
        </w:rPr>
        <w:t>第一部分</w:t>
      </w:r>
      <w:r w:rsidRPr="00D065F4">
        <w:rPr>
          <w:rFonts w:ascii="方正小标宋简体" w:eastAsia="方正小标宋简体" w:hAnsi="方正小标宋_GBK" w:cs="方正小标宋简体"/>
          <w:color w:val="000000"/>
          <w:sz w:val="44"/>
          <w:szCs w:val="44"/>
        </w:rPr>
        <w:t xml:space="preserve">  </w:t>
      </w:r>
      <w:r w:rsidRPr="00D065F4">
        <w:rPr>
          <w:rFonts w:ascii="方正小标宋简体" w:eastAsia="方正小标宋简体" w:hAnsi="方正小标宋_GBK" w:cs="方正小标宋简体" w:hint="eastAsia"/>
          <w:color w:val="000000"/>
          <w:sz w:val="44"/>
          <w:szCs w:val="44"/>
        </w:rPr>
        <w:t>人力资源市场工资价位</w:t>
      </w:r>
    </w:p>
    <w:p w:rsidR="00F94B1D" w:rsidRDefault="00F94B1D">
      <w:pPr>
        <w:pStyle w:val="Heading2"/>
        <w:snapToGrid w:val="0"/>
        <w:spacing w:line="420" w:lineRule="auto"/>
        <w:ind w:leftChars="0" w:left="0"/>
        <w:jc w:val="center"/>
        <w:rPr>
          <w:rFonts w:ascii="黑体" w:eastAsia="黑体" w:hAnsi="黑体"/>
          <w:lang/>
        </w:rPr>
      </w:pPr>
    </w:p>
    <w:p w:rsidR="00F94B1D" w:rsidRDefault="00F94B1D">
      <w:pPr>
        <w:pStyle w:val="Heading2"/>
        <w:snapToGrid w:val="0"/>
        <w:spacing w:line="420" w:lineRule="auto"/>
        <w:ind w:leftChars="0" w:left="0"/>
        <w:jc w:val="center"/>
        <w:rPr>
          <w:rFonts w:ascii="黑体" w:eastAsia="黑体" w:hAnsi="黑体"/>
        </w:rPr>
      </w:pPr>
      <w:r>
        <w:rPr>
          <w:rFonts w:ascii="黑体" w:eastAsia="黑体" w:hAnsi="黑体" w:cs="黑体" w:hint="eastAsia"/>
        </w:rPr>
        <w:t>一、分行业门类企业从业人员工资价位（</w:t>
      </w:r>
      <w:r>
        <w:rPr>
          <w:rFonts w:ascii="黑体" w:eastAsia="黑体" w:hAnsi="黑体" w:cs="黑体"/>
        </w:rPr>
        <w:t>2021</w:t>
      </w:r>
      <w:r>
        <w:rPr>
          <w:rFonts w:ascii="黑体" w:eastAsia="黑体" w:hAnsi="黑体" w:cs="黑体" w:hint="eastAsia"/>
        </w:rPr>
        <w:t>年）</w:t>
      </w:r>
    </w:p>
    <w:p w:rsidR="00F94B1D" w:rsidRDefault="00F94B1D">
      <w:pPr>
        <w:ind w:leftChars="0" w:left="0"/>
        <w:jc w:val="left"/>
        <w:rPr>
          <w:sz w:val="21"/>
          <w:szCs w:val="21"/>
        </w:rPr>
      </w:pPr>
      <w:r>
        <w:rPr>
          <w:rFonts w:ascii="FangSong_GB2312" w:eastAsia="FangSong_GB2312" w:hAnsi="仿宋" w:cs="FangSong_GB2312" w:hint="eastAsia"/>
          <w:sz w:val="21"/>
          <w:szCs w:val="21"/>
        </w:rPr>
        <w:t>单位：元</w:t>
      </w:r>
      <w:r>
        <w:rPr>
          <w:rFonts w:ascii="FangSong_GB2312" w:eastAsia="FangSong_GB2312" w:hAnsi="仿宋" w:cs="FangSong_GB2312"/>
          <w:sz w:val="21"/>
          <w:szCs w:val="21"/>
        </w:rPr>
        <w:t>/</w:t>
      </w:r>
      <w:r>
        <w:rPr>
          <w:rFonts w:ascii="FangSong_GB2312" w:eastAsia="FangSong_GB2312" w:hAnsi="仿宋" w:cs="FangSong_GB2312" w:hint="eastAsia"/>
          <w:sz w:val="21"/>
          <w:szCs w:val="21"/>
        </w:rPr>
        <w:t>年</w:t>
      </w:r>
    </w:p>
    <w:tbl>
      <w:tblPr>
        <w:tblW w:w="8333" w:type="dxa"/>
        <w:jc w:val="center"/>
        <w:tblLayout w:type="fixed"/>
        <w:tblCellMar>
          <w:top w:w="15" w:type="dxa"/>
          <w:left w:w="15" w:type="dxa"/>
          <w:bottom w:w="15" w:type="dxa"/>
          <w:right w:w="15" w:type="dxa"/>
        </w:tblCellMar>
        <w:tblLook w:val="00A0"/>
      </w:tblPr>
      <w:tblGrid>
        <w:gridCol w:w="547"/>
        <w:gridCol w:w="3728"/>
        <w:gridCol w:w="810"/>
        <w:gridCol w:w="810"/>
        <w:gridCol w:w="810"/>
        <w:gridCol w:w="810"/>
        <w:gridCol w:w="818"/>
      </w:tblGrid>
      <w:tr w:rsidR="00F94B1D" w:rsidRPr="004B4161">
        <w:trPr>
          <w:trHeight w:val="210"/>
          <w:jc w:val="center"/>
        </w:trPr>
        <w:tc>
          <w:tcPr>
            <w:tcW w:w="547" w:type="dxa"/>
            <w:vMerge w:val="restart"/>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序号</w:t>
            </w:r>
          </w:p>
        </w:tc>
        <w:tc>
          <w:tcPr>
            <w:tcW w:w="3728" w:type="dxa"/>
            <w:vMerge w:val="restart"/>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行业</w:t>
            </w:r>
            <w:r>
              <w:rPr>
                <w:rFonts w:ascii="宋体" w:hAnsi="宋体" w:cs="宋体" w:hint="eastAsia"/>
                <w:b/>
                <w:bCs/>
                <w:color w:val="FFFFFF"/>
                <w:kern w:val="0"/>
                <w:sz w:val="21"/>
                <w:szCs w:val="21"/>
                <w:lang/>
              </w:rPr>
              <w:t>门类</w:t>
            </w:r>
          </w:p>
        </w:tc>
        <w:tc>
          <w:tcPr>
            <w:tcW w:w="4058" w:type="dxa"/>
            <w:gridSpan w:val="5"/>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分位值</w:t>
            </w:r>
          </w:p>
        </w:tc>
      </w:tr>
      <w:tr w:rsidR="00F94B1D" w:rsidRPr="004B4161">
        <w:trPr>
          <w:trHeight w:val="480"/>
          <w:jc w:val="center"/>
        </w:trPr>
        <w:tc>
          <w:tcPr>
            <w:tcW w:w="547" w:type="dxa"/>
            <w:vMerge/>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宋体" w:hAnsi="宋体"/>
                <w:b/>
                <w:bCs/>
                <w:color w:val="FFFFFF"/>
                <w:sz w:val="21"/>
                <w:szCs w:val="21"/>
              </w:rPr>
            </w:pPr>
          </w:p>
        </w:tc>
        <w:tc>
          <w:tcPr>
            <w:tcW w:w="3728" w:type="dxa"/>
            <w:vMerge/>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宋体" w:hAnsi="宋体"/>
                <w:b/>
                <w:bCs/>
                <w:color w:val="FFFFFF"/>
                <w:sz w:val="21"/>
                <w:szCs w:val="21"/>
              </w:rPr>
            </w:pPr>
          </w:p>
        </w:tc>
        <w:tc>
          <w:tcPr>
            <w:tcW w:w="810"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50%</w:t>
            </w:r>
          </w:p>
        </w:tc>
        <w:tc>
          <w:tcPr>
            <w:tcW w:w="810"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75%</w:t>
            </w:r>
          </w:p>
        </w:tc>
        <w:tc>
          <w:tcPr>
            <w:tcW w:w="818"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90%</w:t>
            </w:r>
          </w:p>
        </w:tc>
      </w:tr>
      <w:tr w:rsidR="00F94B1D" w:rsidRPr="004B4161">
        <w:trPr>
          <w:trHeight w:val="28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b/>
                <w:bCs/>
                <w:color w:val="000000"/>
                <w:sz w:val="21"/>
                <w:szCs w:val="21"/>
              </w:rPr>
            </w:pPr>
            <w:r>
              <w:rPr>
                <w:rFonts w:ascii="Arial" w:hAnsi="Arial" w:cs="Arial"/>
                <w:b/>
                <w:bCs/>
                <w:color w:val="000000"/>
                <w:kern w:val="0"/>
                <w:sz w:val="21"/>
                <w:szCs w:val="21"/>
              </w:rPr>
              <w:t>1</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b/>
                <w:bCs/>
                <w:color w:val="000000"/>
                <w:sz w:val="21"/>
                <w:szCs w:val="21"/>
                <w:lang/>
              </w:rPr>
            </w:pPr>
            <w:r>
              <w:rPr>
                <w:rFonts w:ascii="宋体" w:hAnsi="宋体" w:cs="宋体" w:hint="eastAsia"/>
                <w:b/>
                <w:bCs/>
                <w:color w:val="000000"/>
                <w:sz w:val="21"/>
                <w:szCs w:val="21"/>
                <w:lang/>
              </w:rPr>
              <w:t>全行业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b/>
                <w:bCs/>
                <w:color w:val="000000"/>
                <w:sz w:val="21"/>
                <w:szCs w:val="21"/>
              </w:rPr>
            </w:pPr>
            <w:r>
              <w:rPr>
                <w:rFonts w:ascii="Arial" w:hAnsi="Arial" w:cs="Arial"/>
                <w:b/>
                <w:bCs/>
                <w:color w:val="000000"/>
                <w:kern w:val="0"/>
                <w:sz w:val="21"/>
                <w:szCs w:val="21"/>
              </w:rPr>
              <w:t>31200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b/>
                <w:bCs/>
                <w:color w:val="000000"/>
                <w:sz w:val="21"/>
                <w:szCs w:val="21"/>
              </w:rPr>
            </w:pPr>
            <w:r>
              <w:rPr>
                <w:rFonts w:ascii="Arial" w:hAnsi="Arial" w:cs="Arial"/>
                <w:b/>
                <w:bCs/>
                <w:color w:val="000000"/>
                <w:kern w:val="0"/>
                <w:sz w:val="21"/>
                <w:szCs w:val="21"/>
              </w:rPr>
              <w:t>41000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b/>
                <w:bCs/>
                <w:color w:val="000000"/>
                <w:sz w:val="21"/>
                <w:szCs w:val="21"/>
              </w:rPr>
            </w:pPr>
            <w:r>
              <w:rPr>
                <w:rFonts w:ascii="Arial" w:hAnsi="Arial" w:cs="Arial"/>
                <w:b/>
                <w:bCs/>
                <w:color w:val="000000"/>
                <w:kern w:val="0"/>
                <w:sz w:val="21"/>
                <w:szCs w:val="21"/>
              </w:rPr>
              <w:t>57000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b/>
                <w:bCs/>
                <w:color w:val="000000"/>
                <w:sz w:val="21"/>
                <w:szCs w:val="21"/>
              </w:rPr>
            </w:pPr>
            <w:r>
              <w:rPr>
                <w:rFonts w:ascii="Arial" w:hAnsi="Arial" w:cs="Arial"/>
                <w:b/>
                <w:bCs/>
                <w:color w:val="000000"/>
                <w:kern w:val="0"/>
                <w:sz w:val="21"/>
                <w:szCs w:val="21"/>
              </w:rPr>
              <w:t>83422</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b/>
                <w:bCs/>
                <w:color w:val="000000"/>
                <w:sz w:val="21"/>
                <w:szCs w:val="21"/>
              </w:rPr>
            </w:pPr>
            <w:r>
              <w:rPr>
                <w:rFonts w:ascii="Arial" w:hAnsi="Arial" w:cs="Arial"/>
                <w:b/>
                <w:bCs/>
                <w:color w:val="000000"/>
                <w:kern w:val="0"/>
                <w:sz w:val="21"/>
                <w:szCs w:val="21"/>
              </w:rPr>
              <w:t>125832</w:t>
            </w:r>
          </w:p>
        </w:tc>
      </w:tr>
      <w:tr w:rsidR="00F94B1D" w:rsidRPr="004B4161">
        <w:trPr>
          <w:trHeight w:val="44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sz w:val="21"/>
                <w:szCs w:val="21"/>
              </w:rPr>
            </w:pPr>
            <w:r>
              <w:rPr>
                <w:rFonts w:ascii="宋体" w:hAnsi="宋体" w:cs="宋体" w:hint="eastAsia"/>
                <w:color w:val="000000"/>
                <w:kern w:val="0"/>
                <w:sz w:val="21"/>
                <w:szCs w:val="21"/>
              </w:rPr>
              <w:t>农、林、牧、渔业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25800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33600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45768</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66337</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89725</w:t>
            </w:r>
          </w:p>
        </w:tc>
      </w:tr>
      <w:tr w:rsidR="00F94B1D" w:rsidRPr="004B4161">
        <w:trPr>
          <w:trHeight w:val="26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采矿业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30000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40000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53940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72000</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96000</w:t>
            </w:r>
          </w:p>
        </w:tc>
      </w:tr>
      <w:tr w:rsidR="00F94B1D" w:rsidRPr="004B4161">
        <w:trPr>
          <w:trHeight w:val="24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制造业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31125</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39856</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53491</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73465</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102800</w:t>
            </w:r>
          </w:p>
        </w:tc>
      </w:tr>
      <w:tr w:rsidR="00F94B1D" w:rsidRPr="004B4161">
        <w:trPr>
          <w:trHeight w:val="24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电力、热力、燃气及水生产和供应业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41000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55380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79389</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117504</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164718</w:t>
            </w:r>
          </w:p>
        </w:tc>
      </w:tr>
      <w:tr w:rsidR="00F94B1D" w:rsidRPr="004B4161">
        <w:trPr>
          <w:trHeight w:val="24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建筑业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35921</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45000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60000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84000</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120000</w:t>
            </w:r>
          </w:p>
        </w:tc>
      </w:tr>
      <w:tr w:rsidR="00F94B1D" w:rsidRPr="004B4161">
        <w:trPr>
          <w:trHeight w:val="26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批发和零售业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29473</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37800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52000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78000</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117342</w:t>
            </w:r>
          </w:p>
        </w:tc>
      </w:tr>
      <w:tr w:rsidR="00F94B1D" w:rsidRPr="004B4161">
        <w:trPr>
          <w:trHeight w:val="22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交通运输、仓储和邮政业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33944</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44500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60683</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86478</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124259</w:t>
            </w:r>
          </w:p>
        </w:tc>
      </w:tr>
      <w:tr w:rsidR="00F94B1D" w:rsidRPr="004B4161">
        <w:trPr>
          <w:trHeight w:val="22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住宿和餐饮业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26300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31344</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40200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54000</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75277</w:t>
            </w:r>
          </w:p>
        </w:tc>
      </w:tr>
      <w:tr w:rsidR="00F94B1D" w:rsidRPr="004B4161">
        <w:trPr>
          <w:trHeight w:val="42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信息传输、软件和信息技术服务业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43500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59306</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82000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113168</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152596</w:t>
            </w:r>
          </w:p>
        </w:tc>
      </w:tr>
      <w:tr w:rsidR="00F94B1D" w:rsidRPr="004B4161">
        <w:trPr>
          <w:trHeight w:val="34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金融业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53400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80160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122130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171657</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250356</w:t>
            </w:r>
          </w:p>
        </w:tc>
      </w:tr>
      <w:tr w:rsidR="00F94B1D" w:rsidRPr="004B4161">
        <w:trPr>
          <w:trHeight w:val="36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房地产业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25408</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33444</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47750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76693</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132000</w:t>
            </w:r>
          </w:p>
        </w:tc>
      </w:tr>
      <w:tr w:rsidR="00F94B1D" w:rsidRPr="004B4161">
        <w:trPr>
          <w:trHeight w:val="40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13</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租赁和商务服务业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28800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38400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54000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79000</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120000</w:t>
            </w:r>
          </w:p>
        </w:tc>
      </w:tr>
      <w:tr w:rsidR="00F94B1D" w:rsidRPr="004B4161">
        <w:trPr>
          <w:trHeight w:val="40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14</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科学研究和技术服务业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38500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51092</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73289</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110000</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166021</w:t>
            </w:r>
          </w:p>
        </w:tc>
      </w:tr>
      <w:tr w:rsidR="00F94B1D" w:rsidRPr="004B4161">
        <w:trPr>
          <w:trHeight w:val="18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水利环境和公共设施管理业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26360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33600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49600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79083</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129200</w:t>
            </w:r>
          </w:p>
        </w:tc>
      </w:tr>
      <w:tr w:rsidR="00F94B1D" w:rsidRPr="004B4161">
        <w:trPr>
          <w:trHeight w:val="20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16</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居民服务、修理和其他服务业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25000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32400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43440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60000</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89877</w:t>
            </w:r>
          </w:p>
        </w:tc>
      </w:tr>
      <w:tr w:rsidR="00F94B1D" w:rsidRPr="004B4161">
        <w:trPr>
          <w:trHeight w:val="32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17</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教育</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30000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36600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48400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67685</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98231</w:t>
            </w:r>
          </w:p>
        </w:tc>
      </w:tr>
      <w:tr w:rsidR="00F94B1D" w:rsidRPr="004B4161">
        <w:trPr>
          <w:trHeight w:val="20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18</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卫生和社会工作</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33600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42300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57716</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84793</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127885</w:t>
            </w:r>
          </w:p>
        </w:tc>
      </w:tr>
      <w:tr w:rsidR="00F94B1D" w:rsidRPr="004B4161">
        <w:trPr>
          <w:trHeight w:val="214"/>
          <w:jc w:val="center"/>
        </w:trPr>
        <w:tc>
          <w:tcPr>
            <w:tcW w:w="54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19</w:t>
            </w:r>
          </w:p>
        </w:tc>
        <w:tc>
          <w:tcPr>
            <w:tcW w:w="372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文化、体育和娱乐业</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27320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35360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47589</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68404</w:t>
            </w:r>
          </w:p>
        </w:tc>
        <w:tc>
          <w:tcPr>
            <w:tcW w:w="81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101875</w:t>
            </w:r>
          </w:p>
        </w:tc>
      </w:tr>
    </w:tbl>
    <w:p w:rsidR="00F94B1D" w:rsidRDefault="00F94B1D">
      <w:pPr>
        <w:ind w:leftChars="0" w:left="0"/>
        <w:rPr>
          <w:rFonts w:ascii="FangSong_GB2312" w:eastAsia="FangSong_GB2312" w:hAnsi="FangSong_GB2312"/>
        </w:rPr>
      </w:pPr>
    </w:p>
    <w:p w:rsidR="00F94B1D" w:rsidRDefault="00F94B1D">
      <w:pPr>
        <w:pStyle w:val="Heading2"/>
        <w:snapToGrid w:val="0"/>
        <w:spacing w:before="156" w:after="156" w:line="240" w:lineRule="auto"/>
        <w:ind w:leftChars="0" w:left="0"/>
        <w:jc w:val="center"/>
        <w:rPr>
          <w:rFonts w:ascii="黑体" w:eastAsia="黑体" w:hAnsi="黑体"/>
          <w:lang/>
        </w:rPr>
      </w:pPr>
    </w:p>
    <w:p w:rsidR="00F94B1D" w:rsidRDefault="00F94B1D">
      <w:pPr>
        <w:pStyle w:val="Heading2"/>
        <w:snapToGrid w:val="0"/>
        <w:spacing w:before="156" w:after="156" w:line="240" w:lineRule="auto"/>
        <w:ind w:leftChars="0" w:left="0"/>
        <w:jc w:val="center"/>
        <w:rPr>
          <w:rFonts w:ascii="黑体" w:eastAsia="黑体" w:hAnsi="黑体"/>
        </w:rPr>
      </w:pPr>
      <w:r>
        <w:rPr>
          <w:rFonts w:ascii="黑体" w:eastAsia="黑体" w:hAnsi="黑体" w:cs="黑体" w:hint="eastAsia"/>
        </w:rPr>
        <w:t>二、分岗位等级企业从业人员工资价位（</w:t>
      </w:r>
      <w:r>
        <w:rPr>
          <w:rFonts w:ascii="黑体" w:eastAsia="黑体" w:hAnsi="黑体" w:cs="黑体"/>
        </w:rPr>
        <w:t>2021</w:t>
      </w:r>
      <w:r>
        <w:rPr>
          <w:rFonts w:ascii="黑体" w:eastAsia="黑体" w:hAnsi="黑体" w:cs="黑体" w:hint="eastAsia"/>
        </w:rPr>
        <w:t>年）</w:t>
      </w:r>
    </w:p>
    <w:p w:rsidR="00F94B1D" w:rsidRDefault="00F94B1D">
      <w:pPr>
        <w:ind w:leftChars="0" w:left="0"/>
        <w:jc w:val="left"/>
        <w:rPr>
          <w:sz w:val="21"/>
          <w:szCs w:val="21"/>
        </w:rPr>
      </w:pPr>
      <w:r>
        <w:rPr>
          <w:sz w:val="21"/>
          <w:szCs w:val="21"/>
        </w:rPr>
        <w:t>单位：元</w:t>
      </w:r>
      <w:r>
        <w:rPr>
          <w:sz w:val="21"/>
          <w:szCs w:val="21"/>
        </w:rPr>
        <w:t>/</w:t>
      </w:r>
      <w:r>
        <w:rPr>
          <w:sz w:val="21"/>
          <w:szCs w:val="21"/>
        </w:rPr>
        <w:t>年</w:t>
      </w:r>
    </w:p>
    <w:tbl>
      <w:tblPr>
        <w:tblW w:w="8333" w:type="dxa"/>
        <w:tblInd w:w="-13" w:type="dxa"/>
        <w:tblLayout w:type="fixed"/>
        <w:tblCellMar>
          <w:top w:w="15" w:type="dxa"/>
          <w:left w:w="15" w:type="dxa"/>
          <w:bottom w:w="15" w:type="dxa"/>
          <w:right w:w="15" w:type="dxa"/>
        </w:tblCellMar>
        <w:tblLook w:val="00A0"/>
      </w:tblPr>
      <w:tblGrid>
        <w:gridCol w:w="569"/>
        <w:gridCol w:w="1020"/>
        <w:gridCol w:w="2706"/>
        <w:gridCol w:w="807"/>
        <w:gridCol w:w="807"/>
        <w:gridCol w:w="807"/>
        <w:gridCol w:w="807"/>
        <w:gridCol w:w="810"/>
      </w:tblGrid>
      <w:tr w:rsidR="00F94B1D" w:rsidRPr="004B4161">
        <w:trPr>
          <w:trHeight w:val="300"/>
          <w:tblHeader/>
        </w:trPr>
        <w:tc>
          <w:tcPr>
            <w:tcW w:w="569" w:type="dxa"/>
            <w:vMerge w:val="restart"/>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序号</w:t>
            </w:r>
          </w:p>
        </w:tc>
        <w:tc>
          <w:tcPr>
            <w:tcW w:w="3726" w:type="dxa"/>
            <w:gridSpan w:val="2"/>
            <w:vMerge w:val="restart"/>
            <w:tcBorders>
              <w:top w:val="single" w:sz="4" w:space="0" w:color="000000"/>
              <w:left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岗位等级</w:t>
            </w:r>
          </w:p>
        </w:tc>
        <w:tc>
          <w:tcPr>
            <w:tcW w:w="4038" w:type="dxa"/>
            <w:gridSpan w:val="5"/>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分位值</w:t>
            </w:r>
          </w:p>
        </w:tc>
      </w:tr>
      <w:tr w:rsidR="00F94B1D" w:rsidRPr="004B4161">
        <w:trPr>
          <w:trHeight w:val="300"/>
          <w:tblHeader/>
        </w:trPr>
        <w:tc>
          <w:tcPr>
            <w:tcW w:w="569" w:type="dxa"/>
            <w:vMerge/>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宋体" w:hAnsi="宋体"/>
                <w:b/>
                <w:bCs/>
                <w:color w:val="FFFFFF"/>
                <w:sz w:val="21"/>
                <w:szCs w:val="21"/>
              </w:rPr>
            </w:pPr>
          </w:p>
        </w:tc>
        <w:tc>
          <w:tcPr>
            <w:tcW w:w="3726" w:type="dxa"/>
            <w:gridSpan w:val="2"/>
            <w:vMerge/>
            <w:tcBorders>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宋体" w:hAnsi="宋体"/>
                <w:b/>
                <w:bCs/>
                <w:color w:val="FFFFFF"/>
                <w:sz w:val="21"/>
                <w:szCs w:val="21"/>
              </w:rPr>
            </w:pPr>
          </w:p>
        </w:tc>
        <w:tc>
          <w:tcPr>
            <w:tcW w:w="80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25%</w:t>
            </w:r>
          </w:p>
        </w:tc>
        <w:tc>
          <w:tcPr>
            <w:tcW w:w="80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50%</w:t>
            </w:r>
          </w:p>
        </w:tc>
        <w:tc>
          <w:tcPr>
            <w:tcW w:w="80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75%</w:t>
            </w:r>
          </w:p>
        </w:tc>
        <w:tc>
          <w:tcPr>
            <w:tcW w:w="810"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90%</w:t>
            </w:r>
          </w:p>
        </w:tc>
      </w:tr>
      <w:tr w:rsidR="00F94B1D" w:rsidRPr="004B4161">
        <w:trPr>
          <w:trHeight w:val="300"/>
        </w:trPr>
        <w:tc>
          <w:tcPr>
            <w:tcW w:w="569" w:type="dxa"/>
            <w:vMerge w:val="restart"/>
            <w:tcBorders>
              <w:top w:val="single" w:sz="4" w:space="0" w:color="000000"/>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w:t>
            </w:r>
          </w:p>
        </w:tc>
        <w:tc>
          <w:tcPr>
            <w:tcW w:w="1020" w:type="dxa"/>
            <w:vMerge w:val="restart"/>
            <w:tcBorders>
              <w:top w:val="single" w:sz="4" w:space="0" w:color="000000"/>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lang/>
              </w:rPr>
            </w:pPr>
            <w:r>
              <w:rPr>
                <w:rFonts w:ascii="宋体" w:hAnsi="宋体" w:cs="宋体" w:hint="eastAsia"/>
                <w:color w:val="000000"/>
                <w:kern w:val="0"/>
                <w:sz w:val="21"/>
                <w:szCs w:val="21"/>
                <w:lang/>
              </w:rPr>
              <w:t>管理类</w:t>
            </w: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高层管理岗</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52000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68430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102000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175000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292766</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中层管理岗</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44650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58200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82680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130000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208133</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基层管理岗</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38720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50160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72000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108349</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166168</w:t>
            </w:r>
          </w:p>
        </w:tc>
      </w:tr>
      <w:tr w:rsidR="00F94B1D" w:rsidRPr="004B4161">
        <w:trPr>
          <w:trHeight w:val="300"/>
        </w:trPr>
        <w:tc>
          <w:tcPr>
            <w:tcW w:w="569" w:type="dxa"/>
            <w:vMerge/>
            <w:tcBorders>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管理类员工岗</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33600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42000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55980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78078</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114502</w:t>
            </w:r>
          </w:p>
        </w:tc>
      </w:tr>
      <w:tr w:rsidR="00F94B1D" w:rsidRPr="004B4161">
        <w:trPr>
          <w:trHeight w:val="300"/>
        </w:trPr>
        <w:tc>
          <w:tcPr>
            <w:tcW w:w="569" w:type="dxa"/>
            <w:vMerge w:val="restart"/>
            <w:tcBorders>
              <w:top w:val="single" w:sz="4" w:space="0" w:color="000000"/>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w:t>
            </w:r>
          </w:p>
        </w:tc>
        <w:tc>
          <w:tcPr>
            <w:tcW w:w="1020" w:type="dxa"/>
            <w:vMerge w:val="restart"/>
            <w:tcBorders>
              <w:top w:val="single" w:sz="4" w:space="0" w:color="000000"/>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lang/>
              </w:rPr>
            </w:pPr>
            <w:r>
              <w:rPr>
                <w:rFonts w:ascii="宋体" w:hAnsi="宋体" w:cs="宋体" w:hint="eastAsia"/>
                <w:color w:val="000000"/>
                <w:kern w:val="0"/>
                <w:sz w:val="21"/>
                <w:szCs w:val="21"/>
                <w:lang/>
              </w:rPr>
              <w:t>技术类</w:t>
            </w: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高级职称</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48000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66000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100336</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156768</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232176</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中级职称</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38100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50227</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70000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107628</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156464</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初级职称</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36000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47726</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63500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90252</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129055</w:t>
            </w:r>
          </w:p>
        </w:tc>
      </w:tr>
      <w:tr w:rsidR="00F94B1D" w:rsidRPr="004B4161">
        <w:trPr>
          <w:trHeight w:val="300"/>
        </w:trPr>
        <w:tc>
          <w:tcPr>
            <w:tcW w:w="569" w:type="dxa"/>
            <w:vMerge/>
            <w:tcBorders>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未取得职称的专业技术人员</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35264</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44822</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60800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88660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126582</w:t>
            </w:r>
          </w:p>
        </w:tc>
      </w:tr>
      <w:tr w:rsidR="00F94B1D" w:rsidRPr="004B4161">
        <w:trPr>
          <w:trHeight w:val="300"/>
        </w:trPr>
        <w:tc>
          <w:tcPr>
            <w:tcW w:w="569" w:type="dxa"/>
            <w:vMerge w:val="restart"/>
            <w:tcBorders>
              <w:top w:val="single" w:sz="4" w:space="0" w:color="000000"/>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w:t>
            </w:r>
          </w:p>
        </w:tc>
        <w:tc>
          <w:tcPr>
            <w:tcW w:w="1020" w:type="dxa"/>
            <w:vMerge w:val="restart"/>
            <w:tcBorders>
              <w:top w:val="single" w:sz="4" w:space="0" w:color="000000"/>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lang/>
              </w:rPr>
            </w:pPr>
            <w:r>
              <w:rPr>
                <w:rFonts w:ascii="宋体" w:hAnsi="宋体" w:cs="宋体" w:hint="eastAsia"/>
                <w:color w:val="000000"/>
                <w:kern w:val="0"/>
                <w:sz w:val="21"/>
                <w:szCs w:val="21"/>
                <w:lang/>
              </w:rPr>
              <w:t>技能类</w:t>
            </w: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高级技师</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45442</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60000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84146</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113766</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143284</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技师</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39600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53998</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80460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110000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136380 </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高级技能</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36948</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50000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69198</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103770</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130000 </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中级技能</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36000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45800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61900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88963</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120000</w:t>
            </w:r>
          </w:p>
        </w:tc>
      </w:tr>
      <w:tr w:rsidR="00F94B1D" w:rsidRPr="004B4161">
        <w:trPr>
          <w:trHeight w:val="300"/>
        </w:trPr>
        <w:tc>
          <w:tcPr>
            <w:tcW w:w="569"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初级技能</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28910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38264</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51000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70295</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97176</w:t>
            </w:r>
          </w:p>
        </w:tc>
      </w:tr>
      <w:tr w:rsidR="00F94B1D" w:rsidRPr="004B4161">
        <w:trPr>
          <w:trHeight w:val="300"/>
        </w:trPr>
        <w:tc>
          <w:tcPr>
            <w:tcW w:w="569" w:type="dxa"/>
            <w:vMerge/>
            <w:tcBorders>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p>
        </w:tc>
        <w:tc>
          <w:tcPr>
            <w:tcW w:w="1020" w:type="dxa"/>
            <w:vMerge/>
            <w:tcBorders>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p>
        </w:tc>
        <w:tc>
          <w:tcPr>
            <w:tcW w:w="270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kern w:val="0"/>
                <w:sz w:val="21"/>
                <w:szCs w:val="21"/>
              </w:rPr>
            </w:pPr>
            <w:r>
              <w:rPr>
                <w:rFonts w:ascii="宋体" w:hAnsi="宋体" w:cs="宋体" w:hint="eastAsia"/>
                <w:color w:val="000000"/>
                <w:kern w:val="0"/>
                <w:sz w:val="21"/>
                <w:szCs w:val="21"/>
              </w:rPr>
              <w:t>未取得资格证书的技能人员</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27680</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35514</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47123</w:t>
            </w:r>
          </w:p>
        </w:tc>
        <w:tc>
          <w:tcPr>
            <w:tcW w:w="80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64425</w:t>
            </w:r>
          </w:p>
        </w:tc>
        <w:tc>
          <w:tcPr>
            <w:tcW w:w="8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87554</w:t>
            </w:r>
          </w:p>
        </w:tc>
      </w:tr>
    </w:tbl>
    <w:p w:rsidR="00F94B1D" w:rsidRDefault="00F94B1D">
      <w:pPr>
        <w:ind w:leftChars="0" w:left="0"/>
        <w:rPr>
          <w:rFonts w:ascii="FangSong_GB2312" w:eastAsia="FangSong_GB2312" w:hAnsi="FangSong_GB2312"/>
        </w:rPr>
      </w:pPr>
    </w:p>
    <w:p w:rsidR="00F94B1D" w:rsidRDefault="00F94B1D">
      <w:pPr>
        <w:pStyle w:val="Heading2"/>
        <w:snapToGrid w:val="0"/>
        <w:spacing w:line="420" w:lineRule="auto"/>
        <w:ind w:leftChars="0" w:left="0"/>
        <w:jc w:val="center"/>
        <w:rPr>
          <w:rFonts w:ascii="黑体" w:eastAsia="黑体" w:hAnsi="黑体"/>
          <w:lang/>
        </w:rPr>
      </w:pPr>
    </w:p>
    <w:p w:rsidR="00F94B1D" w:rsidRDefault="00F94B1D">
      <w:pPr>
        <w:pStyle w:val="Heading2"/>
        <w:snapToGrid w:val="0"/>
        <w:spacing w:line="420" w:lineRule="auto"/>
        <w:ind w:leftChars="0" w:left="0"/>
        <w:jc w:val="center"/>
        <w:rPr>
          <w:rFonts w:ascii="黑体" w:eastAsia="黑体" w:hAnsi="黑体"/>
        </w:rPr>
      </w:pPr>
      <w:r>
        <w:rPr>
          <w:rFonts w:ascii="黑体" w:eastAsia="黑体" w:hAnsi="黑体" w:cs="黑体" w:hint="eastAsia"/>
        </w:rPr>
        <w:t>三、分职业中类企业从业人员工资价位（</w:t>
      </w:r>
      <w:r>
        <w:rPr>
          <w:rFonts w:ascii="黑体" w:eastAsia="黑体" w:hAnsi="黑体" w:cs="黑体"/>
        </w:rPr>
        <w:t>2021</w:t>
      </w:r>
      <w:r>
        <w:rPr>
          <w:rFonts w:ascii="黑体" w:eastAsia="黑体" w:hAnsi="黑体" w:cs="黑体" w:hint="eastAsia"/>
        </w:rPr>
        <w:t>年）</w:t>
      </w:r>
    </w:p>
    <w:p w:rsidR="00F94B1D" w:rsidRDefault="00F94B1D">
      <w:pPr>
        <w:ind w:leftChars="0" w:left="0"/>
        <w:jc w:val="left"/>
        <w:rPr>
          <w:rFonts w:ascii="FangSong_GB2312" w:eastAsia="FangSong_GB2312" w:hAnsi="FangSong_GB2312"/>
          <w:sz w:val="21"/>
          <w:szCs w:val="21"/>
        </w:rPr>
      </w:pPr>
      <w:r>
        <w:rPr>
          <w:sz w:val="21"/>
          <w:szCs w:val="21"/>
        </w:rPr>
        <w:t>单位：元</w:t>
      </w:r>
      <w:r>
        <w:rPr>
          <w:sz w:val="21"/>
          <w:szCs w:val="21"/>
        </w:rPr>
        <w:t>/</w:t>
      </w:r>
      <w:r>
        <w:rPr>
          <w:sz w:val="21"/>
          <w:szCs w:val="21"/>
        </w:rPr>
        <w:t>年</w:t>
      </w:r>
    </w:p>
    <w:tbl>
      <w:tblPr>
        <w:tblW w:w="8333" w:type="dxa"/>
        <w:tblInd w:w="-13" w:type="dxa"/>
        <w:tblLayout w:type="fixed"/>
        <w:tblCellMar>
          <w:top w:w="15" w:type="dxa"/>
          <w:left w:w="15" w:type="dxa"/>
          <w:bottom w:w="15" w:type="dxa"/>
          <w:right w:w="15" w:type="dxa"/>
        </w:tblCellMar>
        <w:tblLook w:val="00A0"/>
      </w:tblPr>
      <w:tblGrid>
        <w:gridCol w:w="586"/>
        <w:gridCol w:w="3710"/>
        <w:gridCol w:w="777"/>
        <w:gridCol w:w="817"/>
        <w:gridCol w:w="797"/>
        <w:gridCol w:w="817"/>
        <w:gridCol w:w="829"/>
      </w:tblGrid>
      <w:tr w:rsidR="00F94B1D" w:rsidRPr="004B4161">
        <w:trPr>
          <w:trHeight w:val="285"/>
        </w:trPr>
        <w:tc>
          <w:tcPr>
            <w:tcW w:w="586" w:type="dxa"/>
            <w:vMerge w:val="restart"/>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序号</w:t>
            </w:r>
          </w:p>
        </w:tc>
        <w:tc>
          <w:tcPr>
            <w:tcW w:w="3710" w:type="dxa"/>
            <w:vMerge w:val="restart"/>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职业</w:t>
            </w:r>
            <w:r>
              <w:rPr>
                <w:rFonts w:ascii="宋体" w:hAnsi="宋体" w:cs="宋体" w:hint="eastAsia"/>
                <w:b/>
                <w:bCs/>
                <w:color w:val="FFFFFF"/>
                <w:kern w:val="0"/>
                <w:sz w:val="21"/>
                <w:szCs w:val="21"/>
                <w:lang/>
              </w:rPr>
              <w:t>中类名称</w:t>
            </w:r>
          </w:p>
        </w:tc>
        <w:tc>
          <w:tcPr>
            <w:tcW w:w="4037" w:type="dxa"/>
            <w:gridSpan w:val="5"/>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分位值</w:t>
            </w:r>
          </w:p>
        </w:tc>
      </w:tr>
      <w:tr w:rsidR="00F94B1D" w:rsidRPr="004B4161">
        <w:trPr>
          <w:trHeight w:val="285"/>
        </w:trPr>
        <w:tc>
          <w:tcPr>
            <w:tcW w:w="586" w:type="dxa"/>
            <w:vMerge/>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宋体" w:hAnsi="宋体"/>
                <w:b/>
                <w:bCs/>
                <w:color w:val="FFFFFF"/>
                <w:sz w:val="21"/>
                <w:szCs w:val="21"/>
              </w:rPr>
            </w:pPr>
          </w:p>
        </w:tc>
        <w:tc>
          <w:tcPr>
            <w:tcW w:w="3710" w:type="dxa"/>
            <w:vMerge/>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宋体" w:hAnsi="宋体"/>
                <w:b/>
                <w:bCs/>
                <w:color w:val="FFFFFF"/>
                <w:sz w:val="21"/>
                <w:szCs w:val="21"/>
              </w:rPr>
            </w:pPr>
          </w:p>
        </w:tc>
        <w:tc>
          <w:tcPr>
            <w:tcW w:w="77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10%</w:t>
            </w:r>
          </w:p>
        </w:tc>
        <w:tc>
          <w:tcPr>
            <w:tcW w:w="81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25%</w:t>
            </w:r>
          </w:p>
        </w:tc>
        <w:tc>
          <w:tcPr>
            <w:tcW w:w="79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50%</w:t>
            </w:r>
          </w:p>
        </w:tc>
        <w:tc>
          <w:tcPr>
            <w:tcW w:w="817"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75%</w:t>
            </w:r>
          </w:p>
        </w:tc>
        <w:tc>
          <w:tcPr>
            <w:tcW w:w="829"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90%</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sz w:val="21"/>
                <w:szCs w:val="21"/>
              </w:rPr>
            </w:pPr>
            <w:r>
              <w:rPr>
                <w:rFonts w:ascii="Arial" w:hAnsi="Arial" w:cs="Arial"/>
                <w:color w:val="000000"/>
                <w:kern w:val="0"/>
                <w:sz w:val="21"/>
                <w:szCs w:val="21"/>
              </w:rPr>
              <w:t>1</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宋体" w:hAnsi="宋体"/>
                <w:color w:val="000000"/>
                <w:sz w:val="21"/>
                <w:szCs w:val="21"/>
              </w:rPr>
            </w:pPr>
            <w:r>
              <w:rPr>
                <w:rFonts w:ascii="宋体" w:hAnsi="宋体" w:cs="宋体" w:hint="eastAsia"/>
                <w:color w:val="000000"/>
                <w:kern w:val="0"/>
                <w:sz w:val="21"/>
                <w:szCs w:val="21"/>
              </w:rPr>
              <w:t>企事业单位负责人</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olor w:val="000000"/>
                <w:sz w:val="21"/>
                <w:szCs w:val="21"/>
              </w:rPr>
            </w:pPr>
            <w:r>
              <w:rPr>
                <w:rFonts w:ascii="Arial" w:hAnsi="Arial" w:cs="Arial"/>
                <w:color w:val="000000"/>
                <w:kern w:val="0"/>
                <w:sz w:val="21"/>
                <w:szCs w:val="21"/>
              </w:rPr>
              <w:t>42294</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olor w:val="000000"/>
                <w:sz w:val="21"/>
                <w:szCs w:val="21"/>
              </w:rPr>
            </w:pPr>
            <w:r>
              <w:rPr>
                <w:rFonts w:ascii="Arial" w:hAnsi="Arial" w:cs="Arial"/>
                <w:color w:val="000000"/>
                <w:kern w:val="0"/>
                <w:sz w:val="21"/>
                <w:szCs w:val="21"/>
              </w:rPr>
              <w:t>56862</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olor w:val="000000"/>
                <w:sz w:val="21"/>
                <w:szCs w:val="21"/>
              </w:rPr>
            </w:pPr>
            <w:r>
              <w:rPr>
                <w:rFonts w:ascii="Arial" w:hAnsi="Arial" w:cs="Arial"/>
                <w:color w:val="000000"/>
                <w:kern w:val="0"/>
                <w:sz w:val="21"/>
                <w:szCs w:val="21"/>
              </w:rPr>
              <w:t>82200</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olor w:val="000000"/>
                <w:sz w:val="21"/>
                <w:szCs w:val="21"/>
              </w:rPr>
            </w:pPr>
            <w:r>
              <w:rPr>
                <w:rFonts w:ascii="Arial" w:hAnsi="Arial" w:cs="Arial"/>
                <w:color w:val="000000"/>
                <w:kern w:val="0"/>
                <w:sz w:val="21"/>
                <w:szCs w:val="21"/>
              </w:rPr>
              <w:t>131921</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ind w:leftChars="0" w:left="0"/>
              <w:jc w:val="center"/>
              <w:textAlignment w:val="center"/>
              <w:rPr>
                <w:rFonts w:ascii="Arial" w:hAnsi="Arial"/>
                <w:color w:val="000000"/>
                <w:sz w:val="21"/>
                <w:szCs w:val="21"/>
              </w:rPr>
            </w:pPr>
            <w:r>
              <w:rPr>
                <w:rFonts w:ascii="Arial" w:hAnsi="Arial" w:cs="Arial"/>
                <w:color w:val="000000"/>
                <w:kern w:val="0"/>
                <w:sz w:val="21"/>
                <w:szCs w:val="21"/>
              </w:rPr>
              <w:t>216258</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科学研究人员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40000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52000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74500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110157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167403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工程技术人员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36000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46900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64500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94180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135900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农业技术人员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27100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52505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80798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104435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飞机和船舶技术人员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34420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54961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88269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157710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272161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卫生专业技术人员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34800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43175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59679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80182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118196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经济和金融专业人员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37800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49660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68937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104675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158401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法律、社会和宗教专业人员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57000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84000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144000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205209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教学人员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31118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37500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51200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69934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100390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文学艺术、体育专业人员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31358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42709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57600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78468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111625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新闻出版、文化专业人员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34940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61248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94670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107988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其他专业技术人员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38940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69388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97979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130485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13</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办事人员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33601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42720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57246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80219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115040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14</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安全和消防人员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26500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34005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47000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63600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82582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其他办事人员和有关人员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34070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44954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60475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82929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118049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16</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批发与零售服务人员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28800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36000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69482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99321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17</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交通运输、仓储和邮政业服务人员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30943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40604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54000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72666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93876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18</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住宿和餐饮服务人员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24978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37100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48131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63569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19</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信息传输、软件和信息技术服务人员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45163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60773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81100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104788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134850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20</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金融服务人员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49896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78078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116219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154298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201724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21</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房地产服务人员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26050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33000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43565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59750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82056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22</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租赁和商务服务人员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24000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28800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37322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50892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74657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23</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技术辅助服务人员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33156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41700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53233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71942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96133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24</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水利、环境和公共设施管理服务人员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22250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25850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32568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42967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59500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25</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居民服务人员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24225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30000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40100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53400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69301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26</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电力、燃气及水供应服务人员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38073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52822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74500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98574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123826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27</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修理及制作服务人员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33700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43000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57600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78668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101255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28</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文化、体育和娱乐服务人员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27275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33600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42257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56000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76431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29</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健康服务人员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24016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32881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44536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62200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75794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30</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农业生产人员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22250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24000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28871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42480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56658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31</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林业生产人员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38600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46201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62033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79147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100645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32</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畜牧业生产人员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26200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38450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49459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59000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72000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渔业生产人员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28001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31794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42992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49438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53260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34</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农、林、牧、渔业生产辅助人员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27100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35932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60167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73185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35</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其他农、林、牧、渔业生产加工人员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24000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28865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39600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48000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60500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36</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农副产品加工人员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25549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32400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40920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49413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63489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37</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食品、饮料生产加工人员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28600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36968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64284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92366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38</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纺织、针织、印染人员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28846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32400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39700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46950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57345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39</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纺织品、服装和皮革、毛皮制品加工制作人员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23800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30588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37901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46039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61370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40</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木材加工、家具与木制品制作人员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25908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32100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41600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57747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72383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41</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纸及纸制品生产加工人员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26922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36000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46141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58228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72000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42</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印刷和记录媒介复制人员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35291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39100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46000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61635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78500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43</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文教、工美、体育和娱乐用品制造人员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19800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25200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50685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71000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44</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石油加工和炼焦、煤化工生产人员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38588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49920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62290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95805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148353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45</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化学原料和化学制品制造人员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30400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41238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56433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74712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100000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46</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医药制造人员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29513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39292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51300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66057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86444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47</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化学纤维制造人员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38525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53307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72465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78975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104012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48</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橡胶和塑料制品制造人员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34528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43630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51439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62520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77963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49</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非金属矿物制品制造人员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33200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41053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52302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64130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80328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50</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采矿人员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26640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39966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54639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80504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101808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51</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金属冶炼和压延加工人员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36301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44934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58490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72604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92810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52</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机械制造基础加工人员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33786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42109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56814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74000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93852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53</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金属制品制造人员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30134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57108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74460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103765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54</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通用设备制造人员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31368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40800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54000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70734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91092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55</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专用设备制造人员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31941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37460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43644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68160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86680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56</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汽车制造人员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31347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36587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48072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67975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89588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57</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铁路、船舶、航空设备制造人员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35206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52600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84941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112062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58</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电气机械和器材制造人员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31594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42000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54876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68012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80126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59</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计算机、通信和其他电子设备制造人员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31322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38191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47770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63702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84394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60</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仪器仪表制造人员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25200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39600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55182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69872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110500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61</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电力、热力、气体、水生产和输配人员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38400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50448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71131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101671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133831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62</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建筑施工人员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34800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42261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54000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70059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89578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63</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运输设备和通用工程机械操作人员及有关人员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36000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46176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58029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78000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96647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64</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生产辅助人员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29971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37800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49400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66072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87534 </w:t>
            </w:r>
          </w:p>
        </w:tc>
      </w:tr>
      <w:tr w:rsidR="00F94B1D" w:rsidRPr="004B4161">
        <w:trPr>
          <w:trHeight w:val="285"/>
        </w:trPr>
        <w:tc>
          <w:tcPr>
            <w:tcW w:w="58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65</w:t>
            </w:r>
          </w:p>
        </w:tc>
        <w:tc>
          <w:tcPr>
            <w:tcW w:w="371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kern w:val="0"/>
                <w:sz w:val="21"/>
                <w:szCs w:val="21"/>
              </w:rPr>
            </w:pPr>
            <w:r>
              <w:rPr>
                <w:rFonts w:ascii="Arial" w:hAnsi="Arial" w:cs="宋体" w:hint="eastAsia"/>
                <w:color w:val="000000"/>
                <w:kern w:val="0"/>
                <w:sz w:val="21"/>
                <w:szCs w:val="21"/>
              </w:rPr>
              <w:t>其他生产制造及有关人员</w:t>
            </w:r>
          </w:p>
        </w:tc>
        <w:tc>
          <w:tcPr>
            <w:tcW w:w="77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30000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38100 </w:t>
            </w:r>
          </w:p>
        </w:tc>
        <w:tc>
          <w:tcPr>
            <w:tcW w:w="79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48415 </w:t>
            </w:r>
          </w:p>
        </w:tc>
        <w:tc>
          <w:tcPr>
            <w:tcW w:w="817"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64321 </w:t>
            </w:r>
          </w:p>
        </w:tc>
        <w:tc>
          <w:tcPr>
            <w:tcW w:w="829"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 xml:space="preserve">86062 </w:t>
            </w:r>
          </w:p>
        </w:tc>
      </w:tr>
    </w:tbl>
    <w:p w:rsidR="00F94B1D" w:rsidRDefault="00F94B1D" w:rsidP="00F94B1D">
      <w:pPr>
        <w:spacing w:line="276" w:lineRule="auto"/>
        <w:ind w:left="31680"/>
        <w:rPr>
          <w:rFonts w:ascii="宋体" w:hAnsi="宋体"/>
          <w:sz w:val="18"/>
          <w:szCs w:val="18"/>
        </w:rPr>
      </w:pPr>
      <w:r>
        <w:rPr>
          <w:rFonts w:ascii="宋体" w:hAnsi="宋体" w:cs="宋体"/>
          <w:sz w:val="18"/>
          <w:szCs w:val="18"/>
        </w:rPr>
        <w:t>*</w:t>
      </w:r>
      <w:r>
        <w:rPr>
          <w:rFonts w:ascii="宋体" w:hAnsi="宋体" w:cs="宋体" w:hint="eastAsia"/>
          <w:sz w:val="18"/>
          <w:szCs w:val="18"/>
        </w:rPr>
        <w:t>本调查所称“教学人员”是指在企业中从事各级各类教育工作的专业人员。</w:t>
      </w:r>
    </w:p>
    <w:p w:rsidR="00F94B1D" w:rsidRDefault="00F94B1D">
      <w:pPr>
        <w:ind w:leftChars="0" w:left="0"/>
        <w:rPr>
          <w:rFonts w:ascii="FangSong_GB2312" w:eastAsia="FangSong_GB2312" w:hAnsi="FangSong_GB2312"/>
        </w:rPr>
      </w:pPr>
    </w:p>
    <w:p w:rsidR="00F94B1D" w:rsidRDefault="00F94B1D" w:rsidP="00D065F4">
      <w:pPr>
        <w:adjustRightInd w:val="0"/>
        <w:snapToGrid w:val="0"/>
        <w:spacing w:line="640" w:lineRule="exact"/>
        <w:ind w:left="31680"/>
        <w:jc w:val="center"/>
        <w:rPr>
          <w:rFonts w:ascii="Times New Roman" w:eastAsia="方正小标宋简体" w:hAnsi="Times New Roman"/>
          <w:color w:val="000000"/>
          <w:sz w:val="44"/>
          <w:szCs w:val="44"/>
        </w:rPr>
      </w:pPr>
      <w:r>
        <w:rPr>
          <w:rFonts w:ascii="Times New Roman" w:eastAsia="方正小标宋简体" w:hAnsi="Times New Roman" w:cs="方正小标宋简体" w:hint="eastAsia"/>
          <w:color w:val="000000"/>
          <w:sz w:val="44"/>
          <w:szCs w:val="44"/>
        </w:rPr>
        <w:t>第二部分</w:t>
      </w:r>
      <w:r>
        <w:rPr>
          <w:rFonts w:ascii="Times New Roman" w:eastAsia="方正小标宋简体" w:hAnsi="Times New Roman" w:cs="Times New Roman"/>
          <w:color w:val="000000"/>
          <w:sz w:val="44"/>
          <w:szCs w:val="44"/>
        </w:rPr>
        <w:t xml:space="preserve">  </w:t>
      </w:r>
      <w:r>
        <w:rPr>
          <w:rFonts w:ascii="Times New Roman" w:eastAsia="方正小标宋简体" w:hAnsi="Times New Roman" w:cs="方正小标宋简体" w:hint="eastAsia"/>
          <w:color w:val="000000"/>
          <w:sz w:val="44"/>
          <w:szCs w:val="44"/>
        </w:rPr>
        <w:t>行业人工成本信息</w:t>
      </w:r>
    </w:p>
    <w:p w:rsidR="00F94B1D" w:rsidRDefault="00F94B1D">
      <w:pPr>
        <w:pStyle w:val="Heading2"/>
        <w:snapToGrid w:val="0"/>
        <w:spacing w:before="156" w:after="156" w:line="240" w:lineRule="auto"/>
        <w:ind w:leftChars="0" w:left="0"/>
        <w:jc w:val="center"/>
        <w:rPr>
          <w:rFonts w:ascii="黑体" w:eastAsia="黑体" w:hAnsi="黑体"/>
          <w:lang/>
        </w:rPr>
      </w:pPr>
    </w:p>
    <w:p w:rsidR="00F94B1D" w:rsidRDefault="00F94B1D">
      <w:pPr>
        <w:pStyle w:val="Heading2"/>
        <w:snapToGrid w:val="0"/>
        <w:spacing w:before="156" w:after="156" w:line="240" w:lineRule="auto"/>
        <w:ind w:leftChars="0" w:left="0"/>
        <w:jc w:val="center"/>
        <w:rPr>
          <w:rFonts w:ascii="黑体" w:eastAsia="黑体" w:hAnsi="黑体"/>
        </w:rPr>
      </w:pPr>
      <w:r>
        <w:rPr>
          <w:rFonts w:ascii="黑体" w:eastAsia="黑体" w:hAnsi="黑体" w:cs="黑体" w:hint="eastAsia"/>
        </w:rPr>
        <w:t>分行业门类企业人均人工成本</w:t>
      </w:r>
      <w:r>
        <w:rPr>
          <w:rFonts w:ascii="黑体" w:eastAsia="黑体" w:hAnsi="黑体" w:cs="黑体" w:hint="eastAsia"/>
          <w:lang/>
        </w:rPr>
        <w:t>水平</w:t>
      </w:r>
      <w:r>
        <w:rPr>
          <w:rFonts w:ascii="黑体" w:eastAsia="黑体" w:hAnsi="黑体" w:cs="黑体" w:hint="eastAsia"/>
        </w:rPr>
        <w:t>（</w:t>
      </w:r>
      <w:r>
        <w:rPr>
          <w:rFonts w:ascii="黑体" w:eastAsia="黑体" w:hAnsi="黑体" w:cs="黑体"/>
        </w:rPr>
        <w:t>2021</w:t>
      </w:r>
      <w:r>
        <w:rPr>
          <w:rFonts w:ascii="黑体" w:eastAsia="黑体" w:hAnsi="黑体" w:cs="黑体" w:hint="eastAsia"/>
        </w:rPr>
        <w:t>年）</w:t>
      </w:r>
    </w:p>
    <w:p w:rsidR="00F94B1D" w:rsidRDefault="00F94B1D">
      <w:pPr>
        <w:ind w:leftChars="0" w:left="0"/>
        <w:jc w:val="left"/>
        <w:rPr>
          <w:rFonts w:ascii="FangSong_GB2312" w:eastAsia="FangSong_GB2312" w:hAnsi="FangSong_GB2312"/>
          <w:sz w:val="21"/>
          <w:szCs w:val="21"/>
        </w:rPr>
      </w:pPr>
      <w:r>
        <w:rPr>
          <w:rFonts w:ascii="FangSong_GB2312" w:eastAsia="FangSong_GB2312" w:hAnsi="仿宋" w:cs="FangSong_GB2312" w:hint="eastAsia"/>
          <w:sz w:val="21"/>
          <w:szCs w:val="21"/>
        </w:rPr>
        <w:t>单位：万元</w:t>
      </w:r>
      <w:r>
        <w:rPr>
          <w:rFonts w:ascii="FangSong_GB2312" w:eastAsia="FangSong_GB2312" w:hAnsi="仿宋" w:cs="FangSong_GB2312"/>
          <w:sz w:val="21"/>
          <w:szCs w:val="21"/>
        </w:rPr>
        <w:t>/</w:t>
      </w:r>
      <w:r>
        <w:rPr>
          <w:rFonts w:ascii="FangSong_GB2312" w:eastAsia="FangSong_GB2312" w:hAnsi="仿宋" w:cs="FangSong_GB2312" w:hint="eastAsia"/>
          <w:sz w:val="21"/>
          <w:szCs w:val="21"/>
        </w:rPr>
        <w:t>年</w:t>
      </w:r>
    </w:p>
    <w:tbl>
      <w:tblPr>
        <w:tblW w:w="8328" w:type="dxa"/>
        <w:tblInd w:w="-13" w:type="dxa"/>
        <w:tblLayout w:type="fixed"/>
        <w:tblCellMar>
          <w:top w:w="15" w:type="dxa"/>
          <w:left w:w="15" w:type="dxa"/>
          <w:bottom w:w="15" w:type="dxa"/>
          <w:right w:w="15" w:type="dxa"/>
        </w:tblCellMar>
        <w:tblLook w:val="00A0"/>
      </w:tblPr>
      <w:tblGrid>
        <w:gridCol w:w="593"/>
        <w:gridCol w:w="3685"/>
        <w:gridCol w:w="800"/>
        <w:gridCol w:w="798"/>
        <w:gridCol w:w="798"/>
        <w:gridCol w:w="838"/>
        <w:gridCol w:w="816"/>
      </w:tblGrid>
      <w:tr w:rsidR="00F94B1D" w:rsidRPr="004B4161">
        <w:trPr>
          <w:trHeight w:val="225"/>
          <w:tblHeader/>
        </w:trPr>
        <w:tc>
          <w:tcPr>
            <w:tcW w:w="593" w:type="dxa"/>
            <w:vMerge w:val="restart"/>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宋体" w:hint="eastAsia"/>
                <w:b/>
                <w:bCs/>
                <w:color w:val="FFFFFF"/>
                <w:kern w:val="0"/>
                <w:sz w:val="21"/>
                <w:szCs w:val="21"/>
              </w:rPr>
              <w:t>序号</w:t>
            </w:r>
          </w:p>
        </w:tc>
        <w:tc>
          <w:tcPr>
            <w:tcW w:w="3685" w:type="dxa"/>
            <w:vMerge w:val="restart"/>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宋体" w:hAnsi="宋体"/>
                <w:b/>
                <w:bCs/>
                <w:color w:val="FFFFFF"/>
                <w:sz w:val="21"/>
                <w:szCs w:val="21"/>
              </w:rPr>
            </w:pPr>
            <w:r>
              <w:rPr>
                <w:rFonts w:ascii="宋体" w:hAnsi="宋体" w:cs="宋体" w:hint="eastAsia"/>
                <w:b/>
                <w:bCs/>
                <w:color w:val="FFFFFF"/>
                <w:kern w:val="0"/>
                <w:sz w:val="21"/>
                <w:szCs w:val="21"/>
              </w:rPr>
              <w:t>行业门类</w:t>
            </w:r>
          </w:p>
        </w:tc>
        <w:tc>
          <w:tcPr>
            <w:tcW w:w="4050" w:type="dxa"/>
            <w:gridSpan w:val="5"/>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宋体" w:hint="eastAsia"/>
                <w:b/>
                <w:bCs/>
                <w:color w:val="FFFFFF"/>
                <w:kern w:val="0"/>
                <w:sz w:val="21"/>
                <w:szCs w:val="21"/>
              </w:rPr>
              <w:t>分位值</w:t>
            </w:r>
          </w:p>
        </w:tc>
      </w:tr>
      <w:tr w:rsidR="00F94B1D" w:rsidRPr="004B4161">
        <w:trPr>
          <w:trHeight w:val="423"/>
          <w:tblHeader/>
        </w:trPr>
        <w:tc>
          <w:tcPr>
            <w:tcW w:w="593" w:type="dxa"/>
            <w:vMerge/>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Arial" w:hAnsi="Arial"/>
                <w:b/>
                <w:bCs/>
                <w:color w:val="FFFFFF"/>
                <w:sz w:val="21"/>
                <w:szCs w:val="21"/>
              </w:rPr>
            </w:pPr>
          </w:p>
        </w:tc>
        <w:tc>
          <w:tcPr>
            <w:tcW w:w="3685" w:type="dxa"/>
            <w:vMerge/>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rsidP="00F94B1D">
            <w:pPr>
              <w:spacing w:line="360" w:lineRule="auto"/>
              <w:ind w:left="31680"/>
              <w:jc w:val="center"/>
              <w:rPr>
                <w:rFonts w:ascii="宋体" w:hAnsi="宋体"/>
                <w:b/>
                <w:bCs/>
                <w:color w:val="FFFFFF"/>
                <w:sz w:val="21"/>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10%</w:t>
            </w:r>
          </w:p>
        </w:tc>
        <w:tc>
          <w:tcPr>
            <w:tcW w:w="798"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25%</w:t>
            </w:r>
          </w:p>
        </w:tc>
        <w:tc>
          <w:tcPr>
            <w:tcW w:w="798"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50%</w:t>
            </w:r>
          </w:p>
        </w:tc>
        <w:tc>
          <w:tcPr>
            <w:tcW w:w="838"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75%</w:t>
            </w:r>
          </w:p>
        </w:tc>
        <w:tc>
          <w:tcPr>
            <w:tcW w:w="816" w:type="dxa"/>
            <w:tcBorders>
              <w:top w:val="single" w:sz="4" w:space="0" w:color="000000"/>
              <w:left w:val="single" w:sz="4" w:space="0" w:color="000000"/>
              <w:bottom w:val="single" w:sz="4" w:space="0" w:color="000000"/>
              <w:right w:val="single" w:sz="4" w:space="0" w:color="000000"/>
            </w:tcBorders>
            <w:shd w:val="clear" w:color="auto" w:fill="4472C4"/>
            <w:vAlign w:val="center"/>
          </w:tcPr>
          <w:p w:rsidR="00F94B1D" w:rsidRDefault="00F94B1D">
            <w:pPr>
              <w:widowControl/>
              <w:spacing w:line="360" w:lineRule="auto"/>
              <w:ind w:leftChars="0" w:left="0"/>
              <w:jc w:val="center"/>
              <w:textAlignment w:val="center"/>
              <w:rPr>
                <w:rFonts w:ascii="Arial" w:hAnsi="Arial"/>
                <w:b/>
                <w:bCs/>
                <w:color w:val="FFFFFF"/>
                <w:sz w:val="21"/>
                <w:szCs w:val="21"/>
              </w:rPr>
            </w:pPr>
            <w:r>
              <w:rPr>
                <w:rFonts w:ascii="Arial" w:hAnsi="Arial" w:cs="Arial"/>
                <w:b/>
                <w:bCs/>
                <w:color w:val="FFFFFF"/>
                <w:kern w:val="0"/>
                <w:sz w:val="21"/>
                <w:szCs w:val="21"/>
              </w:rPr>
              <w:t>90%</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b/>
                <w:bCs/>
                <w:color w:val="000000"/>
                <w:sz w:val="21"/>
                <w:szCs w:val="21"/>
              </w:rPr>
            </w:pPr>
            <w:r>
              <w:rPr>
                <w:rFonts w:ascii="Arial Regular" w:hAnsi="Arial Regular" w:cs="Arial Regular"/>
                <w:color w:val="000000"/>
                <w:kern w:val="0"/>
                <w:sz w:val="21"/>
                <w:szCs w:val="21"/>
              </w:rPr>
              <w:t>1</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b/>
                <w:bCs/>
                <w:color w:val="000000"/>
                <w:sz w:val="21"/>
                <w:szCs w:val="21"/>
                <w:lang/>
              </w:rPr>
            </w:pPr>
            <w:r>
              <w:rPr>
                <w:rFonts w:ascii="宋体" w:hAnsi="宋体" w:cs="宋体" w:hint="eastAsia"/>
                <w:b/>
                <w:bCs/>
                <w:color w:val="000000"/>
                <w:sz w:val="21"/>
                <w:szCs w:val="21"/>
                <w:lang/>
              </w:rPr>
              <w:t>全行业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Bold" w:hAnsi="Arial Bold"/>
                <w:b/>
                <w:bCs/>
                <w:color w:val="000000"/>
                <w:sz w:val="21"/>
                <w:szCs w:val="21"/>
              </w:rPr>
            </w:pPr>
            <w:r>
              <w:rPr>
                <w:rFonts w:ascii="Arial Bold" w:hAnsi="Arial Bold" w:cs="Arial Bold"/>
                <w:b/>
                <w:bCs/>
                <w:color w:val="000000"/>
                <w:kern w:val="0"/>
                <w:sz w:val="21"/>
                <w:szCs w:val="21"/>
              </w:rPr>
              <w:t>3.91</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Bold" w:hAnsi="Arial Bold"/>
                <w:b/>
                <w:bCs/>
                <w:color w:val="000000"/>
                <w:sz w:val="21"/>
                <w:szCs w:val="21"/>
              </w:rPr>
            </w:pPr>
            <w:r>
              <w:rPr>
                <w:rFonts w:ascii="Arial Bold" w:hAnsi="Arial Bold" w:cs="Arial Bold"/>
                <w:b/>
                <w:bCs/>
                <w:color w:val="000000"/>
                <w:kern w:val="0"/>
                <w:sz w:val="21"/>
                <w:szCs w:val="21"/>
              </w:rPr>
              <w:t>5.00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Bold" w:hAnsi="Arial Bold"/>
                <w:b/>
                <w:bCs/>
                <w:color w:val="000000"/>
                <w:sz w:val="21"/>
                <w:szCs w:val="21"/>
              </w:rPr>
            </w:pPr>
            <w:r>
              <w:rPr>
                <w:rFonts w:ascii="Arial Bold" w:hAnsi="Arial Bold" w:cs="Arial Bold"/>
                <w:b/>
                <w:bCs/>
                <w:color w:val="000000"/>
                <w:kern w:val="0"/>
                <w:sz w:val="21"/>
                <w:szCs w:val="21"/>
              </w:rPr>
              <w:t>6.92</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Bold" w:hAnsi="Arial Bold"/>
                <w:b/>
                <w:bCs/>
                <w:color w:val="000000"/>
                <w:sz w:val="21"/>
                <w:szCs w:val="21"/>
              </w:rPr>
            </w:pPr>
            <w:r>
              <w:rPr>
                <w:rFonts w:ascii="Arial Bold" w:hAnsi="Arial Bold" w:cs="Arial Bold"/>
                <w:b/>
                <w:bCs/>
                <w:color w:val="000000"/>
                <w:kern w:val="0"/>
                <w:sz w:val="21"/>
                <w:szCs w:val="21"/>
              </w:rPr>
              <w:t>9.79</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Bold" w:hAnsi="Arial Bold"/>
                <w:b/>
                <w:bCs/>
                <w:color w:val="000000"/>
                <w:sz w:val="21"/>
                <w:szCs w:val="21"/>
              </w:rPr>
            </w:pPr>
            <w:r>
              <w:rPr>
                <w:rFonts w:ascii="Arial Bold" w:hAnsi="Arial Bold" w:cs="Arial Bold"/>
                <w:b/>
                <w:bCs/>
                <w:color w:val="000000"/>
                <w:kern w:val="0"/>
                <w:sz w:val="21"/>
                <w:szCs w:val="21"/>
              </w:rPr>
              <w:t>14.11</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olor w:val="000000"/>
                <w:sz w:val="21"/>
                <w:szCs w:val="21"/>
              </w:rPr>
            </w:pPr>
            <w:r>
              <w:rPr>
                <w:rFonts w:ascii="Arial Regular" w:hAnsi="Arial Regular" w:cs="Arial Regular"/>
                <w:color w:val="000000"/>
                <w:kern w:val="0"/>
                <w:sz w:val="21"/>
                <w:szCs w:val="21"/>
              </w:rPr>
              <w:t>2</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宋体" w:hAnsi="宋体"/>
                <w:color w:val="000000"/>
                <w:sz w:val="21"/>
                <w:szCs w:val="21"/>
              </w:rPr>
            </w:pPr>
            <w:r>
              <w:rPr>
                <w:rFonts w:ascii="宋体" w:hAnsi="宋体" w:cs="宋体" w:hint="eastAsia"/>
                <w:color w:val="000000"/>
                <w:kern w:val="0"/>
                <w:sz w:val="21"/>
                <w:szCs w:val="21"/>
              </w:rPr>
              <w:t>农、林、牧、渔业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2.80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3.70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4.91</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7.38</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10.73</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3</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采矿业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3.97</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4.90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6.55</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8.74</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12.55</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4</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制造业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3.93</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4.95</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6.42</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8.73</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12.11</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5</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电力、热力、燃气及水生产和供应业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5.46</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7.14</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9.87</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13.83</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20.36</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6</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建筑业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4.48</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5.81</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7.99</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10.76</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15.46</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7</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批发和零售业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3.90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4.96</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6.90</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9.67</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13.71</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8</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交通运输、仓储和邮政业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4.30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5.30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7.11</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9.46</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14.22</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9</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住宿和餐饮业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3.21</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4.23</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5.21</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6.52</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8.40</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10</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信息传输、软件和信息技术服务业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4.87</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6.17</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8.76</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12.02</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15.75</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11</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金融业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6.53</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10.21</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16.00</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21.93</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29.04</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12</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房地产业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3.77</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4.85</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7.16</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10.99</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17.66</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13</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租赁和商务服务业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3.94</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5.19</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7.15</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10.23</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14.75</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14</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科学研究和技术服务业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4.78</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6.13</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8.44</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11.68</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17.19</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15</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水利环境和公共设施管理业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3.30</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4.36</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6.58</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10.64</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15.63</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16</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居民服务、修理和其他服务业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3.18</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4.03</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4.96</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7.12</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9.63</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17</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教育</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3.74</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4.45</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5.47</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7.45</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10.13</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18</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卫生和社会工作</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4.47</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6.09</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7.58</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9.67</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12.36</w:t>
            </w:r>
          </w:p>
        </w:tc>
      </w:tr>
      <w:tr w:rsidR="00F94B1D" w:rsidRPr="004B4161">
        <w:trPr>
          <w:trHeight w:val="332"/>
        </w:trPr>
        <w:tc>
          <w:tcPr>
            <w:tcW w:w="593"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Arial Regular" w:hAnsi="Arial Regular" w:cs="Arial Regular"/>
                <w:color w:val="000000"/>
                <w:kern w:val="0"/>
                <w:sz w:val="21"/>
                <w:szCs w:val="21"/>
              </w:rPr>
              <w:t>19</w:t>
            </w:r>
          </w:p>
        </w:tc>
        <w:tc>
          <w:tcPr>
            <w:tcW w:w="3685"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Regular" w:hAnsi="Arial Regular" w:cs="Arial Regular"/>
                <w:color w:val="000000"/>
                <w:kern w:val="0"/>
                <w:sz w:val="21"/>
                <w:szCs w:val="21"/>
              </w:rPr>
            </w:pPr>
            <w:r>
              <w:rPr>
                <w:rFonts w:ascii="宋体" w:hAnsi="宋体" w:cs="宋体" w:hint="eastAsia"/>
                <w:color w:val="000000"/>
                <w:kern w:val="0"/>
                <w:sz w:val="21"/>
                <w:szCs w:val="21"/>
              </w:rPr>
              <w:t>文化、体育和娱乐业</w:t>
            </w:r>
          </w:p>
        </w:tc>
        <w:tc>
          <w:tcPr>
            <w:tcW w:w="800"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3.26</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4.26</w:t>
            </w:r>
          </w:p>
        </w:tc>
        <w:tc>
          <w:tcPr>
            <w:tcW w:w="79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5.98</w:t>
            </w:r>
          </w:p>
        </w:tc>
        <w:tc>
          <w:tcPr>
            <w:tcW w:w="838"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7.74</w:t>
            </w:r>
          </w:p>
        </w:tc>
        <w:tc>
          <w:tcPr>
            <w:tcW w:w="816" w:type="dxa"/>
            <w:tcBorders>
              <w:top w:val="single" w:sz="4" w:space="0" w:color="000000"/>
              <w:left w:val="single" w:sz="4" w:space="0" w:color="000000"/>
              <w:bottom w:val="single" w:sz="4" w:space="0" w:color="000000"/>
              <w:right w:val="single" w:sz="4" w:space="0" w:color="000000"/>
            </w:tcBorders>
            <w:vAlign w:val="center"/>
          </w:tcPr>
          <w:p w:rsidR="00F94B1D" w:rsidRDefault="00F94B1D">
            <w:pPr>
              <w:widowControl/>
              <w:spacing w:line="360" w:lineRule="auto"/>
              <w:ind w:leftChars="0" w:left="0"/>
              <w:jc w:val="center"/>
              <w:textAlignment w:val="center"/>
              <w:rPr>
                <w:rFonts w:ascii="Arial" w:hAnsi="Arial" w:cs="Arial"/>
                <w:color w:val="000000"/>
                <w:kern w:val="0"/>
                <w:sz w:val="21"/>
                <w:szCs w:val="21"/>
              </w:rPr>
            </w:pPr>
            <w:r>
              <w:rPr>
                <w:rFonts w:ascii="Arial" w:hAnsi="Arial" w:cs="Arial"/>
                <w:color w:val="000000"/>
                <w:kern w:val="0"/>
                <w:sz w:val="21"/>
                <w:szCs w:val="21"/>
              </w:rPr>
              <w:t>10.78</w:t>
            </w:r>
          </w:p>
        </w:tc>
      </w:tr>
    </w:tbl>
    <w:p w:rsidR="00F94B1D" w:rsidRDefault="00F94B1D">
      <w:pPr>
        <w:ind w:leftChars="0" w:left="0"/>
        <w:rPr>
          <w:rFonts w:ascii="FangSong_GB2312" w:eastAsia="FangSong_GB2312" w:hAnsi="FangSong_GB2312"/>
        </w:rPr>
      </w:pPr>
    </w:p>
    <w:p w:rsidR="00F94B1D" w:rsidRDefault="00F94B1D">
      <w:pPr>
        <w:ind w:leftChars="0" w:left="0"/>
        <w:rPr>
          <w:rFonts w:ascii="FangSong_GB2312" w:eastAsia="FangSong_GB2312" w:hAnsi="FangSong_GB2312"/>
        </w:rPr>
      </w:pPr>
    </w:p>
    <w:p w:rsidR="00F94B1D" w:rsidRDefault="00F94B1D" w:rsidP="00D065F4">
      <w:pPr>
        <w:ind w:left="31680"/>
        <w:rPr>
          <w:rFonts w:ascii="FangSong_GB2312" w:eastAsia="FangSong_GB2312" w:hAnsi="FangSong_GB2312"/>
        </w:rPr>
      </w:pPr>
      <w:r>
        <w:rPr>
          <w:rFonts w:ascii="FangSong_GB2312" w:eastAsia="FangSong_GB2312" w:hAnsi="FangSong_GB2312"/>
        </w:rPr>
        <w:br w:type="page"/>
      </w:r>
    </w:p>
    <w:p w:rsidR="00F94B1D" w:rsidRDefault="00F94B1D">
      <w:pPr>
        <w:pStyle w:val="Heading1"/>
        <w:snapToGrid w:val="0"/>
        <w:spacing w:line="360" w:lineRule="auto"/>
        <w:ind w:leftChars="0" w:left="0"/>
        <w:rPr>
          <w:rFonts w:ascii="宋体" w:eastAsia="宋体" w:cs="Times New Roman"/>
        </w:rPr>
      </w:pPr>
      <w:r>
        <w:rPr>
          <w:rFonts w:ascii="宋体" w:hAnsi="宋体" w:hint="eastAsia"/>
        </w:rPr>
        <w:t>附注</w:t>
      </w:r>
    </w:p>
    <w:p w:rsidR="00F94B1D" w:rsidRDefault="00F94B1D" w:rsidP="00D065F4">
      <w:pPr>
        <w:pStyle w:val="Heading2"/>
        <w:snapToGrid w:val="0"/>
        <w:spacing w:before="156"/>
        <w:ind w:leftChars="0" w:left="0" w:firstLineChars="200" w:firstLine="31680"/>
        <w:rPr>
          <w:rFonts w:ascii="Arial" w:eastAsia="楷体_GB2312" w:hAnsi="Arial"/>
        </w:rPr>
      </w:pPr>
      <w:bookmarkStart w:id="1" w:name="_Toc51858739"/>
      <w:r>
        <w:rPr>
          <w:rFonts w:ascii="Arial" w:eastAsia="楷体_GB2312" w:hAnsi="Arial" w:cs="Arial"/>
        </w:rPr>
        <w:t>1.</w:t>
      </w:r>
      <w:r>
        <w:rPr>
          <w:rFonts w:ascii="Arial" w:eastAsia="楷体_GB2312" w:hAnsi="Arial" w:cs="楷体_GB2312" w:hint="eastAsia"/>
        </w:rPr>
        <w:t>主要统计指标解释</w:t>
      </w:r>
      <w:bookmarkEnd w:id="1"/>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分位值</w:t>
      </w:r>
      <w:r>
        <w:rPr>
          <w:rFonts w:ascii="Arial" w:eastAsia="FangSong_GB2312" w:hAnsi="Arial" w:cs="Arial"/>
        </w:rPr>
        <w:t xml:space="preserve">  </w:t>
      </w:r>
      <w:r>
        <w:rPr>
          <w:rFonts w:ascii="Arial" w:eastAsia="FangSong_GB2312" w:hAnsi="Arial" w:cs="FangSong_GB2312" w:hint="eastAsia"/>
        </w:rPr>
        <w:t>是指将数据由低到高排序，在数列中处于相应百分比位置的数据，共分为</w:t>
      </w:r>
      <w:r>
        <w:rPr>
          <w:rFonts w:ascii="Arial" w:eastAsia="FangSong_GB2312" w:hAnsi="Arial" w:cs="Arial"/>
        </w:rPr>
        <w:t>10%</w:t>
      </w:r>
      <w:r>
        <w:rPr>
          <w:rFonts w:ascii="Arial" w:eastAsia="FangSong_GB2312" w:hAnsi="Arial" w:cs="FangSong_GB2312" w:hint="eastAsia"/>
        </w:rPr>
        <w:t>分位，</w:t>
      </w:r>
      <w:r>
        <w:rPr>
          <w:rFonts w:ascii="Arial" w:eastAsia="FangSong_GB2312" w:hAnsi="Arial" w:cs="Arial"/>
        </w:rPr>
        <w:t>25%</w:t>
      </w:r>
      <w:r>
        <w:rPr>
          <w:rFonts w:ascii="Arial" w:eastAsia="FangSong_GB2312" w:hAnsi="Arial" w:cs="FangSong_GB2312" w:hint="eastAsia"/>
        </w:rPr>
        <w:t>分位，</w:t>
      </w:r>
      <w:r>
        <w:rPr>
          <w:rFonts w:ascii="Arial" w:eastAsia="FangSong_GB2312" w:hAnsi="Arial" w:cs="Arial"/>
        </w:rPr>
        <w:t>50%</w:t>
      </w:r>
      <w:r>
        <w:rPr>
          <w:rFonts w:ascii="Arial" w:eastAsia="FangSong_GB2312" w:hAnsi="Arial" w:cs="FangSong_GB2312" w:hint="eastAsia"/>
        </w:rPr>
        <w:t>分位，</w:t>
      </w:r>
      <w:r>
        <w:rPr>
          <w:rFonts w:ascii="Arial" w:eastAsia="FangSong_GB2312" w:hAnsi="Arial" w:cs="Arial"/>
        </w:rPr>
        <w:t>75%</w:t>
      </w:r>
      <w:r>
        <w:rPr>
          <w:rFonts w:ascii="Arial" w:eastAsia="FangSong_GB2312" w:hAnsi="Arial" w:cs="FangSong_GB2312" w:hint="eastAsia"/>
        </w:rPr>
        <w:t>分位和</w:t>
      </w:r>
      <w:r>
        <w:rPr>
          <w:rFonts w:ascii="Arial" w:eastAsia="FangSong_GB2312" w:hAnsi="Arial" w:cs="Arial"/>
        </w:rPr>
        <w:t>90%</w:t>
      </w:r>
      <w:r>
        <w:rPr>
          <w:rFonts w:ascii="Arial" w:eastAsia="FangSong_GB2312" w:hAnsi="Arial" w:cs="FangSong_GB2312" w:hint="eastAsia"/>
        </w:rPr>
        <w:t>分位</w:t>
      </w:r>
      <w:r>
        <w:rPr>
          <w:rFonts w:ascii="Arial" w:eastAsia="FangSong_GB2312" w:hAnsi="Arial" w:cs="Arial"/>
        </w:rPr>
        <w:t>5</w:t>
      </w:r>
      <w:r>
        <w:rPr>
          <w:rFonts w:ascii="Arial" w:eastAsia="FangSong_GB2312" w:hAnsi="Arial" w:cs="FangSong_GB2312" w:hint="eastAsia"/>
        </w:rPr>
        <w:t>档。</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企业从业人员</w:t>
      </w:r>
      <w:r>
        <w:rPr>
          <w:rFonts w:ascii="Arial" w:eastAsia="FangSong_GB2312" w:hAnsi="Arial" w:cs="Arial"/>
        </w:rPr>
        <w:t xml:space="preserve">  </w:t>
      </w:r>
      <w:r>
        <w:rPr>
          <w:rFonts w:ascii="Arial" w:eastAsia="FangSong_GB2312" w:hAnsi="Arial" w:cs="FangSong_GB2312" w:hint="eastAsia"/>
        </w:rPr>
        <w:t>是指在本企业工作并取得劳动报酬的人员，包括与企业签订劳动合同或劳务派遣合同的在岗职工及劳务派遣人员。</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工资价位</w:t>
      </w:r>
      <w:r>
        <w:rPr>
          <w:rFonts w:ascii="Arial" w:eastAsia="FangSong_GB2312" w:hAnsi="Arial" w:cs="Arial"/>
        </w:rPr>
        <w:t xml:space="preserve">  </w:t>
      </w:r>
      <w:r>
        <w:rPr>
          <w:rFonts w:ascii="Arial" w:eastAsia="FangSong_GB2312" w:hAnsi="Arial" w:cs="FangSong_GB2312" w:hint="eastAsia"/>
        </w:rPr>
        <w:t>是指企业从业人员在报告期内的工资水平，包括基本工资、绩效工资、津补贴、加班加点工资和在特殊情况下支付的工资等。它在一定程度上体现了劳动力市场价格水平。</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职业</w:t>
      </w:r>
      <w:r>
        <w:rPr>
          <w:rFonts w:ascii="Arial" w:eastAsia="FangSong_GB2312" w:hAnsi="Arial" w:cs="Arial"/>
        </w:rPr>
        <w:t xml:space="preserve">  </w:t>
      </w:r>
      <w:r>
        <w:rPr>
          <w:rFonts w:ascii="Arial" w:eastAsia="FangSong_GB2312" w:hAnsi="Arial" w:cs="FangSong_GB2312" w:hint="eastAsia"/>
        </w:rPr>
        <w:t>指从业人员为获取主要生活来源所从事的社会工作类别。</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管理类岗位等级</w:t>
      </w:r>
      <w:r>
        <w:rPr>
          <w:rFonts w:ascii="Arial" w:eastAsia="FangSong_GB2312" w:hAnsi="Arial" w:cs="Arial"/>
        </w:rPr>
        <w:t xml:space="preserve">  </w:t>
      </w:r>
      <w:r>
        <w:rPr>
          <w:rFonts w:ascii="Arial" w:eastAsia="FangSong_GB2312" w:hAnsi="Arial" w:cs="FangSong_GB2312" w:hint="eastAsia"/>
        </w:rPr>
        <w:t>指在管理岗位工作的人员在本企业岗位序列中的层级位置，包括高层管理岗、中层管理岗、基层管理岗和管理类员工岗。其中，</w:t>
      </w:r>
      <w:r>
        <w:rPr>
          <w:rFonts w:ascii="Arial" w:eastAsia="FangSong_GB2312" w:hAnsi="Arial" w:cs="FangSong_GB2312" w:hint="eastAsia"/>
          <w:b/>
          <w:bCs/>
        </w:rPr>
        <w:t>高层管理岗</w:t>
      </w:r>
      <w:r>
        <w:rPr>
          <w:rFonts w:ascii="Arial" w:eastAsia="FangSong_GB2312" w:hAnsi="Arial" w:cs="FangSong_GB2312" w:hint="eastAsia"/>
        </w:rPr>
        <w:t>是指处于企业最高领导层的岗位，包括董事长、总经理及副职等同级别的高层负责人；</w:t>
      </w:r>
      <w:r>
        <w:rPr>
          <w:rFonts w:ascii="Arial" w:eastAsia="FangSong_GB2312" w:hAnsi="Arial" w:cs="FangSong_GB2312" w:hint="eastAsia"/>
          <w:b/>
          <w:bCs/>
        </w:rPr>
        <w:t>中层管理岗</w:t>
      </w:r>
      <w:r>
        <w:rPr>
          <w:rFonts w:ascii="Arial" w:eastAsia="FangSong_GB2312" w:hAnsi="Arial" w:cs="FangSong_GB2312" w:hint="eastAsia"/>
        </w:rPr>
        <w:t>是指在企业一级部门或内设机构处于领导层的岗位，包括人力资源部门负责人、研发部门负责人等部门主要负责人及副职等同级别的中层负责人；</w:t>
      </w:r>
      <w:r>
        <w:rPr>
          <w:rFonts w:ascii="Arial" w:eastAsia="FangSong_GB2312" w:hAnsi="Arial" w:cs="FangSong_GB2312" w:hint="eastAsia"/>
          <w:b/>
          <w:bCs/>
        </w:rPr>
        <w:t>基层管理岗</w:t>
      </w:r>
      <w:r>
        <w:rPr>
          <w:rFonts w:ascii="Arial" w:eastAsia="FangSong_GB2312" w:hAnsi="Arial" w:cs="FangSong_GB2312" w:hint="eastAsia"/>
        </w:rPr>
        <w:t>是指在企业二级及以下部门或机构处于领导层的岗位，包括二级及以下部门</w:t>
      </w:r>
      <w:r>
        <w:rPr>
          <w:rFonts w:ascii="Arial" w:eastAsia="FangSong_GB2312" w:hAnsi="Arial" w:cs="Arial"/>
        </w:rPr>
        <w:t>/</w:t>
      </w:r>
      <w:r>
        <w:rPr>
          <w:rFonts w:ascii="Arial" w:eastAsia="FangSong_GB2312" w:hAnsi="Arial" w:cs="FangSong_GB2312" w:hint="eastAsia"/>
        </w:rPr>
        <w:t>机构主要负责人及副职等同级别的基层负责人；</w:t>
      </w:r>
      <w:r>
        <w:rPr>
          <w:rFonts w:ascii="Arial" w:eastAsia="FangSong_GB2312" w:hAnsi="Arial" w:cs="FangSong_GB2312" w:hint="eastAsia"/>
          <w:b/>
          <w:bCs/>
        </w:rPr>
        <w:t>管理类员工岗</w:t>
      </w:r>
      <w:r>
        <w:rPr>
          <w:rFonts w:ascii="Arial" w:eastAsia="FangSong_GB2312" w:hAnsi="Arial" w:cs="FangSong_GB2312" w:hint="eastAsia"/>
        </w:rPr>
        <w:t>是指处于企业管理执行层的普通员工岗位。</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技术类岗位等级</w:t>
      </w:r>
      <w:r>
        <w:rPr>
          <w:rFonts w:ascii="Arial" w:eastAsia="FangSong_GB2312" w:hAnsi="Arial" w:cs="Arial"/>
        </w:rPr>
        <w:t xml:space="preserve">  </w:t>
      </w:r>
      <w:r>
        <w:rPr>
          <w:rFonts w:ascii="Arial" w:eastAsia="FangSong_GB2312" w:hAnsi="Arial" w:cs="FangSong_GB2312" w:hint="eastAsia"/>
        </w:rPr>
        <w:t>指获得国家或专业评审机构认可的专业技术职称等级，包括高级职称、中级职称、初级职称。</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技能类岗位等级</w:t>
      </w:r>
      <w:r>
        <w:rPr>
          <w:rFonts w:ascii="Arial" w:eastAsia="FangSong_GB2312" w:hAnsi="Arial" w:cs="Arial"/>
        </w:rPr>
        <w:t xml:space="preserve">  </w:t>
      </w:r>
      <w:r>
        <w:rPr>
          <w:rFonts w:ascii="Arial" w:eastAsia="FangSong_GB2312" w:hAnsi="Arial" w:cs="FangSong_GB2312" w:hint="eastAsia"/>
        </w:rPr>
        <w:t>指按国家职业技能标准或行业企业评价规范设置的职业技能等级，包括高级技师、技师、高级技能、中级技能、初级技能。</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人工成本水平</w:t>
      </w:r>
      <w:r>
        <w:rPr>
          <w:rFonts w:ascii="Arial" w:eastAsia="FangSong_GB2312" w:hAnsi="Arial" w:cs="FangSong_GB2312" w:hint="eastAsia"/>
        </w:rPr>
        <w:t>指企业在生产、经营和提供劳务活动中因使用劳动力而发生的所有直接和间接费用的总和，包括从业人员劳动报酬、福利费用、教育经费、社会保险费用、劳动保护费用、住房费用和其他人工成本。它反映企业在报告期内因使用各种人力资源所付出的全部成本费用。</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人工成本占总成本的比重</w:t>
      </w:r>
      <w:r>
        <w:rPr>
          <w:rFonts w:ascii="Arial" w:eastAsia="FangSong_GB2312" w:hAnsi="Arial" w:cs="FangSong_GB2312" w:hint="eastAsia"/>
        </w:rPr>
        <w:t>指企业人工成本占企业总成本的比重，用于确定人工费用定额。</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人事费用率</w:t>
      </w:r>
      <w:r>
        <w:rPr>
          <w:rFonts w:ascii="Arial" w:eastAsia="FangSong_GB2312" w:hAnsi="Arial" w:cs="FangSong_GB2312" w:hint="eastAsia"/>
        </w:rPr>
        <w:t>指调查时期内企业人工成本总额与销售收入总额的比率，反映的是企业生产和销售的总价值中用于支付人工成本部分所占的比例。</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b/>
          <w:bCs/>
        </w:rPr>
        <w:t>人工成本利润率</w:t>
      </w:r>
      <w:r>
        <w:rPr>
          <w:rFonts w:ascii="Arial" w:eastAsia="FangSong_GB2312" w:hAnsi="Arial" w:cs="FangSong_GB2312" w:hint="eastAsia"/>
        </w:rPr>
        <w:t>指调查时期内企业利润总额与人工成本总额的比率，反映的是企业单位人工成本取得的经济效益。</w:t>
      </w:r>
    </w:p>
    <w:p w:rsidR="00F94B1D" w:rsidRDefault="00F94B1D" w:rsidP="00D065F4">
      <w:pPr>
        <w:pStyle w:val="Heading2"/>
        <w:snapToGrid w:val="0"/>
        <w:spacing w:before="156"/>
        <w:ind w:leftChars="0" w:left="0" w:firstLineChars="200" w:firstLine="31680"/>
        <w:rPr>
          <w:rFonts w:ascii="Arial" w:eastAsia="楷体_GB2312" w:hAnsi="Arial"/>
        </w:rPr>
      </w:pPr>
      <w:bookmarkStart w:id="2" w:name="_Toc51858740"/>
      <w:r>
        <w:rPr>
          <w:rFonts w:ascii="Arial" w:eastAsia="楷体_GB2312" w:hAnsi="Arial" w:cs="Arial"/>
        </w:rPr>
        <w:t>2.</w:t>
      </w:r>
      <w:r>
        <w:rPr>
          <w:rFonts w:ascii="Arial" w:eastAsia="楷体_GB2312" w:hAnsi="Arial" w:cs="楷体_GB2312" w:hint="eastAsia"/>
        </w:rPr>
        <w:t>调查方法</w:t>
      </w:r>
      <w:bookmarkEnd w:id="2"/>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rPr>
        <w:t>调查以全国为总体，采用分层</w:t>
      </w:r>
      <w:r>
        <w:rPr>
          <w:rFonts w:ascii="Arial" w:eastAsia="FangSong_GB2312" w:hAnsi="Arial" w:cs="Arial"/>
        </w:rPr>
        <w:t xml:space="preserve"> PPS </w:t>
      </w:r>
      <w:r>
        <w:rPr>
          <w:rFonts w:ascii="Arial" w:eastAsia="FangSong_GB2312" w:hAnsi="Arial" w:cs="FangSong_GB2312" w:hint="eastAsia"/>
        </w:rPr>
        <w:t>抽样方法，以地区和行业门类为层，层内样本按照与企业从业人员人数成比例的概率抽取。</w:t>
      </w:r>
    </w:p>
    <w:p w:rsidR="00F94B1D" w:rsidRDefault="00F94B1D" w:rsidP="00D065F4">
      <w:pPr>
        <w:pStyle w:val="Heading2"/>
        <w:snapToGrid w:val="0"/>
        <w:spacing w:before="156"/>
        <w:ind w:leftChars="0" w:left="0" w:firstLineChars="200" w:firstLine="31680"/>
        <w:rPr>
          <w:rFonts w:ascii="Arial" w:eastAsia="楷体_GB2312" w:hAnsi="Arial"/>
        </w:rPr>
      </w:pPr>
      <w:r>
        <w:rPr>
          <w:rFonts w:ascii="Arial" w:eastAsia="楷体_GB2312" w:hAnsi="Arial" w:cs="Arial"/>
        </w:rPr>
        <w:t>3.</w:t>
      </w:r>
      <w:r>
        <w:rPr>
          <w:rFonts w:ascii="Arial" w:eastAsia="楷体_GB2312" w:hAnsi="Arial" w:cs="楷体_GB2312" w:hint="eastAsia"/>
        </w:rPr>
        <w:t>行业划分标准</w:t>
      </w:r>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rPr>
        <w:t>本调查的行业按《国民经济行业分类》（</w:t>
      </w:r>
      <w:r>
        <w:rPr>
          <w:rFonts w:ascii="Arial" w:eastAsia="FangSong_GB2312" w:hAnsi="Arial" w:cs="Arial"/>
        </w:rPr>
        <w:t>GB/T 4754-2017</w:t>
      </w:r>
      <w:r>
        <w:rPr>
          <w:rFonts w:ascii="Arial" w:eastAsia="FangSong_GB2312" w:hAnsi="Arial" w:cs="FangSong_GB2312" w:hint="eastAsia"/>
        </w:rPr>
        <w:t>）的行业门类划分。</w:t>
      </w:r>
    </w:p>
    <w:p w:rsidR="00F94B1D" w:rsidRDefault="00F94B1D" w:rsidP="00D065F4">
      <w:pPr>
        <w:pStyle w:val="Heading2"/>
        <w:snapToGrid w:val="0"/>
        <w:spacing w:before="156"/>
        <w:ind w:leftChars="0" w:left="0" w:firstLineChars="200" w:firstLine="31680"/>
        <w:rPr>
          <w:rFonts w:ascii="Arial" w:eastAsia="楷体_GB2312" w:hAnsi="Arial"/>
        </w:rPr>
      </w:pPr>
      <w:bookmarkStart w:id="3" w:name="_Toc51858741"/>
      <w:r>
        <w:rPr>
          <w:rFonts w:ascii="Arial" w:eastAsia="楷体_GB2312" w:hAnsi="Arial" w:cs="Arial"/>
        </w:rPr>
        <w:t>4.</w:t>
      </w:r>
      <w:r>
        <w:rPr>
          <w:rFonts w:ascii="Arial" w:eastAsia="楷体_GB2312" w:hAnsi="Arial" w:cs="楷体_GB2312" w:hint="eastAsia"/>
        </w:rPr>
        <w:t>职业划分标准</w:t>
      </w:r>
      <w:bookmarkEnd w:id="3"/>
    </w:p>
    <w:p w:rsidR="00F94B1D" w:rsidRDefault="00F94B1D" w:rsidP="00D065F4">
      <w:pPr>
        <w:snapToGrid w:val="0"/>
        <w:spacing w:beforeLines="50" w:afterLines="50" w:line="360" w:lineRule="auto"/>
        <w:ind w:leftChars="0" w:left="0" w:firstLineChars="200" w:firstLine="31680"/>
        <w:rPr>
          <w:rFonts w:ascii="Arial" w:eastAsia="FangSong_GB2312" w:hAnsi="Arial"/>
        </w:rPr>
      </w:pPr>
      <w:r>
        <w:rPr>
          <w:rFonts w:ascii="Arial" w:eastAsia="FangSong_GB2312" w:hAnsi="Arial" w:cs="FangSong_GB2312" w:hint="eastAsia"/>
        </w:rPr>
        <w:t>本调查的职业按《中华人民共和国职业分类大典（</w:t>
      </w:r>
      <w:r>
        <w:rPr>
          <w:rFonts w:ascii="Arial" w:eastAsia="FangSong_GB2312" w:hAnsi="Arial" w:cs="Arial"/>
        </w:rPr>
        <w:t>2015</w:t>
      </w:r>
      <w:r>
        <w:rPr>
          <w:rFonts w:ascii="Arial" w:eastAsia="FangSong_GB2312" w:hAnsi="Arial" w:cs="FangSong_GB2312" w:hint="eastAsia"/>
        </w:rPr>
        <w:t>年版）》</w:t>
      </w:r>
      <w:r>
        <w:rPr>
          <w:rFonts w:ascii="Arial" w:eastAsia="FangSong_GB2312" w:hAnsi="Arial" w:cs="Arial"/>
        </w:rPr>
        <w:t xml:space="preserve"> </w:t>
      </w:r>
      <w:r>
        <w:rPr>
          <w:rFonts w:ascii="Arial" w:eastAsia="FangSong_GB2312" w:hAnsi="Arial" w:cs="FangSong_GB2312" w:hint="eastAsia"/>
        </w:rPr>
        <w:t>的职业中类划分。</w:t>
      </w:r>
    </w:p>
    <w:p w:rsidR="00F94B1D" w:rsidRDefault="00F94B1D">
      <w:pPr>
        <w:ind w:leftChars="0" w:left="0"/>
        <w:rPr>
          <w:rFonts w:ascii="FangSong_GB2312" w:eastAsia="FangSong_GB2312" w:hAnsi="FangSong_GB2312"/>
        </w:rPr>
      </w:pPr>
    </w:p>
    <w:sectPr w:rsidR="00F94B1D" w:rsidSect="006851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FangSong_GB2312">
    <w:panose1 w:val="02010609060101010101"/>
    <w:charset w:val="00"/>
    <w:family w:val="modern"/>
    <w:notTrueType/>
    <w:pitch w:val="fixed"/>
    <w:sig w:usb0="00000003" w:usb1="00000000" w:usb2="00000000" w:usb3="00000000" w:csb0="00000001" w:csb1="00000000"/>
  </w:font>
  <w:font w:name="Heiti SC Medium">
    <w:altName w:val="宋体"/>
    <w:panose1 w:val="00000000000000000000"/>
    <w:charset w:val="86"/>
    <w:family w:val="auto"/>
    <w:notTrueType/>
    <w:pitch w:val="default"/>
    <w:sig w:usb0="00000001" w:usb1="080E0000" w:usb2="00000010" w:usb3="00000000" w:csb0="00040000" w:csb1="00000000"/>
  </w:font>
  <w:font w:name="DejaVu Sans">
    <w:altName w:val="Traditional Arab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panose1 w:val="00000000000000000000"/>
    <w:charset w:val="86"/>
    <w:family w:val="script"/>
    <w:notTrueType/>
    <w:pitch w:val="default"/>
    <w:sig w:usb0="00000001" w:usb1="080E0000" w:usb2="00000010" w:usb3="00000000" w:csb0="00040000" w:csb1="00000000"/>
  </w:font>
  <w:font w:name="FangSong_GB2312">
    <w:panose1 w:val="02010609060101010101"/>
    <w:charset w:val="86"/>
    <w:family w:val="modern"/>
    <w:pitch w:val="fixed"/>
    <w:sig w:usb0="00000003" w:usb1="080E0000" w:usb2="00000010" w:usb3="00000000" w:csb0="00040001"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Regular">
    <w:altName w:val="Arial"/>
    <w:panose1 w:val="00000000000000000000"/>
    <w:charset w:val="00"/>
    <w:family w:val="auto"/>
    <w:notTrueType/>
    <w:pitch w:val="default"/>
    <w:sig w:usb0="00000003" w:usb1="00000000" w:usb2="00000000" w:usb3="00000000" w:csb0="00000001" w:csb1="00000000"/>
  </w:font>
  <w:font w:name="Arial 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FBFD5001"/>
    <w:rsid w:val="EFCFCDBB"/>
    <w:rsid w:val="EFEAA5CE"/>
    <w:rsid w:val="F6573E23"/>
    <w:rsid w:val="F7ECA60E"/>
    <w:rsid w:val="FABD417F"/>
    <w:rsid w:val="FBFD5001"/>
    <w:rsid w:val="FECCF36A"/>
    <w:rsid w:val="FFDE3F38"/>
    <w:rsid w:val="00436F9B"/>
    <w:rsid w:val="004B4161"/>
    <w:rsid w:val="00685112"/>
    <w:rsid w:val="00D065F4"/>
    <w:rsid w:val="00F94B1D"/>
    <w:rsid w:val="09810C72"/>
    <w:rsid w:val="1FFD3C65"/>
    <w:rsid w:val="24963DDF"/>
    <w:rsid w:val="26A77B34"/>
    <w:rsid w:val="39546DE7"/>
    <w:rsid w:val="4EB74B4B"/>
    <w:rsid w:val="542D5365"/>
    <w:rsid w:val="58BF2CE3"/>
    <w:rsid w:val="5A032F5B"/>
    <w:rsid w:val="5FBFADBF"/>
    <w:rsid w:val="6E7E283A"/>
    <w:rsid w:val="76D20483"/>
    <w:rsid w:val="77FB36C3"/>
    <w:rsid w:val="7966F12B"/>
    <w:rsid w:val="7AFF3617"/>
    <w:rsid w:val="7FD737E7"/>
    <w:rsid w:val="9BBA489A"/>
    <w:rsid w:val="AD9577CA"/>
    <w:rsid w:val="B5D73AE9"/>
    <w:rsid w:val="BB6249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85112"/>
    <w:pPr>
      <w:widowControl w:val="0"/>
      <w:spacing w:line="580" w:lineRule="exact"/>
      <w:ind w:leftChars="100" w:left="100"/>
      <w:jc w:val="both"/>
    </w:pPr>
    <w:rPr>
      <w:rFonts w:ascii="FangSong_GB2312" w:hAnsi="FangSong_GB2312" w:cs="FangSong_GB2312"/>
      <w:sz w:val="32"/>
      <w:szCs w:val="32"/>
    </w:rPr>
  </w:style>
  <w:style w:type="paragraph" w:styleId="Heading1">
    <w:name w:val="heading 1"/>
    <w:basedOn w:val="Normal"/>
    <w:next w:val="Normal"/>
    <w:link w:val="Heading1Char"/>
    <w:uiPriority w:val="99"/>
    <w:qFormat/>
    <w:rsid w:val="00685112"/>
    <w:pPr>
      <w:keepNext/>
      <w:keepLines/>
      <w:ind w:leftChars="200" w:left="640"/>
      <w:outlineLvl w:val="0"/>
    </w:pPr>
    <w:rPr>
      <w:rFonts w:ascii="Heiti SC Medium" w:eastAsia="Heiti SC Medium" w:hAnsi="Heiti SC Medium" w:cs="Heiti SC Medium"/>
      <w:kern w:val="44"/>
    </w:rPr>
  </w:style>
  <w:style w:type="paragraph" w:styleId="Heading2">
    <w:name w:val="heading 2"/>
    <w:basedOn w:val="Normal"/>
    <w:next w:val="Normal"/>
    <w:link w:val="Heading2Char"/>
    <w:uiPriority w:val="99"/>
    <w:qFormat/>
    <w:rsid w:val="00685112"/>
    <w:pPr>
      <w:keepNext/>
      <w:keepLines/>
      <w:ind w:leftChars="200" w:left="640"/>
      <w:outlineLvl w:val="1"/>
    </w:pPr>
    <w:rPr>
      <w:rFonts w:ascii="DejaVu Sans" w:hAnsi="DejaVu Sans" w:cs="DejaVu Sans"/>
    </w:rPr>
  </w:style>
  <w:style w:type="paragraph" w:styleId="Heading3">
    <w:name w:val="heading 3"/>
    <w:basedOn w:val="Normal"/>
    <w:next w:val="Normal"/>
    <w:link w:val="Heading3Char"/>
    <w:uiPriority w:val="99"/>
    <w:qFormat/>
    <w:rsid w:val="00685112"/>
    <w:pPr>
      <w:keepNext/>
      <w:keepLines/>
      <w:outlineLvl w:val="2"/>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AFD"/>
    <w:rPr>
      <w:rFonts w:ascii="FangSong_GB2312" w:hAnsi="FangSong_GB2312" w:cs="FangSong_GB2312"/>
      <w:b/>
      <w:bCs/>
      <w:kern w:val="44"/>
      <w:sz w:val="44"/>
      <w:szCs w:val="44"/>
    </w:rPr>
  </w:style>
  <w:style w:type="character" w:customStyle="1" w:styleId="Heading2Char">
    <w:name w:val="Heading 2 Char"/>
    <w:basedOn w:val="DefaultParagraphFont"/>
    <w:link w:val="Heading2"/>
    <w:uiPriority w:val="9"/>
    <w:semiHidden/>
    <w:rsid w:val="00472AFD"/>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9"/>
    <w:locked/>
    <w:rsid w:val="00685112"/>
    <w:rPr>
      <w:rFonts w:eastAsia="Times New Roman"/>
      <w:b/>
      <w:bCs/>
      <w:sz w:val="32"/>
      <w:szCs w:val="32"/>
    </w:rPr>
  </w:style>
  <w:style w:type="paragraph" w:styleId="BodyText">
    <w:name w:val="Body Text"/>
    <w:basedOn w:val="Normal"/>
    <w:link w:val="BodyTextChar"/>
    <w:uiPriority w:val="99"/>
    <w:rsid w:val="00685112"/>
    <w:rPr>
      <w:rFonts w:ascii="Times New Roman" w:eastAsia="方正仿宋_GBK" w:hAnsi="Times New Roman" w:cs="Times New Roman"/>
      <w:color w:val="000000"/>
    </w:rPr>
  </w:style>
  <w:style w:type="character" w:customStyle="1" w:styleId="BodyTextChar">
    <w:name w:val="Body Text Char"/>
    <w:basedOn w:val="DefaultParagraphFont"/>
    <w:link w:val="BodyText"/>
    <w:uiPriority w:val="99"/>
    <w:semiHidden/>
    <w:rsid w:val="00472AFD"/>
    <w:rPr>
      <w:rFonts w:ascii="FangSong_GB2312" w:hAnsi="FangSong_GB2312" w:cs="FangSong_GB2312"/>
      <w:sz w:val="32"/>
      <w:szCs w:val="32"/>
    </w:rPr>
  </w:style>
  <w:style w:type="paragraph" w:styleId="CommentText">
    <w:name w:val="annotation text"/>
    <w:basedOn w:val="Normal"/>
    <w:link w:val="CommentTextChar"/>
    <w:uiPriority w:val="99"/>
    <w:semiHidden/>
    <w:rsid w:val="00685112"/>
    <w:pPr>
      <w:jc w:val="left"/>
    </w:pPr>
  </w:style>
  <w:style w:type="character" w:customStyle="1" w:styleId="CommentTextChar">
    <w:name w:val="Comment Text Char"/>
    <w:basedOn w:val="DefaultParagraphFont"/>
    <w:link w:val="CommentText"/>
    <w:uiPriority w:val="99"/>
    <w:semiHidden/>
    <w:rsid w:val="00472AFD"/>
    <w:rPr>
      <w:rFonts w:ascii="FangSong_GB2312" w:hAnsi="FangSong_GB2312" w:cs="FangSong_GB2312"/>
      <w:sz w:val="32"/>
      <w:szCs w:val="32"/>
    </w:rPr>
  </w:style>
  <w:style w:type="paragraph" w:styleId="Footer">
    <w:name w:val="footer"/>
    <w:basedOn w:val="Normal"/>
    <w:link w:val="FooterChar"/>
    <w:uiPriority w:val="99"/>
    <w:rsid w:val="0068511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72AFD"/>
    <w:rPr>
      <w:rFonts w:ascii="FangSong_GB2312" w:hAnsi="FangSong_GB2312" w:cs="FangSong_GB2312"/>
      <w:sz w:val="18"/>
      <w:szCs w:val="18"/>
    </w:rPr>
  </w:style>
  <w:style w:type="character" w:styleId="CommentReference">
    <w:name w:val="annotation reference"/>
    <w:basedOn w:val="DefaultParagraphFont"/>
    <w:uiPriority w:val="99"/>
    <w:semiHidden/>
    <w:rsid w:val="00685112"/>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1066</Words>
  <Characters>6081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yexiaoxi</dc:creator>
  <cp:keywords/>
  <dc:description/>
  <cp:lastModifiedBy>lenovo</cp:lastModifiedBy>
  <cp:revision>3</cp:revision>
  <cp:lastPrinted>2022-09-22T10:18:00Z</cp:lastPrinted>
  <dcterms:created xsi:type="dcterms:W3CDTF">2022-09-01T04:47:00Z</dcterms:created>
  <dcterms:modified xsi:type="dcterms:W3CDTF">2022-10-27T02:48:00Z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ies>
</file>