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rPr>
          <w:rFonts w:eastAsia="黑体"/>
          <w:kern w:val="0"/>
          <w:szCs w:val="32"/>
        </w:rPr>
      </w:pPr>
      <w:r>
        <w:rPr>
          <w:rFonts w:eastAsia="黑体"/>
          <w:kern w:val="0"/>
          <w:szCs w:val="32"/>
        </w:rPr>
        <w:t>附件2</w:t>
      </w:r>
    </w:p>
    <w:p>
      <w:pPr>
        <w:widowControl/>
        <w:shd w:val="clear" w:color="auto" w:fill="FFFFFF"/>
        <w:spacing w:line="600" w:lineRule="exact"/>
        <w:ind w:firstLine="0"/>
        <w:jc w:val="center"/>
        <w:rPr>
          <w:rFonts w:eastAsia="方正小标宋简体"/>
          <w:kern w:val="0"/>
          <w:sz w:val="44"/>
          <w:szCs w:val="44"/>
        </w:rPr>
      </w:pPr>
    </w:p>
    <w:p>
      <w:pPr>
        <w:widowControl/>
        <w:shd w:val="clear" w:color="auto" w:fill="FFFFFF"/>
        <w:spacing w:line="600" w:lineRule="exact"/>
        <w:ind w:firstLine="0"/>
        <w:jc w:val="center"/>
        <w:rPr>
          <w:rFonts w:eastAsia="方正小标宋简体"/>
          <w:kern w:val="0"/>
          <w:sz w:val="44"/>
          <w:szCs w:val="44"/>
        </w:rPr>
      </w:pPr>
      <w:r>
        <w:rPr>
          <w:rFonts w:eastAsia="方正小标宋简体"/>
          <w:kern w:val="0"/>
          <w:sz w:val="44"/>
          <w:szCs w:val="44"/>
        </w:rPr>
        <w:t>四川省技能大师工作室申报条件</w:t>
      </w:r>
    </w:p>
    <w:p>
      <w:pPr>
        <w:widowControl/>
        <w:shd w:val="clear" w:color="auto" w:fill="FFFFFF"/>
        <w:spacing w:line="600" w:lineRule="exact"/>
        <w:ind w:firstLine="0"/>
        <w:jc w:val="center"/>
        <w:rPr>
          <w:rFonts w:eastAsia="方正小标宋简体"/>
          <w:kern w:val="0"/>
          <w:sz w:val="44"/>
          <w:szCs w:val="44"/>
        </w:rPr>
      </w:pPr>
    </w:p>
    <w:p>
      <w:pPr>
        <w:adjustRightInd w:val="0"/>
        <w:snapToGrid w:val="0"/>
        <w:spacing w:line="600" w:lineRule="exact"/>
        <w:ind w:firstLine="640" w:firstLineChars="200"/>
        <w:rPr>
          <w:rFonts w:eastAsia="楷体_GB2312"/>
          <w:color w:val="000000"/>
          <w:szCs w:val="32"/>
        </w:rPr>
      </w:pPr>
      <w:r>
        <w:rPr>
          <w:rFonts w:eastAsia="楷体_GB2312"/>
          <w:color w:val="000000"/>
          <w:szCs w:val="32"/>
        </w:rPr>
        <w:t>〔摘自四川省人力资源社会保障厅等5部门《关于印发&lt;四川省省级技能大师工作室建设项目实施管理办法&gt;的通</w:t>
      </w:r>
      <w:bookmarkStart w:id="0" w:name="_GoBack"/>
      <w:bookmarkEnd w:id="0"/>
      <w:r>
        <w:rPr>
          <w:rFonts w:eastAsia="楷体_GB2312"/>
          <w:color w:val="000000"/>
          <w:szCs w:val="32"/>
        </w:rPr>
        <w:t>知》（川人社发〔2019〕18号）〕</w:t>
      </w:r>
    </w:p>
    <w:p>
      <w:pPr>
        <w:shd w:val="clear" w:color="auto" w:fill="FFFFFF"/>
        <w:adjustRightInd w:val="0"/>
        <w:snapToGrid w:val="0"/>
        <w:spacing w:line="600" w:lineRule="exact"/>
        <w:ind w:firstLine="640" w:firstLineChars="200"/>
        <w:rPr>
          <w:rFonts w:eastAsia="黑体"/>
          <w:kern w:val="0"/>
          <w:szCs w:val="32"/>
        </w:rPr>
      </w:pPr>
      <w:r>
        <w:rPr>
          <w:rFonts w:eastAsia="黑体"/>
          <w:kern w:val="0"/>
          <w:szCs w:val="32"/>
        </w:rPr>
        <w:t>一、技能大师的资格条件：</w:t>
      </w:r>
    </w:p>
    <w:p>
      <w:pPr>
        <w:shd w:val="clear" w:color="auto" w:fill="FFFFFF"/>
        <w:adjustRightInd w:val="0"/>
        <w:snapToGrid w:val="0"/>
        <w:spacing w:line="600" w:lineRule="exact"/>
        <w:ind w:firstLine="640" w:firstLineChars="200"/>
        <w:rPr>
          <w:kern w:val="0"/>
          <w:szCs w:val="32"/>
        </w:rPr>
      </w:pPr>
      <w:r>
        <w:rPr>
          <w:bCs/>
          <w:szCs w:val="32"/>
        </w:rPr>
        <w:t>应当是全省某一行业（领域）技能拔尖、技艺精湛并具有较强创新创造能力和社会影响力的高技能人才；</w:t>
      </w:r>
      <w:r>
        <w:rPr>
          <w:kern w:val="0"/>
          <w:szCs w:val="32"/>
        </w:rPr>
        <w:t>遵纪守法，具有良好的工匠精神、职业道德和创新能力；</w:t>
      </w:r>
      <w:r>
        <w:rPr>
          <w:bCs/>
          <w:szCs w:val="32"/>
        </w:rPr>
        <w:t>在带徒传技方面经验丰富；一般应在法定劳动年龄内，身体健康，能够承担工作室日常工作</w:t>
      </w:r>
      <w:r>
        <w:rPr>
          <w:color w:val="000000"/>
          <w:szCs w:val="32"/>
        </w:rPr>
        <w:t>；领衔一个3</w:t>
      </w:r>
      <w:r>
        <w:rPr>
          <w:rFonts w:hint="eastAsia"/>
          <w:color w:val="000000"/>
          <w:szCs w:val="32"/>
        </w:rPr>
        <w:t>-</w:t>
      </w:r>
      <w:r>
        <w:rPr>
          <w:color w:val="000000"/>
          <w:szCs w:val="32"/>
        </w:rPr>
        <w:t>15人专家团队。</w:t>
      </w:r>
      <w:r>
        <w:rPr>
          <w:bCs/>
          <w:szCs w:val="32"/>
        </w:rPr>
        <w:t>同时，应具备以下条件之一：</w:t>
      </w:r>
    </w:p>
    <w:p>
      <w:pPr>
        <w:shd w:val="clear" w:color="auto" w:fill="FFFFFF"/>
        <w:adjustRightInd w:val="0"/>
        <w:snapToGrid w:val="0"/>
        <w:spacing w:line="600" w:lineRule="exact"/>
        <w:ind w:firstLine="640" w:firstLineChars="200"/>
        <w:rPr>
          <w:kern w:val="0"/>
          <w:szCs w:val="32"/>
        </w:rPr>
      </w:pPr>
      <w:r>
        <w:rPr>
          <w:kern w:val="0"/>
          <w:szCs w:val="32"/>
        </w:rPr>
        <w:t>1.具有</w:t>
      </w:r>
      <w:r>
        <w:rPr>
          <w:bCs/>
          <w:szCs w:val="32"/>
        </w:rPr>
        <w:t>技师以上职业资格（</w:t>
      </w:r>
      <w:r>
        <w:rPr>
          <w:kern w:val="0"/>
          <w:szCs w:val="32"/>
        </w:rPr>
        <w:t>国家二级以上职业资格水平）或技能等级</w:t>
      </w:r>
      <w:r>
        <w:rPr>
          <w:bCs/>
          <w:szCs w:val="32"/>
        </w:rPr>
        <w:t>，或相当于该水平的其他技能技艺水平，积极开展技术技能革新，取得有一定影响的发明创造，并产生较大的经济效益</w:t>
      </w:r>
      <w:r>
        <w:rPr>
          <w:bCs/>
          <w:color w:val="000000"/>
          <w:szCs w:val="32"/>
        </w:rPr>
        <w:t>；</w:t>
      </w:r>
    </w:p>
    <w:p>
      <w:pPr>
        <w:shd w:val="clear" w:color="auto" w:fill="FFFFFF"/>
        <w:adjustRightInd w:val="0"/>
        <w:snapToGrid w:val="0"/>
        <w:spacing w:line="600" w:lineRule="exact"/>
        <w:ind w:firstLine="640" w:firstLineChars="200"/>
        <w:rPr>
          <w:color w:val="000000"/>
          <w:kern w:val="0"/>
          <w:szCs w:val="32"/>
        </w:rPr>
      </w:pPr>
      <w:r>
        <w:rPr>
          <w:kern w:val="0"/>
          <w:szCs w:val="32"/>
        </w:rPr>
        <w:t>2.获得“四川省工艺美术大师”“四川省非物质文化遗产传承人”及以上称号，掌握民间传统技能、绝技绝活，</w:t>
      </w:r>
      <w:r>
        <w:rPr>
          <w:bCs/>
          <w:szCs w:val="32"/>
        </w:rPr>
        <w:t>并在积极挖掘和传承传统工艺上作出较大贡献；</w:t>
      </w:r>
      <w:r>
        <w:rPr>
          <w:color w:val="000000"/>
          <w:kern w:val="0"/>
          <w:szCs w:val="32"/>
        </w:rPr>
        <w:t xml:space="preserve"> </w:t>
      </w:r>
    </w:p>
    <w:p>
      <w:pPr>
        <w:adjustRightInd w:val="0"/>
        <w:snapToGrid w:val="0"/>
        <w:spacing w:line="600" w:lineRule="exact"/>
        <w:ind w:firstLine="640" w:firstLineChars="200"/>
        <w:rPr>
          <w:color w:val="000000"/>
          <w:kern w:val="0"/>
          <w:szCs w:val="32"/>
        </w:rPr>
      </w:pPr>
      <w:r>
        <w:rPr>
          <w:kern w:val="0"/>
          <w:szCs w:val="32"/>
        </w:rPr>
        <w:t>3.</w:t>
      </w:r>
      <w:r>
        <w:rPr>
          <w:bCs/>
          <w:szCs w:val="32"/>
        </w:rPr>
        <w:t>获得</w:t>
      </w:r>
      <w:r>
        <w:rPr>
          <w:kern w:val="0"/>
          <w:szCs w:val="32"/>
        </w:rPr>
        <w:t>“中华技能大奖”“享受国务院政府特殊津贴人员”“全国技术能手”“天府工匠”“四川技能大师”“四川省有突出贡献的优秀专家”“四川省技术能手”等称号</w:t>
      </w:r>
      <w:r>
        <w:rPr>
          <w:bCs/>
          <w:szCs w:val="32"/>
        </w:rPr>
        <w:t>，</w:t>
      </w:r>
      <w:r>
        <w:rPr>
          <w:bCs/>
          <w:color w:val="000000"/>
          <w:szCs w:val="32"/>
        </w:rPr>
        <w:t>且</w:t>
      </w:r>
      <w:r>
        <w:rPr>
          <w:color w:val="000000"/>
          <w:kern w:val="0"/>
          <w:szCs w:val="32"/>
        </w:rPr>
        <w:t>仍在一线工作的，优先纳入省级工作室实施范围。</w:t>
      </w:r>
    </w:p>
    <w:p>
      <w:pPr>
        <w:adjustRightInd w:val="0"/>
        <w:snapToGrid w:val="0"/>
        <w:spacing w:line="600" w:lineRule="exact"/>
        <w:ind w:firstLine="640" w:firstLineChars="200"/>
        <w:rPr>
          <w:bCs/>
          <w:szCs w:val="32"/>
        </w:rPr>
      </w:pPr>
      <w:r>
        <w:rPr>
          <w:color w:val="000000"/>
          <w:kern w:val="0"/>
          <w:szCs w:val="32"/>
        </w:rPr>
        <w:t>对综合条件特别突出的高技能人才或特别优秀的我省传统技艺传承人，其申报年龄条件可酌情放宽。</w:t>
      </w:r>
    </w:p>
    <w:p>
      <w:pPr>
        <w:shd w:val="clear" w:color="auto" w:fill="FFFFFF"/>
        <w:adjustRightInd w:val="0"/>
        <w:snapToGrid w:val="0"/>
        <w:spacing w:line="600" w:lineRule="exact"/>
        <w:ind w:firstLine="640" w:firstLineChars="200"/>
        <w:rPr>
          <w:rFonts w:eastAsia="黑体"/>
          <w:color w:val="101010"/>
          <w:kern w:val="0"/>
          <w:szCs w:val="32"/>
        </w:rPr>
      </w:pPr>
      <w:r>
        <w:rPr>
          <w:rFonts w:eastAsia="黑体"/>
          <w:kern w:val="0"/>
          <w:szCs w:val="32"/>
        </w:rPr>
        <w:t>二、</w:t>
      </w:r>
      <w:r>
        <w:rPr>
          <w:rFonts w:eastAsia="黑体"/>
          <w:color w:val="101010"/>
          <w:kern w:val="0"/>
          <w:szCs w:val="32"/>
        </w:rPr>
        <w:t>依托企业建立工作室，企业应当具备的条件：</w:t>
      </w:r>
    </w:p>
    <w:p>
      <w:pPr>
        <w:shd w:val="clear" w:color="auto" w:fill="FFFFFF"/>
        <w:adjustRightInd w:val="0"/>
        <w:snapToGrid w:val="0"/>
        <w:spacing w:line="600" w:lineRule="exact"/>
        <w:ind w:firstLine="640" w:firstLineChars="200"/>
        <w:rPr>
          <w:color w:val="101010"/>
          <w:kern w:val="0"/>
          <w:szCs w:val="32"/>
        </w:rPr>
      </w:pPr>
      <w:r>
        <w:rPr>
          <w:color w:val="101010"/>
          <w:kern w:val="0"/>
          <w:szCs w:val="32"/>
        </w:rPr>
        <w:t xml:space="preserve">有符合条件的技能大师；技能人才比较密集；高度重视技能人才队伍建设工作，建立了较为完善的技能人才培养、评价、选拔、使用和激励政策制度；企业职工教育经费用于高技能人才培养、交流等方面的费用不低于50%，能够为技能大师工作室提供相应的资金支持以及包括场所、设备在内的必要的工作条件。 </w:t>
      </w:r>
    </w:p>
    <w:p>
      <w:pPr>
        <w:shd w:val="clear" w:color="auto" w:fill="FFFFFF"/>
        <w:adjustRightInd w:val="0"/>
        <w:snapToGrid w:val="0"/>
        <w:spacing w:line="600" w:lineRule="exact"/>
        <w:ind w:firstLine="640" w:firstLineChars="200"/>
        <w:rPr>
          <w:rFonts w:eastAsia="黑体"/>
          <w:kern w:val="0"/>
          <w:szCs w:val="32"/>
        </w:rPr>
      </w:pPr>
      <w:r>
        <w:rPr>
          <w:rFonts w:eastAsia="黑体"/>
          <w:kern w:val="0"/>
          <w:szCs w:val="32"/>
        </w:rPr>
        <w:t>三、依托公共职业技能实训基地建立技能大师工作室，公共职业技能实训基地应当具备的条件：</w:t>
      </w:r>
    </w:p>
    <w:p>
      <w:pPr>
        <w:shd w:val="clear" w:color="auto" w:fill="FFFFFF"/>
        <w:adjustRightInd w:val="0"/>
        <w:snapToGrid w:val="0"/>
        <w:spacing w:line="600" w:lineRule="exact"/>
        <w:ind w:firstLine="640" w:firstLineChars="200"/>
        <w:rPr>
          <w:color w:val="101010"/>
          <w:kern w:val="0"/>
          <w:szCs w:val="32"/>
        </w:rPr>
      </w:pPr>
      <w:r>
        <w:rPr>
          <w:color w:val="101010"/>
          <w:kern w:val="0"/>
          <w:szCs w:val="32"/>
        </w:rPr>
        <w:t>有符合条件的技能大师；高度重视技能人才队伍建设，制定了一系</w:t>
      </w:r>
      <w:r>
        <w:rPr>
          <w:color w:val="101010"/>
          <w:spacing w:val="-4"/>
          <w:kern w:val="0"/>
          <w:szCs w:val="32"/>
        </w:rPr>
        <w:t xml:space="preserve">列加快高技能人才队伍建设的政策措施；能够为技能大师工作室提供相应的资金支持以及包括场所、设备在内的必要的工作条件。 </w:t>
      </w:r>
    </w:p>
    <w:p>
      <w:pPr>
        <w:shd w:val="clear" w:color="auto" w:fill="FFFFFF"/>
        <w:adjustRightInd w:val="0"/>
        <w:snapToGrid w:val="0"/>
        <w:spacing w:line="600" w:lineRule="exact"/>
        <w:ind w:firstLine="640" w:firstLineChars="200"/>
        <w:rPr>
          <w:rFonts w:eastAsia="黑体"/>
          <w:kern w:val="0"/>
          <w:szCs w:val="32"/>
        </w:rPr>
      </w:pPr>
      <w:r>
        <w:rPr>
          <w:rFonts w:eastAsia="黑体"/>
          <w:kern w:val="0"/>
          <w:szCs w:val="32"/>
        </w:rPr>
        <w:t>四、依托职业院校建立工作室，职业院校应当具备的条件：</w:t>
      </w:r>
    </w:p>
    <w:p>
      <w:pPr>
        <w:shd w:val="clear" w:color="auto" w:fill="FFFFFF"/>
        <w:adjustRightInd w:val="0"/>
        <w:snapToGrid w:val="0"/>
        <w:spacing w:line="600" w:lineRule="exact"/>
        <w:ind w:firstLine="640" w:firstLineChars="200"/>
        <w:rPr>
          <w:color w:val="000000"/>
          <w:kern w:val="0"/>
          <w:szCs w:val="32"/>
        </w:rPr>
      </w:pPr>
      <w:r>
        <w:rPr>
          <w:color w:val="000000"/>
          <w:kern w:val="0"/>
          <w:szCs w:val="32"/>
        </w:rPr>
        <w:t xml:space="preserve">有符合条件的技能大师；建有服务我省重点产业、特色行业的相关专业，且校企合作、产教融合程度深；建立了较为完善的技能人才培养、评价制度；制定了一系列加快高技能人才队伍建设的政策措施；能够为技能大师工作室提供相应的资金支持以及包括场所、设备在内的必要的工作条件。 </w:t>
      </w:r>
    </w:p>
    <w:p>
      <w:r>
        <w:rPr>
          <w:rFonts w:eastAsia="黑体"/>
          <w:kern w:val="0"/>
          <w:sz w:val="30"/>
          <w:szCs w:val="3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2006B"/>
    <w:rsid w:val="13F20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2021-08-02T01:08:00Z</dcterms:created>
  <dc:creator>黄浩琳</dc:creator>
  <cp:lastModifiedBy>黄浩琳</cp:lastModifiedBy>
  <dcterms:modified xsi:type="dcterms:W3CDTF">2021-08-02T01:11:52Z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