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附件2</w:t>
      </w:r>
    </w:p>
    <w:p>
      <w:pPr>
        <w:adjustRightInd w:val="0"/>
        <w:snapToGrid w:val="0"/>
        <w:ind w:firstLine="0"/>
        <w:rPr>
          <w:rFonts w:eastAsia="黑体"/>
          <w:color w:val="000000"/>
          <w:szCs w:val="32"/>
        </w:rPr>
      </w:pPr>
    </w:p>
    <w:p>
      <w:pPr>
        <w:spacing w:line="640" w:lineRule="exact"/>
        <w:ind w:firstLine="0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2021年四川技能大赛—首届新职业技能大赛</w:t>
      </w:r>
    </w:p>
    <w:p>
      <w:pPr>
        <w:spacing w:line="640" w:lineRule="exact"/>
        <w:ind w:firstLine="0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快递员项目推荐参赛名额分配表</w:t>
      </w:r>
    </w:p>
    <w:p>
      <w:pPr>
        <w:adjustRightInd w:val="0"/>
        <w:snapToGrid w:val="0"/>
        <w:ind w:firstLine="0"/>
        <w:rPr>
          <w:rFonts w:eastAsia="黑体"/>
          <w:color w:val="000000"/>
          <w:szCs w:val="32"/>
        </w:rPr>
      </w:pP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239"/>
        <w:gridCol w:w="2006"/>
        <w:gridCol w:w="2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szCs w:val="32"/>
              </w:rPr>
              <w:t>序号</w:t>
            </w:r>
          </w:p>
        </w:tc>
        <w:tc>
          <w:tcPr>
            <w:tcW w:w="32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szCs w:val="32"/>
              </w:rPr>
              <w:t>市州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szCs w:val="32"/>
              </w:rPr>
              <w:t>从业人员数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szCs w:val="32"/>
              </w:rPr>
              <w:t>推荐名额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成都市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47550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南充市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7420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绵阳市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5415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泸州市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4552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德阳市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4032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6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达州市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3921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7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自贡市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3717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8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宜宾市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2669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9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眉山市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2558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10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资阳市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2552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11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遂宁市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2416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12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内江市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2399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13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乐山市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2380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14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广元市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2327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15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广安市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2130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16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雅安市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1924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17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凉山州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1764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18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巴中市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1733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19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阿坝州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1376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攀枝花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1359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21</w:t>
            </w:r>
          </w:p>
        </w:tc>
        <w:tc>
          <w:tcPr>
            <w:tcW w:w="3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甘孜州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734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合计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104928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50</w:t>
            </w:r>
          </w:p>
        </w:tc>
      </w:tr>
    </w:tbl>
    <w:p>
      <w:pPr>
        <w:adjustRightInd w:val="0"/>
        <w:snapToGrid w:val="0"/>
        <w:ind w:firstLine="0"/>
        <w:rPr>
          <w:rFonts w:eastAsia="黑体"/>
          <w:color w:val="000000"/>
          <w:szCs w:val="32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7" w:h="16840"/>
          <w:pgMar w:top="1928" w:right="1418" w:bottom="1474" w:left="1418" w:header="851" w:footer="992" w:gutter="0"/>
          <w:pgNumType w:fmt="numberInDash" w:start="1"/>
          <w:cols w:space="720" w:num="1"/>
          <w:titlePg/>
          <w:docGrid w:type="linesAndChars" w:linePitch="58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firstLine="0"/>
      <w:jc w:val="right"/>
      <w:rPr>
        <w:rFonts w:hint="eastAsia" w:ascii="宋体" w:hAnsi="宋体" w:eastAsia="宋体"/>
        <w:sz w:val="28"/>
        <w:szCs w:val="28"/>
        <w:lang w:eastAsia="zh-CN"/>
      </w:rPr>
    </w:pPr>
    <w:r>
      <w:rPr>
        <w:rFonts w:ascii="宋体" w:hAnsi="宋体" w:eastAsia="宋体"/>
        <w:sz w:val="28"/>
        <w:szCs w:val="28"/>
        <w:lang w:val="en-US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  <w:lang w:val="en-US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5 -</w:t>
    </w:r>
    <w:r>
      <w:rPr>
        <w:rFonts w:ascii="宋体" w:hAnsi="宋体" w:eastAsia="宋体"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rPr>
        <w:rFonts w:hint="eastAsia" w:ascii="宋体" w:hAnsi="宋体" w:eastAsia="宋体"/>
        <w:sz w:val="28"/>
        <w:szCs w:val="28"/>
        <w:lang w:eastAsia="zh-CN"/>
      </w:rPr>
    </w:pPr>
    <w:r>
      <w:rPr>
        <w:rFonts w:ascii="宋体" w:hAnsi="宋体" w:eastAsia="宋体"/>
        <w:sz w:val="28"/>
        <w:szCs w:val="28"/>
        <w:lang w:val="en-US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  <w:lang w:val="en-US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  <w:lang w:val="en-US" w:eastAsia="zh-CN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-8890</wp:posOffset>
          </wp:positionH>
          <wp:positionV relativeFrom="paragraph">
            <wp:posOffset>-98425</wp:posOffset>
          </wp:positionV>
          <wp:extent cx="5758180" cy="74930"/>
          <wp:effectExtent l="0" t="0" r="13970" b="1270"/>
          <wp:wrapNone/>
          <wp:docPr id="1" name="WordPictureWatermark28269377" descr="下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269377" descr="下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7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5107"/>
        <w:tab w:val="clear" w:pos="4153"/>
        <w:tab w:val="clear" w:pos="8306"/>
      </w:tabs>
      <w:ind w:firstLine="0"/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14035"/>
    <w:rsid w:val="4E0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2021-07-07T01:11:00Z</dcterms:created>
  <dc:creator>黄浩琳</dc:creator>
  <cp:lastModifiedBy>黄浩琳</cp:lastModifiedBy>
  <dcterms:modified xsi:type="dcterms:W3CDTF">2021-07-07T01:12:40Z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