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仿宋_GB2312" w:cs="Times New Roman"/>
          <w:sz w:val="32"/>
          <w:szCs w:val="32"/>
        </w:rPr>
      </w:pPr>
      <w:bookmarkStart w:id="0" w:name="_GoBack"/>
      <w:bookmarkEnd w:id="0"/>
    </w:p>
    <w:p>
      <w:pPr>
        <w:spacing w:line="58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关于委托第三方机构编辑印制川籍全国优秀农民工书籍项目比选评分标准</w:t>
      </w:r>
    </w:p>
    <w:p>
      <w:pPr>
        <w:pStyle w:val="2"/>
        <w:rPr>
          <w:rFonts w:ascii="Times New Roman" w:hAnsi="Times New Roman" w:cs="Times New Roman"/>
          <w:sz w:val="32"/>
          <w:szCs w:val="32"/>
        </w:rPr>
      </w:pPr>
    </w:p>
    <w:p>
      <w:pPr>
        <w:pStyle w:val="2"/>
        <w:rPr>
          <w:rFonts w:ascii="Times New Roman" w:hAnsi="Times New Roman" w:eastAsia="仿宋_GB2312" w:cs="Times New Roman"/>
          <w:sz w:val="32"/>
          <w:szCs w:val="32"/>
        </w:rPr>
      </w:pPr>
      <w:r>
        <w:rPr>
          <w:rFonts w:ascii="Times New Roman" w:hAnsi="Times New Roman" w:eastAsia="仿宋_GB2312" w:cs="Times New Roman"/>
          <w:sz w:val="32"/>
          <w:szCs w:val="32"/>
        </w:rPr>
        <w:t>比选单位名称：</w:t>
      </w:r>
    </w:p>
    <w:tbl>
      <w:tblPr>
        <w:tblStyle w:val="6"/>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136"/>
        <w:gridCol w:w="1983"/>
        <w:gridCol w:w="850"/>
        <w:gridCol w:w="2102"/>
        <w:gridCol w:w="91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62" w:type="dxa"/>
            <w:vAlign w:val="center"/>
          </w:tcPr>
          <w:p>
            <w:pPr>
              <w:pStyle w:val="5"/>
              <w:adjustRightInd w:val="0"/>
              <w:snapToGrid w:val="0"/>
              <w:spacing w:before="0" w:beforeAutospacing="0" w:after="0" w:afterAutospacing="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评审项目</w:t>
            </w:r>
          </w:p>
        </w:tc>
        <w:tc>
          <w:tcPr>
            <w:tcW w:w="7071" w:type="dxa"/>
            <w:gridSpan w:val="4"/>
            <w:vAlign w:val="center"/>
          </w:tcPr>
          <w:p>
            <w:pPr>
              <w:pStyle w:val="5"/>
              <w:adjustRightInd w:val="0"/>
              <w:snapToGrid w:val="0"/>
              <w:spacing w:before="0" w:beforeAutospacing="0" w:after="0" w:afterAutospacing="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评分标准</w:t>
            </w:r>
          </w:p>
        </w:tc>
        <w:tc>
          <w:tcPr>
            <w:tcW w:w="915" w:type="dxa"/>
            <w:vAlign w:val="center"/>
          </w:tcPr>
          <w:p>
            <w:pPr>
              <w:pStyle w:val="5"/>
              <w:adjustRightInd w:val="0"/>
              <w:snapToGrid w:val="0"/>
              <w:spacing w:before="0" w:beforeAutospacing="0" w:after="0" w:afterAutospacing="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分值</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362"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报价</w:t>
            </w:r>
          </w:p>
        </w:tc>
        <w:tc>
          <w:tcPr>
            <w:tcW w:w="7071" w:type="dxa"/>
            <w:gridSpan w:val="4"/>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经比选小组评审的最低有效报价作为评审基准价；报价得分=(评审基准价／最后报价)×20。</w:t>
            </w:r>
          </w:p>
        </w:tc>
        <w:tc>
          <w:tcPr>
            <w:tcW w:w="915"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362" w:type="dxa"/>
            <w:vAlign w:val="center"/>
          </w:tcPr>
          <w:p>
            <w:pPr>
              <w:pStyle w:val="5"/>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人员配置</w:t>
            </w:r>
          </w:p>
        </w:tc>
        <w:tc>
          <w:tcPr>
            <w:tcW w:w="7071" w:type="dxa"/>
            <w:gridSpan w:val="4"/>
            <w:vAlign w:val="center"/>
          </w:tcPr>
          <w:p>
            <w:pPr>
              <w:pStyle w:val="5"/>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投标人具有相关新闻采编资质，执行团队宣传报道经验丰富，项目服务内容中详细的人员配置方案得4分。服务团队具有中级业务职称及以上职称的加2分（提供相关证明材料），最多加6分。</w:t>
            </w:r>
          </w:p>
        </w:tc>
        <w:tc>
          <w:tcPr>
            <w:tcW w:w="915"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362" w:type="dxa"/>
            <w:vMerge w:val="restart"/>
            <w:vAlign w:val="center"/>
          </w:tcPr>
          <w:p>
            <w:pPr>
              <w:pStyle w:val="5"/>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服务方案</w:t>
            </w:r>
          </w:p>
        </w:tc>
        <w:tc>
          <w:tcPr>
            <w:tcW w:w="2136"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项目策划</w:t>
            </w:r>
          </w:p>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000000" w:themeColor="text1"/>
                <w:sz w:val="21"/>
                <w:szCs w:val="21"/>
              </w:rPr>
              <w:t>30</w:t>
            </w:r>
            <w:r>
              <w:rPr>
                <w:rFonts w:ascii="Times New Roman" w:hAnsi="Times New Roman" w:cs="Times New Roman"/>
                <w:sz w:val="21"/>
                <w:szCs w:val="21"/>
              </w:rPr>
              <w:t>分</w:t>
            </w:r>
          </w:p>
        </w:tc>
        <w:tc>
          <w:tcPr>
            <w:tcW w:w="4935" w:type="dxa"/>
            <w:gridSpan w:val="3"/>
            <w:vAlign w:val="center"/>
          </w:tcPr>
          <w:p>
            <w:pPr>
              <w:pStyle w:val="5"/>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投标人针对本项目所提供的服务方案，（简要描述项目方案、文案创作、素材采集等情况），能在现有需求上深刻分析满足采购人采购意图的（方案中对现状有比较清晰的表述、能提出优化合理的建议）。</w:t>
            </w:r>
          </w:p>
        </w:tc>
        <w:tc>
          <w:tcPr>
            <w:tcW w:w="915" w:type="dxa"/>
            <w:vMerge w:val="restart"/>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40</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362" w:type="dxa"/>
            <w:vMerge w:val="continue"/>
            <w:vAlign w:val="center"/>
          </w:tcPr>
          <w:p>
            <w:pPr>
              <w:pStyle w:val="5"/>
              <w:adjustRightInd w:val="0"/>
              <w:snapToGrid w:val="0"/>
              <w:spacing w:before="0" w:beforeAutospacing="0" w:after="0" w:afterAutospacing="0"/>
              <w:rPr>
                <w:rFonts w:ascii="Times New Roman" w:hAnsi="Times New Roman" w:cs="Times New Roman"/>
                <w:sz w:val="21"/>
                <w:szCs w:val="21"/>
              </w:rPr>
            </w:pPr>
          </w:p>
        </w:tc>
        <w:tc>
          <w:tcPr>
            <w:tcW w:w="2136"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保障措施及应急预案</w:t>
            </w:r>
          </w:p>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000000" w:themeColor="text1"/>
                <w:sz w:val="21"/>
                <w:szCs w:val="21"/>
              </w:rPr>
              <w:t>10</w:t>
            </w:r>
            <w:r>
              <w:rPr>
                <w:rFonts w:ascii="Times New Roman" w:hAnsi="Times New Roman" w:cs="Times New Roman"/>
                <w:sz w:val="21"/>
                <w:szCs w:val="21"/>
              </w:rPr>
              <w:t>分</w:t>
            </w:r>
          </w:p>
        </w:tc>
        <w:tc>
          <w:tcPr>
            <w:tcW w:w="4935" w:type="dxa"/>
            <w:gridSpan w:val="3"/>
            <w:vAlign w:val="center"/>
          </w:tcPr>
          <w:p>
            <w:pPr>
              <w:pStyle w:val="5"/>
              <w:adjustRightInd w:val="0"/>
              <w:snapToGrid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基于对项目服务内容的特点重点难点的深入认识，制定科学可行的服务质量应急事件处理保障方案，对本次项目保障方面的完整性、合理性、可行性以及活动中可能出现的各种应急情况的预案准备情况是否充分、完整进行评分。</w:t>
            </w:r>
          </w:p>
        </w:tc>
        <w:tc>
          <w:tcPr>
            <w:tcW w:w="915" w:type="dxa"/>
            <w:vMerge w:val="continue"/>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62"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相关经验</w:t>
            </w:r>
          </w:p>
        </w:tc>
        <w:tc>
          <w:tcPr>
            <w:tcW w:w="7071" w:type="dxa"/>
            <w:gridSpan w:val="4"/>
            <w:vAlign w:val="center"/>
          </w:tcPr>
          <w:p>
            <w:pPr>
              <w:pStyle w:val="5"/>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对参与过类似项目情况等进行评分。提供2016年至今类似本项目成功案例，每提供一个得5分，最多得20分。</w:t>
            </w:r>
          </w:p>
        </w:tc>
        <w:tc>
          <w:tcPr>
            <w:tcW w:w="915"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362"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信用记录</w:t>
            </w:r>
          </w:p>
        </w:tc>
        <w:tc>
          <w:tcPr>
            <w:tcW w:w="7071" w:type="dxa"/>
            <w:gridSpan w:val="4"/>
            <w:vAlign w:val="center"/>
          </w:tcPr>
          <w:p>
            <w:pPr>
              <w:pStyle w:val="5"/>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近5年以来无不良记录的得5分，有不良记录的此项不得分（比选申请人在比选申请书中提供的信用记录情况，应是从国家企业信用信息公示系统网直接打印）。</w:t>
            </w:r>
          </w:p>
        </w:tc>
        <w:tc>
          <w:tcPr>
            <w:tcW w:w="915"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362"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报价文件规范性</w:t>
            </w:r>
          </w:p>
        </w:tc>
        <w:tc>
          <w:tcPr>
            <w:tcW w:w="7071" w:type="dxa"/>
            <w:gridSpan w:val="4"/>
            <w:vAlign w:val="center"/>
          </w:tcPr>
          <w:p>
            <w:pPr>
              <w:pStyle w:val="5"/>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报价文件制作规范，没有细微偏差情形的得5分；有一项细微偏差扣1分，直至该项分值扣完为止。</w:t>
            </w:r>
          </w:p>
        </w:tc>
        <w:tc>
          <w:tcPr>
            <w:tcW w:w="915"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931"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362" w:type="dxa"/>
            <w:vAlign w:val="center"/>
          </w:tcPr>
          <w:p>
            <w:pPr>
              <w:pStyle w:val="5"/>
              <w:adjustRightInd w:val="0"/>
              <w:snapToGrid w:val="0"/>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评委签名</w:t>
            </w:r>
          </w:p>
        </w:tc>
        <w:tc>
          <w:tcPr>
            <w:tcW w:w="4119" w:type="dxa"/>
            <w:gridSpan w:val="2"/>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c>
          <w:tcPr>
            <w:tcW w:w="850" w:type="dxa"/>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r>
              <w:rPr>
                <w:rFonts w:ascii="Times New Roman" w:hAnsi="Times New Roman" w:cs="Times New Roman"/>
                <w:sz w:val="21"/>
                <w:szCs w:val="21"/>
              </w:rPr>
              <w:t>总得分</w:t>
            </w:r>
          </w:p>
        </w:tc>
        <w:tc>
          <w:tcPr>
            <w:tcW w:w="3948" w:type="dxa"/>
            <w:gridSpan w:val="3"/>
            <w:vAlign w:val="center"/>
          </w:tcPr>
          <w:p>
            <w:pPr>
              <w:pStyle w:val="5"/>
              <w:adjustRightInd w:val="0"/>
              <w:snapToGrid w:val="0"/>
              <w:spacing w:before="0" w:beforeAutospacing="0" w:after="0" w:afterAutospacing="0"/>
              <w:jc w:val="center"/>
              <w:rPr>
                <w:rFonts w:ascii="Times New Roman" w:hAnsi="Times New Roman" w:eastAsia="仿宋_GB2312" w:cs="Times New Roman"/>
                <w:sz w:val="28"/>
                <w:szCs w:val="28"/>
              </w:rPr>
            </w:pPr>
          </w:p>
        </w:tc>
      </w:tr>
    </w:tbl>
    <w:p>
      <w:pPr>
        <w:pStyle w:val="2"/>
        <w:spacing w:line="240" w:lineRule="exact"/>
        <w:jc w:val="center"/>
        <w:rPr>
          <w:rFonts w:ascii="Times New Roman" w:hAnsi="Times New Roman" w:eastAsia="仿宋_GB2312" w:cs="Times New Roman"/>
          <w:sz w:val="32"/>
          <w:szCs w:val="32"/>
        </w:rPr>
      </w:pPr>
    </w:p>
    <w:sectPr>
      <w:pgSz w:w="11906" w:h="16838"/>
      <w:pgMar w:top="1984"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88"/>
    <w:rsid w:val="00014CE4"/>
    <w:rsid w:val="00023BD3"/>
    <w:rsid w:val="000554BF"/>
    <w:rsid w:val="00096F58"/>
    <w:rsid w:val="000E6E0E"/>
    <w:rsid w:val="001B7FD1"/>
    <w:rsid w:val="003258FD"/>
    <w:rsid w:val="004038C5"/>
    <w:rsid w:val="00441BC3"/>
    <w:rsid w:val="00496C83"/>
    <w:rsid w:val="0056688C"/>
    <w:rsid w:val="005C145A"/>
    <w:rsid w:val="005F579C"/>
    <w:rsid w:val="006517CD"/>
    <w:rsid w:val="006A248A"/>
    <w:rsid w:val="007C6B55"/>
    <w:rsid w:val="00800588"/>
    <w:rsid w:val="00851101"/>
    <w:rsid w:val="008C4477"/>
    <w:rsid w:val="009959A0"/>
    <w:rsid w:val="009B46B5"/>
    <w:rsid w:val="00A5018A"/>
    <w:rsid w:val="00A61CE7"/>
    <w:rsid w:val="00AC0706"/>
    <w:rsid w:val="00B5434C"/>
    <w:rsid w:val="00C950D1"/>
    <w:rsid w:val="00DC2C60"/>
    <w:rsid w:val="00E621E6"/>
    <w:rsid w:val="00E85A55"/>
    <w:rsid w:val="00EB2987"/>
    <w:rsid w:val="00F96A8D"/>
    <w:rsid w:val="00FB78E7"/>
    <w:rsid w:val="028442C6"/>
    <w:rsid w:val="05F42458"/>
    <w:rsid w:val="11F369E6"/>
    <w:rsid w:val="13BD4A4D"/>
    <w:rsid w:val="1C88700D"/>
    <w:rsid w:val="22006AA8"/>
    <w:rsid w:val="32A11226"/>
    <w:rsid w:val="344B2762"/>
    <w:rsid w:val="3B662B1D"/>
    <w:rsid w:val="41807EFB"/>
    <w:rsid w:val="429F4C2E"/>
    <w:rsid w:val="4A745292"/>
    <w:rsid w:val="611829F4"/>
    <w:rsid w:val="67A74C4C"/>
    <w:rsid w:val="682B21EA"/>
    <w:rsid w:val="6DB2123C"/>
    <w:rsid w:val="73C3367A"/>
    <w:rsid w:val="754716A6"/>
    <w:rsid w:val="7B392F66"/>
    <w:rsid w:val="7D873D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页眉 字符"/>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275</Words>
  <Characters>1569</Characters>
  <Lines>13</Lines>
  <Paragraphs>3</Paragraphs>
  <TotalTime>221</TotalTime>
  <ScaleCrop>false</ScaleCrop>
  <LinksUpToDate>false</LinksUpToDate>
  <CharactersWithSpaces>1841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2021-02-19T06:38:00Z</dcterms:created>
  <dc:creator>lenovo711</dc:creator>
  <cp:lastModifiedBy>黄浩琳</cp:lastModifiedBy>
  <cp:lastPrinted>2021-04-02T02:31:00Z</cp:lastPrinted>
  <dcterms:modified xsi:type="dcterms:W3CDTF">2021-04-06T02:32:15Z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