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ascii="黑体" w:hAnsi="黑体" w:eastAsia="黑体" w:cs="宋体"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hint="eastAsia" w:ascii="黑体" w:hAnsi="黑体" w:eastAsia="黑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hint="eastAsia" w:ascii="黑体" w:hAnsi="黑体" w:eastAsia="黑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 w:line="58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四川省2020年企业薪酬调查筹备工作购买社会服务项目工作方案及报价书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br w:type="textWrapping"/>
      </w:r>
    </w:p>
    <w:p>
      <w:pPr>
        <w:widowControl/>
        <w:shd w:val="clear" w:color="auto" w:fill="FFFFFF"/>
        <w:spacing w:after="240" w:line="58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after="240" w:line="580" w:lineRule="exact"/>
        <w:jc w:val="center"/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br w:type="textWrapping"/>
      </w:r>
    </w:p>
    <w:p>
      <w:pPr>
        <w:widowControl/>
        <w:shd w:val="clear" w:color="auto" w:fill="FFFFFF"/>
        <w:spacing w:after="240" w:line="580" w:lineRule="exact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80" w:lineRule="exact"/>
        <w:ind w:firstLine="1080" w:firstLineChars="30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报价单位（盖章）：      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8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2021年  月  日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ind w:firstLine="640" w:firstLineChars="20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ind w:firstLine="64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一、项目名称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58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四川省2021年企业薪酬调查购买社会服务项目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580" w:lineRule="exact"/>
        <w:ind w:firstLine="640" w:firstLineChars="2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二、单位基本情况</w:t>
      </w:r>
    </w:p>
    <w:p>
      <w:pPr>
        <w:widowControl/>
        <w:shd w:val="clear" w:color="auto" w:fill="FFFFFF"/>
        <w:adjustRightInd w:val="0"/>
        <w:spacing w:line="580" w:lineRule="exact"/>
        <w:ind w:firstLine="640" w:firstLineChars="200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内容包括但不限于：报价单位基本信息、经营活动范围、设施设备、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主要业绩和优势等，特别是近期</w:t>
      </w:r>
      <w:r>
        <w:rPr>
          <w:rFonts w:hint="eastAsia" w:ascii="仿宋_GB2312" w:hAnsi="宋体" w:eastAsia="仿宋_GB2312" w:cs="方正仿宋简体"/>
          <w:color w:val="000000"/>
          <w:kern w:val="0"/>
          <w:sz w:val="32"/>
          <w:szCs w:val="32"/>
        </w:rPr>
        <w:t>承接相关项目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的情况（需附本单位承办</w:t>
      </w:r>
      <w:r>
        <w:rPr>
          <w:rFonts w:hint="eastAsia" w:ascii="仿宋_GB2312" w:hAnsi="宋体" w:eastAsia="仿宋_GB2312" w:cs="方正仿宋简体"/>
          <w:color w:val="000000"/>
          <w:kern w:val="0"/>
          <w:sz w:val="32"/>
          <w:szCs w:val="32"/>
        </w:rPr>
        <w:t>相关项目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的合同复印件及相关佐证资料）。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580" w:lineRule="exact"/>
        <w:ind w:firstLine="645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三、工作安排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580" w:lineRule="exact"/>
        <w:ind w:firstLine="640" w:firstLineChars="200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内容包括但不限于：根据《四川省人力资源社会保障厅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关于委托人力资源咨询机构参与四川省2021年企业薪酬调查的比选公告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》相关内容，拟定承办工作方案。（简要描述）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580" w:lineRule="exact"/>
        <w:ind w:firstLine="645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四、项目报价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580" w:lineRule="exact"/>
        <w:ind w:firstLine="64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总报价：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元。</w:t>
      </w:r>
    </w:p>
    <w:p>
      <w:pPr>
        <w:widowControl/>
        <w:shd w:val="clear" w:color="auto" w:fill="FFFFFF"/>
        <w:adjustRightInd w:val="0"/>
        <w:spacing w:before="100" w:beforeAutospacing="1" w:after="100" w:afterAutospacing="1" w:line="580" w:lineRule="exact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lef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0D7D"/>
    <w:rsid w:val="157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2021-03-17T06:39:00Z</dcterms:created>
  <dc:creator>黄浩琳</dc:creator>
  <cp:lastModifiedBy>黄浩琳</cp:lastModifiedBy>
  <dcterms:modified xsi:type="dcterms:W3CDTF">2021-03-17T06:39:50Z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