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rPr>
          <w:rFonts w:hint="eastAsia" w:ascii="仿宋_GB2312" w:hAnsi="仿宋_GB2312" w:cs="宋体"/>
          <w:color w:val="000000"/>
          <w:kern w:val="0"/>
          <w:szCs w:val="32"/>
        </w:rPr>
      </w:pPr>
      <w:r>
        <w:rPr>
          <w:rFonts w:hint="eastAsia" w:ascii="仿宋_GB2312" w:hAnsi="仿宋_GB2312" w:cs="宋体"/>
          <w:color w:val="000000"/>
          <w:kern w:val="0"/>
          <w:szCs w:val="32"/>
        </w:rPr>
        <w:t>附件1</w:t>
      </w:r>
    </w:p>
    <w:p>
      <w:pPr>
        <w:adjustRightInd w:val="0"/>
        <w:snapToGrid w:val="0"/>
        <w:spacing w:line="580" w:lineRule="exact"/>
        <w:jc w:val="center"/>
        <w:rPr>
          <w:rFonts w:hint="eastAsia" w:ascii="方正小标宋简体" w:hAnsi="仿宋_GB2312" w:eastAsia="方正小标宋简体" w:cs="宋体"/>
          <w:color w:val="000000"/>
          <w:kern w:val="0"/>
          <w:sz w:val="36"/>
          <w:szCs w:val="36"/>
        </w:rPr>
      </w:pPr>
      <w:r>
        <w:rPr>
          <w:rFonts w:hint="eastAsia" w:ascii="方正小标宋简体" w:hAnsi="仿宋_GB2312" w:eastAsia="方正小标宋简体" w:cs="宋体"/>
          <w:color w:val="000000"/>
          <w:kern w:val="0"/>
          <w:sz w:val="36"/>
          <w:szCs w:val="36"/>
        </w:rPr>
        <w:t>成都中海物业管理有限公司</w:t>
      </w:r>
    </w:p>
    <w:p>
      <w:pPr>
        <w:adjustRightInd w:val="0"/>
        <w:snapToGrid w:val="0"/>
        <w:spacing w:line="580" w:lineRule="exact"/>
        <w:jc w:val="center"/>
        <w:rPr>
          <w:rFonts w:ascii="方正小标宋简体" w:hAnsi="仿宋_GB2312" w:eastAsia="方正小标宋简体" w:cs="宋体"/>
          <w:color w:val="000000"/>
          <w:kern w:val="0"/>
          <w:sz w:val="36"/>
          <w:szCs w:val="36"/>
        </w:rPr>
      </w:pPr>
      <w:r>
        <w:rPr>
          <w:rFonts w:hint="eastAsia" w:ascii="方正小标宋简体" w:hAnsi="仿宋_GB2312" w:eastAsia="方正小标宋简体" w:cs="宋体"/>
          <w:color w:val="000000"/>
          <w:kern w:val="0"/>
          <w:sz w:val="36"/>
          <w:szCs w:val="36"/>
        </w:rPr>
        <w:t>开展企业职业技能等级认定职业（工种）目录</w:t>
      </w:r>
    </w:p>
    <w:tbl>
      <w:tblPr>
        <w:tblStyle w:val="2"/>
        <w:tblW w:w="8995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1492"/>
        <w:gridCol w:w="1416"/>
        <w:gridCol w:w="2162"/>
        <w:gridCol w:w="1801"/>
        <w:gridCol w:w="1392"/>
      </w:tblGrid>
      <w:tr>
        <w:trPr>
          <w:trHeight w:val="369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序号</w:t>
            </w:r>
          </w:p>
        </w:tc>
        <w:tc>
          <w:tcPr>
            <w:tcW w:w="14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职业名称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职业代码</w:t>
            </w:r>
          </w:p>
        </w:tc>
        <w:tc>
          <w:tcPr>
            <w:tcW w:w="2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工种/职业</w:t>
            </w:r>
          </w:p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方向名称</w:t>
            </w:r>
          </w:p>
        </w:tc>
        <w:tc>
          <w:tcPr>
            <w:tcW w:w="1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级别</w:t>
            </w:r>
          </w:p>
        </w:tc>
        <w:tc>
          <w:tcPr>
            <w:tcW w:w="13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技能标准/</w:t>
            </w:r>
          </w:p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评价规范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物业管理员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4-06-01-01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4、3、2、1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国家职业</w:t>
            </w:r>
          </w:p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2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停车管理员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4-06-01-03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5、4、3、2、1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企业</w:t>
            </w:r>
          </w:p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评价规范</w:t>
            </w:r>
          </w:p>
        </w:tc>
      </w:tr>
    </w:tbl>
    <w:p>
      <w:pPr>
        <w:adjustRightInd w:val="0"/>
        <w:snapToGrid w:val="0"/>
        <w:spacing w:line="580" w:lineRule="exact"/>
        <w:rPr>
          <w:rFonts w:ascii="仿宋_GB2312" w:hAnsi="仿宋_GB2312" w:cs="宋体"/>
          <w:color w:val="000000"/>
          <w:kern w:val="0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1F2737"/>
    <w:rsid w:val="781F2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uiPriority w:val="0"/>
    <w:rPr>
      <w:color w:val="800080"/>
      <w:u w:val="none"/>
    </w:rPr>
  </w:style>
  <w:style w:type="character" w:styleId="5">
    <w:name w:val="Hyperlink"/>
    <w:basedOn w:val="3"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2021-11-12T08:49:00Z</dcterms:created>
  <dc:creator>黄浩琳</dc:creator>
  <cp:lastModifiedBy>黄浩琳</cp:lastModifiedBy>
  <dcterms:modified xsi:type="dcterms:W3CDTF">2021-11-12T08:50:35Z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