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四川省职业技能竞赛研究课题申报指南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eastAsia="黑体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一、基础研究（成果为研究报告、论文等）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1.“成渝地区双城经济圈”技能竞赛协调发展研究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2.“十四五”四川省职业技能竞赛发展研究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3.职业技能竞赛发展历史研究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4.四川职业技能竞赛体系与办赛规范研究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5.基于新兴职业的技能竞赛赛项设置研究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6.职业技能竞赛保障与办赛机制研究</w:t>
      </w:r>
    </w:p>
    <w:p>
      <w:pPr>
        <w:adjustRightInd w:val="0"/>
        <w:snapToGrid w:val="0"/>
        <w:spacing w:line="560" w:lineRule="exact"/>
        <w:ind w:left="625" w:firstLine="0"/>
        <w:rPr>
          <w:szCs w:val="32"/>
        </w:rPr>
      </w:pPr>
      <w:r>
        <w:rPr>
          <w:szCs w:val="32"/>
        </w:rPr>
        <w:t>7.技能大赛选手选拔机制与培养方案研究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二、应用研究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1.基于“赛展演聘”技能竞赛办赛模式研究（该项成果须包含方案）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2.职业技能竞赛赞助工作机制建设研究（该项成果须包含工作方案）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3.职业技能竞赛信息化管理系统研究（该项成果须包含管理系统）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4.基于具体赛项的职业技能竞赛选手训练方案研究（该项成果须包含训练方案）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5.基于具体赛项的赛教融合课程建设研究（该项研究成果须包含课程建设方案、课程标准与教学方案）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6.基于具体赛项的职业技能培训包开发研究（该项研究成果须包含培训方案、培训大纲与培训资源）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7.省级集训基地选拔标准研究（该项研究成果须包含具体标准）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8.基于具体赛项的规程、技术要求、设施设备研究（该项研究成果须包含赛项技术手册）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24D4C"/>
    <w:rsid w:val="36F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2021-11-11T09:04:00Z</dcterms:created>
  <dc:creator>黄浩琳</dc:creator>
  <cp:lastModifiedBy>黄浩琳</cp:lastModifiedBy>
  <dcterms:modified xsi:type="dcterms:W3CDTF">2021-11-11T09:06:36Z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