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640" w:lineRule="exact"/>
        <w:ind w:firstLine="0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spacing w:line="640" w:lineRule="exact"/>
        <w:ind w:firstLine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“</w:t>
      </w:r>
      <w:r>
        <w:rPr>
          <w:rFonts w:hint="eastAsia" w:ascii="黑体" w:hAnsi="黑体" w:eastAsia="黑体" w:cs="黑体"/>
          <w:sz w:val="44"/>
          <w:szCs w:val="44"/>
        </w:rPr>
        <w:t>成渝地区双城经济圈·川渝人力资源服务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产业发展论坛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”项目工作方案及报价书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firstLine="0" w:firstLineChars="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  <w:r>
        <w:rPr>
          <w:rFonts w:hint="eastAsia" w:ascii="Calibri" w:hAnsi="黑体" w:eastAsia="黑体" w:cs="Times New Roman"/>
          <w:sz w:val="36"/>
          <w:szCs w:val="36"/>
          <w:highlight w:val="white"/>
        </w:rPr>
        <w:t>报价单位（盖章）：</w:t>
      </w: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  <w:r>
        <w:rPr>
          <w:rFonts w:hint="eastAsia" w:ascii="Calibri" w:hAnsi="黑体" w:eastAsia="黑体" w:cs="Times New Roman"/>
          <w:sz w:val="36"/>
          <w:szCs w:val="36"/>
          <w:highlight w:val="white"/>
        </w:rPr>
        <w:t xml:space="preserve">  </w:t>
      </w:r>
    </w:p>
    <w:p>
      <w:pPr>
        <w:spacing w:line="570" w:lineRule="exact"/>
        <w:ind w:left="0" w:leftChars="0" w:firstLine="0" w:firstLineChars="0"/>
        <w:jc w:val="center"/>
        <w:rPr>
          <w:rFonts w:hint="eastAsia" w:ascii="Calibri" w:hAnsi="黑体" w:eastAsia="黑体" w:cs="Times New Roman"/>
          <w:sz w:val="36"/>
          <w:szCs w:val="36"/>
          <w:highlight w:val="white"/>
        </w:rPr>
      </w:pPr>
      <w:r>
        <w:rPr>
          <w:rFonts w:hint="eastAsia" w:ascii="Calibri" w:hAnsi="黑体" w:eastAsia="黑体" w:cs="Times New Roman"/>
          <w:sz w:val="36"/>
          <w:szCs w:val="36"/>
          <w:highlight w:val="white"/>
        </w:rPr>
        <w:t xml:space="preserve">2021年  </w:t>
      </w:r>
      <w:r>
        <w:rPr>
          <w:rFonts w:hint="eastAsia" w:ascii="Calibri" w:hAnsi="黑体" w:eastAsia="黑体" w:cs="Times New Roman"/>
          <w:sz w:val="36"/>
          <w:szCs w:val="36"/>
          <w:highlight w:val="white"/>
          <w:lang w:val="en-US" w:eastAsia="zh-CN"/>
        </w:rPr>
        <w:t xml:space="preserve"> </w:t>
      </w:r>
      <w:r>
        <w:rPr>
          <w:rFonts w:hint="eastAsia" w:ascii="Calibri" w:hAnsi="黑体" w:eastAsia="黑体" w:cs="Times New Roman"/>
          <w:sz w:val="36"/>
          <w:szCs w:val="36"/>
          <w:highlight w:val="white"/>
        </w:rPr>
        <w:t xml:space="preserve">月  </w:t>
      </w:r>
      <w:r>
        <w:rPr>
          <w:rFonts w:hint="eastAsia" w:ascii="Calibri" w:hAnsi="黑体" w:eastAsia="黑体" w:cs="Times New Roman"/>
          <w:sz w:val="36"/>
          <w:szCs w:val="36"/>
          <w:highlight w:val="white"/>
          <w:lang w:val="en-US" w:eastAsia="zh-CN"/>
        </w:rPr>
        <w:t xml:space="preserve"> </w:t>
      </w:r>
      <w:r>
        <w:rPr>
          <w:rFonts w:hint="eastAsia" w:ascii="Calibri" w:hAnsi="黑体" w:eastAsia="黑体" w:cs="Times New Roman"/>
          <w:sz w:val="36"/>
          <w:szCs w:val="36"/>
          <w:highlight w:val="white"/>
        </w:rPr>
        <w:t>日</w:t>
      </w:r>
    </w:p>
    <w:p>
      <w:pPr>
        <w:spacing w:line="570" w:lineRule="exact"/>
        <w:ind w:firstLine="720" w:firstLineChars="200"/>
        <w:rPr>
          <w:rFonts w:hint="eastAsia" w:ascii="Calibri" w:hAnsi="黑体" w:eastAsia="黑体" w:cs="Times New Roman"/>
          <w:sz w:val="36"/>
          <w:szCs w:val="36"/>
          <w:highlight w:val="whit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/>
        </w:rPr>
      </w:pPr>
    </w:p>
    <w:p>
      <w:pPr>
        <w:spacing w:line="570" w:lineRule="exact"/>
        <w:ind w:left="0" w:leftChars="0" w:firstLine="0" w:firstLineChars="0"/>
        <w:jc w:val="both"/>
        <w:rPr>
          <w:rFonts w:hint="eastAsia" w:ascii="方正小标宋简体" w:eastAsia="方正小标宋简体"/>
          <w:sz w:val="44"/>
          <w:szCs w:val="44"/>
          <w:highlight w:val="white"/>
        </w:rPr>
      </w:pPr>
    </w:p>
    <w:p>
      <w:pPr>
        <w:pStyle w:val="2"/>
        <w:rPr>
          <w:rFonts w:hint="eastAsia" w:ascii="方正小标宋简体" w:eastAsia="方正小标宋简体"/>
          <w:sz w:val="44"/>
          <w:szCs w:val="44"/>
          <w:highlight w:val="white"/>
        </w:rPr>
      </w:pPr>
    </w:p>
    <w:p>
      <w:pPr>
        <w:pStyle w:val="2"/>
        <w:rPr>
          <w:rFonts w:hint="eastAsia" w:ascii="方正小标宋简体" w:eastAsia="方正小标宋简体"/>
          <w:sz w:val="44"/>
          <w:szCs w:val="44"/>
          <w:highlight w:val="white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  <w:r>
        <w:rPr>
          <w:rFonts w:hint="eastAsia" w:ascii="黑体" w:eastAsia="黑体"/>
          <w:sz w:val="32"/>
          <w:szCs w:val="32"/>
          <w:highlight w:val="white"/>
        </w:rPr>
        <w:t>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成渝地区双城经济圈·川渝人力资源服务产业发展论坛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  <w:r>
        <w:rPr>
          <w:rFonts w:hint="eastAsia" w:ascii="黑体" w:eastAsia="黑体"/>
          <w:sz w:val="32"/>
          <w:szCs w:val="32"/>
          <w:highlight w:val="white"/>
        </w:rPr>
        <w:t>二、单位基本情况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内容包括但不限于：报价单位基本信息、经营活动范围、设施设备、主要业绩和优势等，特别是近期承接相关项目的情况（需附本单位承办相关项目的合同复印件及相关佐证资料）。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  <w:r>
        <w:rPr>
          <w:rFonts w:hint="eastAsia" w:ascii="黑体" w:eastAsia="黑体"/>
          <w:sz w:val="32"/>
          <w:szCs w:val="32"/>
          <w:highlight w:val="white"/>
        </w:rPr>
        <w:t>三、工作安排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内容包括但不限于：根据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委托第三方专业机构承接</w:t>
      </w:r>
      <w:r>
        <w:rPr>
          <w:rFonts w:hint="eastAsia" w:ascii="仿宋" w:hAnsi="仿宋" w:eastAsia="仿宋" w:cs="仿宋"/>
          <w:sz w:val="32"/>
          <w:szCs w:val="32"/>
        </w:rPr>
        <w:t>成渝地区双城经济圈·川渝人力资源服务产业发展论坛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</w:rPr>
        <w:t>的比选公告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相关内容，拟定项目承接工作方案，主要包括项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目实施的具体安排、重点任务等方面情况。（简要描述）</w:t>
      </w:r>
    </w:p>
    <w:p>
      <w:pPr>
        <w:numPr>
          <w:ilvl w:val="0"/>
          <w:numId w:val="0"/>
        </w:numPr>
        <w:tabs>
          <w:tab w:val="left" w:pos="0"/>
        </w:tabs>
        <w:ind w:firstLine="640" w:firstLineChars="200"/>
        <w:rPr>
          <w:rFonts w:hint="eastAsia" w:ascii="黑体" w:eastAsia="黑体"/>
          <w:sz w:val="32"/>
          <w:szCs w:val="32"/>
          <w:highlight w:val="white"/>
        </w:rPr>
      </w:pPr>
      <w:r>
        <w:rPr>
          <w:rFonts w:hint="eastAsia" w:ascii="黑体" w:eastAsia="黑体"/>
          <w:sz w:val="32"/>
          <w:szCs w:val="32"/>
          <w:highlight w:val="white"/>
        </w:rPr>
        <w:t>四、项目报价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总报价：          元。</w:t>
      </w:r>
    </w:p>
    <w:p>
      <w:pPr>
        <w:spacing w:line="570" w:lineRule="exact"/>
        <w:rPr>
          <w:rFonts w:hint="eastAsia" w:ascii="黑体" w:eastAsia="黑体" w:cs="黑体"/>
          <w:sz w:val="44"/>
          <w:szCs w:val="44"/>
          <w:highlight w:val="white"/>
        </w:rPr>
      </w:pPr>
    </w:p>
    <w:p>
      <w:pPr>
        <w:spacing w:line="570" w:lineRule="exact"/>
        <w:ind w:firstLine="72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6"/>
          <w:szCs w:val="36"/>
          <w:highlight w:val="white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报价单位（盖章）：</w:t>
      </w:r>
    </w:p>
    <w:p>
      <w:pPr>
        <w:spacing w:line="570" w:lineRule="exact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cs="黑体"/>
          <w:szCs w:val="32"/>
          <w:highlight w:val="white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年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月  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p>
      <w:r>
        <w:rPr>
          <w:rFonts w:hint="eastAsia" w:ascii="仿宋_GB2312" w:eastAsia="仿宋_GB231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B40C7"/>
    <w:multiLevelType w:val="singleLevel"/>
    <w:tmpl w:val="10CB40C7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06842"/>
    <w:rsid w:val="08E0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华文仿宋" w:eastAsia="华文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2021-10-08T05:09:00Z</dcterms:created>
  <dc:creator>黄浩琳</dc:creator>
  <cp:lastModifiedBy>黄浩琳</cp:lastModifiedBy>
  <dcterms:modified xsi:type="dcterms:W3CDTF">2021-10-08T05:09:50Z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