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rPr>
          <w:rFonts w:eastAsia="黑体"/>
        </w:rPr>
      </w:pPr>
      <w:r>
        <w:rPr>
          <w:rFonts w:eastAsia="黑体"/>
        </w:rPr>
        <w:t>附件5</w:t>
      </w:r>
    </w:p>
    <w:p>
      <w:pPr>
        <w:adjustRightInd w:val="0"/>
        <w:snapToGrid w:val="0"/>
        <w:spacing w:line="480" w:lineRule="exact"/>
        <w:ind w:firstLine="880" w:firstLineChars="200"/>
        <w:rPr>
          <w:rFonts w:eastAsia="华文中宋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0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职业技能竞赛组织实施方案</w:t>
      </w:r>
    </w:p>
    <w:p>
      <w:pPr>
        <w:adjustRightInd w:val="0"/>
        <w:snapToGrid w:val="0"/>
        <w:spacing w:line="600" w:lineRule="exact"/>
        <w:ind w:left="960" w:hanging="960" w:hangingChars="300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(参考大纲)</w:t>
      </w:r>
    </w:p>
    <w:p>
      <w:pPr>
        <w:adjustRightInd w:val="0"/>
        <w:snapToGrid w:val="0"/>
        <w:spacing w:line="480" w:lineRule="exact"/>
        <w:ind w:firstLine="640" w:firstLineChars="200"/>
        <w:rPr>
          <w:szCs w:val="32"/>
        </w:rPr>
      </w:pPr>
    </w:p>
    <w:p>
      <w:pPr>
        <w:adjustRightInd w:val="0"/>
        <w:snapToGrid w:val="0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一、组织领导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明确主办单位、承办单位、协办单位，成立大赛组委会及组委会内设机构，组委会内设机构一般为办公室（秘书处）、技术工作委员会（评判委员会、专家委员会）、监审委员会（仲裁组、监督仲裁委员会）。</w:t>
      </w:r>
    </w:p>
    <w:p>
      <w:pPr>
        <w:adjustRightInd w:val="0"/>
        <w:snapToGrid w:val="0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二、竞赛内容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明确四项内容：一是竞赛项目（依据本年度竞赛计划使用标准名称）、二是竞赛标准、三是竞赛命题（命题方式、理论和实操占比）、四是考核模块。</w:t>
      </w:r>
    </w:p>
    <w:p>
      <w:pPr>
        <w:adjustRightInd w:val="0"/>
        <w:snapToGrid w:val="0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三、参赛选手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明确参赛选手的年龄、职业资格、身份等具体要求。</w:t>
      </w:r>
    </w:p>
    <w:p>
      <w:pPr>
        <w:adjustRightInd w:val="0"/>
        <w:snapToGrid w:val="0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四、竞赛实施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明确竞赛实施中涉及的关键内容，如时间、地点、赛制、分组、名额、报名程序等。</w:t>
      </w:r>
    </w:p>
    <w:p>
      <w:pPr>
        <w:adjustRightInd w:val="0"/>
        <w:snapToGrid w:val="0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五、竞赛奖励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rPr>
          <w:szCs w:val="32"/>
        </w:rPr>
        <w:t>分为省级层面的奖励、行业层面的奖励、职业资格（职业技能等级）晋升、本次大赛组委会颁发的荣誉或奖励。奖励顺序一般为先个人后团体、先精神奖励后物质奖励。</w:t>
      </w:r>
    </w:p>
    <w:p>
      <w:pPr>
        <w:adjustRightInd w:val="0"/>
        <w:snapToGrid w:val="0"/>
        <w:ind w:firstLine="640" w:firstLineChars="200"/>
        <w:rPr>
          <w:szCs w:val="32"/>
        </w:rPr>
      </w:pPr>
      <w:r>
        <w:t>注：未颁布过国家职业技能标准或已取消职业资格</w:t>
      </w:r>
      <w:r>
        <w:rPr>
          <w:szCs w:val="32"/>
        </w:rPr>
        <w:t>的职业（工种），获奖后不晋升职业资格。</w:t>
      </w:r>
    </w:p>
    <w:p>
      <w:pPr>
        <w:adjustRightInd w:val="0"/>
        <w:snapToGrid w:val="0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六、工作要求</w:t>
      </w:r>
    </w:p>
    <w:p>
      <w:pPr>
        <w:adjustRightInd w:val="0"/>
        <w:snapToGrid w:val="0"/>
        <w:ind w:firstLine="640" w:firstLineChars="200"/>
        <w:rPr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928" w:right="1418" w:bottom="1474" w:left="1418" w:header="851" w:footer="992" w:gutter="0"/>
          <w:cols w:space="720" w:num="1"/>
          <w:titlePg/>
          <w:docGrid w:type="linesAndChars" w:linePitch="582" w:charSpace="0"/>
        </w:sectPr>
      </w:pPr>
      <w:r>
        <w:rPr>
          <w:szCs w:val="32"/>
        </w:rPr>
        <w:t>一般从组织领导、时间时限、技术规则、新闻宣传四个方面明确工作要求。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—</w:t>
    </w:r>
  </w:p>
  <w:p>
    <w:pPr>
      <w:pStyle w:val="2"/>
      <w:ind w:right="360" w:firstLine="360"/>
      <w:jc w:val="right"/>
      <w:rPr>
        <w:rFonts w:hint="eastAsia"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18</w:t>
    </w:r>
    <w:r>
      <w:fldChar w:fldCharType="end"/>
    </w:r>
  </w:p>
  <w:p>
    <w:pPr>
      <w:pStyle w:val="2"/>
      <w:ind w:right="360" w:firstLine="360"/>
      <w:jc w:val="both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74930"/>
          <wp:effectExtent l="0" t="0" r="13970" b="1270"/>
          <wp:wrapNone/>
          <wp:docPr id="1" name="WordPictureWatermark28114547" descr="下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114547" descr="下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180" cy="7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3C92"/>
    <w:rsid w:val="40A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2021-01-20T01:15:00Z</dcterms:created>
  <dc:creator>黄浩琳</dc:creator>
  <cp:lastModifiedBy>黄浩琳</cp:lastModifiedBy>
  <dcterms:modified xsi:type="dcterms:W3CDTF">2021-01-20T01:16:35Z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