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四川省人力资源和社会保障厅宣传中心</w:t>
      </w:r>
    </w:p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Cs/>
          <w:sz w:val="44"/>
          <w:szCs w:val="44"/>
        </w:rPr>
        <w:t>专题网络宣传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</w:rPr>
        <w:t>项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</w:rPr>
        <w:t>目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</w:rPr>
        <w:t>方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案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及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报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价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书</w:t>
      </w:r>
    </w:p>
    <w:p>
      <w:pPr>
        <w:widowControl/>
        <w:adjustRightInd w:val="0"/>
        <w:snapToGrid w:val="0"/>
        <w:rPr>
          <w:rFonts w:ascii="黑体" w:eastAsia="黑体" w:cs="黑体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ind w:firstLine="1080" w:firstLineChars="300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报价单位（盖章）：      </w:t>
      </w:r>
    </w:p>
    <w:p>
      <w:pPr>
        <w:widowControl/>
        <w:adjustRightInd w:val="0"/>
        <w:snapToGrid w:val="0"/>
        <w:jc w:val="center"/>
        <w:rPr>
          <w:rFonts w:hAnsi="宋体" w:cs="黑体"/>
          <w:b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年  月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日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adjustRightInd w:val="0"/>
        <w:spacing w:line="64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四川省人力资源和社会保障厅宣传中心专题网络宣传项目。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2"/>
        <w:adjustRightInd w:val="0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adjustRightInd w:val="0"/>
        <w:spacing w:line="640" w:lineRule="exact"/>
        <w:ind w:firstLine="645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宣传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安排</w:t>
      </w:r>
    </w:p>
    <w:p>
      <w:pPr>
        <w:adjustRightInd w:val="0"/>
        <w:spacing w:line="64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内容包括但不限于：根据《四川省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人力资源和社会保障厅宣传中心专题网络宣传项目比选公告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》相关内容，拟定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专题网络宣传合作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方案，简要描述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服务内容、栏目设置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、宣传传播渠道等情况。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/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31712"/>
    <w:rsid w:val="267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2020-07-29T01:17:00Z</dcterms:created>
  <dc:creator>Lenovo</dc:creator>
  <cp:lastModifiedBy>Lenovo</cp:lastModifiedBy>
  <dcterms:modified xsi:type="dcterms:W3CDTF">2020-07-29T01:18:05Z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