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23" w:rsidRPr="00560B22" w:rsidRDefault="002A3423" w:rsidP="002A3423">
      <w:pPr>
        <w:pStyle w:val="a3"/>
        <w:shd w:val="clear" w:color="auto" w:fill="FFFFFF"/>
        <w:adjustRightInd w:val="0"/>
        <w:snapToGrid w:val="0"/>
        <w:spacing w:before="0" w:beforeAutospacing="0" w:after="0" w:afterAutospacing="0" w:line="600" w:lineRule="exact"/>
        <w:ind w:firstLine="0"/>
        <w:jc w:val="both"/>
        <w:rPr>
          <w:rFonts w:ascii="黑体" w:eastAsia="黑体" w:hAnsi="黑体" w:cs="方正小标宋简体" w:hint="eastAsia"/>
          <w:sz w:val="44"/>
          <w:szCs w:val="44"/>
        </w:rPr>
      </w:pPr>
      <w:r w:rsidRPr="00560B22">
        <w:rPr>
          <w:rFonts w:ascii="黑体" w:eastAsia="黑体" w:hAnsi="黑体" w:cs="仿宋_GB2312" w:hint="eastAsia"/>
          <w:bCs/>
          <w:kern w:val="2"/>
          <w:sz w:val="32"/>
          <w:szCs w:val="32"/>
        </w:rPr>
        <w:t>附件</w:t>
      </w:r>
    </w:p>
    <w:p w:rsidR="002A3423" w:rsidRDefault="002A3423" w:rsidP="002A3423">
      <w:pPr>
        <w:spacing w:line="500" w:lineRule="exact"/>
        <w:jc w:val="center"/>
        <w:rPr>
          <w:rFonts w:ascii="方正小标宋简体" w:eastAsia="方正小标宋简体" w:cs="方正小标宋简体"/>
          <w:sz w:val="44"/>
          <w:szCs w:val="44"/>
        </w:rPr>
      </w:pPr>
    </w:p>
    <w:p w:rsidR="002A3423" w:rsidRDefault="002A3423" w:rsidP="002A3423">
      <w:pPr>
        <w:adjustRightInd w:val="0"/>
        <w:snapToGrid w:val="0"/>
        <w:spacing w:line="640" w:lineRule="exact"/>
        <w:ind w:firstLine="0"/>
        <w:jc w:val="center"/>
        <w:rPr>
          <w:rFonts w:ascii="方正小标宋简体" w:eastAsia="方正小标宋简体" w:cs="方正小标宋简体" w:hint="eastAsia"/>
          <w:sz w:val="44"/>
          <w:szCs w:val="44"/>
        </w:rPr>
      </w:pPr>
      <w:r>
        <w:rPr>
          <w:rFonts w:ascii="方正小标宋简体" w:eastAsia="方正小标宋简体" w:cs="方正小标宋简体" w:hint="eastAsia"/>
          <w:sz w:val="44"/>
          <w:szCs w:val="44"/>
        </w:rPr>
        <w:t>加强重大拖欠工资违法行为信息</w:t>
      </w:r>
    </w:p>
    <w:p w:rsidR="002A3423" w:rsidRDefault="002A3423" w:rsidP="002A3423">
      <w:pPr>
        <w:adjustRightInd w:val="0"/>
        <w:snapToGrid w:val="0"/>
        <w:spacing w:line="640" w:lineRule="exact"/>
        <w:ind w:firstLine="0"/>
        <w:jc w:val="center"/>
        <w:rPr>
          <w:rFonts w:ascii="方正小标宋简体" w:eastAsia="方正小标宋简体" w:cs="方正小标宋简体" w:hint="eastAsia"/>
          <w:sz w:val="44"/>
          <w:szCs w:val="44"/>
        </w:rPr>
      </w:pPr>
      <w:r>
        <w:rPr>
          <w:rFonts w:ascii="方正小标宋简体" w:eastAsia="方正小标宋简体" w:cs="方正小标宋简体" w:hint="eastAsia"/>
          <w:sz w:val="44"/>
          <w:szCs w:val="44"/>
        </w:rPr>
        <w:t>公示和联合惩戒备忘录</w:t>
      </w:r>
    </w:p>
    <w:p w:rsidR="002A3423" w:rsidRDefault="002A3423" w:rsidP="002A3423">
      <w:pPr>
        <w:adjustRightInd w:val="0"/>
        <w:snapToGrid w:val="0"/>
        <w:ind w:firstLineChars="200" w:firstLine="880"/>
        <w:rPr>
          <w:rFonts w:ascii="方正小标宋简体" w:eastAsia="方正小标宋简体" w:cs="方正小标宋简体" w:hint="eastAsia"/>
          <w:sz w:val="44"/>
          <w:szCs w:val="44"/>
        </w:rPr>
      </w:pPr>
    </w:p>
    <w:p w:rsidR="002A3423" w:rsidRDefault="002A3423" w:rsidP="002A3423">
      <w:pPr>
        <w:pStyle w:val="a3"/>
        <w:widowControl w:val="0"/>
        <w:shd w:val="clear" w:color="auto" w:fill="FFFFFF"/>
        <w:adjustRightInd w:val="0"/>
        <w:snapToGrid w:val="0"/>
        <w:spacing w:before="0" w:beforeAutospacing="0" w:after="0" w:afterAutospacing="0"/>
        <w:ind w:firstLineChars="200" w:firstLine="640"/>
        <w:jc w:val="both"/>
        <w:rPr>
          <w:rFonts w:ascii="仿宋_GB2312" w:cs="仿宋_GB2312" w:hint="eastAsia"/>
          <w:kern w:val="2"/>
          <w:sz w:val="32"/>
          <w:szCs w:val="32"/>
        </w:rPr>
      </w:pPr>
      <w:r>
        <w:rPr>
          <w:rFonts w:ascii="仿宋_GB2312" w:cs="仿宋_GB2312" w:hint="eastAsia"/>
          <w:kern w:val="2"/>
          <w:sz w:val="32"/>
          <w:szCs w:val="32"/>
        </w:rPr>
        <w:t>为落实国务院《保障农民工工资支付条例》《国务院办公厅关于建立完善守信联合激励和失信联合惩戒制度加快推进社会诚信建设的指导意见》(国办发〔2016〕33号)、《重大劳动保障违法行为社会公布办法》（</w:t>
      </w:r>
      <w:hyperlink r:id="rId5" w:history="1">
        <w:r>
          <w:rPr>
            <w:rFonts w:ascii="仿宋_GB2312" w:cs="仿宋_GB2312" w:hint="eastAsia"/>
            <w:kern w:val="2"/>
            <w:sz w:val="32"/>
            <w:szCs w:val="32"/>
          </w:rPr>
          <w:t>人力资源和社会保障部</w:t>
        </w:r>
      </w:hyperlink>
      <w:r>
        <w:rPr>
          <w:rFonts w:ascii="仿宋_GB2312" w:cs="仿宋_GB2312" w:hint="eastAsia"/>
          <w:kern w:val="2"/>
          <w:sz w:val="32"/>
          <w:szCs w:val="32"/>
        </w:rPr>
        <w:t>令第29号）、《人力资源社会保障部关于印发&lt;拖欠农民工工资“黑名单”管理暂行办法&gt;的通知》（人社部规〔2017〕16号）、《关于对严重拖欠农民工工资用人单位及其有关人员开展联合惩戒的合作备忘录的通知》（发改财金〔2017〕2058号）、《四川省人力资源和社会保障厅关于印发&lt;四川省拖欠农民工工资“黑名单”管理实施细则&gt;的通知》（川人社发〔2018〕44号）等有关要求，人力资源社会保障厅、省发展改革委、省市场监管局和省大数据中心协商一致，就加强重大拖欠工资违法行为信息公示和联合惩戒达成以下意见：</w:t>
      </w:r>
    </w:p>
    <w:p w:rsidR="002A3423" w:rsidRDefault="002A3423" w:rsidP="002A3423">
      <w:pPr>
        <w:pStyle w:val="a3"/>
        <w:widowControl w:val="0"/>
        <w:numPr>
          <w:ilvl w:val="0"/>
          <w:numId w:val="1"/>
        </w:numPr>
        <w:shd w:val="clear" w:color="auto" w:fill="FFFFFF"/>
        <w:adjustRightInd w:val="0"/>
        <w:snapToGrid w:val="0"/>
        <w:spacing w:before="0" w:beforeAutospacing="0" w:after="0" w:afterAutospacing="0"/>
        <w:ind w:firstLineChars="200" w:firstLine="640"/>
        <w:jc w:val="both"/>
        <w:rPr>
          <w:rFonts w:ascii="黑体" w:eastAsia="黑体" w:cs="黑体" w:hint="eastAsia"/>
          <w:sz w:val="32"/>
          <w:szCs w:val="32"/>
        </w:rPr>
      </w:pPr>
      <w:r>
        <w:rPr>
          <w:rFonts w:ascii="黑体" w:eastAsia="黑体" w:cs="黑体" w:hint="eastAsia"/>
          <w:sz w:val="32"/>
          <w:szCs w:val="32"/>
        </w:rPr>
        <w:t>重大拖欠工资违法行为</w:t>
      </w:r>
    </w:p>
    <w:p w:rsidR="002A3423" w:rsidRDefault="002A3423" w:rsidP="002A3423">
      <w:pPr>
        <w:pStyle w:val="a3"/>
        <w:widowControl w:val="0"/>
        <w:shd w:val="clear" w:color="auto" w:fill="FFFFFF"/>
        <w:adjustRightInd w:val="0"/>
        <w:snapToGrid w:val="0"/>
        <w:spacing w:before="0" w:beforeAutospacing="0" w:after="0" w:afterAutospacing="0"/>
        <w:ind w:firstLineChars="200" w:firstLine="640"/>
        <w:jc w:val="both"/>
        <w:rPr>
          <w:rFonts w:ascii="仿宋_GB2312" w:cs="Times New Roman" w:hint="eastAsia"/>
          <w:kern w:val="2"/>
          <w:sz w:val="32"/>
          <w:szCs w:val="32"/>
        </w:rPr>
      </w:pPr>
      <w:r>
        <w:rPr>
          <w:rFonts w:ascii="仿宋_GB2312" w:cs="仿宋_GB2312" w:hint="eastAsia"/>
          <w:kern w:val="2"/>
          <w:sz w:val="32"/>
          <w:szCs w:val="32"/>
        </w:rPr>
        <w:t>本备忘录重大拖欠工资违法行为包括：各级人力资源社会保障部门按照《重大劳动保障违法行为社会公布办法》（</w:t>
      </w:r>
      <w:hyperlink r:id="rId6" w:history="1">
        <w:r>
          <w:rPr>
            <w:rFonts w:ascii="仿宋_GB2312" w:cs="仿宋_GB2312" w:hint="eastAsia"/>
            <w:kern w:val="2"/>
            <w:sz w:val="32"/>
            <w:szCs w:val="32"/>
          </w:rPr>
          <w:t>人力资源和社会保障部</w:t>
        </w:r>
      </w:hyperlink>
      <w:r>
        <w:rPr>
          <w:rFonts w:ascii="仿宋_GB2312" w:cs="仿宋_GB2312" w:hint="eastAsia"/>
          <w:kern w:val="2"/>
          <w:sz w:val="32"/>
          <w:szCs w:val="32"/>
        </w:rPr>
        <w:t>令第29号）定期向社会公布的重大拖欠工资违法行为；依据《拖欠农民工工资</w:t>
      </w:r>
      <w:r>
        <w:rPr>
          <w:rFonts w:ascii="仿宋_GB2312" w:cs="Calibri" w:hint="eastAsia"/>
          <w:kern w:val="2"/>
          <w:sz w:val="32"/>
          <w:szCs w:val="32"/>
        </w:rPr>
        <w:t>“</w:t>
      </w:r>
      <w:r>
        <w:rPr>
          <w:rFonts w:ascii="仿宋_GB2312" w:cs="仿宋_GB2312" w:hint="eastAsia"/>
          <w:kern w:val="2"/>
          <w:sz w:val="32"/>
          <w:szCs w:val="32"/>
        </w:rPr>
        <w:t>黑名单</w:t>
      </w:r>
      <w:r>
        <w:rPr>
          <w:rFonts w:ascii="仿宋_GB2312" w:cs="Calibri" w:hint="eastAsia"/>
          <w:kern w:val="2"/>
          <w:sz w:val="32"/>
          <w:szCs w:val="32"/>
        </w:rPr>
        <w:t>”</w:t>
      </w:r>
      <w:r>
        <w:rPr>
          <w:rFonts w:ascii="仿宋_GB2312" w:cs="仿宋_GB2312" w:hint="eastAsia"/>
          <w:kern w:val="2"/>
          <w:sz w:val="32"/>
          <w:szCs w:val="32"/>
        </w:rPr>
        <w:t>管理暂行</w:t>
      </w:r>
      <w:r>
        <w:rPr>
          <w:rFonts w:ascii="仿宋_GB2312" w:cs="仿宋_GB2312" w:hint="eastAsia"/>
          <w:kern w:val="2"/>
          <w:sz w:val="32"/>
          <w:szCs w:val="32"/>
        </w:rPr>
        <w:lastRenderedPageBreak/>
        <w:t>办法》和《四川省拖欠农民工工资</w:t>
      </w:r>
      <w:r>
        <w:rPr>
          <w:rFonts w:ascii="仿宋_GB2312" w:cs="Calibri" w:hint="eastAsia"/>
          <w:kern w:val="2"/>
          <w:sz w:val="32"/>
          <w:szCs w:val="32"/>
        </w:rPr>
        <w:t>“</w:t>
      </w:r>
      <w:r>
        <w:rPr>
          <w:rFonts w:ascii="仿宋_GB2312" w:cs="仿宋_GB2312" w:hint="eastAsia"/>
          <w:kern w:val="2"/>
          <w:sz w:val="32"/>
          <w:szCs w:val="32"/>
        </w:rPr>
        <w:t>黑名单</w:t>
      </w:r>
      <w:r>
        <w:rPr>
          <w:rFonts w:ascii="仿宋_GB2312" w:cs="Calibri" w:hint="eastAsia"/>
          <w:kern w:val="2"/>
          <w:sz w:val="32"/>
          <w:szCs w:val="32"/>
        </w:rPr>
        <w:t>”</w:t>
      </w:r>
      <w:r>
        <w:rPr>
          <w:rFonts w:ascii="仿宋_GB2312" w:cs="仿宋_GB2312" w:hint="eastAsia"/>
          <w:kern w:val="2"/>
          <w:sz w:val="32"/>
          <w:szCs w:val="32"/>
        </w:rPr>
        <w:t>管理实施细则》列入拖欠农民工工资“黑名单”的用人单位和自然人。</w:t>
      </w:r>
    </w:p>
    <w:p w:rsidR="002A3423" w:rsidRDefault="002A3423" w:rsidP="002A3423">
      <w:pPr>
        <w:adjustRightInd w:val="0"/>
        <w:snapToGrid w:val="0"/>
        <w:ind w:firstLineChars="200" w:firstLine="640"/>
        <w:rPr>
          <w:rFonts w:ascii="??_GB2312" w:eastAsia="黑体" w:hAnsi="??_GB2312"/>
          <w:szCs w:val="32"/>
        </w:rPr>
      </w:pPr>
      <w:r>
        <w:rPr>
          <w:rFonts w:ascii="黑体" w:eastAsia="黑体" w:cs="黑体" w:hint="eastAsia"/>
          <w:szCs w:val="32"/>
        </w:rPr>
        <w:t>二、同步推进信息公示</w:t>
      </w:r>
    </w:p>
    <w:p w:rsidR="002A3423" w:rsidRDefault="002A3423" w:rsidP="002A3423">
      <w:pPr>
        <w:pStyle w:val="a3"/>
        <w:widowControl w:val="0"/>
        <w:shd w:val="clear" w:color="auto" w:fill="FFFFFF"/>
        <w:adjustRightInd w:val="0"/>
        <w:snapToGrid w:val="0"/>
        <w:spacing w:before="0" w:beforeAutospacing="0" w:after="0" w:afterAutospacing="0"/>
        <w:ind w:firstLineChars="200" w:firstLine="640"/>
        <w:jc w:val="both"/>
        <w:rPr>
          <w:rFonts w:ascii="仿宋_GB2312" w:cs="Times New Roman" w:hint="eastAsia"/>
          <w:kern w:val="2"/>
          <w:sz w:val="32"/>
          <w:szCs w:val="32"/>
        </w:rPr>
      </w:pPr>
      <w:r>
        <w:rPr>
          <w:rFonts w:ascii="仿宋_GB2312" w:cs="仿宋_GB2312" w:hint="eastAsia"/>
          <w:kern w:val="2"/>
          <w:sz w:val="32"/>
          <w:szCs w:val="32"/>
        </w:rPr>
        <w:t>各级人力资源社会保障部门将重大拖欠工资违法行为在本部门门户网站公示时，同步将相关信息通过本级政府部门信息共享及监管协作平台交换至同级发展改革部门，通过政务共享交换平台共享交换至省大数据中心，省大数据中心和发展改革部门在收到后及时将其在信用中国（四川或本地）上公示；通过相关平台交换至同级市场监管部门，市场监管部门在收到后及时将其在国家企业信用信息系统（四川）上公示。</w:t>
      </w:r>
    </w:p>
    <w:p w:rsidR="002A3423" w:rsidRDefault="002A3423" w:rsidP="002A3423">
      <w:pPr>
        <w:pStyle w:val="a3"/>
        <w:widowControl w:val="0"/>
        <w:shd w:val="clear" w:color="auto" w:fill="FFFFFF"/>
        <w:adjustRightInd w:val="0"/>
        <w:snapToGrid w:val="0"/>
        <w:spacing w:before="0" w:beforeAutospacing="0" w:after="0" w:afterAutospacing="0"/>
        <w:ind w:firstLineChars="200" w:firstLine="640"/>
        <w:jc w:val="both"/>
        <w:rPr>
          <w:rFonts w:ascii="仿宋_GB2312" w:cs="Times New Roman" w:hint="eastAsia"/>
          <w:kern w:val="2"/>
          <w:sz w:val="32"/>
          <w:szCs w:val="32"/>
        </w:rPr>
      </w:pPr>
      <w:r>
        <w:rPr>
          <w:rFonts w:ascii="仿宋_GB2312" w:cs="仿宋_GB2312" w:hint="eastAsia"/>
          <w:kern w:val="2"/>
          <w:sz w:val="32"/>
          <w:szCs w:val="32"/>
        </w:rPr>
        <w:t>各级人力资源社会保障部门对拖欠农民工工资</w:t>
      </w:r>
      <w:r>
        <w:rPr>
          <w:rFonts w:ascii="仿宋_GB2312" w:cs="Calibri" w:hint="eastAsia"/>
          <w:kern w:val="2"/>
          <w:sz w:val="32"/>
          <w:szCs w:val="32"/>
        </w:rPr>
        <w:t>“</w:t>
      </w:r>
      <w:r>
        <w:rPr>
          <w:rFonts w:ascii="仿宋_GB2312" w:cs="仿宋_GB2312" w:hint="eastAsia"/>
          <w:kern w:val="2"/>
          <w:sz w:val="32"/>
          <w:szCs w:val="32"/>
        </w:rPr>
        <w:t>黑名单</w:t>
      </w:r>
      <w:r>
        <w:rPr>
          <w:rFonts w:ascii="仿宋_GB2312" w:cs="Calibri" w:hint="eastAsia"/>
          <w:kern w:val="2"/>
          <w:sz w:val="32"/>
          <w:szCs w:val="32"/>
        </w:rPr>
        <w:t>”</w:t>
      </w:r>
      <w:r>
        <w:rPr>
          <w:rFonts w:ascii="仿宋_GB2312" w:cs="仿宋_GB2312" w:hint="eastAsia"/>
          <w:kern w:val="2"/>
          <w:sz w:val="32"/>
          <w:szCs w:val="32"/>
        </w:rPr>
        <w:t>的相关单位和有关人员作出移出、续期、更正决定，应及时将相关信息交换至同级发展改革部门、市场监管部门和省大数据中心同步进行公示，发展改革部门、市场监管部门和省大数据中心及时将相关信息推送到有关部门终止或继续实施联合惩戒措施。</w:t>
      </w:r>
    </w:p>
    <w:p w:rsidR="002A3423" w:rsidRDefault="002A3423" w:rsidP="002A3423">
      <w:pPr>
        <w:adjustRightInd w:val="0"/>
        <w:snapToGrid w:val="0"/>
        <w:ind w:firstLineChars="200" w:firstLine="640"/>
        <w:rPr>
          <w:rFonts w:ascii="??_GB2312" w:eastAsia="Times New Roman" w:hAnsi="??_GB2312"/>
          <w:szCs w:val="32"/>
        </w:rPr>
      </w:pPr>
      <w:r>
        <w:rPr>
          <w:rFonts w:ascii="黑体" w:eastAsia="黑体" w:cs="黑体" w:hint="eastAsia"/>
          <w:szCs w:val="32"/>
        </w:rPr>
        <w:t>三、逗硬实施联合惩戒</w:t>
      </w:r>
    </w:p>
    <w:p w:rsidR="002A3423" w:rsidRDefault="002A3423" w:rsidP="002A3423">
      <w:pPr>
        <w:pStyle w:val="a3"/>
        <w:widowControl w:val="0"/>
        <w:shd w:val="clear" w:color="auto" w:fill="FFFFFF"/>
        <w:adjustRightInd w:val="0"/>
        <w:snapToGrid w:val="0"/>
        <w:spacing w:before="0" w:beforeAutospacing="0" w:after="0" w:afterAutospacing="0"/>
        <w:ind w:firstLineChars="200" w:firstLine="640"/>
        <w:jc w:val="both"/>
        <w:rPr>
          <w:rFonts w:ascii="仿宋_GB2312" w:cs="仿宋_GB2312" w:hint="eastAsia"/>
          <w:kern w:val="2"/>
          <w:sz w:val="32"/>
          <w:szCs w:val="32"/>
        </w:rPr>
      </w:pPr>
      <w:r>
        <w:rPr>
          <w:rFonts w:ascii="仿宋_GB2312" w:cs="仿宋_GB2312" w:hint="eastAsia"/>
          <w:kern w:val="2"/>
          <w:sz w:val="32"/>
          <w:szCs w:val="32"/>
        </w:rPr>
        <w:t>发展改革部门、市场监管部门和省大数据中心依托本部门信用信息平台公示、推送重大拖欠工资违法行为信息</w:t>
      </w:r>
      <w:r>
        <w:rPr>
          <w:rFonts w:ascii="仿宋_GB2312" w:cs="仿宋_GB2312" w:hint="eastAsia"/>
          <w:sz w:val="32"/>
          <w:szCs w:val="32"/>
        </w:rPr>
        <w:t>，</w:t>
      </w:r>
      <w:r>
        <w:rPr>
          <w:rFonts w:ascii="仿宋_GB2312" w:cs="仿宋_GB2312" w:hint="eastAsia"/>
          <w:kern w:val="2"/>
          <w:sz w:val="32"/>
          <w:szCs w:val="32"/>
        </w:rPr>
        <w:t>联合惩戒相关部门</w:t>
      </w:r>
      <w:r>
        <w:rPr>
          <w:rFonts w:ascii="仿宋_GB2312" w:cs="仿宋_GB2312" w:hint="eastAsia"/>
          <w:sz w:val="32"/>
          <w:szCs w:val="32"/>
        </w:rPr>
        <w:t>对严重拖欠工资行为主体实施联合惩戒</w:t>
      </w:r>
      <w:r>
        <w:rPr>
          <w:rFonts w:ascii="仿宋_GB2312" w:cs="仿宋_GB2312" w:hint="eastAsia"/>
          <w:kern w:val="2"/>
          <w:sz w:val="32"/>
          <w:szCs w:val="32"/>
        </w:rPr>
        <w:t>，并于每年7月10日、次年1月10前将实施联合惩戒的情况和效果反馈至同级发展改革和人力资源社会保障部门。</w:t>
      </w:r>
    </w:p>
    <w:p w:rsidR="002A3423" w:rsidRDefault="002A3423" w:rsidP="002A3423">
      <w:pPr>
        <w:adjustRightInd w:val="0"/>
        <w:snapToGrid w:val="0"/>
        <w:ind w:firstLineChars="200" w:firstLine="640"/>
        <w:rPr>
          <w:rFonts w:ascii="黑体" w:eastAsia="黑体" w:hint="eastAsia"/>
          <w:szCs w:val="32"/>
        </w:rPr>
      </w:pPr>
      <w:r>
        <w:rPr>
          <w:rFonts w:ascii="黑体" w:eastAsia="黑体" w:cs="黑体" w:hint="eastAsia"/>
          <w:szCs w:val="32"/>
        </w:rPr>
        <w:t>三、提升信息化监管水平</w:t>
      </w:r>
    </w:p>
    <w:p w:rsidR="002A3423" w:rsidRDefault="002A3423" w:rsidP="002A3423">
      <w:pPr>
        <w:pStyle w:val="a3"/>
        <w:widowControl w:val="0"/>
        <w:shd w:val="clear" w:color="auto" w:fill="FFFFFF"/>
        <w:adjustRightInd w:val="0"/>
        <w:snapToGrid w:val="0"/>
        <w:spacing w:before="0" w:beforeAutospacing="0" w:after="0" w:afterAutospacing="0"/>
        <w:ind w:firstLineChars="200" w:firstLine="640"/>
        <w:jc w:val="both"/>
        <w:rPr>
          <w:rFonts w:ascii="仿宋_GB2312" w:cs="Times New Roman" w:hint="eastAsia"/>
          <w:kern w:val="2"/>
          <w:sz w:val="32"/>
          <w:szCs w:val="32"/>
        </w:rPr>
      </w:pPr>
      <w:r>
        <w:rPr>
          <w:rFonts w:ascii="仿宋_GB2312" w:cs="仿宋_GB2312" w:hint="eastAsia"/>
          <w:kern w:val="2"/>
          <w:sz w:val="32"/>
          <w:szCs w:val="32"/>
        </w:rPr>
        <w:lastRenderedPageBreak/>
        <w:t>推动实现国家企业信用信息公示系统（四川）、信用中国（四川）与四川省农民工工资支付监管平台的信息共享，实现发展改革、市场监管等与根治拖欠农民工工资工作的数据共享、信息互通，完善源头预防、动态监控体系，进一步提升监管效能。</w:t>
      </w:r>
    </w:p>
    <w:p w:rsidR="002A3423" w:rsidRDefault="002A3423" w:rsidP="002A3423">
      <w:pPr>
        <w:adjustRightInd w:val="0"/>
        <w:snapToGrid w:val="0"/>
        <w:ind w:firstLineChars="200" w:firstLine="640"/>
        <w:rPr>
          <w:rFonts w:ascii="黑体" w:eastAsia="黑体" w:hint="eastAsia"/>
          <w:szCs w:val="32"/>
        </w:rPr>
      </w:pPr>
      <w:r>
        <w:rPr>
          <w:rFonts w:ascii="黑体" w:eastAsia="黑体" w:cs="黑体" w:hint="eastAsia"/>
          <w:szCs w:val="32"/>
        </w:rPr>
        <w:t>四、完善协同监管工作机制</w:t>
      </w:r>
    </w:p>
    <w:p w:rsidR="002A3423" w:rsidRDefault="002A3423" w:rsidP="002A3423">
      <w:pPr>
        <w:pStyle w:val="a3"/>
        <w:widowControl w:val="0"/>
        <w:shd w:val="clear" w:color="auto" w:fill="FFFFFF"/>
        <w:adjustRightInd w:val="0"/>
        <w:snapToGrid w:val="0"/>
        <w:spacing w:before="0" w:beforeAutospacing="0" w:after="0" w:afterAutospacing="0"/>
        <w:ind w:firstLineChars="200" w:firstLine="640"/>
        <w:jc w:val="both"/>
        <w:rPr>
          <w:rFonts w:ascii="仿宋_GB2312" w:cs="仿宋_GB2312" w:hint="eastAsia"/>
          <w:kern w:val="2"/>
          <w:sz w:val="32"/>
          <w:szCs w:val="32"/>
        </w:rPr>
      </w:pPr>
      <w:r>
        <w:rPr>
          <w:rFonts w:ascii="仿宋_GB2312" w:cs="仿宋_GB2312" w:hint="eastAsia"/>
          <w:kern w:val="2"/>
          <w:sz w:val="32"/>
          <w:szCs w:val="32"/>
        </w:rPr>
        <w:t>一是建立联席会议机制。建立人力资源社会保障、发展改革、市场监管、省大数据中心部门联席会议制度，根据工作情况，不定期召开联席会议，研究解决涉及根治拖欠农民工工资有关信用信息公示和联合惩戒协作中的重大问题。二是建立日常联系机制。明确各方牵头部门和联络人员，统一收集整理各类需求和问题，抓好工作对接，强化日常工作协调。对于人力资源社会保障、发展改革、市场监管、大数据主管部门信息共享等实时性要求高的工作，确定专职专人负责，及时解决具体问题，确保各方信息及时交换。</w:t>
      </w:r>
    </w:p>
    <w:p w:rsidR="002A3423" w:rsidRDefault="002A3423" w:rsidP="002A3423">
      <w:pPr>
        <w:adjustRightInd w:val="0"/>
        <w:snapToGrid w:val="0"/>
        <w:ind w:firstLineChars="200" w:firstLine="640"/>
        <w:rPr>
          <w:rFonts w:ascii="仿宋_GB2312" w:cs="仿宋_GB2312" w:hint="eastAsia"/>
          <w:szCs w:val="32"/>
        </w:rPr>
      </w:pPr>
      <w:r>
        <w:rPr>
          <w:rFonts w:ascii="黑体" w:eastAsia="黑体" w:cs="黑体" w:hint="eastAsia"/>
          <w:szCs w:val="32"/>
        </w:rPr>
        <w:t>五、其他事宜</w:t>
      </w:r>
    </w:p>
    <w:p w:rsidR="002A3423" w:rsidRDefault="002A3423" w:rsidP="002A3423">
      <w:pPr>
        <w:pStyle w:val="a3"/>
        <w:widowControl w:val="0"/>
        <w:shd w:val="clear" w:color="auto" w:fill="FFFFFF"/>
        <w:adjustRightInd w:val="0"/>
        <w:snapToGrid w:val="0"/>
        <w:spacing w:before="0" w:beforeAutospacing="0" w:after="0" w:afterAutospacing="0"/>
        <w:ind w:firstLineChars="200" w:firstLine="640"/>
        <w:jc w:val="both"/>
        <w:rPr>
          <w:rFonts w:ascii="仿宋_GB2312" w:cs="仿宋_GB2312" w:hint="eastAsia"/>
          <w:kern w:val="2"/>
          <w:sz w:val="32"/>
          <w:szCs w:val="32"/>
        </w:rPr>
      </w:pPr>
      <w:r>
        <w:rPr>
          <w:rFonts w:ascii="仿宋_GB2312" w:cs="仿宋_GB2312" w:hint="eastAsia"/>
          <w:kern w:val="2"/>
          <w:sz w:val="32"/>
          <w:szCs w:val="32"/>
        </w:rPr>
        <w:t>各部门应密切协作，积极落实本备忘录，指导各地开展信息公示和联合惩戒工作。</w:t>
      </w:r>
    </w:p>
    <w:p w:rsidR="002A3423" w:rsidRDefault="002A3423" w:rsidP="002A3423">
      <w:pPr>
        <w:pStyle w:val="a3"/>
        <w:widowControl w:val="0"/>
        <w:shd w:val="clear" w:color="auto" w:fill="FFFFFF"/>
        <w:adjustRightInd w:val="0"/>
        <w:snapToGrid w:val="0"/>
        <w:spacing w:before="0" w:beforeAutospacing="0" w:after="0" w:afterAutospacing="0"/>
        <w:ind w:firstLineChars="200" w:firstLine="640"/>
        <w:jc w:val="both"/>
        <w:rPr>
          <w:rFonts w:ascii="仿宋_GB2312" w:cs="Times New Roman" w:hint="eastAsia"/>
          <w:kern w:val="2"/>
          <w:sz w:val="32"/>
          <w:szCs w:val="32"/>
        </w:rPr>
      </w:pPr>
    </w:p>
    <w:p w:rsidR="002A3423" w:rsidRDefault="002A3423" w:rsidP="002A3423">
      <w:pPr>
        <w:pStyle w:val="a3"/>
        <w:widowControl w:val="0"/>
        <w:shd w:val="clear" w:color="auto" w:fill="FFFFFF"/>
        <w:adjustRightInd w:val="0"/>
        <w:snapToGrid w:val="0"/>
        <w:spacing w:before="0" w:beforeAutospacing="0" w:after="0" w:afterAutospacing="0"/>
        <w:ind w:firstLineChars="200" w:firstLine="640"/>
        <w:jc w:val="both"/>
        <w:rPr>
          <w:rFonts w:ascii="仿宋_GB2312" w:cs="Times New Roman" w:hint="eastAsia"/>
          <w:kern w:val="2"/>
          <w:sz w:val="32"/>
          <w:szCs w:val="32"/>
        </w:rPr>
      </w:pPr>
    </w:p>
    <w:p w:rsidR="002A3423" w:rsidRDefault="002A3423" w:rsidP="002A3423">
      <w:pPr>
        <w:adjustRightInd w:val="0"/>
        <w:snapToGrid w:val="0"/>
        <w:ind w:firstLineChars="200" w:firstLine="640"/>
        <w:rPr>
          <w:rFonts w:ascii="仿宋_GB2312" w:hint="eastAsia"/>
          <w:szCs w:val="32"/>
        </w:rPr>
      </w:pPr>
    </w:p>
    <w:p w:rsidR="00A32BDD" w:rsidRPr="002A3423" w:rsidRDefault="00A32BDD"/>
    <w:sectPr w:rsidR="00A32BDD" w:rsidRPr="002A3423" w:rsidSect="00A32B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88AC51"/>
    <w:multiLevelType w:val="singleLevel"/>
    <w:tmpl w:val="B188AC51"/>
    <w:lvl w:ilvl="0">
      <w:start w:val="1"/>
      <w:numFmt w:val="chineseCounting"/>
      <w:suff w:val="nothing"/>
      <w:lvlText w:val="%1、"/>
      <w:lvlJc w:val="left"/>
      <w:pPr>
        <w:tabs>
          <w:tab w:val="num" w:pos="0"/>
        </w:tabs>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3423"/>
    <w:rsid w:val="00094623"/>
    <w:rsid w:val="002A3423"/>
    <w:rsid w:val="007B3AE8"/>
    <w:rsid w:val="00A32B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423"/>
    <w:pPr>
      <w:widowControl w:val="0"/>
      <w:spacing w:line="580" w:lineRule="exact"/>
      <w:ind w:firstLine="624"/>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A342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sogou.com/lemma/ShowInnerLink.htm?lemmaId=513410&amp;ss_c=ssc.citiao.link" TargetMode="External"/><Relationship Id="rId5" Type="http://schemas.openxmlformats.org/officeDocument/2006/relationships/hyperlink" Target="https://baike.sogou.com/lemma/ShowInnerLink.htm?lemmaId=513410&amp;ss_c=ssc.citiao.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1389</Characters>
  <Application>Microsoft Office Word</Application>
  <DocSecurity>0</DocSecurity>
  <Lines>11</Lines>
  <Paragraphs>3</Paragraphs>
  <ScaleCrop>false</ScaleCrop>
  <Company>Lenovo</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2020-06-30T04:01:00Z</dcterms:created>
  <dcterms:modified xsi:type="dcterms:W3CDTF">2020-06-30T04:02:00Z</dcterms:modified>
</cp:coreProperties>
</file>