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79" w:rsidRDefault="0031734F">
      <w:pPr>
        <w:widowControl/>
        <w:adjustRightInd w:val="0"/>
        <w:snapToGrid w:val="0"/>
        <w:rPr>
          <w:rFonts w:ascii="黑体" w:eastAsia="黑体" w:cs="黑体" w:hint="default"/>
          <w:color w:val="000000"/>
          <w:kern w:val="0"/>
          <w:sz w:val="32"/>
          <w:szCs w:val="32"/>
        </w:rPr>
      </w:pPr>
      <w:r>
        <w:rPr>
          <w:rFonts w:ascii="黑体" w:eastAsia="黑体" w:cs="黑体"/>
          <w:color w:val="000000"/>
          <w:kern w:val="0"/>
          <w:sz w:val="32"/>
          <w:szCs w:val="32"/>
        </w:rPr>
        <w:t>附件：2</w:t>
      </w:r>
    </w:p>
    <w:p w:rsidR="00393D79" w:rsidRDefault="0031734F">
      <w:pPr>
        <w:widowControl/>
        <w:adjustRightInd w:val="0"/>
        <w:snapToGrid w:val="0"/>
        <w:jc w:val="center"/>
        <w:rPr>
          <w:rStyle w:val="a6"/>
          <w:rFonts w:ascii="黑体" w:eastAsia="黑体" w:hint="default"/>
          <w:b w:val="0"/>
          <w:sz w:val="32"/>
          <w:szCs w:val="32"/>
        </w:rPr>
      </w:pPr>
      <w:r>
        <w:rPr>
          <w:rStyle w:val="a6"/>
          <w:rFonts w:ascii="黑体" w:eastAsia="黑体"/>
          <w:b w:val="0"/>
          <w:sz w:val="32"/>
          <w:szCs w:val="32"/>
        </w:rPr>
        <w:t>评分标准</w:t>
      </w:r>
    </w:p>
    <w:p w:rsidR="00393D79" w:rsidRDefault="00393D79">
      <w:pPr>
        <w:widowControl/>
        <w:adjustRightInd w:val="0"/>
        <w:snapToGrid w:val="0"/>
        <w:jc w:val="center"/>
        <w:rPr>
          <w:rFonts w:ascii="黑体" w:eastAsia="黑体" w:cs="黑体" w:hint="default"/>
          <w:color w:val="000000"/>
          <w:kern w:val="0"/>
          <w:sz w:val="32"/>
          <w:szCs w:val="32"/>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6804"/>
        <w:gridCol w:w="851"/>
        <w:gridCol w:w="879"/>
      </w:tblGrid>
      <w:tr w:rsidR="00393D79">
        <w:trPr>
          <w:trHeight w:val="304"/>
          <w:jc w:val="center"/>
        </w:trPr>
        <w:tc>
          <w:tcPr>
            <w:tcW w:w="1362"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bookmarkStart w:id="0" w:name="OLE_LINK3"/>
            <w:bookmarkStart w:id="1" w:name="OLE_LINK4"/>
            <w:r>
              <w:rPr>
                <w:rFonts w:ascii="仿宋_GB2312" w:eastAsia="仿宋_GB2312"/>
                <w:sz w:val="28"/>
                <w:szCs w:val="28"/>
              </w:rPr>
              <w:t>评审项目</w:t>
            </w:r>
          </w:p>
        </w:tc>
        <w:tc>
          <w:tcPr>
            <w:tcW w:w="6804"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评分标准</w:t>
            </w:r>
          </w:p>
        </w:tc>
        <w:tc>
          <w:tcPr>
            <w:tcW w:w="851"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分值</w:t>
            </w:r>
          </w:p>
        </w:tc>
        <w:tc>
          <w:tcPr>
            <w:tcW w:w="879"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得分</w:t>
            </w:r>
          </w:p>
        </w:tc>
      </w:tr>
      <w:tr w:rsidR="00393D79">
        <w:trPr>
          <w:trHeight w:val="1224"/>
          <w:jc w:val="center"/>
        </w:trPr>
        <w:tc>
          <w:tcPr>
            <w:tcW w:w="1362"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报价</w:t>
            </w:r>
          </w:p>
        </w:tc>
        <w:tc>
          <w:tcPr>
            <w:tcW w:w="6804" w:type="dxa"/>
            <w:vAlign w:val="center"/>
          </w:tcPr>
          <w:p w:rsidR="00393D79" w:rsidRDefault="0031734F">
            <w:pPr>
              <w:spacing w:line="400" w:lineRule="exact"/>
              <w:rPr>
                <w:rFonts w:ascii="仿宋_GB2312" w:eastAsia="仿宋_GB2312" w:hint="default"/>
                <w:sz w:val="28"/>
                <w:szCs w:val="28"/>
              </w:rPr>
            </w:pPr>
            <w:r>
              <w:rPr>
                <w:rFonts w:ascii="仿宋_GB2312" w:eastAsia="仿宋_GB2312"/>
                <w:sz w:val="28"/>
                <w:szCs w:val="28"/>
              </w:rPr>
              <w:t>以本次全部有效《投标文件》的报价的平均价为基准价，基准价10%范围内或等于基准价得满分。每低于基准价10%（含10%）或者高于基准价10%（含10%）扣1分，直至扣完为止。</w:t>
            </w:r>
          </w:p>
        </w:tc>
        <w:tc>
          <w:tcPr>
            <w:tcW w:w="851"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20</w:t>
            </w:r>
          </w:p>
        </w:tc>
        <w:tc>
          <w:tcPr>
            <w:tcW w:w="879" w:type="dxa"/>
            <w:vAlign w:val="center"/>
          </w:tcPr>
          <w:p w:rsidR="00393D79" w:rsidRDefault="00393D79">
            <w:pPr>
              <w:pStyle w:val="a5"/>
              <w:adjustRightInd w:val="0"/>
              <w:snapToGrid w:val="0"/>
              <w:spacing w:before="0" w:beforeAutospacing="0" w:after="0" w:afterAutospacing="0"/>
              <w:jc w:val="center"/>
              <w:rPr>
                <w:rFonts w:ascii="仿宋_GB2312" w:eastAsia="仿宋_GB2312" w:hint="default"/>
                <w:sz w:val="28"/>
                <w:szCs w:val="28"/>
              </w:rPr>
            </w:pPr>
          </w:p>
        </w:tc>
      </w:tr>
      <w:tr w:rsidR="00393D79">
        <w:trPr>
          <w:trHeight w:val="1960"/>
          <w:jc w:val="center"/>
        </w:trPr>
        <w:tc>
          <w:tcPr>
            <w:tcW w:w="1362"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人员配置</w:t>
            </w:r>
          </w:p>
        </w:tc>
        <w:tc>
          <w:tcPr>
            <w:tcW w:w="6804" w:type="dxa"/>
            <w:vAlign w:val="center"/>
          </w:tcPr>
          <w:p w:rsidR="00393D79" w:rsidRDefault="0031734F">
            <w:pPr>
              <w:spacing w:line="400" w:lineRule="exact"/>
              <w:rPr>
                <w:rFonts w:ascii="仿宋_GB2312" w:eastAsia="仿宋_GB2312" w:hint="default"/>
                <w:sz w:val="28"/>
                <w:szCs w:val="28"/>
              </w:rPr>
            </w:pPr>
            <w:r>
              <w:rPr>
                <w:rFonts w:ascii="仿宋_GB2312" w:eastAsia="仿宋_GB2312"/>
                <w:sz w:val="28"/>
                <w:szCs w:val="28"/>
              </w:rPr>
              <w:t>供应商为本项目配备的工作组有3人的，组长具备高级职称的得10分，不具备的得7分；在此基础上，每多配备1名高级职称人员得5分、中级职称人员得 3 分。得分最高不超过20分。说明：①工作组组长注册会计师，提供：身份证复印件、相关专业高级技术职称或注册会计师、注册资产评估师等证明材料复印件。②工作组其他成员提供：身份证复印件、相关执业资格证明。</w:t>
            </w:r>
          </w:p>
        </w:tc>
        <w:tc>
          <w:tcPr>
            <w:tcW w:w="851"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20</w:t>
            </w:r>
          </w:p>
        </w:tc>
        <w:tc>
          <w:tcPr>
            <w:tcW w:w="879" w:type="dxa"/>
            <w:vAlign w:val="center"/>
          </w:tcPr>
          <w:p w:rsidR="00393D79" w:rsidRDefault="00393D79">
            <w:pPr>
              <w:pStyle w:val="a5"/>
              <w:adjustRightInd w:val="0"/>
              <w:snapToGrid w:val="0"/>
              <w:spacing w:before="0" w:beforeAutospacing="0" w:after="0" w:afterAutospacing="0"/>
              <w:jc w:val="center"/>
              <w:rPr>
                <w:rFonts w:ascii="仿宋_GB2312" w:eastAsia="仿宋_GB2312" w:hint="default"/>
                <w:sz w:val="28"/>
                <w:szCs w:val="28"/>
              </w:rPr>
            </w:pPr>
          </w:p>
        </w:tc>
      </w:tr>
      <w:tr w:rsidR="00393D79">
        <w:trPr>
          <w:trHeight w:val="3536"/>
          <w:jc w:val="center"/>
        </w:trPr>
        <w:tc>
          <w:tcPr>
            <w:tcW w:w="1362"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服务方案</w:t>
            </w:r>
          </w:p>
        </w:tc>
        <w:tc>
          <w:tcPr>
            <w:tcW w:w="6804" w:type="dxa"/>
            <w:vAlign w:val="center"/>
          </w:tcPr>
          <w:p w:rsidR="00393D79" w:rsidRDefault="0031734F">
            <w:pPr>
              <w:pStyle w:val="a5"/>
              <w:adjustRightInd w:val="0"/>
              <w:snapToGrid w:val="0"/>
              <w:spacing w:before="0" w:beforeAutospacing="0" w:after="0" w:afterAutospacing="0"/>
              <w:rPr>
                <w:rFonts w:ascii="仿宋_GB2312" w:eastAsia="仿宋_GB2312" w:hint="default"/>
                <w:sz w:val="28"/>
                <w:szCs w:val="28"/>
              </w:rPr>
            </w:pPr>
            <w:r>
              <w:rPr>
                <w:rFonts w:ascii="仿宋_GB2312" w:eastAsia="仿宋_GB2312"/>
                <w:sz w:val="28"/>
                <w:szCs w:val="28"/>
              </w:rPr>
              <w:t>供应商针对本项目提供的</w:t>
            </w:r>
            <w:r w:rsidRPr="0031734F">
              <w:rPr>
                <w:rFonts w:ascii="仿宋_GB2312" w:eastAsia="仿宋_GB2312"/>
                <w:sz w:val="28"/>
                <w:szCs w:val="28"/>
              </w:rPr>
              <w:t>绩效评价方案和履约验收方案</w:t>
            </w:r>
            <w:r>
              <w:rPr>
                <w:rFonts w:ascii="仿宋_GB2312" w:eastAsia="仿宋_GB2312"/>
                <w:sz w:val="28"/>
                <w:szCs w:val="28"/>
              </w:rPr>
              <w:t>应包含前期准备、现场评价、评估范围、风险评估的方法、收集的资料和证据情况、风险分析、应对措施建议，撰写报告、提交审核、资料归档方面各流程的详细安排，各项进度安排合理，实施步骤明确，有完善的进度保障措施，由评审小组对服务方案优化程度进行优劣等级对比打分，此项得分最高不超过30分。</w:t>
            </w:r>
          </w:p>
        </w:tc>
        <w:tc>
          <w:tcPr>
            <w:tcW w:w="851"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30</w:t>
            </w:r>
          </w:p>
        </w:tc>
        <w:tc>
          <w:tcPr>
            <w:tcW w:w="879" w:type="dxa"/>
            <w:vAlign w:val="center"/>
          </w:tcPr>
          <w:p w:rsidR="00393D79" w:rsidRDefault="00393D79">
            <w:pPr>
              <w:pStyle w:val="a5"/>
              <w:adjustRightInd w:val="0"/>
              <w:snapToGrid w:val="0"/>
              <w:spacing w:before="0" w:beforeAutospacing="0" w:after="0" w:afterAutospacing="0"/>
              <w:jc w:val="center"/>
              <w:rPr>
                <w:rFonts w:ascii="仿宋_GB2312" w:eastAsia="仿宋_GB2312" w:hint="default"/>
                <w:sz w:val="28"/>
                <w:szCs w:val="28"/>
              </w:rPr>
            </w:pPr>
          </w:p>
        </w:tc>
      </w:tr>
      <w:tr w:rsidR="00393D79">
        <w:trPr>
          <w:trHeight w:val="796"/>
          <w:jc w:val="center"/>
        </w:trPr>
        <w:tc>
          <w:tcPr>
            <w:tcW w:w="1362"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相关</w:t>
            </w:r>
          </w:p>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经验</w:t>
            </w:r>
          </w:p>
        </w:tc>
        <w:tc>
          <w:tcPr>
            <w:tcW w:w="6804" w:type="dxa"/>
            <w:vAlign w:val="center"/>
          </w:tcPr>
          <w:p w:rsidR="00393D79" w:rsidRPr="0031734F" w:rsidRDefault="0031734F">
            <w:pPr>
              <w:pStyle w:val="a5"/>
              <w:adjustRightInd w:val="0"/>
              <w:snapToGrid w:val="0"/>
              <w:spacing w:before="0" w:beforeAutospacing="0" w:after="0" w:afterAutospacing="0"/>
              <w:rPr>
                <w:rFonts w:ascii="仿宋_GB2312" w:eastAsia="仿宋_GB2312" w:hint="default"/>
                <w:sz w:val="28"/>
                <w:szCs w:val="28"/>
              </w:rPr>
            </w:pPr>
            <w:r w:rsidRPr="0031734F">
              <w:rPr>
                <w:rFonts w:ascii="仿宋_GB2312" w:eastAsia="仿宋_GB2312"/>
                <w:sz w:val="28"/>
                <w:szCs w:val="28"/>
              </w:rPr>
              <w:t>1.自2018年以来，供应商承接的履约验收项目，每个项目得</w:t>
            </w:r>
            <w:r w:rsidR="00A54B9F">
              <w:rPr>
                <w:rFonts w:ascii="仿宋_GB2312" w:eastAsia="仿宋_GB2312"/>
                <w:sz w:val="28"/>
                <w:szCs w:val="28"/>
              </w:rPr>
              <w:t>2</w:t>
            </w:r>
            <w:r w:rsidRPr="0031734F">
              <w:rPr>
                <w:rFonts w:ascii="仿宋_GB2312" w:eastAsia="仿宋_GB2312"/>
                <w:sz w:val="28"/>
                <w:szCs w:val="28"/>
              </w:rPr>
              <w:t>分，此项最高1</w:t>
            </w:r>
            <w:r>
              <w:rPr>
                <w:rFonts w:ascii="仿宋_GB2312" w:eastAsia="仿宋_GB2312"/>
                <w:sz w:val="28"/>
                <w:szCs w:val="28"/>
              </w:rPr>
              <w:t>0</w:t>
            </w:r>
            <w:r w:rsidRPr="0031734F">
              <w:rPr>
                <w:rFonts w:ascii="仿宋_GB2312" w:eastAsia="仿宋_GB2312"/>
                <w:sz w:val="28"/>
                <w:szCs w:val="28"/>
              </w:rPr>
              <w:t>分。</w:t>
            </w:r>
          </w:p>
          <w:p w:rsidR="00393D79" w:rsidRDefault="0031734F">
            <w:pPr>
              <w:pStyle w:val="a5"/>
              <w:adjustRightInd w:val="0"/>
              <w:snapToGrid w:val="0"/>
              <w:spacing w:before="0" w:beforeAutospacing="0" w:after="0" w:afterAutospacing="0"/>
              <w:rPr>
                <w:rFonts w:ascii="仿宋_GB2312" w:eastAsia="仿宋_GB2312" w:hint="default"/>
                <w:sz w:val="28"/>
                <w:szCs w:val="28"/>
              </w:rPr>
            </w:pPr>
            <w:r>
              <w:rPr>
                <w:rFonts w:ascii="仿宋_GB2312" w:eastAsia="仿宋_GB2312"/>
                <w:sz w:val="28"/>
                <w:szCs w:val="28"/>
              </w:rPr>
              <w:t>2</w:t>
            </w:r>
            <w:r>
              <w:rPr>
                <w:rFonts w:ascii="仿宋_GB2312" w:eastAsia="仿宋_GB2312" w:hint="default"/>
                <w:sz w:val="28"/>
                <w:szCs w:val="28"/>
              </w:rPr>
              <w:t>.</w:t>
            </w:r>
            <w:r>
              <w:rPr>
                <w:rFonts w:ascii="仿宋_GB2312" w:eastAsia="仿宋_GB2312"/>
                <w:sz w:val="28"/>
                <w:szCs w:val="28"/>
              </w:rPr>
              <w:t>自2018年以来，供应商承接的绩效管理评价项目，每个项目得</w:t>
            </w:r>
            <w:r w:rsidR="00A54B9F">
              <w:rPr>
                <w:rFonts w:ascii="仿宋_GB2312" w:eastAsia="仿宋_GB2312"/>
                <w:sz w:val="28"/>
                <w:szCs w:val="28"/>
              </w:rPr>
              <w:t>2</w:t>
            </w:r>
            <w:bookmarkStart w:id="2" w:name="_GoBack"/>
            <w:bookmarkEnd w:id="2"/>
            <w:r>
              <w:rPr>
                <w:rFonts w:ascii="仿宋_GB2312" w:eastAsia="仿宋_GB2312"/>
                <w:sz w:val="28"/>
                <w:szCs w:val="28"/>
              </w:rPr>
              <w:t>分，此项最高</w:t>
            </w:r>
            <w:r>
              <w:rPr>
                <w:rFonts w:ascii="仿宋_GB2312" w:eastAsia="仿宋_GB2312" w:hint="default"/>
                <w:sz w:val="28"/>
                <w:szCs w:val="28"/>
              </w:rPr>
              <w:t>1</w:t>
            </w:r>
            <w:r>
              <w:rPr>
                <w:rFonts w:ascii="仿宋_GB2312" w:eastAsia="仿宋_GB2312"/>
                <w:sz w:val="28"/>
                <w:szCs w:val="28"/>
              </w:rPr>
              <w:t>0分。</w:t>
            </w:r>
          </w:p>
          <w:p w:rsidR="00393D79" w:rsidRDefault="0031734F">
            <w:pPr>
              <w:pStyle w:val="a5"/>
              <w:adjustRightInd w:val="0"/>
              <w:snapToGrid w:val="0"/>
              <w:spacing w:before="0" w:beforeAutospacing="0" w:after="0" w:afterAutospacing="0"/>
              <w:rPr>
                <w:rFonts w:ascii="仿宋_GB2312" w:eastAsia="仿宋_GB2312" w:hint="default"/>
                <w:sz w:val="28"/>
                <w:szCs w:val="28"/>
              </w:rPr>
            </w:pPr>
            <w:r>
              <w:rPr>
                <w:rFonts w:ascii="仿宋_GB2312" w:eastAsia="仿宋_GB2312"/>
                <w:sz w:val="28"/>
                <w:szCs w:val="28"/>
              </w:rPr>
              <w:t>备注：需提供合同原件的扫描件及合同期内任意一次电子结算凭证或发票原件的扫描件，未提供不得分。</w:t>
            </w:r>
          </w:p>
        </w:tc>
        <w:tc>
          <w:tcPr>
            <w:tcW w:w="851"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20</w:t>
            </w:r>
          </w:p>
        </w:tc>
        <w:tc>
          <w:tcPr>
            <w:tcW w:w="879" w:type="dxa"/>
            <w:vAlign w:val="center"/>
          </w:tcPr>
          <w:p w:rsidR="00393D79" w:rsidRDefault="00393D79">
            <w:pPr>
              <w:pStyle w:val="a5"/>
              <w:adjustRightInd w:val="0"/>
              <w:snapToGrid w:val="0"/>
              <w:spacing w:before="0" w:beforeAutospacing="0" w:after="0" w:afterAutospacing="0"/>
              <w:jc w:val="center"/>
              <w:rPr>
                <w:rFonts w:ascii="仿宋_GB2312" w:eastAsia="仿宋_GB2312" w:hint="default"/>
                <w:sz w:val="28"/>
                <w:szCs w:val="28"/>
              </w:rPr>
            </w:pPr>
          </w:p>
        </w:tc>
      </w:tr>
      <w:tr w:rsidR="00393D79">
        <w:trPr>
          <w:trHeight w:val="812"/>
          <w:jc w:val="center"/>
        </w:trPr>
        <w:tc>
          <w:tcPr>
            <w:tcW w:w="1362"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管理制度</w:t>
            </w:r>
          </w:p>
        </w:tc>
        <w:tc>
          <w:tcPr>
            <w:tcW w:w="6804" w:type="dxa"/>
            <w:vAlign w:val="center"/>
          </w:tcPr>
          <w:p w:rsidR="00393D79" w:rsidRDefault="0031734F">
            <w:pPr>
              <w:pStyle w:val="a5"/>
              <w:adjustRightInd w:val="0"/>
              <w:snapToGrid w:val="0"/>
              <w:spacing w:before="0" w:beforeAutospacing="0" w:after="0" w:afterAutospacing="0"/>
              <w:rPr>
                <w:rFonts w:ascii="仿宋_GB2312" w:eastAsia="仿宋_GB2312" w:hint="default"/>
                <w:sz w:val="28"/>
                <w:szCs w:val="28"/>
              </w:rPr>
            </w:pPr>
            <w:r>
              <w:rPr>
                <w:rFonts w:ascii="仿宋_GB2312" w:eastAsia="仿宋_GB2312"/>
                <w:sz w:val="28"/>
                <w:szCs w:val="28"/>
              </w:rPr>
              <w:t>供应商应具备人员管理制度、内控制度、质量控制制度、保密制度，每具有1个制度的得2.5分，最多得 10 分。</w:t>
            </w:r>
          </w:p>
        </w:tc>
        <w:tc>
          <w:tcPr>
            <w:tcW w:w="851" w:type="dxa"/>
            <w:vAlign w:val="center"/>
          </w:tcPr>
          <w:p w:rsidR="00393D79" w:rsidRDefault="0031734F">
            <w:pPr>
              <w:pStyle w:val="a5"/>
              <w:adjustRightInd w:val="0"/>
              <w:snapToGrid w:val="0"/>
              <w:spacing w:before="0" w:beforeAutospacing="0" w:after="0" w:afterAutospacing="0"/>
              <w:jc w:val="center"/>
              <w:rPr>
                <w:rFonts w:ascii="仿宋_GB2312" w:eastAsia="仿宋_GB2312" w:hint="default"/>
                <w:sz w:val="28"/>
                <w:szCs w:val="28"/>
              </w:rPr>
            </w:pPr>
            <w:r>
              <w:rPr>
                <w:rFonts w:ascii="仿宋_GB2312" w:eastAsia="仿宋_GB2312"/>
                <w:sz w:val="28"/>
                <w:szCs w:val="28"/>
              </w:rPr>
              <w:t>10</w:t>
            </w:r>
          </w:p>
        </w:tc>
        <w:tc>
          <w:tcPr>
            <w:tcW w:w="879" w:type="dxa"/>
            <w:vAlign w:val="center"/>
          </w:tcPr>
          <w:p w:rsidR="00393D79" w:rsidRDefault="00393D79">
            <w:pPr>
              <w:pStyle w:val="a5"/>
              <w:adjustRightInd w:val="0"/>
              <w:snapToGrid w:val="0"/>
              <w:spacing w:before="0" w:beforeAutospacing="0" w:after="0" w:afterAutospacing="0"/>
              <w:jc w:val="center"/>
              <w:rPr>
                <w:rFonts w:ascii="仿宋_GB2312" w:eastAsia="仿宋_GB2312" w:hint="default"/>
                <w:sz w:val="28"/>
                <w:szCs w:val="28"/>
              </w:rPr>
            </w:pPr>
          </w:p>
        </w:tc>
      </w:tr>
      <w:bookmarkEnd w:id="0"/>
      <w:bookmarkEnd w:id="1"/>
    </w:tbl>
    <w:p w:rsidR="00393D79" w:rsidRDefault="00393D79">
      <w:pPr>
        <w:rPr>
          <w:rFonts w:hint="default"/>
        </w:rPr>
      </w:pPr>
    </w:p>
    <w:sectPr w:rsidR="00393D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start w:val="1"/>
      <w:numFmt w:val="decimal"/>
      <w:lvlText w:val="第%1章"/>
      <w:lvlJc w:val="left"/>
      <w:pPr>
        <w:ind w:left="283" w:hanging="425"/>
      </w:pPr>
      <w:rPr>
        <w:rFonts w:ascii="Times New Roman" w:eastAsia="宋体" w:hAnsi="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1135"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hint="eastAsia"/>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4E"/>
    <w:rsid w:val="0000181F"/>
    <w:rsid w:val="0004613C"/>
    <w:rsid w:val="000F0839"/>
    <w:rsid w:val="00142847"/>
    <w:rsid w:val="001E6F6D"/>
    <w:rsid w:val="001F08C0"/>
    <w:rsid w:val="00212B24"/>
    <w:rsid w:val="00263E3B"/>
    <w:rsid w:val="002946D3"/>
    <w:rsid w:val="002B34BB"/>
    <w:rsid w:val="0031734F"/>
    <w:rsid w:val="00381835"/>
    <w:rsid w:val="00393D79"/>
    <w:rsid w:val="004415B3"/>
    <w:rsid w:val="00501FE0"/>
    <w:rsid w:val="0061380D"/>
    <w:rsid w:val="006618B6"/>
    <w:rsid w:val="00685682"/>
    <w:rsid w:val="006A10B1"/>
    <w:rsid w:val="007669D2"/>
    <w:rsid w:val="00854C5F"/>
    <w:rsid w:val="00877987"/>
    <w:rsid w:val="009D56F0"/>
    <w:rsid w:val="00A54B9F"/>
    <w:rsid w:val="00AA65D2"/>
    <w:rsid w:val="00AB4B76"/>
    <w:rsid w:val="00B25A4C"/>
    <w:rsid w:val="00B40768"/>
    <w:rsid w:val="00B902A4"/>
    <w:rsid w:val="00BE5607"/>
    <w:rsid w:val="00C15E26"/>
    <w:rsid w:val="00CB2006"/>
    <w:rsid w:val="00D17C29"/>
    <w:rsid w:val="00D5373A"/>
    <w:rsid w:val="00DD394E"/>
    <w:rsid w:val="00DF074E"/>
    <w:rsid w:val="00E23118"/>
    <w:rsid w:val="00EC2D3A"/>
    <w:rsid w:val="31C23BEA"/>
    <w:rsid w:val="39C36B63"/>
    <w:rsid w:val="4E983073"/>
    <w:rsid w:val="5A62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宋体" w:eastAsia="宋体" w:hAnsi="Times New Roman" w:cs="Times New Roman" w:hint="eastAsia"/>
      <w:kern w:val="2"/>
      <w:sz w:val="24"/>
    </w:rPr>
  </w:style>
  <w:style w:type="paragraph" w:styleId="2">
    <w:name w:val="heading 2"/>
    <w:basedOn w:val="a"/>
    <w:next w:val="a"/>
    <w:link w:val="2Char"/>
    <w:qFormat/>
    <w:pPr>
      <w:keepNext/>
      <w:keepLines/>
      <w:numPr>
        <w:ilvl w:val="1"/>
        <w:numId w:val="1"/>
      </w:numPr>
      <w:tabs>
        <w:tab w:val="left" w:pos="426"/>
        <w:tab w:val="left" w:pos="567"/>
      </w:tabs>
      <w:spacing w:line="360" w:lineRule="auto"/>
      <w:ind w:left="709"/>
      <w:jc w:val="both"/>
      <w:outlineLvl w:val="1"/>
    </w:pPr>
    <w:rPr>
      <w:rFonts w:hAnsi="宋体" w:hint="default"/>
      <w:b/>
      <w:bCs/>
      <w:iCs/>
      <w:kern w:val="0"/>
      <w:sz w:val="28"/>
      <w:szCs w:val="28"/>
    </w:rPr>
  </w:style>
  <w:style w:type="paragraph" w:styleId="3">
    <w:name w:val="heading 3"/>
    <w:basedOn w:val="a"/>
    <w:next w:val="a"/>
    <w:link w:val="3Char"/>
    <w:qFormat/>
    <w:pPr>
      <w:keepNext/>
      <w:keepLines/>
      <w:numPr>
        <w:ilvl w:val="2"/>
        <w:numId w:val="1"/>
      </w:numPr>
      <w:spacing w:line="360" w:lineRule="auto"/>
      <w:ind w:left="567"/>
      <w:jc w:val="both"/>
      <w:outlineLvl w:val="2"/>
    </w:pPr>
    <w:rPr>
      <w:rFonts w:hAnsi="宋体" w:hint="default"/>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qFormat/>
    <w:pPr>
      <w:widowControl w:val="0"/>
      <w:spacing w:before="100" w:beforeAutospacing="1" w:after="100" w:afterAutospacing="1"/>
    </w:pPr>
    <w:rPr>
      <w:rFonts w:ascii="宋体" w:eastAsia="宋体" w:hAnsi="Times New Roman" w:cs="Times New Roman" w:hint="eastAsia"/>
      <w:kern w:val="2"/>
      <w:sz w:val="24"/>
    </w:rPr>
  </w:style>
  <w:style w:type="character" w:styleId="a6">
    <w:name w:val="Strong"/>
    <w:qFormat/>
    <w:rPr>
      <w:b/>
    </w:rPr>
  </w:style>
  <w:style w:type="paragraph" w:customStyle="1" w:styleId="Char1">
    <w:name w:val="Char"/>
    <w:basedOn w:val="a"/>
    <w:qFormat/>
    <w:pPr>
      <w:spacing w:line="240" w:lineRule="atLeast"/>
      <w:ind w:left="420" w:firstLine="420"/>
      <w:jc w:val="both"/>
    </w:pPr>
    <w:rPr>
      <w:rFonts w:ascii="Times New Roman" w:hint="default"/>
      <w:kern w:val="0"/>
      <w:sz w:val="21"/>
      <w:szCs w:val="21"/>
    </w:rPr>
  </w:style>
  <w:style w:type="character" w:customStyle="1" w:styleId="Char0">
    <w:name w:val="页眉 Char"/>
    <w:basedOn w:val="a0"/>
    <w:link w:val="a4"/>
    <w:uiPriority w:val="99"/>
    <w:qFormat/>
    <w:rPr>
      <w:rFonts w:ascii="宋体" w:eastAsia="宋体" w:hAnsi="Times New Roman" w:cs="Times New Roman"/>
      <w:sz w:val="18"/>
      <w:szCs w:val="18"/>
    </w:rPr>
  </w:style>
  <w:style w:type="character" w:customStyle="1" w:styleId="Char">
    <w:name w:val="页脚 Char"/>
    <w:basedOn w:val="a0"/>
    <w:link w:val="a3"/>
    <w:uiPriority w:val="99"/>
    <w:qFormat/>
    <w:rPr>
      <w:rFonts w:ascii="宋体" w:eastAsia="宋体" w:hAnsi="Times New Roman" w:cs="Times New Roman"/>
      <w:sz w:val="18"/>
      <w:szCs w:val="18"/>
    </w:rPr>
  </w:style>
  <w:style w:type="character" w:customStyle="1" w:styleId="2Char">
    <w:name w:val="标题 2 Char"/>
    <w:basedOn w:val="a0"/>
    <w:link w:val="2"/>
    <w:qFormat/>
    <w:rPr>
      <w:rFonts w:ascii="宋体" w:eastAsia="宋体" w:hAnsi="宋体" w:cs="Times New Roman"/>
      <w:b/>
      <w:bCs/>
      <w:iCs/>
      <w:kern w:val="0"/>
      <w:sz w:val="28"/>
      <w:szCs w:val="28"/>
    </w:rPr>
  </w:style>
  <w:style w:type="character" w:customStyle="1" w:styleId="3Char">
    <w:name w:val="标题 3 Char"/>
    <w:basedOn w:val="a0"/>
    <w:link w:val="3"/>
    <w:qFormat/>
    <w:rPr>
      <w:rFonts w:ascii="宋体" w:eastAsia="宋体" w:hAnsi="宋体"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宋体" w:eastAsia="宋体" w:hAnsi="Times New Roman" w:cs="Times New Roman" w:hint="eastAsia"/>
      <w:kern w:val="2"/>
      <w:sz w:val="24"/>
    </w:rPr>
  </w:style>
  <w:style w:type="paragraph" w:styleId="2">
    <w:name w:val="heading 2"/>
    <w:basedOn w:val="a"/>
    <w:next w:val="a"/>
    <w:link w:val="2Char"/>
    <w:qFormat/>
    <w:pPr>
      <w:keepNext/>
      <w:keepLines/>
      <w:numPr>
        <w:ilvl w:val="1"/>
        <w:numId w:val="1"/>
      </w:numPr>
      <w:tabs>
        <w:tab w:val="left" w:pos="426"/>
        <w:tab w:val="left" w:pos="567"/>
      </w:tabs>
      <w:spacing w:line="360" w:lineRule="auto"/>
      <w:ind w:left="709"/>
      <w:jc w:val="both"/>
      <w:outlineLvl w:val="1"/>
    </w:pPr>
    <w:rPr>
      <w:rFonts w:hAnsi="宋体" w:hint="default"/>
      <w:b/>
      <w:bCs/>
      <w:iCs/>
      <w:kern w:val="0"/>
      <w:sz w:val="28"/>
      <w:szCs w:val="28"/>
    </w:rPr>
  </w:style>
  <w:style w:type="paragraph" w:styleId="3">
    <w:name w:val="heading 3"/>
    <w:basedOn w:val="a"/>
    <w:next w:val="a"/>
    <w:link w:val="3Char"/>
    <w:qFormat/>
    <w:pPr>
      <w:keepNext/>
      <w:keepLines/>
      <w:numPr>
        <w:ilvl w:val="2"/>
        <w:numId w:val="1"/>
      </w:numPr>
      <w:spacing w:line="360" w:lineRule="auto"/>
      <w:ind w:left="567"/>
      <w:jc w:val="both"/>
      <w:outlineLvl w:val="2"/>
    </w:pPr>
    <w:rPr>
      <w:rFonts w:hAnsi="宋体" w:hint="default"/>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qFormat/>
    <w:pPr>
      <w:widowControl w:val="0"/>
      <w:spacing w:before="100" w:beforeAutospacing="1" w:after="100" w:afterAutospacing="1"/>
    </w:pPr>
    <w:rPr>
      <w:rFonts w:ascii="宋体" w:eastAsia="宋体" w:hAnsi="Times New Roman" w:cs="Times New Roman" w:hint="eastAsia"/>
      <w:kern w:val="2"/>
      <w:sz w:val="24"/>
    </w:rPr>
  </w:style>
  <w:style w:type="character" w:styleId="a6">
    <w:name w:val="Strong"/>
    <w:qFormat/>
    <w:rPr>
      <w:b/>
    </w:rPr>
  </w:style>
  <w:style w:type="paragraph" w:customStyle="1" w:styleId="Char1">
    <w:name w:val="Char"/>
    <w:basedOn w:val="a"/>
    <w:qFormat/>
    <w:pPr>
      <w:spacing w:line="240" w:lineRule="atLeast"/>
      <w:ind w:left="420" w:firstLine="420"/>
      <w:jc w:val="both"/>
    </w:pPr>
    <w:rPr>
      <w:rFonts w:ascii="Times New Roman" w:hint="default"/>
      <w:kern w:val="0"/>
      <w:sz w:val="21"/>
      <w:szCs w:val="21"/>
    </w:rPr>
  </w:style>
  <w:style w:type="character" w:customStyle="1" w:styleId="Char0">
    <w:name w:val="页眉 Char"/>
    <w:basedOn w:val="a0"/>
    <w:link w:val="a4"/>
    <w:uiPriority w:val="99"/>
    <w:qFormat/>
    <w:rPr>
      <w:rFonts w:ascii="宋体" w:eastAsia="宋体" w:hAnsi="Times New Roman" w:cs="Times New Roman"/>
      <w:sz w:val="18"/>
      <w:szCs w:val="18"/>
    </w:rPr>
  </w:style>
  <w:style w:type="character" w:customStyle="1" w:styleId="Char">
    <w:name w:val="页脚 Char"/>
    <w:basedOn w:val="a0"/>
    <w:link w:val="a3"/>
    <w:uiPriority w:val="99"/>
    <w:qFormat/>
    <w:rPr>
      <w:rFonts w:ascii="宋体" w:eastAsia="宋体" w:hAnsi="Times New Roman" w:cs="Times New Roman"/>
      <w:sz w:val="18"/>
      <w:szCs w:val="18"/>
    </w:rPr>
  </w:style>
  <w:style w:type="character" w:customStyle="1" w:styleId="2Char">
    <w:name w:val="标题 2 Char"/>
    <w:basedOn w:val="a0"/>
    <w:link w:val="2"/>
    <w:qFormat/>
    <w:rPr>
      <w:rFonts w:ascii="宋体" w:eastAsia="宋体" w:hAnsi="宋体" w:cs="Times New Roman"/>
      <w:b/>
      <w:bCs/>
      <w:iCs/>
      <w:kern w:val="0"/>
      <w:sz w:val="28"/>
      <w:szCs w:val="28"/>
    </w:rPr>
  </w:style>
  <w:style w:type="character" w:customStyle="1" w:styleId="3Char">
    <w:name w:val="标题 3 Char"/>
    <w:basedOn w:val="a0"/>
    <w:link w:val="3"/>
    <w:qFormat/>
    <w:rPr>
      <w:rFonts w:ascii="宋体" w:eastAsia="宋体" w:hAnsi="宋体"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7</cp:revision>
  <cp:lastPrinted>2020-11-03T08:47:00Z</cp:lastPrinted>
  <dcterms:created xsi:type="dcterms:W3CDTF">2020-11-02T03:02:00Z</dcterms:created>
  <dcterms:modified xsi:type="dcterms:W3CDTF">2020-11-04T00:53:00Z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